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4792" w14:textId="0FB28C68" w:rsidR="00CF3DC8" w:rsidRDefault="00CF3DC8" w:rsidP="003D1AA6">
      <w:pPr>
        <w:pStyle w:val="Heading1"/>
        <w:numPr>
          <w:ilvl w:val="0"/>
          <w:numId w:val="0"/>
        </w:numPr>
        <w:pBdr>
          <w:bottom w:val="none" w:sz="0" w:space="0" w:color="auto"/>
        </w:pBdr>
        <w:spacing w:before="0" w:after="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r w:rsidR="003D1AA6">
        <w:rPr>
          <w:rFonts w:ascii="Arial" w:hAnsi="Arial" w:cs="Arial"/>
          <w:b/>
          <w:bCs/>
          <w:color w:val="000080"/>
          <w:sz w:val="36"/>
          <w:szCs w:val="36"/>
        </w:rPr>
        <w:br/>
      </w:r>
      <w:r w:rsidR="00DF30FD" w:rsidRPr="00F76D74">
        <w:rPr>
          <w:rFonts w:ascii="Arial" w:hAnsi="Arial" w:cs="Arial"/>
          <w:b/>
          <w:bCs/>
          <w:color w:val="000080"/>
          <w:sz w:val="36"/>
          <w:szCs w:val="36"/>
        </w:rPr>
        <w:t>Public Summary Document</w:t>
      </w:r>
    </w:p>
    <w:p w14:paraId="24E1A5DD" w14:textId="77777777" w:rsidR="00CF3DC8" w:rsidRPr="00CE28E3" w:rsidRDefault="00CF3DC8" w:rsidP="00DF30FD">
      <w:pPr>
        <w:pStyle w:val="Subtitle"/>
        <w:spacing w:before="360"/>
      </w:pPr>
      <w:r w:rsidRPr="00CE28E3">
        <w:t xml:space="preserve">Application No. </w:t>
      </w:r>
      <w:r w:rsidRPr="00B9794E">
        <w:t>1710 – Newborn bloodspot screening for X-linked adrenoleukodystrophy</w:t>
      </w:r>
    </w:p>
    <w:p w14:paraId="7FA4CB99" w14:textId="363C10E5" w:rsidR="00CF3DC8" w:rsidRPr="00CE28E3" w:rsidRDefault="00CF3DC8" w:rsidP="00DF30FD">
      <w:pPr>
        <w:tabs>
          <w:tab w:val="left" w:pos="3686"/>
        </w:tabs>
        <w:spacing w:after="240"/>
        <w:ind w:left="3686" w:hanging="3686"/>
        <w:rPr>
          <w:rFonts w:ascii="Arial" w:hAnsi="Arial" w:cs="Arial"/>
          <w:b/>
        </w:rPr>
      </w:pPr>
      <w:r w:rsidRPr="10BCDE59">
        <w:rPr>
          <w:rFonts w:ascii="Arial" w:hAnsi="Arial" w:cs="Arial"/>
          <w:b/>
        </w:rPr>
        <w:t>Applicant:</w:t>
      </w:r>
      <w:r>
        <w:tab/>
      </w:r>
      <w:r w:rsidRPr="00D81C3A">
        <w:rPr>
          <w:rFonts w:ascii="Arial" w:hAnsi="Arial" w:cs="Arial"/>
          <w:b/>
        </w:rPr>
        <w:t>Leukodystrophy Resource &amp; Research</w:t>
      </w:r>
      <w:r>
        <w:rPr>
          <w:rFonts w:ascii="Arial" w:hAnsi="Arial" w:cs="Arial"/>
          <w:b/>
        </w:rPr>
        <w:t xml:space="preserve"> </w:t>
      </w:r>
      <w:r w:rsidRPr="00D81C3A">
        <w:rPr>
          <w:rFonts w:ascii="Arial" w:hAnsi="Arial" w:cs="Arial"/>
          <w:b/>
        </w:rPr>
        <w:t>Organisation In</w:t>
      </w:r>
      <w:r>
        <w:rPr>
          <w:rFonts w:ascii="Arial" w:hAnsi="Arial" w:cs="Arial"/>
          <w:b/>
        </w:rPr>
        <w:t>c.</w:t>
      </w:r>
    </w:p>
    <w:p w14:paraId="7788E8D5" w14:textId="01A832E0" w:rsidR="00A76D05" w:rsidRDefault="00A76D05" w:rsidP="00A76D05">
      <w:pPr>
        <w:spacing w:before="320" w:line="256" w:lineRule="auto"/>
        <w:rPr>
          <w:rFonts w:ascii="Arial" w:hAnsi="Arial" w:cs="Arial"/>
          <w:b/>
          <w:bCs/>
        </w:rPr>
      </w:pPr>
      <w:r>
        <w:rPr>
          <w:rFonts w:ascii="Arial" w:hAnsi="Arial" w:cs="Arial"/>
          <w:b/>
          <w:bCs/>
        </w:rPr>
        <w:t xml:space="preserve">Date of </w:t>
      </w:r>
      <w:r w:rsidR="00DF30FD">
        <w:rPr>
          <w:rFonts w:ascii="Arial" w:hAnsi="Arial" w:cs="Arial"/>
          <w:b/>
          <w:bCs/>
        </w:rPr>
        <w:t>MSAC</w:t>
      </w:r>
      <w:r>
        <w:rPr>
          <w:rFonts w:ascii="Arial" w:hAnsi="Arial" w:cs="Arial"/>
          <w:b/>
          <w:bCs/>
        </w:rPr>
        <w:t xml:space="preserve"> consideration:</w:t>
      </w:r>
      <w:r>
        <w:rPr>
          <w:rFonts w:ascii="Arial" w:hAnsi="Arial" w:cs="Arial"/>
          <w:b/>
          <w:bCs/>
        </w:rPr>
        <w:tab/>
      </w:r>
      <w:r w:rsidR="00DF30FD">
        <w:rPr>
          <w:rFonts w:ascii="Arial" w:hAnsi="Arial" w:cs="Arial"/>
          <w:b/>
          <w:bCs/>
        </w:rPr>
        <w:t>27 July</w:t>
      </w:r>
      <w:r>
        <w:rPr>
          <w:rFonts w:ascii="Arial" w:hAnsi="Arial" w:cs="Arial"/>
          <w:b/>
          <w:bCs/>
        </w:rPr>
        <w:t xml:space="preserve"> 2023</w:t>
      </w:r>
    </w:p>
    <w:p w14:paraId="5251DB4C" w14:textId="28225CF8" w:rsidR="00DF30FD" w:rsidRPr="00775E8C" w:rsidRDefault="00DF30FD" w:rsidP="00DF30FD">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1A52629C" w14:textId="090397BA" w:rsidR="009349B9" w:rsidRPr="00CE28E3" w:rsidRDefault="00C36281" w:rsidP="000C02FE">
      <w:pPr>
        <w:pStyle w:val="Heading2"/>
        <w:numPr>
          <w:ilvl w:val="0"/>
          <w:numId w:val="0"/>
        </w:numPr>
      </w:pPr>
      <w:bookmarkStart w:id="0" w:name="_Toc133221375"/>
      <w:bookmarkStart w:id="1" w:name="_Toc125726641"/>
      <w:r>
        <w:t>1.</w:t>
      </w:r>
      <w:r>
        <w:tab/>
      </w:r>
      <w:r w:rsidR="009349B9" w:rsidRPr="00CE28E3">
        <w:t xml:space="preserve">Purpose </w:t>
      </w:r>
      <w:r w:rsidR="009349B9" w:rsidRPr="00CE28E3">
        <w:rPr>
          <w:szCs w:val="32"/>
        </w:rPr>
        <w:t>of</w:t>
      </w:r>
      <w:r w:rsidR="009349B9" w:rsidRPr="00CE28E3">
        <w:t xml:space="preserve"> application</w:t>
      </w:r>
      <w:bookmarkEnd w:id="0"/>
    </w:p>
    <w:p w14:paraId="659DB676" w14:textId="145167E9" w:rsidR="009349B9" w:rsidRPr="00F774DB" w:rsidRDefault="009349B9" w:rsidP="00F774DB">
      <w:pPr>
        <w:rPr>
          <w:noProof/>
        </w:rPr>
      </w:pPr>
      <w:r w:rsidRPr="009A3778">
        <w:rPr>
          <w:iCs/>
        </w:rPr>
        <w:t xml:space="preserve">An application requesting </w:t>
      </w:r>
      <w:r w:rsidRPr="001D2A60">
        <w:rPr>
          <w:iCs/>
        </w:rPr>
        <w:t xml:space="preserve">the addition of X-linked adrenoleukodystrophy (X-ALD) to </w:t>
      </w:r>
      <w:r w:rsidR="00D00DA0">
        <w:rPr>
          <w:iCs/>
        </w:rPr>
        <w:t>n</w:t>
      </w:r>
      <w:r w:rsidR="000B33E2">
        <w:rPr>
          <w:iCs/>
        </w:rPr>
        <w:t>ewborn</w:t>
      </w:r>
      <w:r w:rsidR="000B33E2" w:rsidRPr="001D2A60">
        <w:rPr>
          <w:iCs/>
        </w:rPr>
        <w:t xml:space="preserve"> </w:t>
      </w:r>
      <w:r w:rsidR="00D00DA0">
        <w:rPr>
          <w:iCs/>
        </w:rPr>
        <w:t>b</w:t>
      </w:r>
      <w:r w:rsidRPr="001D2A60">
        <w:rPr>
          <w:iCs/>
        </w:rPr>
        <w:t xml:space="preserve">loodspot </w:t>
      </w:r>
      <w:r w:rsidR="00D00DA0">
        <w:rPr>
          <w:iCs/>
        </w:rPr>
        <w:t>s</w:t>
      </w:r>
      <w:r w:rsidRPr="001D2A60">
        <w:rPr>
          <w:iCs/>
        </w:rPr>
        <w:t xml:space="preserve">creening </w:t>
      </w:r>
      <w:r>
        <w:rPr>
          <w:iCs/>
        </w:rPr>
        <w:t xml:space="preserve">(NBS) </w:t>
      </w:r>
      <w:r w:rsidRPr="009A3778">
        <w:rPr>
          <w:iCs/>
        </w:rPr>
        <w:t xml:space="preserve">was received from </w:t>
      </w:r>
      <w:r w:rsidR="00E911F6">
        <w:rPr>
          <w:iCs/>
        </w:rPr>
        <w:t>the</w:t>
      </w:r>
      <w:r>
        <w:rPr>
          <w:iCs/>
        </w:rPr>
        <w:t xml:space="preserve"> Leukodystrophy Resource &amp; Research Organisation</w:t>
      </w:r>
      <w:r w:rsidRPr="009A3778">
        <w:rPr>
          <w:iCs/>
        </w:rPr>
        <w:t xml:space="preserve"> by the Department of Health</w:t>
      </w:r>
      <w:r>
        <w:rPr>
          <w:iCs/>
        </w:rPr>
        <w:t xml:space="preserve"> and Aged Care</w:t>
      </w:r>
      <w:r w:rsidRPr="009A3778">
        <w:rPr>
          <w:iCs/>
        </w:rPr>
        <w:t>.</w:t>
      </w:r>
      <w:r>
        <w:rPr>
          <w:iCs/>
        </w:rPr>
        <w:t xml:space="preserve"> </w:t>
      </w:r>
      <w:r w:rsidRPr="00920F4B">
        <w:rPr>
          <w:iCs/>
        </w:rPr>
        <w:t xml:space="preserve">Dr </w:t>
      </w:r>
      <w:r w:rsidR="00A11D38" w:rsidRPr="00801EA0">
        <w:rPr>
          <w:color w:val="000000"/>
          <w:spacing w:val="25"/>
          <w:shd w:val="solid" w:color="000000" w:fill="000000"/>
          <w:fitText w:val="380" w:id="-1177921276"/>
          <w14:textFill>
            <w14:solidFill>
              <w14:srgbClr w14:val="000000">
                <w14:alpha w14:val="100000"/>
              </w14:srgbClr>
            </w14:solidFill>
          </w14:textFill>
        </w:rPr>
        <w:t>||</w:t>
      </w:r>
      <w:r w:rsidR="00A11D38" w:rsidRPr="00801EA0">
        <w:rPr>
          <w:color w:val="000000"/>
          <w:shd w:val="solid" w:color="000000" w:fill="000000"/>
          <w:fitText w:val="380" w:id="-1177921276"/>
          <w14:textFill>
            <w14:solidFill>
              <w14:srgbClr w14:val="000000">
                <w14:alpha w14:val="100000"/>
              </w14:srgbClr>
            </w14:solidFill>
          </w14:textFill>
        </w:rPr>
        <w:t>|</w:t>
      </w:r>
      <w:r w:rsidR="00A11D38" w:rsidRPr="00393F98">
        <w:rPr>
          <w:color w:val="000000"/>
          <w:w w:val="86"/>
          <w:shd w:val="solid" w:color="000000" w:fill="000000"/>
          <w:fitText w:val="380" w:id="-1177921275"/>
          <w14:textFill>
            <w14:solidFill>
              <w14:srgbClr w14:val="000000">
                <w14:alpha w14:val="100000"/>
              </w14:srgbClr>
            </w14:solidFill>
          </w14:textFill>
        </w:rPr>
        <w:t>|||</w:t>
      </w:r>
      <w:r w:rsidR="00A11D38" w:rsidRPr="00393F98">
        <w:rPr>
          <w:color w:val="000000"/>
          <w:spacing w:val="1"/>
          <w:w w:val="86"/>
          <w:shd w:val="solid" w:color="000000" w:fill="000000"/>
          <w:fitText w:val="380" w:id="-1177921275"/>
          <w14:textFill>
            <w14:solidFill>
              <w14:srgbClr w14:val="000000">
                <w14:alpha w14:val="100000"/>
              </w14:srgbClr>
            </w14:solidFill>
          </w14:textFill>
        </w:rPr>
        <w:t>|</w:t>
      </w:r>
      <w:r w:rsidR="00A11D38" w:rsidRPr="00801EA0">
        <w:rPr>
          <w:color w:val="000000"/>
          <w:spacing w:val="270"/>
          <w:shd w:val="solid" w:color="000000" w:fill="000000"/>
          <w:fitText w:val="380" w:id="-1177921274"/>
          <w14:textFill>
            <w14:solidFill>
              <w14:srgbClr w14:val="000000">
                <w14:alpha w14:val="100000"/>
              </w14:srgbClr>
            </w14:solidFill>
          </w14:textFill>
        </w:rPr>
        <w:t>|</w:t>
      </w:r>
      <w:r w:rsidRPr="00920F4B">
        <w:rPr>
          <w:iCs/>
        </w:rPr>
        <w:t>, Associate Professor in Paediatric Neurology at the</w:t>
      </w:r>
      <w:r w:rsidR="002350C1">
        <w:rPr>
          <w:iCs/>
        </w:rPr>
        <w:t xml:space="preserve"> </w:t>
      </w:r>
      <w:r w:rsidR="002350C1" w:rsidRPr="00801EA0">
        <w:rPr>
          <w:color w:val="000000"/>
          <w:spacing w:val="270"/>
          <w:shd w:val="solid" w:color="000000" w:fill="000000"/>
          <w:fitText w:val="380" w:id="-1177921274"/>
          <w14:textFill>
            <w14:solidFill>
              <w14:srgbClr w14:val="000000">
                <w14:alpha w14:val="100000"/>
              </w14:srgbClr>
            </w14:solidFill>
          </w14:textFill>
        </w:rPr>
        <w:t>|</w:t>
      </w:r>
      <w:r w:rsidR="002350C1">
        <w:rPr>
          <w:color w:val="000000"/>
          <w:shd w:val="solid" w:color="000000" w:fill="000000"/>
          <w14:textFill>
            <w14:solidFill>
              <w14:srgbClr w14:val="000000">
                <w14:alpha w14:val="100000"/>
              </w14:srgbClr>
            </w14:solidFill>
          </w14:textFill>
        </w:rPr>
        <w:t xml:space="preserve"> </w:t>
      </w:r>
      <w:r w:rsidR="00A8269E">
        <w:rPr>
          <w:color w:val="000000"/>
          <w:shd w:val="solid" w:color="000000" w:fill="000000"/>
          <w14:textFill>
            <w14:solidFill>
              <w14:srgbClr w14:val="000000">
                <w14:alpha w14:val="100000"/>
              </w14:srgbClr>
            </w14:solidFill>
          </w14:textFill>
        </w:rPr>
        <w:t xml:space="preserve">      </w:t>
      </w:r>
      <w:r w:rsidR="002350C1" w:rsidRPr="00393F98">
        <w:rPr>
          <w:color w:val="000000"/>
          <w:w w:val="69"/>
          <w:shd w:val="solid" w:color="000000" w:fill="000000"/>
          <w:fitText w:val="380" w:id="-1177919230"/>
          <w14:textFill>
            <w14:solidFill>
              <w14:srgbClr w14:val="000000">
                <w14:alpha w14:val="100000"/>
              </w14:srgbClr>
            </w14:solidFill>
          </w14:textFill>
        </w:rPr>
        <w:t>|</w:t>
      </w:r>
      <w:r w:rsidR="00A8269E" w:rsidRPr="00393F98">
        <w:rPr>
          <w:color w:val="000000"/>
          <w:w w:val="69"/>
          <w:shd w:val="solid" w:color="000000" w:fill="000000"/>
          <w:fitText w:val="380" w:id="-1177919230"/>
          <w14:textFill>
            <w14:solidFill>
              <w14:srgbClr w14:val="000000">
                <w14:alpha w14:val="100000"/>
              </w14:srgbClr>
            </w14:solidFill>
          </w14:textFill>
        </w:rPr>
        <w:t xml:space="preserve">      </w:t>
      </w:r>
      <w:r w:rsidR="002350C1" w:rsidRPr="00393F98">
        <w:rPr>
          <w:color w:val="000000"/>
          <w:w w:val="69"/>
          <w:shd w:val="solid" w:color="000000" w:fill="000000"/>
          <w:fitText w:val="380" w:id="-1177919230"/>
          <w14:textFill>
            <w14:solidFill>
              <w14:srgbClr w14:val="000000">
                <w14:alpha w14:val="100000"/>
              </w14:srgbClr>
            </w14:solidFill>
          </w14:textFill>
        </w:rPr>
        <w:t>|</w:t>
      </w:r>
      <w:r w:rsidR="002350C1" w:rsidRPr="00393F98">
        <w:rPr>
          <w:color w:val="000000"/>
          <w:w w:val="46"/>
          <w:shd w:val="solid" w:color="000000" w:fill="000000"/>
          <w:fitText w:val="380" w:id="-1177919229"/>
          <w14:textFill>
            <w14:solidFill>
              <w14:srgbClr w14:val="000000">
                <w14:alpha w14:val="100000"/>
              </w14:srgbClr>
            </w14:solidFill>
          </w14:textFill>
        </w:rPr>
        <w:t>|</w:t>
      </w:r>
      <w:r w:rsidR="00A8269E" w:rsidRPr="00393F98">
        <w:rPr>
          <w:color w:val="000000"/>
          <w:w w:val="46"/>
          <w:shd w:val="solid" w:color="000000" w:fill="000000"/>
          <w:fitText w:val="380" w:id="-1177919229"/>
          <w14:textFill>
            <w14:solidFill>
              <w14:srgbClr w14:val="000000">
                <w14:alpha w14:val="100000"/>
              </w14:srgbClr>
            </w14:solidFill>
          </w14:textFill>
        </w:rPr>
        <w:t xml:space="preserve">           </w:t>
      </w:r>
      <w:r w:rsidR="002350C1" w:rsidRPr="00393F98">
        <w:rPr>
          <w:color w:val="000000"/>
          <w:spacing w:val="1"/>
          <w:w w:val="46"/>
          <w:shd w:val="solid" w:color="000000" w:fill="000000"/>
          <w:fitText w:val="380" w:id="-1177919229"/>
          <w14:textFill>
            <w14:solidFill>
              <w14:srgbClr w14:val="000000">
                <w14:alpha w14:val="100000"/>
              </w14:srgbClr>
            </w14:solidFill>
          </w14:textFill>
        </w:rPr>
        <w:t>|</w:t>
      </w:r>
      <w:r w:rsidRPr="00920F4B">
        <w:rPr>
          <w:iCs/>
        </w:rPr>
        <w:t xml:space="preserve">, </w:t>
      </w:r>
      <w:r>
        <w:rPr>
          <w:iCs/>
        </w:rPr>
        <w:t>wa</w:t>
      </w:r>
      <w:r w:rsidRPr="001D2A60">
        <w:rPr>
          <w:iCs/>
        </w:rPr>
        <w:t>s a supporting co-applicant.</w:t>
      </w:r>
    </w:p>
    <w:p w14:paraId="39B600EA" w14:textId="77777777" w:rsidR="009653B7" w:rsidRDefault="009349B9" w:rsidP="009653B7">
      <w:pPr>
        <w:pStyle w:val="Heading2"/>
        <w:numPr>
          <w:ilvl w:val="1"/>
          <w:numId w:val="0"/>
        </w:numPr>
      </w:pPr>
      <w:bookmarkStart w:id="2" w:name="_Toc133221376"/>
      <w:r>
        <w:t>2.</w:t>
      </w:r>
      <w:r>
        <w:tab/>
      </w:r>
      <w:r w:rsidR="009653B7">
        <w:t>MSAC’s advice to the Minister</w:t>
      </w:r>
    </w:p>
    <w:p w14:paraId="0C519088" w14:textId="1230516B" w:rsidR="00A926C5" w:rsidRPr="00A926C5" w:rsidRDefault="009653B7" w:rsidP="00A926C5">
      <w:r w:rsidRPr="00D81A81">
        <w:t>After considering the strength of the available evidence in relation to comparative safety, clinical effectiveness</w:t>
      </w:r>
      <w:r>
        <w:t xml:space="preserve">, </w:t>
      </w:r>
      <w:r w:rsidRPr="00D81A81">
        <w:t>cost-effectiveness</w:t>
      </w:r>
      <w:r>
        <w:t xml:space="preserve"> and total cost</w:t>
      </w:r>
      <w:r w:rsidRPr="00D81A81">
        <w:t xml:space="preserve">, </w:t>
      </w:r>
      <w:r w:rsidR="00A926C5" w:rsidRPr="00A926C5">
        <w:t>MSAC supported adding X-linked adrenoleukodystrophy (X-ALD) to newborn bloodspot screening (NBS)</w:t>
      </w:r>
      <w:r w:rsidR="00904345">
        <w:t xml:space="preserve"> programs</w:t>
      </w:r>
      <w:r w:rsidR="00A926C5" w:rsidRPr="00A926C5">
        <w:t xml:space="preserve">. MSAC considered that adding X-ALD to NBS would provide superior effectiveness through allowing early genetic diagnosis before symptom onset, thus allowing monitoring of children at risk of developing X-ALD, and early treatment including stem cell transplant for patients with cerebral ALD, which improves health outcomes. MSAC also supported cascade testing of the families of newborns identified through NBS as being at risk of X-ALD, as this will support families’ reproductive decision-making. MSAC considered that the evidence for health outcome improvement from NBS was clear in males but much less certain for females diagnosed through screening due to their predominantly adult-onset disease, and that the decision to report NBS results for males only versus all newborns was a complex </w:t>
      </w:r>
      <w:r w:rsidR="00801EA0">
        <w:t>consideration</w:t>
      </w:r>
      <w:r w:rsidR="00A926C5" w:rsidRPr="00A926C5">
        <w:t>. MSAC considered there were arguments each way and</w:t>
      </w:r>
      <w:r w:rsidR="00971081">
        <w:t>,</w:t>
      </w:r>
      <w:r w:rsidR="00A926C5" w:rsidRPr="00A926C5">
        <w:t xml:space="preserve"> on balance</w:t>
      </w:r>
      <w:r w:rsidR="00971081">
        <w:t>,</w:t>
      </w:r>
      <w:r w:rsidR="00A926C5" w:rsidRPr="00A926C5">
        <w:t xml:space="preserve"> supported X-ALD NBS results being reported for all newborns, because reporting results for all newborns would </w:t>
      </w:r>
      <w:r w:rsidR="35A0F17B">
        <w:t xml:space="preserve">equitably </w:t>
      </w:r>
      <w:r w:rsidR="00A926C5" w:rsidRPr="00A926C5">
        <w:t xml:space="preserve">allow all families of children identified through screening to make informed reproductive decisions. </w:t>
      </w:r>
      <w:r w:rsidR="00EE0E85">
        <w:t>It was assumed by MSAC that r</w:t>
      </w:r>
      <w:r w:rsidR="00A926C5" w:rsidRPr="00A926C5">
        <w:t xml:space="preserve">eporting results for only one sex would likely be unacceptable in the Australian context, and </w:t>
      </w:r>
      <w:r w:rsidR="0067539A">
        <w:t xml:space="preserve">reporting results for all babies </w:t>
      </w:r>
      <w:r w:rsidR="00A926C5" w:rsidRPr="00A926C5">
        <w:t>would make for simpler screening</w:t>
      </w:r>
      <w:r w:rsidR="163C647D">
        <w:t xml:space="preserve"> implementation</w:t>
      </w:r>
      <w:r w:rsidR="00A926C5" w:rsidRPr="00A926C5">
        <w:t>.</w:t>
      </w:r>
    </w:p>
    <w:p w14:paraId="164DD798" w14:textId="673358B5" w:rsidR="009653B7" w:rsidRPr="00A926C5" w:rsidRDefault="00A926C5" w:rsidP="003F7C07">
      <w:pPr>
        <w:spacing w:after="240"/>
      </w:pPr>
      <w:r w:rsidRPr="00A926C5">
        <w:t xml:space="preserve">MSAC considered that adding X-ALD to NBS was acceptably safe, with potential harms from undergoing monitoring where clinical disease may not eventuate due to low penetrance, psychological harm from a positive result, and only symptomatic treatment being available for some X-ALD manifestations. </w:t>
      </w:r>
      <w:r w:rsidR="00CC7278" w:rsidRPr="00A926C5">
        <w:t xml:space="preserve">MSAC considered that two </w:t>
      </w:r>
      <w:r w:rsidR="00971081" w:rsidRPr="00A926C5">
        <w:t>tier</w:t>
      </w:r>
      <w:r w:rsidR="00971081">
        <w:t>ed</w:t>
      </w:r>
      <w:r w:rsidR="00971081" w:rsidRPr="00A926C5">
        <w:t xml:space="preserve"> </w:t>
      </w:r>
      <w:r w:rsidR="00CC7278" w:rsidRPr="00A926C5">
        <w:t xml:space="preserve">mass spectrometry </w:t>
      </w:r>
      <w:r w:rsidR="00971081" w:rsidRPr="00A926C5">
        <w:t>w</w:t>
      </w:r>
      <w:r w:rsidR="00971081">
        <w:t>as</w:t>
      </w:r>
      <w:r w:rsidR="00971081" w:rsidRPr="00A926C5">
        <w:t xml:space="preserve"> </w:t>
      </w:r>
      <w:r w:rsidR="00CC7278" w:rsidRPr="00A926C5">
        <w:t xml:space="preserve">not necessary prior to genetic testing if </w:t>
      </w:r>
      <w:r w:rsidR="00971081">
        <w:t>testing</w:t>
      </w:r>
      <w:r w:rsidR="00CC7278" w:rsidRPr="00A926C5">
        <w:t xml:space="preserve"> examined multiple species of very long chain fatty acids and their ratios, because this would have higher specificity without adding an extra tier to screening.</w:t>
      </w:r>
      <w:r w:rsidR="00CC7278">
        <w:t xml:space="preserve"> </w:t>
      </w:r>
      <w:r w:rsidRPr="00A926C5">
        <w:t xml:space="preserve">MSAC considered that </w:t>
      </w:r>
      <w:r w:rsidR="00971081">
        <w:t xml:space="preserve">the </w:t>
      </w:r>
      <w:r w:rsidR="009F790B">
        <w:t>recommended</w:t>
      </w:r>
      <w:r w:rsidR="00F66DD6">
        <w:t xml:space="preserve"> </w:t>
      </w:r>
      <w:r w:rsidR="009F790B">
        <w:t xml:space="preserve">screening </w:t>
      </w:r>
      <w:r w:rsidR="00F66DD6">
        <w:t xml:space="preserve">method had been defined too </w:t>
      </w:r>
      <w:r w:rsidR="00F66DD6">
        <w:lastRenderedPageBreak/>
        <w:t>narrowly</w:t>
      </w:r>
      <w:r w:rsidR="009F790B">
        <w:t xml:space="preserve"> for the assessment</w:t>
      </w:r>
      <w:r w:rsidR="00F66DD6">
        <w:t>, but that the updated</w:t>
      </w:r>
      <w:r w:rsidR="009F790B">
        <w:t xml:space="preserve"> cost-effectiveness</w:t>
      </w:r>
      <w:r w:rsidR="00EE0E85">
        <w:t xml:space="preserve"> analysis</w:t>
      </w:r>
      <w:r w:rsidR="009F790B">
        <w:t xml:space="preserve"> and financial </w:t>
      </w:r>
      <w:r w:rsidR="00EE0E85">
        <w:t>estimates</w:t>
      </w:r>
      <w:r w:rsidR="009F790B">
        <w:t xml:space="preserve"> were acceptable</w:t>
      </w:r>
      <w:r w:rsidRPr="00A926C5">
        <w:t xml:space="preserve">. </w:t>
      </w:r>
    </w:p>
    <w:tbl>
      <w:tblPr>
        <w:tblStyle w:val="TableGrid"/>
        <w:tblW w:w="0" w:type="auto"/>
        <w:tblLook w:val="04A0" w:firstRow="1" w:lastRow="0" w:firstColumn="1" w:lastColumn="0" w:noHBand="0" w:noVBand="1"/>
        <w:tblDescription w:val="Consumer summary of MSAC consideration"/>
      </w:tblPr>
      <w:tblGrid>
        <w:gridCol w:w="9016"/>
      </w:tblGrid>
      <w:tr w:rsidR="009653B7" w:rsidRPr="00AF46D8" w14:paraId="126AD5BB" w14:textId="77777777">
        <w:trPr>
          <w:tblHeader/>
        </w:trPr>
        <w:tc>
          <w:tcPr>
            <w:tcW w:w="9016" w:type="dxa"/>
          </w:tcPr>
          <w:p w14:paraId="1F9AD85B" w14:textId="77777777" w:rsidR="009653B7" w:rsidRPr="00AF46D8" w:rsidRDefault="009653B7">
            <w:pPr>
              <w:pStyle w:val="Heading3"/>
              <w:spacing w:before="120"/>
              <w:ind w:left="720" w:hanging="720"/>
              <w:rPr>
                <w:iCs/>
              </w:rPr>
            </w:pPr>
            <w:r w:rsidRPr="00AF46D8">
              <w:t>Consumer summary</w:t>
            </w:r>
          </w:p>
        </w:tc>
      </w:tr>
      <w:tr w:rsidR="009653B7" w:rsidRPr="00AF46D8" w14:paraId="0C90CEF9" w14:textId="77777777">
        <w:tc>
          <w:tcPr>
            <w:tcW w:w="9016" w:type="dxa"/>
          </w:tcPr>
          <w:p w14:paraId="0E9BD349" w14:textId="41067A79" w:rsidR="009E015D" w:rsidRDefault="009E015D" w:rsidP="009E015D">
            <w:r w:rsidRPr="00AF46D8">
              <w:t xml:space="preserve">This </w:t>
            </w:r>
            <w:r w:rsidR="00277E0B">
              <w:t>wa</w:t>
            </w:r>
            <w:r w:rsidRPr="00AF46D8">
              <w:t xml:space="preserve">s an application from </w:t>
            </w:r>
            <w:r w:rsidR="008826C5">
              <w:t xml:space="preserve">the </w:t>
            </w:r>
            <w:r w:rsidRPr="008F5442">
              <w:t>Leukodystrophy Resource &amp; Research Organisation Inc</w:t>
            </w:r>
            <w:r>
              <w:t xml:space="preserve"> </w:t>
            </w:r>
            <w:r w:rsidRPr="00AF46D8">
              <w:t xml:space="preserve">requesting </w:t>
            </w:r>
            <w:r w:rsidR="00277E0B">
              <w:t>to add</w:t>
            </w:r>
            <w:r>
              <w:t xml:space="preserve"> </w:t>
            </w:r>
            <w:r w:rsidRPr="00FD3F18">
              <w:t xml:space="preserve">X-linked adrenoleukodystrophy (X-ALD) </w:t>
            </w:r>
            <w:r w:rsidR="00277E0B">
              <w:t>to</w:t>
            </w:r>
            <w:r w:rsidR="00277E0B" w:rsidRPr="00FD3F18">
              <w:t xml:space="preserve"> </w:t>
            </w:r>
            <w:r w:rsidRPr="00FD3F18">
              <w:t>newborn bloodspot screening (NBS)</w:t>
            </w:r>
            <w:r>
              <w:t>.</w:t>
            </w:r>
          </w:p>
          <w:p w14:paraId="0B0558EF" w14:textId="37DF0E11" w:rsidR="009E015D" w:rsidRDefault="009E015D" w:rsidP="009E015D">
            <w:r w:rsidRPr="00BD777D">
              <w:t xml:space="preserve">In Australia, </w:t>
            </w:r>
            <w:r w:rsidR="00F4295B">
              <w:t>states and territories</w:t>
            </w:r>
            <w:r w:rsidR="00F4295B" w:rsidRPr="00BD777D">
              <w:t xml:space="preserve"> </w:t>
            </w:r>
            <w:r w:rsidRPr="00BD777D">
              <w:t xml:space="preserve">offer </w:t>
            </w:r>
            <w:r w:rsidR="002C1F8A">
              <w:t>bloodspot</w:t>
            </w:r>
            <w:r w:rsidR="002C1F8A" w:rsidRPr="00BD777D">
              <w:t xml:space="preserve"> </w:t>
            </w:r>
            <w:r w:rsidRPr="00BD777D">
              <w:t xml:space="preserve">screening for </w:t>
            </w:r>
            <w:r w:rsidR="002C1F8A">
              <w:t xml:space="preserve">all </w:t>
            </w:r>
            <w:r w:rsidRPr="00BD777D">
              <w:t xml:space="preserve">newborn babies. </w:t>
            </w:r>
            <w:r>
              <w:t>The screening is done by taking a heel prick blood sample</w:t>
            </w:r>
            <w:r w:rsidR="006E7E13">
              <w:t xml:space="preserve"> </w:t>
            </w:r>
            <w:r w:rsidR="00407B8B">
              <w:t xml:space="preserve">from the baby </w:t>
            </w:r>
            <w:r w:rsidR="006E7E13">
              <w:t>in</w:t>
            </w:r>
            <w:r>
              <w:t xml:space="preserve"> </w:t>
            </w:r>
            <w:r w:rsidR="00E3201E">
              <w:t xml:space="preserve">the first </w:t>
            </w:r>
            <w:r w:rsidR="00EE0E85">
              <w:t xml:space="preserve">48 to </w:t>
            </w:r>
            <w:r w:rsidR="00E3201E">
              <w:t>72 hours of life</w:t>
            </w:r>
            <w:r>
              <w:t xml:space="preserve"> and </w:t>
            </w:r>
            <w:r w:rsidR="0074616D">
              <w:t>drying it on a card. T</w:t>
            </w:r>
            <w:r>
              <w:t xml:space="preserve">he blood sample is then tested for </w:t>
            </w:r>
            <w:r w:rsidRPr="00BD777D">
              <w:t xml:space="preserve">certain rare </w:t>
            </w:r>
            <w:r w:rsidR="001E1C16">
              <w:t xml:space="preserve">and serious </w:t>
            </w:r>
            <w:r w:rsidRPr="00BD777D">
              <w:t>genetic conditions and metabolic disorders.</w:t>
            </w:r>
            <w:r>
              <w:t xml:space="preserve"> Detecting these conditions early allows for earlier treatment and therefore </w:t>
            </w:r>
            <w:r w:rsidR="001479C4">
              <w:t xml:space="preserve">can lead to </w:t>
            </w:r>
            <w:r>
              <w:t>better health outcomes for the bab</w:t>
            </w:r>
            <w:r w:rsidR="002B4629">
              <w:t>y</w:t>
            </w:r>
            <w:r>
              <w:t>.</w:t>
            </w:r>
            <w:r w:rsidR="00466A2D">
              <w:t xml:space="preserve"> </w:t>
            </w:r>
            <w:r w:rsidR="00F4295B">
              <w:t>If the condition is genetic, diagnosis</w:t>
            </w:r>
            <w:r w:rsidR="00466A2D">
              <w:t xml:space="preserve"> can help parents to make informed reproductive decisions for any future pregnancies.</w:t>
            </w:r>
          </w:p>
          <w:p w14:paraId="1FF96649" w14:textId="7C1DC975" w:rsidR="004C22BF" w:rsidRDefault="004C22BF" w:rsidP="009E015D">
            <w:r w:rsidRPr="00433E40">
              <w:t xml:space="preserve">The X and Y chromosomes, also known as the sex chromosomes, determine the biological sex of an individual. </w:t>
            </w:r>
            <w:r>
              <w:t xml:space="preserve">Typically, biological males have one X chromosome (and one Y chromosome) per cell, and biological females have two X chromosomes per cell. </w:t>
            </w:r>
            <w:r w:rsidRPr="005C240D">
              <w:t xml:space="preserve">Newborns are </w:t>
            </w:r>
            <w:r>
              <w:t xml:space="preserve">also </w:t>
            </w:r>
            <w:r w:rsidRPr="005C240D">
              <w:t>assigned a 'phenotypic' sex at birth based on the appearance of their genitalia. Sometimes the newborn might have ambiguous genitalia and then their sex is not classifiable as either male or female. Rarely, a newborn may be born with a condition in which the</w:t>
            </w:r>
            <w:r>
              <w:t>ir</w:t>
            </w:r>
            <w:r w:rsidRPr="005C240D">
              <w:t xml:space="preserve"> </w:t>
            </w:r>
            <w:r>
              <w:t>biological</w:t>
            </w:r>
            <w:r w:rsidRPr="005C240D">
              <w:t xml:space="preserve"> sex is inconsistent with phenotypic sex.</w:t>
            </w:r>
            <w:r>
              <w:t xml:space="preserve"> </w:t>
            </w:r>
            <w:r w:rsidR="00CE28F5">
              <w:t xml:space="preserve">Throughout this document, </w:t>
            </w:r>
            <w:r w:rsidR="00690DDA">
              <w:t>sex relates to the person’s number of X chromosomes (biological sex).</w:t>
            </w:r>
          </w:p>
          <w:p w14:paraId="67319240" w14:textId="69208DB2" w:rsidR="009E015D" w:rsidRDefault="009E015D" w:rsidP="009E015D">
            <w:r>
              <w:t xml:space="preserve">X-ALD is a genetic condition that </w:t>
            </w:r>
            <w:r w:rsidR="00466A2D">
              <w:t xml:space="preserve">is caused by </w:t>
            </w:r>
            <w:r w:rsidR="00633F14">
              <w:t>differenc</w:t>
            </w:r>
            <w:r w:rsidR="00E3201E">
              <w:t>es</w:t>
            </w:r>
            <w:r w:rsidR="00466A2D">
              <w:t xml:space="preserve"> in </w:t>
            </w:r>
            <w:r>
              <w:t xml:space="preserve">the </w:t>
            </w:r>
            <w:r w:rsidRPr="001D7127">
              <w:rPr>
                <w:i/>
                <w:iCs/>
              </w:rPr>
              <w:t>ABCD1</w:t>
            </w:r>
            <w:r>
              <w:t xml:space="preserve"> gene</w:t>
            </w:r>
            <w:r w:rsidR="008F5208">
              <w:t>, which is on the X chromosome (called “X-linked”)</w:t>
            </w:r>
            <w:r>
              <w:t>.</w:t>
            </w:r>
            <w:r w:rsidR="00B77CE5">
              <w:t xml:space="preserve"> </w:t>
            </w:r>
            <w:r>
              <w:t>X-linked conditions affect males</w:t>
            </w:r>
            <w:r w:rsidR="00B77CE5">
              <w:t xml:space="preserve"> </w:t>
            </w:r>
            <w:r w:rsidR="0002296B">
              <w:t xml:space="preserve">more, </w:t>
            </w:r>
            <w:r w:rsidR="00B77CE5">
              <w:t>because they only inherit one</w:t>
            </w:r>
            <w:r w:rsidR="00B01CE4">
              <w:t xml:space="preserve"> copy of genes located on the X chromosome</w:t>
            </w:r>
            <w:r w:rsidR="00680212">
              <w:t>, and</w:t>
            </w:r>
            <w:r w:rsidR="00D12321">
              <w:t xml:space="preserve"> X-ALD is a debilitating disease in boys.</w:t>
            </w:r>
            <w:r>
              <w:t xml:space="preserve"> </w:t>
            </w:r>
            <w:r w:rsidR="001203F8">
              <w:t xml:space="preserve">In </w:t>
            </w:r>
            <w:r>
              <w:t>X-ALD</w:t>
            </w:r>
            <w:r w:rsidR="006E1027">
              <w:t>,</w:t>
            </w:r>
            <w:r>
              <w:t xml:space="preserve"> </w:t>
            </w:r>
            <w:r w:rsidR="00D12321">
              <w:t xml:space="preserve">chemicals called </w:t>
            </w:r>
            <w:r w:rsidR="007123F6">
              <w:t xml:space="preserve">very long chain </w:t>
            </w:r>
            <w:r>
              <w:t>fatty acids build up in the body</w:t>
            </w:r>
            <w:r w:rsidR="00F4295B">
              <w:t xml:space="preserve">. </w:t>
            </w:r>
            <w:r w:rsidR="006E1027">
              <w:t xml:space="preserve">X-ALD </w:t>
            </w:r>
            <w:r>
              <w:t xml:space="preserve">can </w:t>
            </w:r>
            <w:r w:rsidR="00F4295B">
              <w:t xml:space="preserve">present in </w:t>
            </w:r>
            <w:r w:rsidR="001203F8">
              <w:t xml:space="preserve">a range of </w:t>
            </w:r>
            <w:r w:rsidR="00F4295B">
              <w:t>different ways</w:t>
            </w:r>
            <w:r>
              <w:t xml:space="preserve">, including </w:t>
            </w:r>
            <w:r w:rsidR="007F2007">
              <w:t>adrenal insufficiency (</w:t>
            </w:r>
            <w:r w:rsidRPr="00C54104">
              <w:t>Addison’s disease</w:t>
            </w:r>
            <w:r w:rsidR="007F2007">
              <w:t>)</w:t>
            </w:r>
            <w:r>
              <w:t>,</w:t>
            </w:r>
            <w:r w:rsidRPr="00C54104">
              <w:t xml:space="preserve"> spinal cord dysfunction (adrenomyeloneuropathy)</w:t>
            </w:r>
            <w:r>
              <w:t xml:space="preserve"> and</w:t>
            </w:r>
            <w:r w:rsidRPr="00C54104">
              <w:t xml:space="preserve"> rapid degeneration</w:t>
            </w:r>
            <w:r>
              <w:t xml:space="preserve"> of neurons</w:t>
            </w:r>
            <w:r w:rsidR="001203F8">
              <w:t xml:space="preserve"> (cerebral ALD)</w:t>
            </w:r>
            <w:r>
              <w:t xml:space="preserve">. </w:t>
            </w:r>
            <w:r w:rsidR="00BC5996">
              <w:t xml:space="preserve">Having a </w:t>
            </w:r>
            <w:r w:rsidR="00680212">
              <w:t xml:space="preserve">disease-causing </w:t>
            </w:r>
            <w:r w:rsidR="00BC5996">
              <w:t xml:space="preserve">genetic variant in </w:t>
            </w:r>
            <w:r w:rsidR="00BC5996">
              <w:rPr>
                <w:i/>
                <w:iCs/>
              </w:rPr>
              <w:t xml:space="preserve">ABCD1 </w:t>
            </w:r>
            <w:r w:rsidR="0005302C" w:rsidRPr="00085F43">
              <w:t xml:space="preserve">means </w:t>
            </w:r>
            <w:r w:rsidR="00A824C4">
              <w:t xml:space="preserve">a </w:t>
            </w:r>
            <w:r w:rsidR="0005302C" w:rsidRPr="00085F43">
              <w:t xml:space="preserve">person is at risk of developing X-ALD, </w:t>
            </w:r>
            <w:r w:rsidR="004F149D">
              <w:t xml:space="preserve">however </w:t>
            </w:r>
            <w:r w:rsidR="00F4295B">
              <w:t>not all</w:t>
            </w:r>
            <w:r w:rsidR="00F70CF5">
              <w:t xml:space="preserve"> </w:t>
            </w:r>
            <w:r w:rsidR="0005302C" w:rsidRPr="00085F43">
              <w:t xml:space="preserve">people </w:t>
            </w:r>
            <w:r w:rsidR="001203F8">
              <w:t xml:space="preserve">with a variant </w:t>
            </w:r>
            <w:r w:rsidR="00B53B81">
              <w:t>develop</w:t>
            </w:r>
            <w:r w:rsidR="00D10499">
              <w:t xml:space="preserve"> disease</w:t>
            </w:r>
            <w:r w:rsidR="00A824C4">
              <w:t xml:space="preserve">. </w:t>
            </w:r>
            <w:r w:rsidR="00C336D5">
              <w:t>V</w:t>
            </w:r>
            <w:r w:rsidR="00114068">
              <w:t>aria</w:t>
            </w:r>
            <w:r w:rsidR="006C1156">
              <w:t>tion</w:t>
            </w:r>
            <w:r w:rsidR="00114068">
              <w:t xml:space="preserve"> in </w:t>
            </w:r>
            <w:r w:rsidR="00F853BD">
              <w:t xml:space="preserve">the </w:t>
            </w:r>
            <w:r w:rsidR="00560BBD">
              <w:t>signs and symptoms of X-ALD</w:t>
            </w:r>
            <w:r w:rsidR="00A824C4">
              <w:t xml:space="preserve"> can </w:t>
            </w:r>
            <w:r w:rsidR="006C1156">
              <w:t>even</w:t>
            </w:r>
            <w:r w:rsidR="00114068">
              <w:t xml:space="preserve"> </w:t>
            </w:r>
            <w:r w:rsidR="00A824C4">
              <w:t>occur</w:t>
            </w:r>
            <w:r w:rsidR="006B24C9">
              <w:t xml:space="preserve"> </w:t>
            </w:r>
            <w:r w:rsidR="0005302C" w:rsidRPr="00085F43">
              <w:t>within the same family</w:t>
            </w:r>
            <w:r w:rsidR="00114068">
              <w:t>,</w:t>
            </w:r>
            <w:r w:rsidR="00680212">
              <w:t xml:space="preserve"> where people share a </w:t>
            </w:r>
            <w:r w:rsidR="006E574B">
              <w:t xml:space="preserve">genetic </w:t>
            </w:r>
            <w:r w:rsidR="00680212">
              <w:t>variant</w:t>
            </w:r>
            <w:r w:rsidR="0005302C" w:rsidRPr="00085F43">
              <w:t xml:space="preserve">. </w:t>
            </w:r>
            <w:r w:rsidRPr="00D12321">
              <w:t>Wit</w:t>
            </w:r>
            <w:r>
              <w:t xml:space="preserve">hout early treatment, the health outcomes for affected </w:t>
            </w:r>
            <w:r w:rsidR="004C348F">
              <w:t>boys</w:t>
            </w:r>
            <w:r>
              <w:t xml:space="preserve"> are poor. Female</w:t>
            </w:r>
            <w:r w:rsidR="0005302C">
              <w:t>s with</w:t>
            </w:r>
            <w:r>
              <w:t xml:space="preserve"> X-ALD </w:t>
            </w:r>
            <w:r w:rsidR="002D4A26">
              <w:t xml:space="preserve">can </w:t>
            </w:r>
            <w:r>
              <w:t xml:space="preserve">have progressive spinal nerve damage (called </w:t>
            </w:r>
            <w:r w:rsidRPr="00985D1D">
              <w:t>myelopathy</w:t>
            </w:r>
            <w:r>
              <w:t xml:space="preserve">), but symptoms </w:t>
            </w:r>
            <w:r w:rsidR="0005302C">
              <w:t xml:space="preserve">are </w:t>
            </w:r>
            <w:r w:rsidR="002D4A26">
              <w:t>usually</w:t>
            </w:r>
            <w:r w:rsidR="0005302C">
              <w:t xml:space="preserve"> </w:t>
            </w:r>
            <w:r>
              <w:t xml:space="preserve">not seen until </w:t>
            </w:r>
            <w:r w:rsidR="002D4A26">
              <w:t>mid-</w:t>
            </w:r>
            <w:r w:rsidR="00220F3C">
              <w:t>to-</w:t>
            </w:r>
            <w:r w:rsidR="002D4A26">
              <w:t xml:space="preserve">late </w:t>
            </w:r>
            <w:r>
              <w:t>adulthood.</w:t>
            </w:r>
          </w:p>
          <w:p w14:paraId="1371FE0C" w14:textId="384CD22B" w:rsidR="00877D1B" w:rsidRDefault="009E015D" w:rsidP="009E015D">
            <w:r>
              <w:t xml:space="preserve">MSAC considered </w:t>
            </w:r>
            <w:r w:rsidR="0005302C">
              <w:t>adding X-ALD to NBS</w:t>
            </w:r>
            <w:r>
              <w:t xml:space="preserve"> </w:t>
            </w:r>
            <w:r w:rsidR="006560A1">
              <w:t>was</w:t>
            </w:r>
            <w:r>
              <w:t xml:space="preserve"> </w:t>
            </w:r>
            <w:r w:rsidR="00EE0E85">
              <w:t xml:space="preserve">clinically </w:t>
            </w:r>
            <w:r>
              <w:t xml:space="preserve">safe as it only involves a heel prick, </w:t>
            </w:r>
            <w:r w:rsidR="00F1557D">
              <w:t xml:space="preserve">and would </w:t>
            </w:r>
            <w:r w:rsidR="002341A8">
              <w:t xml:space="preserve">use the </w:t>
            </w:r>
            <w:r w:rsidR="00C91152">
              <w:t xml:space="preserve">same </w:t>
            </w:r>
            <w:r w:rsidR="002341A8">
              <w:t>bloodspot already collected</w:t>
            </w:r>
            <w:r>
              <w:t>.</w:t>
            </w:r>
            <w:r w:rsidR="004112A8">
              <w:t xml:space="preserve"> There </w:t>
            </w:r>
            <w:r w:rsidR="003A5E14">
              <w:t>were some potential</w:t>
            </w:r>
            <w:r w:rsidR="004112A8">
              <w:t xml:space="preserve"> harm</w:t>
            </w:r>
            <w:r w:rsidR="003A5E14">
              <w:t>s of adding X-ALD to NBS:</w:t>
            </w:r>
            <w:r w:rsidR="004112A8">
              <w:t xml:space="preserve"> mainly</w:t>
            </w:r>
            <w:r w:rsidR="004112A8" w:rsidRPr="004112A8">
              <w:t xml:space="preserve"> </w:t>
            </w:r>
            <w:r w:rsidR="00D54F3B">
              <w:t>for</w:t>
            </w:r>
            <w:r w:rsidR="00571865">
              <w:t xml:space="preserve"> </w:t>
            </w:r>
            <w:r w:rsidR="00F4295B">
              <w:t xml:space="preserve">monitoring </w:t>
            </w:r>
            <w:r w:rsidR="004112A8">
              <w:t>boys</w:t>
            </w:r>
            <w:r w:rsidR="004112A8" w:rsidRPr="004112A8">
              <w:t xml:space="preserve"> </w:t>
            </w:r>
            <w:r w:rsidR="004112A8">
              <w:t xml:space="preserve">who </w:t>
            </w:r>
            <w:r w:rsidR="00884287">
              <w:t xml:space="preserve">may </w:t>
            </w:r>
            <w:r w:rsidR="00F4295B">
              <w:t xml:space="preserve">may </w:t>
            </w:r>
            <w:r w:rsidR="004112A8">
              <w:t>never develop</w:t>
            </w:r>
            <w:r w:rsidR="006560A1">
              <w:t xml:space="preserve"> </w:t>
            </w:r>
            <w:r w:rsidR="004112A8">
              <w:t>X-ALD</w:t>
            </w:r>
            <w:r w:rsidR="004112A8" w:rsidRPr="004112A8">
              <w:t xml:space="preserve">, </w:t>
            </w:r>
            <w:r w:rsidR="00A96C52">
              <w:t xml:space="preserve">and </w:t>
            </w:r>
            <w:r w:rsidR="004112A8" w:rsidRPr="004112A8">
              <w:t>psychological harm from a positive result,</w:t>
            </w:r>
            <w:r w:rsidR="00A96C52">
              <w:t xml:space="preserve"> including </w:t>
            </w:r>
            <w:r w:rsidR="00D33FF0">
              <w:t xml:space="preserve">for people with types of X-ALD where only </w:t>
            </w:r>
            <w:r w:rsidR="004112A8" w:rsidRPr="004112A8">
              <w:t xml:space="preserve">symptomatic treatment </w:t>
            </w:r>
            <w:r w:rsidR="007803A3">
              <w:t>is</w:t>
            </w:r>
            <w:r w:rsidR="004112A8" w:rsidRPr="004112A8">
              <w:t xml:space="preserve"> available</w:t>
            </w:r>
            <w:r w:rsidR="003A5E14">
              <w:t>.</w:t>
            </w:r>
            <w:r>
              <w:t xml:space="preserve"> </w:t>
            </w:r>
          </w:p>
          <w:p w14:paraId="339A6B27" w14:textId="20E8CFEA" w:rsidR="00204CDD" w:rsidRDefault="006E574B" w:rsidP="009E015D">
            <w:r>
              <w:t xml:space="preserve">Adding X-ALD to NBS would allow diagnosis around the time of birth, rather than delaying diagnosis until the </w:t>
            </w:r>
            <w:r w:rsidR="003E0379">
              <w:t>child</w:t>
            </w:r>
            <w:r>
              <w:t xml:space="preserve"> presents with symptoms of X-ALD. </w:t>
            </w:r>
            <w:r w:rsidR="00B60BEA">
              <w:t>T</w:t>
            </w:r>
            <w:r w:rsidR="002D4A26">
              <w:t>he evidence showed</w:t>
            </w:r>
            <w:r w:rsidR="00B60BEA">
              <w:t xml:space="preserve"> that</w:t>
            </w:r>
            <w:r w:rsidR="002D4A26">
              <w:t xml:space="preserve"> </w:t>
            </w:r>
            <w:r w:rsidR="006560A1">
              <w:t>adding X-ALD to NBS</w:t>
            </w:r>
            <w:r w:rsidR="009E015D">
              <w:t xml:space="preserve"> </w:t>
            </w:r>
            <w:r w:rsidR="002D4A26">
              <w:t>was</w:t>
            </w:r>
            <w:r w:rsidR="009E015D">
              <w:t xml:space="preserve"> clinically effective, </w:t>
            </w:r>
            <w:r w:rsidR="006560A1">
              <w:t xml:space="preserve">because </w:t>
            </w:r>
            <w:r w:rsidR="008C3405">
              <w:t xml:space="preserve">it allowed </w:t>
            </w:r>
            <w:r w:rsidR="009E015D">
              <w:t xml:space="preserve">early monitoring </w:t>
            </w:r>
            <w:r w:rsidR="00256B36">
              <w:t xml:space="preserve">of at-risk children </w:t>
            </w:r>
            <w:r w:rsidR="009E015D">
              <w:t xml:space="preserve">and </w:t>
            </w:r>
            <w:r w:rsidR="00256B36">
              <w:t xml:space="preserve">potentially allowed early </w:t>
            </w:r>
            <w:r w:rsidR="009E015D" w:rsidRPr="001F74BF">
              <w:t>stem cell transplant</w:t>
            </w:r>
            <w:r w:rsidR="008C3405">
              <w:t xml:space="preserve"> for boys with cerebral ALD, which</w:t>
            </w:r>
            <w:r w:rsidR="009E015D">
              <w:t xml:space="preserve"> </w:t>
            </w:r>
            <w:r w:rsidR="00D6279D">
              <w:t xml:space="preserve">had </w:t>
            </w:r>
            <w:r w:rsidR="00AF21FF">
              <w:t>better</w:t>
            </w:r>
            <w:r w:rsidR="00D6279D">
              <w:t xml:space="preserve"> health outcomes</w:t>
            </w:r>
            <w:r w:rsidR="009E015D">
              <w:t xml:space="preserve"> </w:t>
            </w:r>
            <w:r w:rsidR="00F4295B">
              <w:t>when performed</w:t>
            </w:r>
            <w:r w:rsidR="0079796E">
              <w:t xml:space="preserve"> </w:t>
            </w:r>
            <w:r w:rsidR="00F4295B">
              <w:t>early in the disease</w:t>
            </w:r>
            <w:r w:rsidR="009E015D">
              <w:t xml:space="preserve">. </w:t>
            </w:r>
          </w:p>
          <w:p w14:paraId="597E304B" w14:textId="26CA075B" w:rsidR="009E015D" w:rsidRDefault="00F823B3" w:rsidP="009E015D">
            <w:r>
              <w:t xml:space="preserve">In the Netherlands, NBS for X-ALD </w:t>
            </w:r>
            <w:r w:rsidR="002A0E8E">
              <w:t xml:space="preserve">also </w:t>
            </w:r>
            <w:r>
              <w:t>includes a test called an “X-counter”</w:t>
            </w:r>
            <w:r w:rsidR="000E582C">
              <w:t xml:space="preserve"> to allow reporting results for boys only</w:t>
            </w:r>
            <w:r w:rsidR="00B92AAA">
              <w:t>, and one question was whether this should be used in Australia</w:t>
            </w:r>
            <w:r w:rsidR="000E582C">
              <w:t>.</w:t>
            </w:r>
            <w:r>
              <w:t xml:space="preserve"> </w:t>
            </w:r>
            <w:r w:rsidR="005F56C4">
              <w:t>In the Netherlands</w:t>
            </w:r>
            <w:r w:rsidR="005F56C4" w:rsidRPr="005F56C4">
              <w:t xml:space="preserve"> all newborns</w:t>
            </w:r>
            <w:r w:rsidR="005F56C4">
              <w:t xml:space="preserve"> </w:t>
            </w:r>
            <w:r w:rsidR="006378C3">
              <w:t>are</w:t>
            </w:r>
            <w:r w:rsidR="005F56C4">
              <w:t xml:space="preserve"> </w:t>
            </w:r>
            <w:r w:rsidR="006378C3">
              <w:t>screened,</w:t>
            </w:r>
            <w:r w:rsidR="005F56C4" w:rsidRPr="005F56C4">
              <w:t xml:space="preserve"> but before reporting on any results for X-ALD they run a test that counts </w:t>
            </w:r>
            <w:r w:rsidR="006378C3">
              <w:t xml:space="preserve">the number of </w:t>
            </w:r>
            <w:r w:rsidR="005F56C4" w:rsidRPr="005F56C4">
              <w:t>X chromosomes</w:t>
            </w:r>
            <w:r w:rsidR="006378C3">
              <w:t xml:space="preserve"> per cell</w:t>
            </w:r>
            <w:r w:rsidR="005F56C4" w:rsidRPr="005F56C4">
              <w:t xml:space="preserve">. Then, they only report the X-ALD result for newborns </w:t>
            </w:r>
            <w:r w:rsidR="00191C41">
              <w:t>with</w:t>
            </w:r>
            <w:r w:rsidR="005F56C4" w:rsidRPr="005F56C4">
              <w:t xml:space="preserve"> one X chromosome. </w:t>
            </w:r>
            <w:r w:rsidR="009E015D">
              <w:t xml:space="preserve">Although </w:t>
            </w:r>
            <w:r w:rsidR="00B92AAA">
              <w:t>girls</w:t>
            </w:r>
            <w:r w:rsidR="009E015D">
              <w:t xml:space="preserve"> are not affected by X-ALD </w:t>
            </w:r>
            <w:r w:rsidR="00F637F2">
              <w:t xml:space="preserve">until </w:t>
            </w:r>
            <w:r w:rsidR="00AF21FF">
              <w:t xml:space="preserve">typically </w:t>
            </w:r>
            <w:r w:rsidR="00F637F2">
              <w:t>decades later</w:t>
            </w:r>
            <w:r w:rsidR="00AF21FF">
              <w:t>,</w:t>
            </w:r>
            <w:r w:rsidR="009E015D">
              <w:t xml:space="preserve"> and there are no early interventions available for female</w:t>
            </w:r>
            <w:r w:rsidR="00B92AAA">
              <w:t>s with X-ALD</w:t>
            </w:r>
            <w:r w:rsidR="009E015D">
              <w:t xml:space="preserve">, </w:t>
            </w:r>
            <w:r w:rsidR="00F637F2">
              <w:lastRenderedPageBreak/>
              <w:t xml:space="preserve">on balance </w:t>
            </w:r>
            <w:r w:rsidR="009E015D">
              <w:t xml:space="preserve">MSAC considered it appropriate to report </w:t>
            </w:r>
            <w:r w:rsidR="005C226A">
              <w:t xml:space="preserve">X-ALD </w:t>
            </w:r>
            <w:r w:rsidR="009E015D">
              <w:t xml:space="preserve">results for </w:t>
            </w:r>
            <w:r w:rsidR="00F637F2">
              <w:t>all newborns</w:t>
            </w:r>
            <w:r w:rsidR="009E015D">
              <w:t xml:space="preserve">. </w:t>
            </w:r>
            <w:r w:rsidR="000D21D8">
              <w:t xml:space="preserve">This was mainly because the parents of baby girls </w:t>
            </w:r>
            <w:r w:rsidR="003D63E8">
              <w:t xml:space="preserve">carrying an X-ALD variant </w:t>
            </w:r>
            <w:r w:rsidR="000D21D8">
              <w:t>identified through NBS</w:t>
            </w:r>
            <w:r w:rsidR="009E015D">
              <w:t xml:space="preserve"> can </w:t>
            </w:r>
            <w:r w:rsidR="00A16B9E">
              <w:t xml:space="preserve">have further testing and </w:t>
            </w:r>
            <w:r w:rsidR="009E015D">
              <w:t xml:space="preserve">use this information </w:t>
            </w:r>
            <w:r w:rsidR="00A16B9E">
              <w:t xml:space="preserve">to inform </w:t>
            </w:r>
            <w:r w:rsidR="003D63E8">
              <w:t xml:space="preserve">their </w:t>
            </w:r>
            <w:r w:rsidR="009E015D">
              <w:t>reproductive planning</w:t>
            </w:r>
            <w:r w:rsidR="00AF21FF">
              <w:t>,</w:t>
            </w:r>
            <w:r w:rsidR="003D63E8">
              <w:t xml:space="preserve"> </w:t>
            </w:r>
            <w:r w:rsidR="00B95464">
              <w:t>including</w:t>
            </w:r>
            <w:r w:rsidR="003D63E8">
              <w:t xml:space="preserve"> any future pregnancies</w:t>
            </w:r>
            <w:r w:rsidR="009E015D">
              <w:t>.</w:t>
            </w:r>
            <w:r w:rsidR="00B95464">
              <w:t xml:space="preserve"> </w:t>
            </w:r>
            <w:r w:rsidR="00D510CB">
              <w:t xml:space="preserve">Couples who have a girl with </w:t>
            </w:r>
            <w:r w:rsidR="00DF3087">
              <w:t xml:space="preserve">an </w:t>
            </w:r>
            <w:r w:rsidR="00D510CB">
              <w:t xml:space="preserve">X-ALD variant have </w:t>
            </w:r>
            <w:r w:rsidR="004552E7">
              <w:t>a</w:t>
            </w:r>
            <w:r w:rsidR="00D510CB">
              <w:t xml:space="preserve"> </w:t>
            </w:r>
            <w:r w:rsidR="00F4295B">
              <w:t xml:space="preserve">much </w:t>
            </w:r>
            <w:r w:rsidR="00B460C6">
              <w:t xml:space="preserve">higher </w:t>
            </w:r>
            <w:r w:rsidR="00D510CB">
              <w:t>risk</w:t>
            </w:r>
            <w:r w:rsidR="00B460C6">
              <w:t xml:space="preserve"> than the general population</w:t>
            </w:r>
            <w:r w:rsidR="00D510CB">
              <w:t xml:space="preserve"> of having a </w:t>
            </w:r>
            <w:r w:rsidR="00674C78">
              <w:t xml:space="preserve">baby </w:t>
            </w:r>
            <w:r w:rsidR="00D510CB">
              <w:t>with X-ALD</w:t>
            </w:r>
            <w:r w:rsidR="004552E7">
              <w:t xml:space="preserve"> in any future pregnancy</w:t>
            </w:r>
            <w:r w:rsidR="00571865">
              <w:t xml:space="preserve"> (1 in 4 chance </w:t>
            </w:r>
            <w:r w:rsidR="00DA34F8">
              <w:t>where the mother is a carrier)</w:t>
            </w:r>
            <w:r w:rsidR="00D510CB">
              <w:t>, so this is important information for th</w:t>
            </w:r>
            <w:r w:rsidR="00B460C6">
              <w:t>ose couples</w:t>
            </w:r>
            <w:r w:rsidR="00D510CB">
              <w:t>.</w:t>
            </w:r>
            <w:r w:rsidR="009E015D">
              <w:t xml:space="preserve"> Also, </w:t>
            </w:r>
            <w:r w:rsidR="00564673">
              <w:t xml:space="preserve">MSAC assumed that </w:t>
            </w:r>
            <w:r w:rsidR="00040B5F">
              <w:t xml:space="preserve">reporting results for only one sex would likely not be acceptable in the Australian context, and </w:t>
            </w:r>
            <w:r w:rsidR="00176F05">
              <w:t xml:space="preserve">the </w:t>
            </w:r>
            <w:r w:rsidR="00040B5F">
              <w:t xml:space="preserve">screening </w:t>
            </w:r>
            <w:r w:rsidR="00176F05">
              <w:t xml:space="preserve">process </w:t>
            </w:r>
            <w:r w:rsidR="00040B5F">
              <w:t>would be simpler without an X-counter</w:t>
            </w:r>
            <w:r w:rsidR="009E015D">
              <w:t xml:space="preserve">. The benefit of </w:t>
            </w:r>
            <w:r w:rsidR="00040B5F">
              <w:t xml:space="preserve">reporting results for </w:t>
            </w:r>
            <w:r w:rsidR="009E015D">
              <w:t xml:space="preserve">female babies </w:t>
            </w:r>
            <w:r w:rsidR="00680F4C">
              <w:t xml:space="preserve">is </w:t>
            </w:r>
            <w:r w:rsidR="004B7BC5">
              <w:t xml:space="preserve">therefore </w:t>
            </w:r>
            <w:r w:rsidR="00680F4C">
              <w:t>primarily</w:t>
            </w:r>
            <w:r w:rsidR="009E015D">
              <w:t xml:space="preserve"> </w:t>
            </w:r>
            <w:r w:rsidR="00680F4C">
              <w:t xml:space="preserve">to the </w:t>
            </w:r>
            <w:r w:rsidR="009E015D">
              <w:t>famil</w:t>
            </w:r>
            <w:r w:rsidR="00680F4C">
              <w:t>y</w:t>
            </w:r>
            <w:r w:rsidR="009E015D">
              <w:t>, which</w:t>
            </w:r>
            <w:r w:rsidR="004B7BC5">
              <w:t xml:space="preserve"> </w:t>
            </w:r>
            <w:r w:rsidR="009E015D">
              <w:t xml:space="preserve">is similar to </w:t>
            </w:r>
            <w:r w:rsidR="004B7BC5">
              <w:t xml:space="preserve">the benefits of </w:t>
            </w:r>
            <w:r w:rsidR="009E015D">
              <w:t>cascade testing for some cancer genes</w:t>
            </w:r>
            <w:r w:rsidR="00C531DC">
              <w:t xml:space="preserve"> and aligns with the principles behind NBS</w:t>
            </w:r>
            <w:r w:rsidR="009E015D">
              <w:t>.</w:t>
            </w:r>
          </w:p>
          <w:p w14:paraId="36E899B8" w14:textId="37BFDF70" w:rsidR="002663F9" w:rsidRDefault="00A33CF9" w:rsidP="009E015D">
            <w:r>
              <w:t xml:space="preserve">There are many ways that </w:t>
            </w:r>
            <w:r w:rsidR="00054F65">
              <w:t>screening</w:t>
            </w:r>
            <w:r>
              <w:t xml:space="preserve"> for X-ALD can be performed </w:t>
            </w:r>
            <w:r w:rsidR="005678F0">
              <w:t xml:space="preserve">in the NBS laboratories. </w:t>
            </w:r>
            <w:r w:rsidR="006208A3">
              <w:t xml:space="preserve">Using more than one </w:t>
            </w:r>
            <w:r w:rsidR="00B25434">
              <w:t>step of testing</w:t>
            </w:r>
            <w:r w:rsidR="006208A3">
              <w:t xml:space="preserve"> is routine for newborn </w:t>
            </w:r>
            <w:r w:rsidR="00907807">
              <w:t xml:space="preserve">bloodspot </w:t>
            </w:r>
            <w:r w:rsidR="006208A3">
              <w:t xml:space="preserve">screening, and </w:t>
            </w:r>
            <w:r w:rsidR="00655463">
              <w:t>the main options for X-ALD screening involve the use of two to three tests one after the other (called “tiers”) for each newborn bloodspot sample (called</w:t>
            </w:r>
            <w:r w:rsidR="00F4295B">
              <w:t xml:space="preserve"> </w:t>
            </w:r>
            <w:r w:rsidR="00F06339">
              <w:t xml:space="preserve">two-tier </w:t>
            </w:r>
            <w:r w:rsidR="00F4295B">
              <w:t xml:space="preserve">or </w:t>
            </w:r>
            <w:r w:rsidR="00F06339">
              <w:t>three-tier screening</w:t>
            </w:r>
            <w:r w:rsidR="00655463">
              <w:t>)</w:t>
            </w:r>
            <w:r w:rsidR="00F4295B">
              <w:t xml:space="preserve">. </w:t>
            </w:r>
            <w:r w:rsidR="0025128A">
              <w:t xml:space="preserve">Two-tier </w:t>
            </w:r>
            <w:r w:rsidR="006208A3">
              <w:t>screening</w:t>
            </w:r>
            <w:r w:rsidR="0025128A">
              <w:t xml:space="preserve"> involves an initial screening test, with those </w:t>
            </w:r>
            <w:r w:rsidR="006208A3">
              <w:t xml:space="preserve">newborns </w:t>
            </w:r>
            <w:r w:rsidR="0025128A">
              <w:t xml:space="preserve">identified at high risk by that test </w:t>
            </w:r>
            <w:r w:rsidR="003B4187">
              <w:t xml:space="preserve">then </w:t>
            </w:r>
            <w:r w:rsidR="0025128A">
              <w:t xml:space="preserve">having a second, more sensitive test. </w:t>
            </w:r>
            <w:r w:rsidR="001D0017">
              <w:t xml:space="preserve">For X-ALD, the method options </w:t>
            </w:r>
            <w:r w:rsidR="007D30CC">
              <w:t xml:space="preserve">for the tiers </w:t>
            </w:r>
            <w:r w:rsidR="001D0017">
              <w:t>were two different types of mass spectrometry</w:t>
            </w:r>
            <w:r w:rsidR="00CC09ED">
              <w:t xml:space="preserve"> and genetic testing. </w:t>
            </w:r>
            <w:r w:rsidR="001A4E45">
              <w:t xml:space="preserve">Mass spectrometry </w:t>
            </w:r>
            <w:r w:rsidR="002F6B64">
              <w:t xml:space="preserve">is a method that </w:t>
            </w:r>
            <w:r w:rsidR="00067A2B">
              <w:t xml:space="preserve">can be used to </w:t>
            </w:r>
            <w:r w:rsidR="005A441C">
              <w:t xml:space="preserve">work out </w:t>
            </w:r>
            <w:r w:rsidR="002F6B64">
              <w:t>how much of a</w:t>
            </w:r>
            <w:r w:rsidR="005A441C">
              <w:t xml:space="preserve"> </w:t>
            </w:r>
            <w:r w:rsidR="00067A2B">
              <w:t xml:space="preserve">given </w:t>
            </w:r>
            <w:r w:rsidR="005A441C">
              <w:t>chemical</w:t>
            </w:r>
            <w:r w:rsidR="002F6B64">
              <w:t xml:space="preserve"> </w:t>
            </w:r>
            <w:r w:rsidR="003107B0">
              <w:t xml:space="preserve">(such as a fatty acid) </w:t>
            </w:r>
            <w:r w:rsidR="002F6B64">
              <w:t>is</w:t>
            </w:r>
            <w:r w:rsidR="005A441C">
              <w:t xml:space="preserve"> </w:t>
            </w:r>
            <w:r w:rsidR="002F6B64">
              <w:t xml:space="preserve">present </w:t>
            </w:r>
            <w:r w:rsidR="005A441C">
              <w:t>in a sample.</w:t>
            </w:r>
            <w:r w:rsidR="0025128A">
              <w:t xml:space="preserve"> Depending on the choice of first-tier mass spectrometry method, </w:t>
            </w:r>
            <w:r w:rsidR="007D30CC">
              <w:t>a</w:t>
            </w:r>
            <w:r w:rsidR="0025128A">
              <w:t xml:space="preserve"> second tier test could be a different type of mass spectrometry test, </w:t>
            </w:r>
            <w:r w:rsidR="007D30CC">
              <w:t>and</w:t>
            </w:r>
            <w:r w:rsidR="0025128A">
              <w:t xml:space="preserve"> </w:t>
            </w:r>
            <w:r w:rsidR="00E176AA">
              <w:t xml:space="preserve">for the </w:t>
            </w:r>
            <w:r w:rsidR="007D30CC">
              <w:t>last</w:t>
            </w:r>
            <w:r w:rsidR="00E176AA">
              <w:t xml:space="preserve"> tier</w:t>
            </w:r>
            <w:r w:rsidR="007D30CC">
              <w:t xml:space="preserve"> </w:t>
            </w:r>
            <w:r w:rsidR="0025128A">
              <w:t xml:space="preserve">a genetic test would be used to confirm diagnosis prior to reporting the result. </w:t>
            </w:r>
            <w:r w:rsidR="00F06339">
              <w:t xml:space="preserve">MSAC </w:t>
            </w:r>
            <w:r w:rsidR="00003905">
              <w:t>recommended</w:t>
            </w:r>
            <w:r w:rsidR="00F06339">
              <w:t xml:space="preserve"> that </w:t>
            </w:r>
            <w:r w:rsidR="00681534">
              <w:t xml:space="preserve">screening </w:t>
            </w:r>
            <w:r w:rsidR="0025128A">
              <w:t xml:space="preserve">could efficiently </w:t>
            </w:r>
            <w:r w:rsidR="00681534">
              <w:t xml:space="preserve">use </w:t>
            </w:r>
            <w:r w:rsidR="0008150F">
              <w:t>a method called FIA</w:t>
            </w:r>
            <w:r w:rsidR="00860AC9">
              <w:t xml:space="preserve"> (flow injection analysis) tandem mass spectrometry</w:t>
            </w:r>
            <w:r w:rsidR="0008150F">
              <w:t xml:space="preserve"> for the first tier</w:t>
            </w:r>
            <w:r w:rsidR="00067019">
              <w:t xml:space="preserve">, then genetic testing for the second tier. </w:t>
            </w:r>
            <w:r w:rsidR="00DE0DEA">
              <w:t>A</w:t>
            </w:r>
            <w:r w:rsidR="007123F6">
              <w:t>n extra</w:t>
            </w:r>
            <w:r w:rsidR="00067019">
              <w:t xml:space="preserve"> tier</w:t>
            </w:r>
            <w:r w:rsidR="00860AC9">
              <w:t xml:space="preserve"> of screening</w:t>
            </w:r>
            <w:r w:rsidR="00067019">
              <w:t xml:space="preserve"> </w:t>
            </w:r>
            <w:r w:rsidR="00FA7472">
              <w:t xml:space="preserve">(using a different type of mass spectrometry) </w:t>
            </w:r>
            <w:r w:rsidR="0025128A">
              <w:t>would not be</w:t>
            </w:r>
            <w:r w:rsidR="00A30A08">
              <w:t xml:space="preserve"> necessary</w:t>
            </w:r>
            <w:r w:rsidR="00DF4613">
              <w:t xml:space="preserve"> if </w:t>
            </w:r>
            <w:r w:rsidR="009E3326">
              <w:t xml:space="preserve">the </w:t>
            </w:r>
            <w:r w:rsidR="00FA7472">
              <w:t>FI</w:t>
            </w:r>
            <w:r w:rsidR="00860AC9">
              <w:t xml:space="preserve">A mass spectrometry looks at </w:t>
            </w:r>
            <w:r w:rsidR="00DE0DEA">
              <w:t xml:space="preserve">not only </w:t>
            </w:r>
            <w:r w:rsidR="007123F6">
              <w:t>a fatty acid</w:t>
            </w:r>
            <w:r w:rsidR="00DE0DEA">
              <w:t xml:space="preserve"> called C26:0 but </w:t>
            </w:r>
            <w:r w:rsidR="00510E47">
              <w:t xml:space="preserve">also </w:t>
            </w:r>
            <w:r w:rsidR="00E176AA">
              <w:t xml:space="preserve">at </w:t>
            </w:r>
            <w:r w:rsidR="0025128A">
              <w:t>related</w:t>
            </w:r>
            <w:r w:rsidR="00860AC9">
              <w:t xml:space="preserve"> </w:t>
            </w:r>
            <w:r w:rsidR="00F06DF3">
              <w:t>fatty acids and their ratios</w:t>
            </w:r>
            <w:r w:rsidR="0025128A">
              <w:t>.</w:t>
            </w:r>
            <w:r w:rsidR="00E176AA">
              <w:t xml:space="preserve"> </w:t>
            </w:r>
          </w:p>
          <w:p w14:paraId="6986819E" w14:textId="766CA98C" w:rsidR="00EE7F05" w:rsidRDefault="002663F9" w:rsidP="009E015D">
            <w:r>
              <w:t>MSAC considered a</w:t>
            </w:r>
            <w:r w:rsidR="00EE7F05">
              <w:t xml:space="preserve">dding X-ALD to NBS </w:t>
            </w:r>
            <w:r>
              <w:t xml:space="preserve">was acceptable value-for-money, and </w:t>
            </w:r>
            <w:r w:rsidR="00082E8D">
              <w:t>would</w:t>
            </w:r>
            <w:r w:rsidR="001D315D">
              <w:t xml:space="preserve"> come at </w:t>
            </w:r>
            <w:r w:rsidR="00696DC3">
              <w:t>a</w:t>
            </w:r>
            <w:r w:rsidR="00D4428A">
              <w:t xml:space="preserve"> financial cost that </w:t>
            </w:r>
            <w:r w:rsidR="007A4352">
              <w:t>was acceptable</w:t>
            </w:r>
            <w:r w:rsidR="00CE5B28">
              <w:t>.</w:t>
            </w:r>
          </w:p>
          <w:p w14:paraId="45CA90F2" w14:textId="77777777" w:rsidR="009653B7" w:rsidRPr="00AF46D8" w:rsidRDefault="009653B7">
            <w:pPr>
              <w:pStyle w:val="Heading3"/>
              <w:ind w:left="720" w:hanging="720"/>
            </w:pPr>
            <w:r w:rsidRPr="00AF46D8">
              <w:t>MSAC’s advice to the Commonwealth Minister for Health</w:t>
            </w:r>
            <w:r>
              <w:t xml:space="preserve"> and Aged Care</w:t>
            </w:r>
          </w:p>
          <w:p w14:paraId="07275FBF" w14:textId="6E49B4F9" w:rsidR="009653B7" w:rsidRPr="00AF46D8" w:rsidRDefault="002C79A5">
            <w:pPr>
              <w:spacing w:after="120"/>
            </w:pPr>
            <w:r>
              <w:t>After considering the strength of the evidence in relation to comparative saf</w:t>
            </w:r>
            <w:r w:rsidR="00D1598E">
              <w:t xml:space="preserve">ety, clinical effectiveness, cost-effectiveness and total cost, </w:t>
            </w:r>
            <w:r w:rsidR="00376CA5" w:rsidRPr="00AF46D8">
              <w:t>MSAC supported</w:t>
            </w:r>
            <w:r w:rsidR="00376CA5">
              <w:t xml:space="preserve"> </w:t>
            </w:r>
            <w:r w:rsidR="00393C65">
              <w:t xml:space="preserve">adding </w:t>
            </w:r>
            <w:r w:rsidR="00376CA5">
              <w:t xml:space="preserve">X-ALD </w:t>
            </w:r>
            <w:r w:rsidR="00393C65">
              <w:t xml:space="preserve">to </w:t>
            </w:r>
            <w:r w:rsidR="00376CA5">
              <w:t>NBS</w:t>
            </w:r>
            <w:r w:rsidR="00F43E53">
              <w:t xml:space="preserve"> programs</w:t>
            </w:r>
            <w:r w:rsidR="00376CA5">
              <w:t>.</w:t>
            </w:r>
          </w:p>
        </w:tc>
      </w:tr>
    </w:tbl>
    <w:p w14:paraId="2A60DCDB" w14:textId="77777777" w:rsidR="009653B7" w:rsidRDefault="009653B7" w:rsidP="009653B7">
      <w:pPr>
        <w:pStyle w:val="Heading2"/>
        <w:numPr>
          <w:ilvl w:val="1"/>
          <w:numId w:val="0"/>
        </w:numPr>
      </w:pPr>
      <w:r>
        <w:lastRenderedPageBreak/>
        <w:t>3.</w:t>
      </w:r>
      <w:r>
        <w:tab/>
        <w:t>Summary of consideration and rationale for MSAC’s advice</w:t>
      </w:r>
    </w:p>
    <w:p w14:paraId="4501AAD6" w14:textId="56B33E8D" w:rsidR="005C1A6A" w:rsidRPr="001E2728" w:rsidRDefault="005C1A6A" w:rsidP="005C1A6A">
      <w:r w:rsidRPr="00516D4E">
        <w:t>MSAC</w:t>
      </w:r>
      <w:r>
        <w:t xml:space="preserve"> noted that this application from the </w:t>
      </w:r>
      <w:r w:rsidRPr="008F5442">
        <w:t>Leukodystrophy Resource &amp; Research Organisation Inc</w:t>
      </w:r>
      <w:r>
        <w:t xml:space="preserve"> was for </w:t>
      </w:r>
      <w:r w:rsidR="00E21571">
        <w:t>adding</w:t>
      </w:r>
      <w:r w:rsidR="00E21571" w:rsidRPr="00FD3F18">
        <w:t xml:space="preserve"> </w:t>
      </w:r>
      <w:r w:rsidRPr="00FD3F18">
        <w:t xml:space="preserve">X-linked adrenoleukodystrophy (X-ALD) </w:t>
      </w:r>
      <w:r w:rsidR="00E21571">
        <w:t>to</w:t>
      </w:r>
      <w:r w:rsidR="00E21571" w:rsidRPr="00FD3F18">
        <w:t xml:space="preserve"> </w:t>
      </w:r>
      <w:r w:rsidRPr="00FD3F18">
        <w:t>newborn bloodspot screening (NBS)</w:t>
      </w:r>
      <w:r>
        <w:t xml:space="preserve">. MSAC noted that applications for </w:t>
      </w:r>
      <w:r w:rsidR="004F656C">
        <w:t xml:space="preserve">adding and removing </w:t>
      </w:r>
      <w:r>
        <w:t xml:space="preserve">conditions </w:t>
      </w:r>
      <w:r w:rsidR="004F656C">
        <w:t>from</w:t>
      </w:r>
      <w:r>
        <w:t xml:space="preserve"> NBS </w:t>
      </w:r>
      <w:r w:rsidR="00F37925">
        <w:t>were previously</w:t>
      </w:r>
      <w:r w:rsidR="004F656C">
        <w:t xml:space="preserve"> considered by </w:t>
      </w:r>
      <w:r w:rsidRPr="001E2728">
        <w:t>the Standing Committee on Screening (SCoS</w:t>
      </w:r>
      <w:r w:rsidRPr="00DA396E">
        <w:t>)</w:t>
      </w:r>
      <w:r w:rsidR="004F656C">
        <w:t>. However</w:t>
      </w:r>
      <w:r w:rsidR="003A0590">
        <w:t>,</w:t>
      </w:r>
      <w:r w:rsidR="004F656C">
        <w:t xml:space="preserve"> following its dissolution</w:t>
      </w:r>
      <w:r w:rsidRPr="00DA396E">
        <w:t xml:space="preserve"> in 2021, applications</w:t>
      </w:r>
      <w:r w:rsidRPr="001E2728">
        <w:t xml:space="preserve"> for </w:t>
      </w:r>
      <w:r w:rsidR="004F656C">
        <w:t xml:space="preserve">addition </w:t>
      </w:r>
      <w:r w:rsidR="006F7DAB">
        <w:t xml:space="preserve">of conditions to </w:t>
      </w:r>
      <w:r w:rsidRPr="001E2728">
        <w:t xml:space="preserve">NBS </w:t>
      </w:r>
      <w:r w:rsidR="00D81AB1">
        <w:t>are</w:t>
      </w:r>
      <w:r w:rsidR="00D81AB1" w:rsidRPr="001E2728">
        <w:t xml:space="preserve"> </w:t>
      </w:r>
      <w:r w:rsidRPr="001E2728">
        <w:t xml:space="preserve">now considered by </w:t>
      </w:r>
      <w:r w:rsidR="00BD7DEB">
        <w:t xml:space="preserve">other committees, including </w:t>
      </w:r>
      <w:r w:rsidRPr="001E2728">
        <w:t>MSAC</w:t>
      </w:r>
      <w:r>
        <w:t>. This application (</w:t>
      </w:r>
      <w:r w:rsidRPr="001E2728">
        <w:t>1710</w:t>
      </w:r>
      <w:r>
        <w:t>)</w:t>
      </w:r>
      <w:r w:rsidRPr="001E2728">
        <w:t xml:space="preserve"> and </w:t>
      </w:r>
      <w:r w:rsidR="00154CFE" w:rsidRPr="00A612DF">
        <w:t>application 1737</w:t>
      </w:r>
      <w:r w:rsidR="00154CFE" w:rsidRPr="00A612DF">
        <w:rPr>
          <w:vertAlign w:val="superscript"/>
        </w:rPr>
        <w:footnoteReference w:id="2"/>
      </w:r>
      <w:r w:rsidRPr="00A612DF">
        <w:t xml:space="preserve"> </w:t>
      </w:r>
      <w:r w:rsidRPr="001E2728">
        <w:t>are the first NBS applications to be considered by MSAC</w:t>
      </w:r>
      <w:r>
        <w:t>.</w:t>
      </w:r>
    </w:p>
    <w:p w14:paraId="66FB5E35" w14:textId="1EA27E74" w:rsidR="005C1A6A" w:rsidRDefault="005C1A6A" w:rsidP="00CD2902">
      <w:r>
        <w:lastRenderedPageBreak/>
        <w:t xml:space="preserve">MSAC noted that </w:t>
      </w:r>
      <w:r w:rsidR="00154CFE">
        <w:t>the</w:t>
      </w:r>
      <w:r w:rsidRPr="001E2728">
        <w:t xml:space="preserve"> </w:t>
      </w:r>
      <w:r w:rsidR="00154CFE" w:rsidRPr="00A612DF">
        <w:t>Newborn Bloodspot Screening National Policy Framework</w:t>
      </w:r>
      <w:r w:rsidRPr="00A612DF">
        <w:t xml:space="preserve"> </w:t>
      </w:r>
      <w:r w:rsidR="003C3AA9">
        <w:t>(NBS NPF)</w:t>
      </w:r>
      <w:r w:rsidR="003C3AA9">
        <w:rPr>
          <w:rStyle w:val="FootnoteReference"/>
        </w:rPr>
        <w:footnoteReference w:id="3"/>
      </w:r>
      <w:r w:rsidR="003C3AA9">
        <w:t xml:space="preserve"> </w:t>
      </w:r>
      <w:r w:rsidRPr="001E2728">
        <w:t>was developed through the S</w:t>
      </w:r>
      <w:r w:rsidR="00BD7DEB">
        <w:t>C</w:t>
      </w:r>
      <w:r w:rsidRPr="001E2728">
        <w:t xml:space="preserve">oS in 2018, but </w:t>
      </w:r>
      <w:r w:rsidR="001006F3">
        <w:t xml:space="preserve">NBS </w:t>
      </w:r>
      <w:r w:rsidRPr="001E2728">
        <w:t>implementation remains state-based</w:t>
      </w:r>
      <w:r>
        <w:t xml:space="preserve">, </w:t>
      </w:r>
      <w:r w:rsidR="001006F3">
        <w:t xml:space="preserve">with screening </w:t>
      </w:r>
      <w:r w:rsidR="0013068D">
        <w:t>provided by five NBS laboratories across Australia</w:t>
      </w:r>
      <w:r>
        <w:t>.</w:t>
      </w:r>
      <w:r w:rsidR="00CD2902">
        <w:t xml:space="preserve"> </w:t>
      </w:r>
      <w:r>
        <w:t>MSAC</w:t>
      </w:r>
      <w:r w:rsidR="2E0B891D">
        <w:t xml:space="preserve"> </w:t>
      </w:r>
      <w:r w:rsidR="649CE402">
        <w:t>considered</w:t>
      </w:r>
      <w:r w:rsidR="5CDC29A9">
        <w:t xml:space="preserve"> the NBS NPF decision-making criteria as context for its </w:t>
      </w:r>
      <w:r w:rsidR="00F420DC">
        <w:t>advice</w:t>
      </w:r>
      <w:r w:rsidR="5CDC29A9">
        <w:t>, but</w:t>
      </w:r>
      <w:r>
        <w:t xml:space="preserve"> noted that </w:t>
      </w:r>
      <w:r w:rsidR="00513B44">
        <w:t xml:space="preserve">the full scope of </w:t>
      </w:r>
      <w:r w:rsidR="00CC0BC6">
        <w:t xml:space="preserve">considerations </w:t>
      </w:r>
      <w:r w:rsidR="00850016">
        <w:t xml:space="preserve">relevant to </w:t>
      </w:r>
      <w:r w:rsidR="639A29C0">
        <w:t xml:space="preserve">the </w:t>
      </w:r>
      <w:r w:rsidR="00850016">
        <w:t xml:space="preserve">NBS </w:t>
      </w:r>
      <w:r w:rsidR="5CF8C7D2">
        <w:t>NPF</w:t>
      </w:r>
      <w:r w:rsidR="00513B44">
        <w:t xml:space="preserve"> criteria</w:t>
      </w:r>
      <w:r w:rsidR="7069B061">
        <w:t xml:space="preserve">, such as </w:t>
      </w:r>
      <w:r w:rsidR="00513B44">
        <w:t xml:space="preserve">a detailed appraisal of all relevant </w:t>
      </w:r>
      <w:r w:rsidR="7069B061">
        <w:t xml:space="preserve">implementation considerations, </w:t>
      </w:r>
      <w:r w:rsidR="00CC0BC6">
        <w:t xml:space="preserve">are </w:t>
      </w:r>
      <w:r w:rsidR="00BE6C3E">
        <w:t xml:space="preserve">outside </w:t>
      </w:r>
      <w:r w:rsidR="00691201">
        <w:t>MSAC’s</w:t>
      </w:r>
      <w:r w:rsidR="00850016">
        <w:t xml:space="preserve"> </w:t>
      </w:r>
      <w:r w:rsidR="00691201">
        <w:t>terms of reference (</w:t>
      </w:r>
      <w:r w:rsidR="00850016">
        <w:t>ToRs</w:t>
      </w:r>
      <w:r w:rsidR="00691201">
        <w:t>)</w:t>
      </w:r>
      <w:r w:rsidR="00850016">
        <w:t xml:space="preserve">. MSAC noted </w:t>
      </w:r>
      <w:r w:rsidR="00CD2902">
        <w:t xml:space="preserve">that its </w:t>
      </w:r>
      <w:r>
        <w:t xml:space="preserve">advice </w:t>
      </w:r>
      <w:r w:rsidR="00850016">
        <w:t xml:space="preserve">within its ToRs </w:t>
      </w:r>
      <w:r>
        <w:t>would</w:t>
      </w:r>
      <w:r w:rsidR="00CC0BC6">
        <w:t xml:space="preserve"> be used</w:t>
      </w:r>
      <w:r w:rsidR="00CD2902">
        <w:t xml:space="preserve"> </w:t>
      </w:r>
      <w:r w:rsidR="00226FEA">
        <w:t>in conjunction</w:t>
      </w:r>
      <w:r w:rsidR="00CD2902">
        <w:t xml:space="preserve"> with advice from others </w:t>
      </w:r>
      <w:r w:rsidR="00CC0BC6">
        <w:t>in</w:t>
      </w:r>
      <w:r>
        <w:t xml:space="preserve"> the </w:t>
      </w:r>
      <w:r w:rsidR="00EE5DFA">
        <w:t xml:space="preserve">overall </w:t>
      </w:r>
      <w:r>
        <w:t>decision</w:t>
      </w:r>
      <w:r w:rsidR="00CD2902">
        <w:t>-making process</w:t>
      </w:r>
      <w:r>
        <w:t xml:space="preserve"> </w:t>
      </w:r>
      <w:r w:rsidR="00CC0BC6">
        <w:t xml:space="preserve">for </w:t>
      </w:r>
      <w:r>
        <w:t>NBS</w:t>
      </w:r>
      <w:r w:rsidR="3BA469E2">
        <w:t xml:space="preserve"> in Australia.</w:t>
      </w:r>
    </w:p>
    <w:p w14:paraId="1ECFBA5A" w14:textId="734A874F" w:rsidR="005C1A6A" w:rsidRDefault="005C1A6A" w:rsidP="005C1A6A">
      <w:r>
        <w:t xml:space="preserve">MSAC noted that </w:t>
      </w:r>
      <w:r w:rsidRPr="00C54104">
        <w:t>X-ALD is a</w:t>
      </w:r>
      <w:r>
        <w:t>n</w:t>
      </w:r>
      <w:r w:rsidRPr="00C54104">
        <w:t xml:space="preserve"> </w:t>
      </w:r>
      <w:r>
        <w:t xml:space="preserve">X-linked </w:t>
      </w:r>
      <w:r w:rsidRPr="00C54104">
        <w:t xml:space="preserve">neurological disorder of peroxisomal very long chain fatty acid </w:t>
      </w:r>
      <w:r>
        <w:t xml:space="preserve">(VLCFA) </w:t>
      </w:r>
      <w:r w:rsidRPr="00C54104">
        <w:t xml:space="preserve">transport that presents </w:t>
      </w:r>
      <w:r w:rsidR="0025128A">
        <w:t xml:space="preserve">clinically </w:t>
      </w:r>
      <w:r w:rsidRPr="00C54104">
        <w:t xml:space="preserve">with a range of phenotypes in males, </w:t>
      </w:r>
      <w:r w:rsidR="0025128A">
        <w:t>ranging</w:t>
      </w:r>
      <w:r w:rsidR="0025128A" w:rsidRPr="00C54104">
        <w:t xml:space="preserve"> </w:t>
      </w:r>
      <w:r w:rsidR="0025128A">
        <w:t xml:space="preserve">from </w:t>
      </w:r>
      <w:r w:rsidRPr="00C54104">
        <w:t>Addison’s disease</w:t>
      </w:r>
      <w:r>
        <w:t xml:space="preserve"> and</w:t>
      </w:r>
      <w:r w:rsidRPr="00C54104">
        <w:t xml:space="preserve"> spinal cord dysfunction (adrenomyeloneuropathy) to rapid neurodegeneration (</w:t>
      </w:r>
      <w:r>
        <w:t xml:space="preserve">childhood </w:t>
      </w:r>
      <w:r w:rsidRPr="00C54104">
        <w:t>cerebral ALD</w:t>
      </w:r>
      <w:r>
        <w:t xml:space="preserve"> [CCALD]</w:t>
      </w:r>
      <w:r w:rsidRPr="00C54104">
        <w:t>)</w:t>
      </w:r>
      <w:r>
        <w:t xml:space="preserve">. </w:t>
      </w:r>
      <w:r w:rsidRPr="00C54104">
        <w:t xml:space="preserve">X-ALD </w:t>
      </w:r>
      <w:r>
        <w:t xml:space="preserve">is rare, with </w:t>
      </w:r>
      <w:r w:rsidRPr="00C54104">
        <w:t xml:space="preserve">incidence </w:t>
      </w:r>
      <w:r w:rsidR="0054031D">
        <w:t xml:space="preserve">somewhat uncertain but </w:t>
      </w:r>
      <w:r>
        <w:t xml:space="preserve">about </w:t>
      </w:r>
      <w:r w:rsidRPr="00C54104">
        <w:t>1</w:t>
      </w:r>
      <w:r>
        <w:t> </w:t>
      </w:r>
      <w:r w:rsidRPr="00C54104">
        <w:t>in</w:t>
      </w:r>
      <w:r>
        <w:t> </w:t>
      </w:r>
      <w:r w:rsidR="000A1467">
        <w:t>9</w:t>
      </w:r>
      <w:r w:rsidRPr="00C54104">
        <w:t>,000</w:t>
      </w:r>
      <w:r>
        <w:t>.</w:t>
      </w:r>
      <w:r w:rsidR="00AF098C">
        <w:t xml:space="preserve"> </w:t>
      </w:r>
      <w:r>
        <w:t>MSAC noted</w:t>
      </w:r>
      <w:r w:rsidR="00ED4198">
        <w:t xml:space="preserve"> that </w:t>
      </w:r>
      <w:r w:rsidR="00CC0193">
        <w:t xml:space="preserve">X-ALD is caused by </w:t>
      </w:r>
      <w:r w:rsidR="003D6B13">
        <w:t xml:space="preserve">pathogenic or likely pathogenic (P/LP) </w:t>
      </w:r>
      <w:r w:rsidR="00CC0193">
        <w:t xml:space="preserve">variants in the </w:t>
      </w:r>
      <w:r w:rsidR="00CC0193">
        <w:rPr>
          <w:i/>
          <w:iCs/>
        </w:rPr>
        <w:t xml:space="preserve">ABCD1 </w:t>
      </w:r>
      <w:r w:rsidR="00CC0193">
        <w:t xml:space="preserve">gene, but that </w:t>
      </w:r>
      <w:r w:rsidR="00B11B01">
        <w:t xml:space="preserve">variants are typically private (unique to each family), with incomplete penetrance </w:t>
      </w:r>
      <w:r w:rsidR="004044EE" w:rsidRPr="00B21044">
        <w:t>(</w:t>
      </w:r>
      <w:r w:rsidR="00393F98">
        <w:fldChar w:fldCharType="begin"/>
      </w:r>
      <w:r w:rsidR="00393F98">
        <w:instrText xml:space="preserve"> REF _Ref139007295 </w:instrText>
      </w:r>
      <w:r w:rsidR="00393F98">
        <w:fldChar w:fldCharType="separate"/>
      </w:r>
      <w:r w:rsidR="00253978">
        <w:t xml:space="preserve">Table </w:t>
      </w:r>
      <w:r w:rsidR="00253978">
        <w:rPr>
          <w:noProof/>
        </w:rPr>
        <w:t>5</w:t>
      </w:r>
      <w:r w:rsidR="00393F98">
        <w:rPr>
          <w:noProof/>
        </w:rPr>
        <w:fldChar w:fldCharType="end"/>
      </w:r>
      <w:r w:rsidR="004044EE" w:rsidRPr="00B21044">
        <w:t>)</w:t>
      </w:r>
      <w:r w:rsidR="004044EE">
        <w:t xml:space="preserve"> </w:t>
      </w:r>
      <w:r w:rsidR="00B11B01">
        <w:t>and variable expressivity.</w:t>
      </w:r>
      <w:r>
        <w:t xml:space="preserve"> </w:t>
      </w:r>
      <w:r w:rsidR="00B11B01">
        <w:t xml:space="preserve">As is typical </w:t>
      </w:r>
      <w:r w:rsidR="00EE638A">
        <w:t>for</w:t>
      </w:r>
      <w:r w:rsidR="00B11B01">
        <w:t xml:space="preserve"> X-linked conditions, </w:t>
      </w:r>
      <w:r w:rsidR="004044EE">
        <w:t xml:space="preserve">the condition is </w:t>
      </w:r>
      <w:r w:rsidR="00EE638A">
        <w:t xml:space="preserve">more commonly found in males and is </w:t>
      </w:r>
      <w:r w:rsidR="004044EE">
        <w:t>more severe in males.</w:t>
      </w:r>
    </w:p>
    <w:p w14:paraId="3064EB16" w14:textId="610EDAD3" w:rsidR="00C970E6" w:rsidRDefault="005C1A6A" w:rsidP="005C1A6A">
      <w:r>
        <w:t xml:space="preserve">MSAC noted that </w:t>
      </w:r>
      <w:r w:rsidR="00AC5FD6">
        <w:t xml:space="preserve">the population was all newborns </w:t>
      </w:r>
      <w:r w:rsidR="00E5651E">
        <w:t>undertaking NBS</w:t>
      </w:r>
      <w:r w:rsidR="00E47404">
        <w:t>, and</w:t>
      </w:r>
      <w:r w:rsidR="002E320A" w:rsidRPr="002E320A">
        <w:t xml:space="preserve"> </w:t>
      </w:r>
      <w:r w:rsidR="002E320A">
        <w:t xml:space="preserve">the proposed intervention was newborn bloodspot screening </w:t>
      </w:r>
      <w:r w:rsidR="004E3286">
        <w:t xml:space="preserve">within </w:t>
      </w:r>
      <w:r w:rsidR="009E7802">
        <w:t xml:space="preserve">the first </w:t>
      </w:r>
      <w:r w:rsidR="008D737A">
        <w:t xml:space="preserve">48 to </w:t>
      </w:r>
      <w:r w:rsidR="00326F17">
        <w:t>72 hours</w:t>
      </w:r>
      <w:r w:rsidR="002E320A">
        <w:t xml:space="preserve"> of </w:t>
      </w:r>
      <w:r w:rsidR="009E7802">
        <w:t>life</w:t>
      </w:r>
      <w:r w:rsidR="002E320A">
        <w:t>.</w:t>
      </w:r>
      <w:r w:rsidR="00153DD8">
        <w:t xml:space="preserve"> NBS was proposed to allow earlier diagnosis</w:t>
      </w:r>
      <w:r w:rsidR="45AA0254">
        <w:t xml:space="preserve"> and management</w:t>
      </w:r>
      <w:r w:rsidR="00563C20">
        <w:t>.</w:t>
      </w:r>
      <w:r w:rsidR="002E320A">
        <w:t xml:space="preserve"> T</w:t>
      </w:r>
      <w:r>
        <w:t xml:space="preserve">he Department-contracted assessment report (DCAR) </w:t>
      </w:r>
      <w:r w:rsidR="003424FB">
        <w:t xml:space="preserve">assessed </w:t>
      </w:r>
      <w:r w:rsidR="008970DD">
        <w:t>four main </w:t>
      </w:r>
      <w:r>
        <w:t>screening strategies</w:t>
      </w:r>
      <w:r w:rsidR="00C970E6">
        <w:t xml:space="preserve"> </w:t>
      </w:r>
      <w:r w:rsidR="008970DD">
        <w:t>(plus variations involving the X-counter test for a total of nine</w:t>
      </w:r>
      <w:r w:rsidR="00A47FCC">
        <w:t xml:space="preserve"> strategies</w:t>
      </w:r>
      <w:r w:rsidR="003424FB">
        <w:t xml:space="preserve"> altogether</w:t>
      </w:r>
      <w:r w:rsidR="008970DD">
        <w:t>)</w:t>
      </w:r>
      <w:r w:rsidR="002E320A">
        <w:t xml:space="preserve">, </w:t>
      </w:r>
      <w:r w:rsidR="00126E5B">
        <w:t>comprised of</w:t>
      </w:r>
      <w:r w:rsidR="002E320A">
        <w:t xml:space="preserve"> various combinations of flow injection analysis tandem mass spectrometry (FIA-MS/MS), </w:t>
      </w:r>
      <w:r w:rsidR="00A6147F">
        <w:t>(</w:t>
      </w:r>
      <w:r w:rsidR="002E320A">
        <w:t>high-performance</w:t>
      </w:r>
      <w:r w:rsidR="00A6147F">
        <w:t>)</w:t>
      </w:r>
      <w:r w:rsidR="002E320A">
        <w:t xml:space="preserve"> liquid chromatography (</w:t>
      </w:r>
      <w:r w:rsidR="00A6147F">
        <w:t>(</w:t>
      </w:r>
      <w:r w:rsidR="002E320A">
        <w:t>HP</w:t>
      </w:r>
      <w:r w:rsidR="00A6147F">
        <w:t>)</w:t>
      </w:r>
      <w:r w:rsidR="002E320A">
        <w:t>L</w:t>
      </w:r>
      <w:r w:rsidR="00B13CE7">
        <w:t>C)</w:t>
      </w:r>
      <w:r w:rsidR="00386312">
        <w:t>-MS/MS</w:t>
      </w:r>
      <w:r w:rsidR="003D6B13">
        <w:t>, and genetic testing</w:t>
      </w:r>
      <w:r w:rsidR="00C970E6">
        <w:t>:</w:t>
      </w:r>
    </w:p>
    <w:p w14:paraId="5673FBE5" w14:textId="77777777" w:rsidR="00C970E6" w:rsidRDefault="00C970E6">
      <w:pPr>
        <w:pStyle w:val="ListParagraph"/>
        <w:numPr>
          <w:ilvl w:val="0"/>
          <w:numId w:val="13"/>
        </w:numPr>
      </w:pPr>
      <w:r>
        <w:t>FIA-MS/MS, then HPLC-MS/MS</w:t>
      </w:r>
    </w:p>
    <w:p w14:paraId="3A9374B5" w14:textId="77777777" w:rsidR="00C970E6" w:rsidRDefault="00C970E6">
      <w:pPr>
        <w:pStyle w:val="ListParagraph"/>
        <w:numPr>
          <w:ilvl w:val="0"/>
          <w:numId w:val="13"/>
        </w:numPr>
      </w:pPr>
      <w:r>
        <w:t xml:space="preserve">FIA-MS/MS, then </w:t>
      </w:r>
      <w:r>
        <w:rPr>
          <w:i/>
          <w:iCs/>
        </w:rPr>
        <w:t xml:space="preserve">ABCD1 </w:t>
      </w:r>
      <w:r>
        <w:t>genetic testing</w:t>
      </w:r>
    </w:p>
    <w:p w14:paraId="45F1088A" w14:textId="77777777" w:rsidR="00C970E6" w:rsidRDefault="00C970E6">
      <w:pPr>
        <w:pStyle w:val="ListParagraph"/>
        <w:numPr>
          <w:ilvl w:val="0"/>
          <w:numId w:val="13"/>
        </w:numPr>
      </w:pPr>
      <w:r>
        <w:t xml:space="preserve">HPLC-MS/MS, then </w:t>
      </w:r>
      <w:r>
        <w:rPr>
          <w:i/>
          <w:iCs/>
        </w:rPr>
        <w:t xml:space="preserve">ABCD1 </w:t>
      </w:r>
      <w:r>
        <w:t>genetic testing</w:t>
      </w:r>
    </w:p>
    <w:p w14:paraId="4AE1663B" w14:textId="77777777" w:rsidR="00C970E6" w:rsidRDefault="00C970E6">
      <w:pPr>
        <w:pStyle w:val="ListParagraph"/>
        <w:numPr>
          <w:ilvl w:val="0"/>
          <w:numId w:val="13"/>
        </w:numPr>
      </w:pPr>
      <w:r>
        <w:t xml:space="preserve">FIA-MS/MS, then HPLC-MS/MS, then </w:t>
      </w:r>
      <w:r w:rsidRPr="00071D3A">
        <w:rPr>
          <w:i/>
          <w:iCs/>
        </w:rPr>
        <w:t xml:space="preserve">ABCD1 </w:t>
      </w:r>
      <w:r>
        <w:t>genetic testing</w:t>
      </w:r>
    </w:p>
    <w:p w14:paraId="6ED16B6F" w14:textId="6C3A74CF" w:rsidR="009503D1" w:rsidRDefault="008A2944" w:rsidP="008A2944">
      <w:r>
        <w:t xml:space="preserve">MSAC noted that the most sensitive biomarker for detection of </w:t>
      </w:r>
      <w:r w:rsidR="005F10B7">
        <w:t xml:space="preserve">high </w:t>
      </w:r>
      <w:r>
        <w:t>VLCFA</w:t>
      </w:r>
      <w:r w:rsidR="005F10B7">
        <w:t xml:space="preserve"> levels</w:t>
      </w:r>
      <w:r>
        <w:t xml:space="preserve"> during screening is </w:t>
      </w:r>
      <w:r w:rsidR="002E320A">
        <w:t xml:space="preserve">the VLCFA </w:t>
      </w:r>
      <w:r>
        <w:t>C26:0, but</w:t>
      </w:r>
      <w:r w:rsidR="0096192D">
        <w:t xml:space="preserve"> it is</w:t>
      </w:r>
      <w:r>
        <w:t xml:space="preserve"> in low abundance. MSAC considered a</w:t>
      </w:r>
      <w:r w:rsidR="00C970E6">
        <w:t>n additional</w:t>
      </w:r>
      <w:r>
        <w:t xml:space="preserve"> tier of HPLC-MS/MS </w:t>
      </w:r>
      <w:r w:rsidR="00FA1904">
        <w:t xml:space="preserve">(strategy IV) </w:t>
      </w:r>
      <w:r>
        <w:t xml:space="preserve">was unnecessary, as a single tier of FIA-MS/MS </w:t>
      </w:r>
      <w:r w:rsidR="00C1650E">
        <w:t xml:space="preserve">(strategy II) </w:t>
      </w:r>
      <w:r w:rsidR="009C6798">
        <w:t>can be optimised to achieve the same result by quantifying more species of VLCFA than only C26:0</w:t>
      </w:r>
      <w:r>
        <w:t xml:space="preserve"> </w:t>
      </w:r>
      <w:r w:rsidR="00D35A39">
        <w:t xml:space="preserve">(such as </w:t>
      </w:r>
      <w:r>
        <w:t>C24:0</w:t>
      </w:r>
      <w:r w:rsidR="0025128A">
        <w:t xml:space="preserve"> and C22:0</w:t>
      </w:r>
      <w:r w:rsidR="00D6157A">
        <w:t>) and their ratios</w:t>
      </w:r>
      <w:r>
        <w:t>.</w:t>
      </w:r>
      <w:r w:rsidR="000A1D88">
        <w:t xml:space="preserve"> MSAC considered that using FIA-MS/MS to measure</w:t>
      </w:r>
      <w:r>
        <w:t xml:space="preserve"> </w:t>
      </w:r>
      <w:r w:rsidR="000A1D88">
        <w:t xml:space="preserve">multiple VLCFA species would improve specificity for X-ALD, however this would require optimisation of the mass spectrometer. </w:t>
      </w:r>
      <w:r w:rsidR="00207C4E">
        <w:t>MSAC noted that e</w:t>
      </w:r>
      <w:r w:rsidR="00207C4E" w:rsidRPr="001E2728">
        <w:t>ach</w:t>
      </w:r>
      <w:r w:rsidR="005A3D9F">
        <w:t xml:space="preserve"> Australian NBS</w:t>
      </w:r>
      <w:r w:rsidR="00207C4E" w:rsidRPr="001E2728">
        <w:t xml:space="preserve"> laboratory determines the instrumentation used for testing </w:t>
      </w:r>
      <w:r w:rsidR="00207C4E">
        <w:t>as well as the</w:t>
      </w:r>
      <w:r w:rsidR="00207C4E" w:rsidRPr="001E2728">
        <w:t xml:space="preserve"> local cut-offs.</w:t>
      </w:r>
      <w:r w:rsidR="00953D6C">
        <w:t xml:space="preserve"> MSAC noted </w:t>
      </w:r>
      <w:r w:rsidR="00561BB6">
        <w:t>that</w:t>
      </w:r>
      <w:r w:rsidR="00953D6C">
        <w:t xml:space="preserve"> </w:t>
      </w:r>
      <w:r w:rsidR="00F02024">
        <w:t>in its experience diagnosing affected individuals displaying signs and/or symptoms of X-ALD</w:t>
      </w:r>
      <w:r w:rsidR="00953D6C">
        <w:t>, classical X-ALD diagnosis us</w:t>
      </w:r>
      <w:r w:rsidR="002E320A">
        <w:t>es</w:t>
      </w:r>
      <w:r w:rsidR="00953D6C">
        <w:t xml:space="preserve"> HPLC </w:t>
      </w:r>
      <w:r w:rsidR="00B7625A">
        <w:t xml:space="preserve">(gas chromatography or tandem mass spectrometry) </w:t>
      </w:r>
      <w:r w:rsidR="18B37A47">
        <w:t xml:space="preserve">and </w:t>
      </w:r>
      <w:r w:rsidR="00953D6C">
        <w:t>measures C26:0</w:t>
      </w:r>
      <w:r w:rsidR="00B7625A">
        <w:t xml:space="preserve"> and</w:t>
      </w:r>
      <w:r w:rsidR="00953D6C">
        <w:t xml:space="preserve"> C24:0 and </w:t>
      </w:r>
      <w:r w:rsidR="00D5596D">
        <w:t>the ratios C26:22 and C24:</w:t>
      </w:r>
      <w:r w:rsidR="00953D6C">
        <w:t xml:space="preserve">22. </w:t>
      </w:r>
      <w:r w:rsidR="00202958">
        <w:t xml:space="preserve">MSAC considered that </w:t>
      </w:r>
      <w:r w:rsidR="00801B64">
        <w:t>this was supported by the literature, for example</w:t>
      </w:r>
      <w:r w:rsidR="00202958">
        <w:t xml:space="preserve"> Natarajan 2019</w:t>
      </w:r>
      <w:r w:rsidR="00202958">
        <w:rPr>
          <w:rStyle w:val="FootnoteReference"/>
        </w:rPr>
        <w:footnoteReference w:id="4"/>
      </w:r>
      <w:r w:rsidR="00202958">
        <w:t xml:space="preserve"> found that C26:0-LPC, C26:0-C20:0 ratio and C24:0-LPC were significantly elevated in the blood of people with X-ALD compared to controls, by 6, 3.5 and 3 folds respectively. </w:t>
      </w:r>
      <w:r>
        <w:t xml:space="preserve">MSAC </w:t>
      </w:r>
      <w:r w:rsidR="009503D1">
        <w:t xml:space="preserve">therefore </w:t>
      </w:r>
      <w:r w:rsidR="00D6157A">
        <w:t>advised</w:t>
      </w:r>
      <w:r>
        <w:t xml:space="preserve"> that the </w:t>
      </w:r>
      <w:r w:rsidR="00817A74">
        <w:t>method used</w:t>
      </w:r>
      <w:r>
        <w:t xml:space="preserve"> for X-ALD screening should </w:t>
      </w:r>
      <w:r w:rsidR="00D6157A">
        <w:t xml:space="preserve">be </w:t>
      </w:r>
      <w:r w:rsidR="00C940D2">
        <w:t xml:space="preserve">first </w:t>
      </w:r>
      <w:r w:rsidR="00D6157A">
        <w:t xml:space="preserve">tier FIA-MS/MS to </w:t>
      </w:r>
      <w:r w:rsidRPr="009759C8">
        <w:t>measure</w:t>
      </w:r>
      <w:r>
        <w:t xml:space="preserve"> </w:t>
      </w:r>
      <w:r w:rsidR="00D6157A">
        <w:t>multiple</w:t>
      </w:r>
      <w:r w:rsidR="00D5596D">
        <w:t xml:space="preserve"> species of</w:t>
      </w:r>
      <w:r w:rsidR="00D6157A">
        <w:t xml:space="preserve"> VLCFAs and their </w:t>
      </w:r>
      <w:r w:rsidR="00D6157A">
        <w:lastRenderedPageBreak/>
        <w:t>ratios</w:t>
      </w:r>
      <w:r w:rsidR="00403119">
        <w:t>, as this would offer sufficient specificity without adding a</w:t>
      </w:r>
      <w:r w:rsidR="00030B36">
        <w:t xml:space="preserve">nother tier of </w:t>
      </w:r>
      <w:r w:rsidR="00801B64">
        <w:t xml:space="preserve">mass spectrometry </w:t>
      </w:r>
      <w:r w:rsidR="00030B36">
        <w:t>screening</w:t>
      </w:r>
      <w:r w:rsidR="009503D1">
        <w:t>, followed by a</w:t>
      </w:r>
      <w:r w:rsidR="00D6157A">
        <w:t xml:space="preserve"> second tier </w:t>
      </w:r>
      <w:r w:rsidR="009503D1">
        <w:t xml:space="preserve">using </w:t>
      </w:r>
      <w:r w:rsidRPr="00A61B2C">
        <w:rPr>
          <w:i/>
          <w:iCs/>
        </w:rPr>
        <w:t>ABCD1</w:t>
      </w:r>
      <w:r>
        <w:t xml:space="preserve"> genetic testing</w:t>
      </w:r>
      <w:r w:rsidR="009503D1">
        <w:t xml:space="preserve"> (strategy II)</w:t>
      </w:r>
      <w:r>
        <w:t>.</w:t>
      </w:r>
      <w:r w:rsidR="001572B8">
        <w:t xml:space="preserve"> </w:t>
      </w:r>
    </w:p>
    <w:p w14:paraId="70B95761" w14:textId="6EDB1040" w:rsidR="008A2944" w:rsidRDefault="001572B8" w:rsidP="008A2944">
      <w:r>
        <w:t xml:space="preserve">MSAC noted that most </w:t>
      </w:r>
      <w:r w:rsidR="00475EAA">
        <w:rPr>
          <w:i/>
          <w:iCs/>
        </w:rPr>
        <w:t>ABCD1</w:t>
      </w:r>
      <w:r>
        <w:t xml:space="preserve"> genetic variants are private, but agreed with ESC that genetic testing was unlikely to result in a variant of uncertain significance (VUS) because the abnormal VLCFA levels </w:t>
      </w:r>
      <w:r w:rsidR="00475EAA">
        <w:t xml:space="preserve">from the prior tier of screening </w:t>
      </w:r>
      <w:r>
        <w:t xml:space="preserve">can be taken into account when classifying the pathogenicity of the detected </w:t>
      </w:r>
      <w:r w:rsidR="00475EAA">
        <w:t xml:space="preserve">genetic </w:t>
      </w:r>
      <w:r>
        <w:t>variant.</w:t>
      </w:r>
      <w:r w:rsidR="00D6157A">
        <w:t xml:space="preserve"> </w:t>
      </w:r>
      <w:r w:rsidR="00475EAA">
        <w:t xml:space="preserve">MSAC noted that approximately </w:t>
      </w:r>
      <w:r w:rsidR="00475EAA" w:rsidRPr="003362DA">
        <w:t>7</w:t>
      </w:r>
      <w:r w:rsidR="006B77C0">
        <w:t>-9</w:t>
      </w:r>
      <w:r w:rsidR="00475EAA" w:rsidRPr="003362DA">
        <w:t xml:space="preserve">% of </w:t>
      </w:r>
      <w:r w:rsidR="00475EAA">
        <w:t>female heterozygotes</w:t>
      </w:r>
      <w:r w:rsidR="00475EAA" w:rsidRPr="003362DA">
        <w:t xml:space="preserve"> </w:t>
      </w:r>
      <w:r w:rsidR="00475EAA">
        <w:t xml:space="preserve">for a P/LP </w:t>
      </w:r>
      <w:r w:rsidR="00475EAA">
        <w:rPr>
          <w:i/>
          <w:iCs/>
        </w:rPr>
        <w:t xml:space="preserve">ABCD1 </w:t>
      </w:r>
      <w:r w:rsidR="00475EAA">
        <w:t xml:space="preserve">variant have </w:t>
      </w:r>
      <w:r w:rsidR="00475EAA" w:rsidRPr="003362DA">
        <w:t xml:space="preserve">normal VLCFA levels </w:t>
      </w:r>
      <w:r w:rsidR="00475EAA">
        <w:t>due to</w:t>
      </w:r>
      <w:r w:rsidR="00475EAA" w:rsidRPr="003362DA">
        <w:t xml:space="preserve"> non-random X-inactivation</w:t>
      </w:r>
      <w:r w:rsidR="00475EAA">
        <w:t xml:space="preserve">. </w:t>
      </w:r>
      <w:r w:rsidR="00E82DD1">
        <w:t>MSAC considered c</w:t>
      </w:r>
      <w:r w:rsidR="00D6157A">
        <w:t xml:space="preserve">ascade testing would need to </w:t>
      </w:r>
      <w:r w:rsidR="00E82DD1">
        <w:t xml:space="preserve">use </w:t>
      </w:r>
      <w:r w:rsidR="00475EAA">
        <w:t>genetic</w:t>
      </w:r>
      <w:r w:rsidR="00E82DD1">
        <w:t xml:space="preserve"> methods in females as VLCFA levels are not definitive for them.</w:t>
      </w:r>
    </w:p>
    <w:p w14:paraId="4C395C7E" w14:textId="5B6C64CA" w:rsidR="005C1A6A" w:rsidRDefault="005C1A6A" w:rsidP="005C1A6A">
      <w:r>
        <w:t xml:space="preserve">MSAC noted that the comparator </w:t>
      </w:r>
      <w:r w:rsidR="00AF098C">
        <w:t>wa</w:t>
      </w:r>
      <w:r>
        <w:t xml:space="preserve">s no </w:t>
      </w:r>
      <w:r w:rsidR="69F2870A">
        <w:t xml:space="preserve">universal </w:t>
      </w:r>
      <w:r>
        <w:t>NBS</w:t>
      </w:r>
      <w:r w:rsidR="008D737A">
        <w:t xml:space="preserve"> for X-ALD</w:t>
      </w:r>
      <w:r w:rsidR="00307B9A">
        <w:t>, with X-ALD diagnosis delayed until symptom onset. G</w:t>
      </w:r>
      <w:r w:rsidR="00307B9A" w:rsidRPr="00D705DE">
        <w:t xml:space="preserve">enetic testing of the </w:t>
      </w:r>
      <w:r w:rsidR="00307B9A" w:rsidRPr="00D705DE">
        <w:rPr>
          <w:i/>
          <w:iCs/>
        </w:rPr>
        <w:t>ABCD1</w:t>
      </w:r>
      <w:r w:rsidR="00307B9A" w:rsidRPr="00D705DE">
        <w:t xml:space="preserve"> gene</w:t>
      </w:r>
      <w:r w:rsidR="00307B9A">
        <w:t xml:space="preserve"> is part of current standard of care</w:t>
      </w:r>
      <w:r w:rsidR="46434509">
        <w:t xml:space="preserve"> </w:t>
      </w:r>
      <w:r w:rsidR="00FE3336">
        <w:t xml:space="preserve">for </w:t>
      </w:r>
      <w:r w:rsidR="46434509">
        <w:t>children diagnosed at symptom onset</w:t>
      </w:r>
      <w:r w:rsidR="00307B9A">
        <w:t xml:space="preserve">. Following a diagnosis of a pathogenic or likely pathogenic variant in </w:t>
      </w:r>
      <w:r w:rsidR="00307B9A">
        <w:rPr>
          <w:i/>
          <w:iCs/>
        </w:rPr>
        <w:t>ABCD1</w:t>
      </w:r>
      <w:r w:rsidR="00307B9A">
        <w:t xml:space="preserve">, monitoring and treatment takes place. </w:t>
      </w:r>
      <w:r w:rsidR="37D121B4">
        <w:t xml:space="preserve">The </w:t>
      </w:r>
      <w:r w:rsidR="003D4B5F">
        <w:t>nature of</w:t>
      </w:r>
      <w:r w:rsidR="37D121B4">
        <w:t xml:space="preserve"> m</w:t>
      </w:r>
      <w:r w:rsidR="00307B9A">
        <w:t xml:space="preserve">onitoring and treatment for X-ALD is not proposed to be altered by NBS, but </w:t>
      </w:r>
      <w:r w:rsidR="587EAF1B">
        <w:t xml:space="preserve">monitoring </w:t>
      </w:r>
      <w:r w:rsidR="00307B9A">
        <w:t xml:space="preserve">would </w:t>
      </w:r>
      <w:r w:rsidR="3D806BEE">
        <w:t>commence</w:t>
      </w:r>
      <w:r w:rsidR="00307B9A">
        <w:t xml:space="preserve"> earlier</w:t>
      </w:r>
      <w:r w:rsidR="7AFD8AF6">
        <w:t xml:space="preserve"> to permit earlier </w:t>
      </w:r>
      <w:r w:rsidR="00C9749D">
        <w:t xml:space="preserve">haematopoietic </w:t>
      </w:r>
      <w:r w:rsidR="00D71E8D" w:rsidRPr="00A926C5">
        <w:t xml:space="preserve">stem cell transplant </w:t>
      </w:r>
      <w:r w:rsidR="00D71E8D">
        <w:t>(</w:t>
      </w:r>
      <w:r w:rsidR="7AFD8AF6">
        <w:t>HSCT</w:t>
      </w:r>
      <w:r w:rsidR="00D71E8D">
        <w:t>)</w:t>
      </w:r>
      <w:r w:rsidR="00307B9A">
        <w:t xml:space="preserve">. </w:t>
      </w:r>
      <w:r w:rsidR="43629561">
        <w:t>Management</w:t>
      </w:r>
      <w:r w:rsidR="00307B9A" w:rsidRPr="001F74BF">
        <w:t xml:space="preserve"> of </w:t>
      </w:r>
      <w:r w:rsidR="5E2C6B40">
        <w:t xml:space="preserve">CCALD </w:t>
      </w:r>
      <w:r w:rsidR="00307B9A">
        <w:t>includes</w:t>
      </w:r>
      <w:r w:rsidR="00307B9A" w:rsidRPr="001F74BF">
        <w:t xml:space="preserve"> neurological/MRI monitoring and HSCT</w:t>
      </w:r>
      <w:r w:rsidR="0CFB49BC">
        <w:t xml:space="preserve"> once </w:t>
      </w:r>
      <w:r w:rsidR="0025128A">
        <w:t xml:space="preserve">the early stage of </w:t>
      </w:r>
      <w:r w:rsidR="0CFB49BC">
        <w:t>cerebral disease is</w:t>
      </w:r>
      <w:r w:rsidR="0025128A">
        <w:t xml:space="preserve"> </w:t>
      </w:r>
      <w:r w:rsidR="0CFB49BC">
        <w:t>clinically and</w:t>
      </w:r>
      <w:r w:rsidR="0025128A">
        <w:t>/or</w:t>
      </w:r>
      <w:r w:rsidR="0CFB49BC">
        <w:t xml:space="preserve"> radiologically detected</w:t>
      </w:r>
      <w:r w:rsidR="00307B9A">
        <w:t>.</w:t>
      </w:r>
      <w:r w:rsidR="00307B9A" w:rsidRPr="001F74BF">
        <w:t xml:space="preserve"> </w:t>
      </w:r>
      <w:r w:rsidR="00307B9A">
        <w:t xml:space="preserve">MSAC noted the likelihood of future additional interventions, as the United </w:t>
      </w:r>
      <w:r w:rsidR="00307B9A" w:rsidRPr="00757F29">
        <w:t>States Food and Drug Administration</w:t>
      </w:r>
      <w:r w:rsidR="00307B9A">
        <w:t xml:space="preserve"> </w:t>
      </w:r>
      <w:r w:rsidR="00307B9A" w:rsidRPr="001F74BF">
        <w:t xml:space="preserve">approved </w:t>
      </w:r>
      <w:r w:rsidR="501A58B1">
        <w:t xml:space="preserve">the </w:t>
      </w:r>
      <w:r w:rsidR="00307B9A">
        <w:t>l</w:t>
      </w:r>
      <w:r w:rsidR="00307B9A" w:rsidRPr="001F74BF">
        <w:t xml:space="preserve">entiviral </w:t>
      </w:r>
      <w:r w:rsidR="00307B9A">
        <w:t>g</w:t>
      </w:r>
      <w:r w:rsidR="00307B9A" w:rsidRPr="001F74BF">
        <w:t xml:space="preserve">ene therapy </w:t>
      </w:r>
      <w:r w:rsidR="73854C13">
        <w:t xml:space="preserve">Skysona </w:t>
      </w:r>
      <w:r w:rsidR="00307B9A" w:rsidRPr="001F74BF">
        <w:t>in 2022</w:t>
      </w:r>
      <w:r w:rsidR="00307B9A">
        <w:t>. MSAC noted that</w:t>
      </w:r>
      <w:r w:rsidR="00307B9A" w:rsidRPr="001F74BF">
        <w:t xml:space="preserve"> </w:t>
      </w:r>
      <w:r w:rsidR="00307B9A">
        <w:t xml:space="preserve">the </w:t>
      </w:r>
      <w:r w:rsidR="00307B9A" w:rsidRPr="00BE15D4">
        <w:t xml:space="preserve">European Medicines Agency </w:t>
      </w:r>
      <w:r w:rsidR="00307B9A" w:rsidRPr="001F74BF">
        <w:t xml:space="preserve">granted marketing authorisation </w:t>
      </w:r>
      <w:r w:rsidR="00307B9A">
        <w:t xml:space="preserve">for the same therapy </w:t>
      </w:r>
      <w:r w:rsidR="00307B9A" w:rsidRPr="001F74BF">
        <w:t>in 2021</w:t>
      </w:r>
      <w:r w:rsidR="00307B9A">
        <w:t>, but this has since been withdrawn.</w:t>
      </w:r>
    </w:p>
    <w:p w14:paraId="429030FC" w14:textId="3B93B9D0" w:rsidR="005C1A6A" w:rsidRDefault="005C1A6A" w:rsidP="003C54EF">
      <w:pPr>
        <w:keepNext/>
      </w:pPr>
      <w:r w:rsidRPr="0060242C">
        <w:t xml:space="preserve">MSAC noted the </w:t>
      </w:r>
      <w:r w:rsidR="00F3627C">
        <w:t>DCAR used a linked evidence approach</w:t>
      </w:r>
      <w:r w:rsidR="006D7FF0">
        <w:t>.</w:t>
      </w:r>
      <w:r w:rsidR="004E14E4">
        <w:t xml:space="preserve"> The DCAR’s systematic literature review</w:t>
      </w:r>
      <w:r w:rsidR="006D7FF0">
        <w:t xml:space="preserve"> </w:t>
      </w:r>
      <w:r w:rsidR="004E14E4">
        <w:t>identified n</w:t>
      </w:r>
      <w:r w:rsidR="004E14E4" w:rsidRPr="0060242C">
        <w:t>o studies examin</w:t>
      </w:r>
      <w:r w:rsidR="004E14E4">
        <w:t>ing</w:t>
      </w:r>
      <w:r w:rsidR="004E14E4" w:rsidRPr="0060242C">
        <w:t xml:space="preserve"> the change in health outcomes due to a change in clinical decisions,</w:t>
      </w:r>
      <w:r w:rsidR="004E14E4">
        <w:t xml:space="preserve"> n</w:t>
      </w:r>
      <w:r w:rsidR="004E14E4" w:rsidRPr="0060242C">
        <w:t>o studies compar</w:t>
      </w:r>
      <w:r w:rsidR="004E14E4">
        <w:t>ing</w:t>
      </w:r>
      <w:r w:rsidR="004E14E4" w:rsidRPr="0060242C">
        <w:t xml:space="preserve"> treatment </w:t>
      </w:r>
      <w:r w:rsidR="0025352D">
        <w:t>at early versus</w:t>
      </w:r>
      <w:r w:rsidR="004E14E4" w:rsidRPr="0060242C">
        <w:t xml:space="preserve"> late </w:t>
      </w:r>
      <w:r w:rsidR="0025352D">
        <w:t>progression</w:t>
      </w:r>
      <w:r w:rsidR="004E14E4">
        <w:t>, and n</w:t>
      </w:r>
      <w:r w:rsidR="004E14E4" w:rsidRPr="0060242C">
        <w:t xml:space="preserve">o studies on health outcomes for </w:t>
      </w:r>
      <w:r w:rsidR="004D24FE">
        <w:t>AMN</w:t>
      </w:r>
      <w:r w:rsidR="004E14E4" w:rsidRPr="0060242C">
        <w:t xml:space="preserve"> or adrenal insufficiency.</w:t>
      </w:r>
      <w:r w:rsidR="00F3435F">
        <w:t xml:space="preserve"> </w:t>
      </w:r>
      <w:r w:rsidR="008E7CB1">
        <w:t>Key studies identified through t</w:t>
      </w:r>
      <w:r w:rsidR="003704EC">
        <w:t>he</w:t>
      </w:r>
      <w:r w:rsidR="00F3627C">
        <w:t xml:space="preserve"> </w:t>
      </w:r>
      <w:r w:rsidRPr="0060242C">
        <w:t>DCAR</w:t>
      </w:r>
      <w:r w:rsidR="001679A5">
        <w:t>’</w:t>
      </w:r>
      <w:r w:rsidR="00387FE7" w:rsidRPr="0060242C">
        <w:t>s systematic literature review</w:t>
      </w:r>
      <w:r w:rsidR="0018264F" w:rsidRPr="0060242C">
        <w:t xml:space="preserve"> </w:t>
      </w:r>
      <w:r w:rsidR="008E7CB1">
        <w:t>included</w:t>
      </w:r>
      <w:r w:rsidR="0018264F" w:rsidRPr="0060242C">
        <w:t xml:space="preserve"> </w:t>
      </w:r>
      <w:r w:rsidR="00387FE7" w:rsidRPr="0060242C">
        <w:t>t</w:t>
      </w:r>
      <w:r w:rsidRPr="0060242C">
        <w:t>wo studies compar</w:t>
      </w:r>
      <w:r w:rsidR="00387FE7" w:rsidRPr="0060242C">
        <w:t>ing</w:t>
      </w:r>
      <w:r w:rsidRPr="0060242C">
        <w:t xml:space="preserve"> HSCT versus no HSCT as a treatment </w:t>
      </w:r>
      <w:r w:rsidR="00387FE7" w:rsidRPr="0060242C">
        <w:t xml:space="preserve">for </w:t>
      </w:r>
      <w:r w:rsidR="0016539F" w:rsidRPr="00C54104">
        <w:t>cerebral ALD</w:t>
      </w:r>
      <w:r w:rsidR="0016539F">
        <w:t xml:space="preserve"> (</w:t>
      </w:r>
      <w:r w:rsidRPr="0060242C">
        <w:t>CALD</w:t>
      </w:r>
      <w:r w:rsidR="0016539F">
        <w:t>)</w:t>
      </w:r>
      <w:r w:rsidR="0081767B" w:rsidRPr="003424FB">
        <w:t xml:space="preserve"> (and AMN with cerebral/cerebellar involvement)</w:t>
      </w:r>
      <w:r w:rsidR="00387FE7" w:rsidRPr="0060242C">
        <w:t xml:space="preserve">, </w:t>
      </w:r>
      <w:r w:rsidR="00207300">
        <w:t>both</w:t>
      </w:r>
      <w:r w:rsidR="00FA70E9">
        <w:t xml:space="preserve"> judged to be at</w:t>
      </w:r>
      <w:r w:rsidR="00207300">
        <w:t xml:space="preserve"> high risk of bias, </w:t>
      </w:r>
      <w:r w:rsidR="00387FE7" w:rsidRPr="0060242C">
        <w:t xml:space="preserve">and </w:t>
      </w:r>
      <w:r w:rsidR="00FA70E9">
        <w:t>ten</w:t>
      </w:r>
      <w:r w:rsidRPr="0060242C">
        <w:t xml:space="preserve"> studies compar</w:t>
      </w:r>
      <w:r w:rsidR="00387FE7" w:rsidRPr="0060242C">
        <w:t>ing HSCT at</w:t>
      </w:r>
      <w:r w:rsidRPr="0060242C">
        <w:t xml:space="preserve"> early versus late </w:t>
      </w:r>
      <w:r w:rsidR="0081767B" w:rsidRPr="003424FB">
        <w:t xml:space="preserve">CALD </w:t>
      </w:r>
      <w:r w:rsidRPr="0060242C">
        <w:t>progression</w:t>
      </w:r>
      <w:r w:rsidR="00207300">
        <w:t>, of which</w:t>
      </w:r>
      <w:r w:rsidR="00480D21" w:rsidRPr="0060242C">
        <w:t xml:space="preserve"> </w:t>
      </w:r>
      <w:r w:rsidRPr="0060242C">
        <w:t>three were judged to be at high risk of bias and seven at moderate risk.</w:t>
      </w:r>
    </w:p>
    <w:p w14:paraId="30B4049F" w14:textId="1424720A" w:rsidR="005C1A6A" w:rsidRDefault="005C1A6A" w:rsidP="005C1A6A">
      <w:r>
        <w:t xml:space="preserve">Regarding safety, MSAC considered there to be no additional </w:t>
      </w:r>
      <w:r w:rsidR="002D41D7">
        <w:t xml:space="preserve">direct </w:t>
      </w:r>
      <w:r>
        <w:t xml:space="preserve">harm from adding another </w:t>
      </w:r>
      <w:r w:rsidR="001E47B7">
        <w:t xml:space="preserve">condition </w:t>
      </w:r>
      <w:r w:rsidR="00031642">
        <w:t xml:space="preserve">to NBS </w:t>
      </w:r>
      <w:r w:rsidR="00FE69E3">
        <w:t xml:space="preserve">as it would use </w:t>
      </w:r>
      <w:r>
        <w:t xml:space="preserve">the </w:t>
      </w:r>
      <w:r w:rsidR="00FE69E3">
        <w:t xml:space="preserve">same </w:t>
      </w:r>
      <w:r>
        <w:t>bloodspot</w:t>
      </w:r>
      <w:r w:rsidR="00FE69E3">
        <w:t xml:space="preserve"> already collected</w:t>
      </w:r>
      <w:r>
        <w:t xml:space="preserve">. </w:t>
      </w:r>
      <w:r w:rsidR="001E47B7">
        <w:t xml:space="preserve">MSAC noted the applicant stated in its pre-MSAC response that NBS for X-ALD “does no harm”, </w:t>
      </w:r>
      <w:r w:rsidR="008E23D9">
        <w:t xml:space="preserve">however </w:t>
      </w:r>
      <w:r>
        <w:t xml:space="preserve">MSAC considered </w:t>
      </w:r>
      <w:r w:rsidR="00031642">
        <w:t xml:space="preserve">there were potential </w:t>
      </w:r>
      <w:r w:rsidR="33813FFF">
        <w:t xml:space="preserve">indirect </w:t>
      </w:r>
      <w:r w:rsidR="00031642">
        <w:t>harms from adding X-ALD to NBS</w:t>
      </w:r>
      <w:r w:rsidR="008E23D9">
        <w:t xml:space="preserve">. </w:t>
      </w:r>
      <w:r w:rsidR="0047030C">
        <w:t>MSAC considered that t</w:t>
      </w:r>
      <w:r w:rsidR="008E23D9">
        <w:t>he harms of NBS for X-ALD</w:t>
      </w:r>
      <w:r w:rsidR="00031642">
        <w:t xml:space="preserve"> includ</w:t>
      </w:r>
      <w:r w:rsidR="008E23D9">
        <w:t>e</w:t>
      </w:r>
      <w:r w:rsidR="0047030C">
        <w:t>d</w:t>
      </w:r>
      <w:r w:rsidR="00031642">
        <w:t xml:space="preserve"> risks from </w:t>
      </w:r>
      <w:r w:rsidR="00031642" w:rsidRPr="00031642">
        <w:t xml:space="preserve">undergoing monitoring where clinical disease may not eventuate </w:t>
      </w:r>
      <w:r w:rsidR="00B2285E">
        <w:t xml:space="preserve">in </w:t>
      </w:r>
      <w:r w:rsidR="00012AE2">
        <w:t xml:space="preserve">some </w:t>
      </w:r>
      <w:r w:rsidR="00B2285E">
        <w:t xml:space="preserve">children </w:t>
      </w:r>
      <w:r w:rsidR="00031642" w:rsidRPr="00031642">
        <w:t>due to low penetrance</w:t>
      </w:r>
      <w:r w:rsidR="00031642">
        <w:t xml:space="preserve"> (monitoring uses </w:t>
      </w:r>
      <w:r w:rsidR="00F92FA2">
        <w:t>magnetic resonance imaging [</w:t>
      </w:r>
      <w:r w:rsidR="00031642">
        <w:t>MRI</w:t>
      </w:r>
      <w:r w:rsidR="00F92FA2">
        <w:t>]</w:t>
      </w:r>
      <w:r w:rsidR="00031642">
        <w:t>, which requires general anaesthetic in young children)</w:t>
      </w:r>
      <w:r w:rsidR="00EF6411">
        <w:t xml:space="preserve">. </w:t>
      </w:r>
      <w:r w:rsidR="00F2679F">
        <w:t xml:space="preserve">MSAC considered that while </w:t>
      </w:r>
      <w:r w:rsidR="002E3F2A">
        <w:t xml:space="preserve">early HSCT improved survival, </w:t>
      </w:r>
      <w:r w:rsidR="00657B6F">
        <w:t xml:space="preserve">potential harms from </w:t>
      </w:r>
      <w:r w:rsidR="002E3F2A">
        <w:t>HSCT includ</w:t>
      </w:r>
      <w:r w:rsidR="00657B6F">
        <w:t>e</w:t>
      </w:r>
      <w:r w:rsidR="002E3F2A">
        <w:t xml:space="preserve"> mortality, graft failure, and graft-versus-host disease. </w:t>
      </w:r>
      <w:r w:rsidR="00657B6F">
        <w:t>Further p</w:t>
      </w:r>
      <w:r w:rsidR="00EF6411">
        <w:t>otential harms from adding X-ALD to NBS also included</w:t>
      </w:r>
      <w:r w:rsidR="00031642" w:rsidRPr="00031642">
        <w:t xml:space="preserve"> </w:t>
      </w:r>
      <w:r w:rsidR="008E23D9">
        <w:t xml:space="preserve">the </w:t>
      </w:r>
      <w:r w:rsidR="00031642" w:rsidRPr="00031642">
        <w:t>psychological harm from a positive result</w:t>
      </w:r>
      <w:r w:rsidR="001E0C2E">
        <w:t xml:space="preserve"> (true or false positive)</w:t>
      </w:r>
      <w:r w:rsidR="00031642" w:rsidRPr="00031642">
        <w:t xml:space="preserve">, and </w:t>
      </w:r>
      <w:r w:rsidR="00076B4D">
        <w:t xml:space="preserve">the psychological </w:t>
      </w:r>
      <w:r w:rsidR="00CE261C">
        <w:t>harm from receiving a diagnosis</w:t>
      </w:r>
      <w:r w:rsidR="00285576">
        <w:t xml:space="preserve"> where management is </w:t>
      </w:r>
      <w:r w:rsidR="00031642" w:rsidRPr="00031642">
        <w:t>only symptomatic treatment</w:t>
      </w:r>
      <w:r w:rsidR="00B84AD6">
        <w:t>, as opposed to treatment that can halt disease progression</w:t>
      </w:r>
      <w:r w:rsidR="00285576">
        <w:t xml:space="preserve">. </w:t>
      </w:r>
      <w:r w:rsidR="00837998">
        <w:t>However,</w:t>
      </w:r>
      <w:r w:rsidR="00285576">
        <w:t xml:space="preserve"> MSAC considered that the</w:t>
      </w:r>
      <w:r>
        <w:t xml:space="preserve"> psychological harm from </w:t>
      </w:r>
      <w:r w:rsidR="0098524B">
        <w:t>a</w:t>
      </w:r>
      <w:r>
        <w:t xml:space="preserve"> positive result </w:t>
      </w:r>
      <w:r w:rsidR="00285576">
        <w:t xml:space="preserve">would </w:t>
      </w:r>
      <w:r>
        <w:t xml:space="preserve">likely be similar to </w:t>
      </w:r>
      <w:r w:rsidR="00285576">
        <w:t>that for other serious conditions already included</w:t>
      </w:r>
      <w:r>
        <w:t xml:space="preserve"> </w:t>
      </w:r>
      <w:r w:rsidR="00E116C7">
        <w:t>in</w:t>
      </w:r>
      <w:r>
        <w:t xml:space="preserve"> NBS programs.</w:t>
      </w:r>
      <w:r w:rsidR="0007633C">
        <w:t xml:space="preserve"> On balance, MSAC considered</w:t>
      </w:r>
      <w:r w:rsidR="00657B6F">
        <w:t xml:space="preserve"> these potential harms were acceptable, and so advised that</w:t>
      </w:r>
      <w:r w:rsidR="0007633C">
        <w:t xml:space="preserve"> adding X-ALD to NBS </w:t>
      </w:r>
      <w:r w:rsidR="00012B9D">
        <w:t>was</w:t>
      </w:r>
      <w:r w:rsidR="0007633C">
        <w:t xml:space="preserve"> </w:t>
      </w:r>
      <w:r w:rsidR="007958D4">
        <w:t xml:space="preserve">comparatively </w:t>
      </w:r>
      <w:r w:rsidR="0007633C">
        <w:t>safe.</w:t>
      </w:r>
    </w:p>
    <w:p w14:paraId="7303CF57" w14:textId="1F5D0495" w:rsidR="00C50822" w:rsidRDefault="004044EE" w:rsidP="005C1A6A">
      <w:r>
        <w:t>MSAC noted the DCAR stated that a</w:t>
      </w:r>
      <w:r w:rsidRPr="004B7D0B">
        <w:t xml:space="preserve">bout 50% of </w:t>
      </w:r>
      <w:r w:rsidR="00224A1D">
        <w:t xml:space="preserve">boys at risk of </w:t>
      </w:r>
      <w:r w:rsidRPr="004B7D0B">
        <w:t>X-ALD will develop primary adrenal insufficiency by the age of 10</w:t>
      </w:r>
      <w:r>
        <w:t>, and</w:t>
      </w:r>
      <w:r w:rsidRPr="004B7D0B">
        <w:t xml:space="preserve"> 30–35% will develop </w:t>
      </w:r>
      <w:r>
        <w:t xml:space="preserve">CCALD in childhood </w:t>
      </w:r>
      <w:r w:rsidRPr="00B21044">
        <w:t>(</w:t>
      </w:r>
      <w:r w:rsidR="00393F98">
        <w:fldChar w:fldCharType="begin"/>
      </w:r>
      <w:r w:rsidR="00393F98">
        <w:instrText xml:space="preserve"> REF _Ref139007295 </w:instrText>
      </w:r>
      <w:r w:rsidR="00393F98">
        <w:fldChar w:fldCharType="separate"/>
      </w:r>
      <w:r w:rsidR="00253978">
        <w:t xml:space="preserve">Table </w:t>
      </w:r>
      <w:r w:rsidR="00253978">
        <w:rPr>
          <w:noProof/>
        </w:rPr>
        <w:t>5</w:t>
      </w:r>
      <w:r w:rsidR="00393F98">
        <w:rPr>
          <w:noProof/>
        </w:rPr>
        <w:fldChar w:fldCharType="end"/>
      </w:r>
      <w:r w:rsidRPr="00B21044">
        <w:t>)</w:t>
      </w:r>
      <w:r w:rsidRPr="004B7D0B">
        <w:t>.</w:t>
      </w:r>
      <w:r w:rsidR="00B767C7">
        <w:t xml:space="preserve"> </w:t>
      </w:r>
      <w:r w:rsidR="00925565">
        <w:t>MSAC noted the DCAR assumed that AMN and AI had no effect on overall survival, but</w:t>
      </w:r>
      <w:r w:rsidR="00F04029">
        <w:t xml:space="preserve"> considered</w:t>
      </w:r>
      <w:r w:rsidR="00925565">
        <w:t xml:space="preserve"> that this did not align with its anecdotal </w:t>
      </w:r>
      <w:r w:rsidR="6033ECCC">
        <w:t xml:space="preserve">clinical </w:t>
      </w:r>
      <w:r w:rsidR="00925565">
        <w:t>experience</w:t>
      </w:r>
      <w:r w:rsidR="00172256">
        <w:t xml:space="preserve"> </w:t>
      </w:r>
      <w:r w:rsidR="00CC5864">
        <w:t xml:space="preserve">– </w:t>
      </w:r>
      <w:r w:rsidR="006B590D">
        <w:t>and not</w:t>
      </w:r>
      <w:r w:rsidR="00725FB8">
        <w:t>ed</w:t>
      </w:r>
      <w:r w:rsidR="006B590D">
        <w:t xml:space="preserve"> that </w:t>
      </w:r>
      <w:r w:rsidR="00CC5864">
        <w:t xml:space="preserve">one patient died from adrenal crisis in a </w:t>
      </w:r>
      <w:r w:rsidR="006C2A1E">
        <w:t>clinical</w:t>
      </w:r>
      <w:r w:rsidR="00CC5864">
        <w:t xml:space="preserve"> trial</w:t>
      </w:r>
      <w:r w:rsidR="00925565">
        <w:t>. MSAC noted the</w:t>
      </w:r>
      <w:r w:rsidR="00226FC9">
        <w:t xml:space="preserve"> applicant’s</w:t>
      </w:r>
      <w:r w:rsidR="00925565">
        <w:t xml:space="preserve"> pre-MSAC response </w:t>
      </w:r>
      <w:r w:rsidR="00CC5864">
        <w:lastRenderedPageBreak/>
        <w:t>disagreed with</w:t>
      </w:r>
      <w:r w:rsidR="00925565">
        <w:t xml:space="preserve"> the age of presentation reported by the DCAR, and </w:t>
      </w:r>
      <w:r w:rsidR="00022FF1">
        <w:t xml:space="preserve">MSAC </w:t>
      </w:r>
      <w:r w:rsidR="00925565">
        <w:t>considered that anecdotal evidence supported earlier diagnosis in some cases</w:t>
      </w:r>
      <w:r w:rsidR="006B590D">
        <w:t>,</w:t>
      </w:r>
      <w:r w:rsidR="00925565">
        <w:t xml:space="preserve"> suggesting the DCAR had overestimated the age of X-ALD presentation</w:t>
      </w:r>
      <w:r w:rsidR="008F0A09">
        <w:t xml:space="preserve"> in males</w:t>
      </w:r>
      <w:r w:rsidR="00925565">
        <w:t xml:space="preserve">. </w:t>
      </w:r>
      <w:r w:rsidR="00B767C7">
        <w:t xml:space="preserve">MSAC considered </w:t>
      </w:r>
      <w:r w:rsidR="00140F02">
        <w:t xml:space="preserve">the evidence demonstrated </w:t>
      </w:r>
      <w:r w:rsidR="00B767C7">
        <w:t>that X-ALD is a serious condition in males.</w:t>
      </w:r>
      <w:r w:rsidR="007355AF">
        <w:t xml:space="preserve"> </w:t>
      </w:r>
      <w:r>
        <w:t>M</w:t>
      </w:r>
      <w:r w:rsidR="00CB0EE5">
        <w:t xml:space="preserve">SAC noted that </w:t>
      </w:r>
      <w:r w:rsidR="0003143A">
        <w:t xml:space="preserve">the DCAR reported about half of women with X-ALD will present with AMN from age 40 to 65 years, and considered this aligned with </w:t>
      </w:r>
      <w:r w:rsidR="003D5182">
        <w:t xml:space="preserve">its experience </w:t>
      </w:r>
      <w:r w:rsidR="0003143A">
        <w:t xml:space="preserve">that </w:t>
      </w:r>
      <w:r w:rsidR="003D5182">
        <w:t>m</w:t>
      </w:r>
      <w:r>
        <w:t xml:space="preserve">ore than 80% </w:t>
      </w:r>
      <w:r w:rsidRPr="00985D1D">
        <w:t>of female</w:t>
      </w:r>
      <w:r w:rsidR="002051D4">
        <w:t>s</w:t>
      </w:r>
      <w:r w:rsidRPr="00985D1D">
        <w:t xml:space="preserve"> develop a chronic progressive myelopathy over their lifetime and </w:t>
      </w:r>
      <w:r>
        <w:t xml:space="preserve">are unlikely to develop </w:t>
      </w:r>
      <w:r w:rsidRPr="00985D1D">
        <w:t>any symptoms until they are well into adulthood</w:t>
      </w:r>
      <w:r>
        <w:t>.</w:t>
      </w:r>
      <w:r w:rsidR="0003143A">
        <w:t xml:space="preserve"> MSAC noted that adrenal insufficiency is not seen in </w:t>
      </w:r>
      <w:r w:rsidR="00242B5F">
        <w:t xml:space="preserve">females </w:t>
      </w:r>
      <w:r w:rsidR="0003143A">
        <w:t>with X-ALD, and CALD is rare.</w:t>
      </w:r>
      <w:r>
        <w:t xml:space="preserve"> </w:t>
      </w:r>
    </w:p>
    <w:p w14:paraId="05220FC6" w14:textId="6401D569" w:rsidR="005C1A6A" w:rsidRDefault="00C50822" w:rsidP="005C1A6A">
      <w:r>
        <w:t xml:space="preserve">MSAC </w:t>
      </w:r>
      <w:r w:rsidR="00A10C3C">
        <w:t xml:space="preserve">considered that NBS would allow a </w:t>
      </w:r>
      <w:r w:rsidR="24BB3640">
        <w:t xml:space="preserve">biochemical and genetic </w:t>
      </w:r>
      <w:r w:rsidR="00A10C3C">
        <w:t>diagnosis</w:t>
      </w:r>
      <w:r w:rsidR="60B81EEE">
        <w:t xml:space="preserve"> of risk for X-ALD </w:t>
      </w:r>
      <w:r w:rsidR="24A14625">
        <w:t>(as the</w:t>
      </w:r>
      <w:r w:rsidR="002223B1">
        <w:t xml:space="preserve"> condition has</w:t>
      </w:r>
      <w:r w:rsidR="24A14625">
        <w:t xml:space="preserve"> incomplete penetrance) </w:t>
      </w:r>
      <w:r w:rsidR="60B81EEE">
        <w:t>made</w:t>
      </w:r>
      <w:r w:rsidR="00A10C3C">
        <w:t xml:space="preserve"> around the time of birth, rather than </w:t>
      </w:r>
      <w:r w:rsidR="00B767C7">
        <w:t xml:space="preserve">delaying </w:t>
      </w:r>
      <w:r w:rsidR="00601A08">
        <w:t xml:space="preserve">diagnosis </w:t>
      </w:r>
      <w:r w:rsidR="00B767C7">
        <w:t>to the point of</w:t>
      </w:r>
      <w:r w:rsidR="00601A08">
        <w:t xml:space="preserve"> symptom onset</w:t>
      </w:r>
      <w:r w:rsidR="006B590D">
        <w:t>,</w:t>
      </w:r>
      <w:r w:rsidR="00601A08">
        <w:t xml:space="preserve"> as is currently the case. </w:t>
      </w:r>
      <w:r w:rsidR="005C1A6A">
        <w:t xml:space="preserve">MSAC considered that </w:t>
      </w:r>
      <w:r w:rsidR="00D33643">
        <w:t xml:space="preserve">the evidence demonstrated </w:t>
      </w:r>
      <w:r w:rsidR="005C1A6A">
        <w:t xml:space="preserve">HSCT </w:t>
      </w:r>
      <w:r w:rsidR="005D47F8">
        <w:t>wa</w:t>
      </w:r>
      <w:r w:rsidR="005C1A6A">
        <w:t xml:space="preserve">s more effective </w:t>
      </w:r>
      <w:r w:rsidR="00B108D1">
        <w:t xml:space="preserve">(i.e. </w:t>
      </w:r>
      <w:r w:rsidR="00925565">
        <w:t xml:space="preserve">resulted in </w:t>
      </w:r>
      <w:r w:rsidR="00B108D1">
        <w:t xml:space="preserve">higher </w:t>
      </w:r>
      <w:r w:rsidR="001110B8">
        <w:t xml:space="preserve">overall </w:t>
      </w:r>
      <w:r w:rsidR="00736CA7">
        <w:t xml:space="preserve">survival) </w:t>
      </w:r>
      <w:r w:rsidR="005C1A6A">
        <w:t xml:space="preserve">when performed earlier </w:t>
      </w:r>
      <w:r w:rsidR="006B590D">
        <w:t xml:space="preserve">in </w:t>
      </w:r>
      <w:r w:rsidR="00380685">
        <w:t>X-ALD progression</w:t>
      </w:r>
      <w:r w:rsidR="00FD625C">
        <w:t>, compared to later</w:t>
      </w:r>
      <w:r w:rsidR="00380685">
        <w:t xml:space="preserve"> </w:t>
      </w:r>
      <w:r w:rsidR="00F47AD8">
        <w:t>(</w:t>
      </w:r>
      <w:r w:rsidR="00F47AD8">
        <w:fldChar w:fldCharType="begin"/>
      </w:r>
      <w:r w:rsidR="00F47AD8">
        <w:instrText xml:space="preserve"> REF _Ref132833351 \h  \* MERGEFORMAT </w:instrText>
      </w:r>
      <w:r w:rsidR="00F47AD8">
        <w:fldChar w:fldCharType="separate"/>
      </w:r>
      <w:r w:rsidR="00253978">
        <w:t xml:space="preserve">Table </w:t>
      </w:r>
      <w:r w:rsidR="00253978">
        <w:rPr>
          <w:noProof/>
        </w:rPr>
        <w:t>7</w:t>
      </w:r>
      <w:r w:rsidR="00F47AD8">
        <w:fldChar w:fldCharType="end"/>
      </w:r>
      <w:r w:rsidR="00F47AD8">
        <w:t xml:space="preserve">, </w:t>
      </w:r>
      <w:r w:rsidR="00F47AD8">
        <w:fldChar w:fldCharType="begin"/>
      </w:r>
      <w:r w:rsidR="00F47AD8">
        <w:instrText xml:space="preserve"> REF _Ref132833377 \h  \* MERGEFORMAT </w:instrText>
      </w:r>
      <w:r w:rsidR="00F47AD8">
        <w:fldChar w:fldCharType="separate"/>
      </w:r>
      <w:r w:rsidR="00253978">
        <w:t xml:space="preserve">Figure </w:t>
      </w:r>
      <w:r w:rsidR="00253978">
        <w:rPr>
          <w:noProof/>
        </w:rPr>
        <w:t>2</w:t>
      </w:r>
      <w:r w:rsidR="00F47AD8">
        <w:fldChar w:fldCharType="end"/>
      </w:r>
      <w:r w:rsidR="00F47AD8">
        <w:t>)</w:t>
      </w:r>
      <w:r w:rsidR="00F92FA2">
        <w:t xml:space="preserve">. </w:t>
      </w:r>
      <w:r w:rsidR="00140F02">
        <w:t>MSAC noted that g</w:t>
      </w:r>
      <w:r w:rsidR="00140F02" w:rsidRPr="004C4CDE">
        <w:t xml:space="preserve">uidelines </w:t>
      </w:r>
      <w:r w:rsidR="00140F02">
        <w:t>recommend</w:t>
      </w:r>
      <w:r w:rsidR="00140F02" w:rsidRPr="004C4CDE">
        <w:t xml:space="preserve"> ongoing monitoring </w:t>
      </w:r>
      <w:r w:rsidR="00844DE0">
        <w:t xml:space="preserve">in childhood </w:t>
      </w:r>
      <w:r w:rsidR="00140F02" w:rsidRPr="004C4CDE">
        <w:t xml:space="preserve">for only male patients with X-ALD and not for females. </w:t>
      </w:r>
      <w:r w:rsidR="00E74157">
        <w:t>MSAC noted the applicant</w:t>
      </w:r>
      <w:r w:rsidR="001E355A">
        <w:t xml:space="preserve"> </w:t>
      </w:r>
      <w:r w:rsidR="00B8105F">
        <w:t>stated</w:t>
      </w:r>
      <w:r w:rsidR="001E355A">
        <w:t xml:space="preserve"> in its</w:t>
      </w:r>
      <w:r w:rsidR="00E74157">
        <w:t xml:space="preserve"> pre-MSAC response </w:t>
      </w:r>
      <w:r w:rsidR="001E355A">
        <w:t>that</w:t>
      </w:r>
      <w:r w:rsidR="00BF30F6">
        <w:t xml:space="preserve"> some females will develop X-ALD symptoms, and so they should be referred to as “females with X-ALD" rather than “female carriers”.</w:t>
      </w:r>
      <w:r w:rsidR="001E355A">
        <w:t xml:space="preserve"> </w:t>
      </w:r>
      <w:r w:rsidR="00F92FA2">
        <w:t xml:space="preserve">MSAC </w:t>
      </w:r>
      <w:r w:rsidR="00085A65">
        <w:t xml:space="preserve">agreed that </w:t>
      </w:r>
      <w:r w:rsidR="00B6509E">
        <w:t xml:space="preserve">some </w:t>
      </w:r>
      <w:r w:rsidR="00085A65">
        <w:t xml:space="preserve">females develop </w:t>
      </w:r>
      <w:r w:rsidR="0091578E">
        <w:t xml:space="preserve">symptoms, however </w:t>
      </w:r>
      <w:r w:rsidR="00F92FA2">
        <w:t xml:space="preserve">considered </w:t>
      </w:r>
      <w:r w:rsidR="00A06B2F">
        <w:t xml:space="preserve">that </w:t>
      </w:r>
      <w:r w:rsidR="00E4260A">
        <w:t xml:space="preserve">this would happen in adulthood and </w:t>
      </w:r>
      <w:r w:rsidR="000F58DD">
        <w:t xml:space="preserve">the evidence </w:t>
      </w:r>
      <w:r w:rsidR="00E74157">
        <w:t xml:space="preserve">presented </w:t>
      </w:r>
      <w:r w:rsidR="000F58DD">
        <w:t xml:space="preserve">did not demonstrate </w:t>
      </w:r>
      <w:r w:rsidR="002E6756">
        <w:t xml:space="preserve">that NBS would result in </w:t>
      </w:r>
      <w:r w:rsidR="001C0C70">
        <w:t xml:space="preserve">any </w:t>
      </w:r>
      <w:r w:rsidR="0091578E">
        <w:t xml:space="preserve">change in management with resulting </w:t>
      </w:r>
      <w:r w:rsidR="001C0C70">
        <w:t>health outcome</w:t>
      </w:r>
      <w:r w:rsidR="00E74157">
        <w:t xml:space="preserve"> </w:t>
      </w:r>
      <w:r w:rsidR="0043765E">
        <w:t>improvement</w:t>
      </w:r>
      <w:r w:rsidR="00E74157">
        <w:t xml:space="preserve"> </w:t>
      </w:r>
      <w:r w:rsidR="0043765E">
        <w:t>for</w:t>
      </w:r>
      <w:r w:rsidR="00380685">
        <w:t xml:space="preserve"> </w:t>
      </w:r>
      <w:r w:rsidR="001C0C70">
        <w:t>female newborn</w:t>
      </w:r>
      <w:r w:rsidR="00BA7F7C">
        <w:t>s</w:t>
      </w:r>
      <w:r w:rsidR="005C1A6A">
        <w:t>.</w:t>
      </w:r>
      <w:r w:rsidR="00085A65">
        <w:t xml:space="preserve"> MSAC advised that NBS for X-ALD had superior effectiveness in males.</w:t>
      </w:r>
    </w:p>
    <w:p w14:paraId="0CA4FDFE" w14:textId="355014B6" w:rsidR="005F10B7" w:rsidRDefault="005E1230" w:rsidP="005F10B7">
      <w:r>
        <w:t xml:space="preserve">MSAC considered that sex assigned at birth (or phenotypic sex) </w:t>
      </w:r>
      <w:r w:rsidR="00380685">
        <w:t>wa</w:t>
      </w:r>
      <w:r>
        <w:t>s not an appropriate surrogate for the number of X</w:t>
      </w:r>
      <w:r w:rsidR="00382D95">
        <w:t xml:space="preserve"> </w:t>
      </w:r>
      <w:r>
        <w:t xml:space="preserve">chromosomes, and agreed that reporting of results for </w:t>
      </w:r>
      <w:r w:rsidR="00990037">
        <w:t>individuals with one X</w:t>
      </w:r>
      <w:r w:rsidR="00BC2FA3">
        <w:t xml:space="preserve"> </w:t>
      </w:r>
      <w:r w:rsidR="00990037">
        <w:t>chromosome</w:t>
      </w:r>
      <w:r w:rsidR="002A57BF">
        <w:t xml:space="preserve"> (</w:t>
      </w:r>
      <w:r w:rsidR="003807ED">
        <w:t>referred to as males for simplicity</w:t>
      </w:r>
      <w:r w:rsidR="00990037">
        <w:t xml:space="preserve">) </w:t>
      </w:r>
      <w:r>
        <w:t xml:space="preserve">would therefore require an X-counter or similar test. </w:t>
      </w:r>
      <w:r w:rsidR="005F10B7">
        <w:t>MSAC noted that NBS for X-ALD in the Netherlands include</w:t>
      </w:r>
      <w:r w:rsidR="003807ED">
        <w:t>s</w:t>
      </w:r>
      <w:r w:rsidR="005F10B7">
        <w:t xml:space="preserve"> an X-counter</w:t>
      </w:r>
      <w:r w:rsidR="00990037">
        <w:t xml:space="preserve">, but that </w:t>
      </w:r>
      <w:r w:rsidR="00FB3108">
        <w:t>other countries report results for all newborns</w:t>
      </w:r>
      <w:r w:rsidR="005F10B7">
        <w:t xml:space="preserve">. MSAC considered that there were both advantages and disadvantages of reporting results for only males, and that the decision was an ethically complex one. </w:t>
      </w:r>
      <w:r w:rsidR="00EC5481">
        <w:t xml:space="preserve">MSAC considered that the ethical analysis in the DCAR was informative but it was not a formal ethical analysis. </w:t>
      </w:r>
      <w:r w:rsidR="005F10B7">
        <w:t>MSAC noted consultation comments that reporting results for females would not be aligned with the NBS NPF</w:t>
      </w:r>
      <w:r w:rsidR="002079C4">
        <w:t xml:space="preserve"> criteria</w:t>
      </w:r>
      <w:r w:rsidR="005F10B7">
        <w:t>, because there is no childhood treatment</w:t>
      </w:r>
      <w:r w:rsidR="006B7D5D">
        <w:t xml:space="preserve"> and their X-ALD </w:t>
      </w:r>
      <w:r w:rsidR="1EBEE1E3">
        <w:t xml:space="preserve">phenotype </w:t>
      </w:r>
      <w:r w:rsidR="006B7D5D">
        <w:t>does not manifest until decades later</w:t>
      </w:r>
      <w:r w:rsidR="005F10B7">
        <w:t xml:space="preserve">. </w:t>
      </w:r>
      <w:r w:rsidR="00987133">
        <w:t>MSAC noted the applicant stated in its pre-MSAC response that NBS for X-ALD “</w:t>
      </w:r>
      <w:r w:rsidR="00987133" w:rsidRPr="00987133">
        <w:t>will allow families to make reproductive decisions that could prevent further needless deaths in their extended families</w:t>
      </w:r>
      <w:r w:rsidR="00987133">
        <w:t xml:space="preserve">”. </w:t>
      </w:r>
      <w:r w:rsidR="005F10B7">
        <w:t xml:space="preserve">MSAC </w:t>
      </w:r>
      <w:r w:rsidR="00E06396">
        <w:t>considered</w:t>
      </w:r>
      <w:r w:rsidR="005F10B7">
        <w:t xml:space="preserve"> that identifying female heterozygote newborns </w:t>
      </w:r>
      <w:r w:rsidR="00BD5500">
        <w:t xml:space="preserve">would </w:t>
      </w:r>
      <w:r w:rsidR="005F10B7">
        <w:t>support the parents’ reproductive decision-making</w:t>
      </w:r>
      <w:r w:rsidR="004A4C09">
        <w:t>, and allow couples to make informed reproductive decisions for any future pregnancies</w:t>
      </w:r>
      <w:r w:rsidR="005F10B7">
        <w:t>. Heterozygote mothers would pass on their P/LP allele to 50% of children, of which 50% would be female heterozygotes and 50% would be male hemizygotes</w:t>
      </w:r>
      <w:r w:rsidR="007224ED">
        <w:t xml:space="preserve"> at risk of X-ALD</w:t>
      </w:r>
      <w:r w:rsidR="005F10B7">
        <w:t>; and hemizygote fathers would pass on their P/LP allele to 100% of their female children and 0% of their male children. MSAC considered that it was important to inform couples who had a female heterozygote newborn detected through NBS, to allow them to receive genetic counselling and cascade testing</w:t>
      </w:r>
      <w:r w:rsidR="00A65C43">
        <w:t xml:space="preserve"> to allow them to make informed reproductive decisions for any future pregnancies</w:t>
      </w:r>
      <w:r w:rsidR="005F10B7">
        <w:t xml:space="preserve">. </w:t>
      </w:r>
      <w:r w:rsidR="009A0D30">
        <w:t xml:space="preserve">MSAC considered </w:t>
      </w:r>
      <w:r w:rsidR="002E1D6C">
        <w:t xml:space="preserve">the tension between public health ethics and medical ethics in the context of </w:t>
      </w:r>
      <w:r w:rsidR="00C15726">
        <w:t>reporting results for males versus all newborns</w:t>
      </w:r>
      <w:r w:rsidR="006361F1">
        <w:t xml:space="preserve"> in NBS, and in the absence of an empirical analysis</w:t>
      </w:r>
      <w:r w:rsidR="00946356">
        <w:t xml:space="preserve">, </w:t>
      </w:r>
      <w:r w:rsidR="00C16947">
        <w:t>assumed</w:t>
      </w:r>
      <w:r w:rsidR="00946356">
        <w:t xml:space="preserve"> </w:t>
      </w:r>
      <w:r w:rsidR="009A0D30">
        <w:t xml:space="preserve">that reporting results for only one sex would likely be unacceptable in the Australian context, </w:t>
      </w:r>
      <w:r w:rsidR="00934D63" w:rsidRPr="00934D63">
        <w:t>because Australian society places considerable value on being egalitarian, and in not withholding information that may be of personal importance to the screened individual and their family</w:t>
      </w:r>
      <w:r w:rsidR="00934D63">
        <w:t xml:space="preserve">. </w:t>
      </w:r>
      <w:r w:rsidR="005A5ABA" w:rsidRPr="005A5ABA">
        <w:t xml:space="preserve">MSAC discussed the ethical issues, including that for NBS the target population is unable to give consent therefore the primary </w:t>
      </w:r>
      <w:r w:rsidR="00DC1E7D">
        <w:t xml:space="preserve">potential </w:t>
      </w:r>
      <w:r w:rsidR="005A5ABA" w:rsidRPr="005A5ABA">
        <w:t xml:space="preserve">benefit of screening is </w:t>
      </w:r>
      <w:r w:rsidR="00DC1E7D">
        <w:t xml:space="preserve">for </w:t>
      </w:r>
      <w:r w:rsidR="005A5ABA" w:rsidRPr="005A5ABA">
        <w:t xml:space="preserve">the health of the newborn, and </w:t>
      </w:r>
      <w:r w:rsidR="005A5ABA">
        <w:t xml:space="preserve">that standard practice is to </w:t>
      </w:r>
      <w:r w:rsidR="005A5ABA" w:rsidRPr="005A5ABA">
        <w:t xml:space="preserve">not report adult-onset conditions in people who cannot consent to receive such information. MSAC considered that </w:t>
      </w:r>
      <w:r w:rsidR="005A5ABA" w:rsidRPr="005A5ABA">
        <w:lastRenderedPageBreak/>
        <w:t xml:space="preserve">limiting reporting to male newborns would mitigate harm, however </w:t>
      </w:r>
      <w:r w:rsidR="005A5ABA">
        <w:t xml:space="preserve">that </w:t>
      </w:r>
      <w:r w:rsidR="005A5ABA" w:rsidRPr="005A5ABA">
        <w:t xml:space="preserve">the </w:t>
      </w:r>
      <w:r w:rsidR="00481C88">
        <w:t xml:space="preserve">ability to </w:t>
      </w:r>
      <w:r w:rsidR="005A5ABA" w:rsidRPr="005A5ABA">
        <w:t xml:space="preserve">inform reproductive decision-making </w:t>
      </w:r>
      <w:r w:rsidR="00481C88">
        <w:t xml:space="preserve">was greater </w:t>
      </w:r>
      <w:r w:rsidR="005A5ABA" w:rsidRPr="005A5ABA">
        <w:t xml:space="preserve">if results </w:t>
      </w:r>
      <w:r w:rsidR="0072623B">
        <w:t>we</w:t>
      </w:r>
      <w:r w:rsidR="005A5ABA" w:rsidRPr="005A5ABA">
        <w:t>re reported for all newborns.</w:t>
      </w:r>
      <w:r w:rsidR="005A5ABA">
        <w:t xml:space="preserve"> </w:t>
      </w:r>
      <w:r w:rsidR="00934D63">
        <w:t>MSAC also considered</w:t>
      </w:r>
      <w:r w:rsidR="009A0D30">
        <w:t xml:space="preserve"> that laboratory workflows would be simpler without the addition of an X-counter</w:t>
      </w:r>
      <w:r w:rsidR="00825820">
        <w:t xml:space="preserve"> tier to screening</w:t>
      </w:r>
      <w:r w:rsidR="009A0D30">
        <w:t xml:space="preserve">. </w:t>
      </w:r>
      <w:r w:rsidR="005F10B7">
        <w:t xml:space="preserve">MSAC considered that the benefit of reporting X-ALD results for female newborns would accrue primarily to the family, and </w:t>
      </w:r>
      <w:r w:rsidR="00CC1298">
        <w:t>recalled it had</w:t>
      </w:r>
      <w:r w:rsidR="005F10B7">
        <w:t xml:space="preserve"> previous</w:t>
      </w:r>
      <w:r w:rsidR="00CC1298">
        <w:t>ly</w:t>
      </w:r>
      <w:r w:rsidR="005F10B7">
        <w:t xml:space="preserve"> support</w:t>
      </w:r>
      <w:r w:rsidR="00CC1298">
        <w:t>ed</w:t>
      </w:r>
      <w:r w:rsidR="005F10B7">
        <w:t xml:space="preserve"> cascade testing arising out of cancer genetic testing</w:t>
      </w:r>
      <w:r w:rsidR="009A0D30">
        <w:t>,</w:t>
      </w:r>
      <w:r w:rsidR="00CC1298">
        <w:t xml:space="preserve"> which similarly has benefits to individuals other than the </w:t>
      </w:r>
      <w:r w:rsidR="009A0D30">
        <w:t>person</w:t>
      </w:r>
      <w:r w:rsidR="00CC1298">
        <w:t xml:space="preserve"> tested, although </w:t>
      </w:r>
      <w:r w:rsidR="003E0F1E">
        <w:t xml:space="preserve">in this case an adult consents to </w:t>
      </w:r>
      <w:r w:rsidR="00775F5B">
        <w:t>NBS on behalf of the newborn rather than the testing individual consenting to it themselves</w:t>
      </w:r>
      <w:r w:rsidR="005F10B7">
        <w:t>.</w:t>
      </w:r>
      <w:r w:rsidR="00044530">
        <w:t xml:space="preserve"> MSAC noted that such ‘secondary benefits’ of NBS are </w:t>
      </w:r>
      <w:r w:rsidR="00952D47">
        <w:t>allowed for in the NBS NPF</w:t>
      </w:r>
      <w:r w:rsidR="007C0B5B">
        <w:t xml:space="preserve"> decision-making criteria</w:t>
      </w:r>
      <w:r w:rsidR="00952D47">
        <w:t>.</w:t>
      </w:r>
      <w:r w:rsidR="005F10B7">
        <w:t xml:space="preserve"> </w:t>
      </w:r>
      <w:r w:rsidR="009A0D30">
        <w:t>O</w:t>
      </w:r>
      <w:r w:rsidR="005F10B7">
        <w:t xml:space="preserve">n balance, MSAC </w:t>
      </w:r>
      <w:r w:rsidR="002F0780">
        <w:t>recommended</w:t>
      </w:r>
      <w:r w:rsidR="005F10B7">
        <w:t xml:space="preserve"> that NBS for X-ALD report </w:t>
      </w:r>
      <w:r w:rsidR="454B4F2E">
        <w:t>screening</w:t>
      </w:r>
      <w:r w:rsidR="005F10B7">
        <w:t xml:space="preserve"> results for all newborns rather than only males, primarily due to </w:t>
      </w:r>
      <w:r w:rsidR="00F30082">
        <w:t xml:space="preserve">the value of </w:t>
      </w:r>
      <w:r w:rsidR="00987133">
        <w:t xml:space="preserve">reproductive decision-making </w:t>
      </w:r>
      <w:r w:rsidR="005F10B7">
        <w:t xml:space="preserve">benefits to the family from reporting results for female newborns. </w:t>
      </w:r>
      <w:r w:rsidR="00B70DBE">
        <w:t>However, MSAC noted</w:t>
      </w:r>
      <w:r w:rsidR="00711322">
        <w:t xml:space="preserve"> that </w:t>
      </w:r>
      <w:r w:rsidR="00463888">
        <w:t xml:space="preserve">it was providing advice </w:t>
      </w:r>
      <w:r w:rsidR="00F220FD">
        <w:t xml:space="preserve">within </w:t>
      </w:r>
      <w:r w:rsidR="00463888">
        <w:t xml:space="preserve">its ToRs and </w:t>
      </w:r>
      <w:r w:rsidR="00463F05">
        <w:t>it</w:t>
      </w:r>
      <w:r w:rsidR="007B359A">
        <w:t xml:space="preserve"> was not the final decision-maker for NBS</w:t>
      </w:r>
      <w:r w:rsidR="002F0780">
        <w:t>.</w:t>
      </w:r>
      <w:r w:rsidR="00E61A11">
        <w:t xml:space="preserve"> MSAC considered that</w:t>
      </w:r>
      <w:r w:rsidR="00893EC1">
        <w:t xml:space="preserve"> its advice </w:t>
      </w:r>
      <w:r w:rsidR="00E67E29">
        <w:t xml:space="preserve">to report results for </w:t>
      </w:r>
      <w:r w:rsidR="73F044C0">
        <w:t xml:space="preserve">all newborns rather than </w:t>
      </w:r>
      <w:r w:rsidR="00E67E29">
        <w:t xml:space="preserve">males only </w:t>
      </w:r>
      <w:r w:rsidR="00893EC1">
        <w:t xml:space="preserve">for X-ALD </w:t>
      </w:r>
      <w:r w:rsidR="00F220FD">
        <w:t>NBS</w:t>
      </w:r>
      <w:r w:rsidR="2F2CE002">
        <w:t xml:space="preserve"> </w:t>
      </w:r>
      <w:r w:rsidR="00893EC1">
        <w:t>was not necessarily generalisable to other conditions</w:t>
      </w:r>
      <w:r w:rsidR="00DD78A4">
        <w:t xml:space="preserve"> where there is no </w:t>
      </w:r>
      <w:r w:rsidR="2B551E5D">
        <w:t xml:space="preserve">identifiable </w:t>
      </w:r>
      <w:r w:rsidR="00DD78A4">
        <w:t>health outcome improvement for a subgroup of patients</w:t>
      </w:r>
      <w:r w:rsidR="00893EC1">
        <w:t>, and so</w:t>
      </w:r>
      <w:r w:rsidR="00DA26EC">
        <w:t xml:space="preserve"> the potential addition of each condition to NBS needs to be considered on its merits.</w:t>
      </w:r>
    </w:p>
    <w:p w14:paraId="06C3C167" w14:textId="588F0386" w:rsidR="005C1A6A" w:rsidRDefault="005C1A6A" w:rsidP="005C1A6A">
      <w:r>
        <w:t xml:space="preserve">MSAC noted that the economic evaluation was a cost-utility analysis, with the outcomes reported </w:t>
      </w:r>
      <w:r w:rsidR="005A4CBE">
        <w:t xml:space="preserve">in terms of </w:t>
      </w:r>
      <w:r w:rsidR="002D60B5">
        <w:t xml:space="preserve">both screening </w:t>
      </w:r>
      <w:r>
        <w:t>cost per positive diagnosis</w:t>
      </w:r>
      <w:r w:rsidR="002D60B5">
        <w:t xml:space="preserve"> (step 1)</w:t>
      </w:r>
      <w:r w:rsidR="005A4CBE">
        <w:t>,</w:t>
      </w:r>
      <w:r>
        <w:t xml:space="preserve"> and </w:t>
      </w:r>
      <w:r w:rsidR="002D60B5">
        <w:t xml:space="preserve">incremental </w:t>
      </w:r>
      <w:r>
        <w:t>cost per quality-adjusted life year (QALY</w:t>
      </w:r>
      <w:r w:rsidR="002D60B5">
        <w:t>; step 2</w:t>
      </w:r>
      <w:r w:rsidR="002D43E8">
        <w:t xml:space="preserve"> </w:t>
      </w:r>
      <w:r w:rsidR="00F43CBC">
        <w:t>includes all costs, i.e. monitoring etc in addition to NBS itself</w:t>
      </w:r>
      <w:r>
        <w:t>)</w:t>
      </w:r>
      <w:r w:rsidR="002E7436">
        <w:t xml:space="preserve"> </w:t>
      </w:r>
      <w:r w:rsidR="002E7436" w:rsidRPr="00D02565">
        <w:t>(</w:t>
      </w:r>
      <w:r w:rsidR="002E7436" w:rsidRPr="00D02565">
        <w:fldChar w:fldCharType="begin"/>
      </w:r>
      <w:r w:rsidR="002E7436" w:rsidRPr="00D02565">
        <w:instrText xml:space="preserve"> REF _Ref130240120 \h  \* MERGEFORMAT </w:instrText>
      </w:r>
      <w:r w:rsidR="002E7436" w:rsidRPr="00D02565">
        <w:fldChar w:fldCharType="separate"/>
      </w:r>
      <w:r w:rsidR="00253978" w:rsidRPr="00D02565">
        <w:t>Table </w:t>
      </w:r>
      <w:r w:rsidR="00253978">
        <w:t>10</w:t>
      </w:r>
      <w:r w:rsidR="002E7436" w:rsidRPr="00D02565">
        <w:fldChar w:fldCharType="end"/>
      </w:r>
      <w:r w:rsidR="002E7436" w:rsidRPr="00D02565">
        <w:t>)</w:t>
      </w:r>
      <w:r>
        <w:t>.</w:t>
      </w:r>
      <w:r w:rsidR="002D60B5">
        <w:t xml:space="preserve"> MSAC considered both were </w:t>
      </w:r>
      <w:r w:rsidR="00F43CBC">
        <w:t>informative</w:t>
      </w:r>
      <w:r w:rsidR="002D60B5">
        <w:t>.</w:t>
      </w:r>
      <w:r>
        <w:t xml:space="preserve"> MSAC noted that strategy</w:t>
      </w:r>
      <w:r w:rsidRPr="008B7826">
        <w:t xml:space="preserve"> </w:t>
      </w:r>
      <w:r>
        <w:t>I</w:t>
      </w:r>
      <w:r w:rsidRPr="008B7826">
        <w:t xml:space="preserve"> exclude</w:t>
      </w:r>
      <w:r w:rsidR="005A4CBE">
        <w:t>d</w:t>
      </w:r>
      <w:r w:rsidRPr="008B7826">
        <w:t xml:space="preserve"> molecular testing</w:t>
      </w:r>
      <w:r>
        <w:t xml:space="preserve">, </w:t>
      </w:r>
      <w:r w:rsidR="006B6F9B">
        <w:t xml:space="preserve">which </w:t>
      </w:r>
      <w:r w:rsidR="007D4406">
        <w:t xml:space="preserve">it considered </w:t>
      </w:r>
      <w:r w:rsidR="006B6F9B">
        <w:t>was not correct as it</w:t>
      </w:r>
      <w:r w:rsidR="00381696">
        <w:t xml:space="preserve"> did not reflect </w:t>
      </w:r>
      <w:r w:rsidR="005A4CBE">
        <w:t>that genetic testing</w:t>
      </w:r>
      <w:r w:rsidR="005A4CBE" w:rsidRPr="008B7826">
        <w:t xml:space="preserve"> </w:t>
      </w:r>
      <w:r w:rsidRPr="008B7826">
        <w:t>will be performed at follow</w:t>
      </w:r>
      <w:r>
        <w:t>-</w:t>
      </w:r>
      <w:r w:rsidRPr="008B7826">
        <w:t xml:space="preserve">up for screen-positive </w:t>
      </w:r>
      <w:r w:rsidR="005A4CBE">
        <w:t>newborns</w:t>
      </w:r>
      <w:r w:rsidR="006B6F9B">
        <w:t>, and so the cost would still be incurred (perhaps to the family rather than to NBS</w:t>
      </w:r>
      <w:r w:rsidR="008A77C1">
        <w:t xml:space="preserve"> programs</w:t>
      </w:r>
      <w:r w:rsidR="006B6F9B">
        <w:t>)</w:t>
      </w:r>
      <w:r w:rsidRPr="008B7826">
        <w:t>.</w:t>
      </w:r>
    </w:p>
    <w:p w14:paraId="1EDF2ED0" w14:textId="404E8267" w:rsidR="005C1A6A" w:rsidRDefault="005C1A6A" w:rsidP="005C1A6A">
      <w:r>
        <w:t xml:space="preserve">MSAC </w:t>
      </w:r>
      <w:r w:rsidR="00D57578">
        <w:t xml:space="preserve">considered </w:t>
      </w:r>
      <w:r>
        <w:t>the main areas of uncertainty in the economic evaluation were:</w:t>
      </w:r>
    </w:p>
    <w:p w14:paraId="7313A359" w14:textId="2824A030" w:rsidR="005C1A6A" w:rsidRPr="00151EA2" w:rsidRDefault="005C1A6A">
      <w:pPr>
        <w:pStyle w:val="Bullet"/>
        <w:numPr>
          <w:ilvl w:val="0"/>
          <w:numId w:val="14"/>
        </w:numPr>
        <w:spacing w:before="0"/>
        <w:ind w:left="720"/>
      </w:pPr>
      <w:r>
        <w:t>i</w:t>
      </w:r>
      <w:r w:rsidRPr="00151EA2">
        <w:t>ncidence of X-ALD</w:t>
      </w:r>
      <w:r>
        <w:t xml:space="preserve"> – MSAC noted estimat</w:t>
      </w:r>
      <w:r w:rsidR="005A4CBE">
        <w:t>e</w:t>
      </w:r>
      <w:r>
        <w:t>s in the DCAR</w:t>
      </w:r>
      <w:r w:rsidR="00D0761C">
        <w:t xml:space="preserve"> ranged from 1 in 6,200 to</w:t>
      </w:r>
      <w:r w:rsidRPr="00151EA2">
        <w:t xml:space="preserve"> 1</w:t>
      </w:r>
      <w:r>
        <w:t> </w:t>
      </w:r>
      <w:r w:rsidRPr="00151EA2">
        <w:t>in</w:t>
      </w:r>
      <w:r>
        <w:t> </w:t>
      </w:r>
      <w:r w:rsidRPr="00151EA2">
        <w:t>15,000</w:t>
      </w:r>
      <w:r>
        <w:t>,</w:t>
      </w:r>
      <w:r w:rsidRPr="00151EA2">
        <w:t xml:space="preserve"> </w:t>
      </w:r>
      <w:r w:rsidR="00D0761C">
        <w:t xml:space="preserve">with a base case </w:t>
      </w:r>
      <w:r w:rsidR="00E92238">
        <w:t xml:space="preserve">incidence </w:t>
      </w:r>
      <w:r w:rsidR="00D0761C">
        <w:t>of</w:t>
      </w:r>
      <w:r>
        <w:t xml:space="preserve"> 1 </w:t>
      </w:r>
      <w:r w:rsidRPr="00151EA2">
        <w:t>in</w:t>
      </w:r>
      <w:r>
        <w:t> </w:t>
      </w:r>
      <w:r w:rsidRPr="00151EA2">
        <w:t>9</w:t>
      </w:r>
      <w:r>
        <w:t>,</w:t>
      </w:r>
      <w:r w:rsidRPr="00151EA2">
        <w:t>000</w:t>
      </w:r>
    </w:p>
    <w:p w14:paraId="536E799A" w14:textId="5F4609F0" w:rsidR="005C1A6A" w:rsidRPr="00151EA2" w:rsidRDefault="00FA74AD">
      <w:pPr>
        <w:pStyle w:val="Bullet"/>
        <w:numPr>
          <w:ilvl w:val="0"/>
          <w:numId w:val="14"/>
        </w:numPr>
        <w:spacing w:before="0"/>
        <w:ind w:left="720"/>
      </w:pPr>
      <w:r>
        <w:t xml:space="preserve">sensitivity and </w:t>
      </w:r>
      <w:r w:rsidR="00B063E0">
        <w:t>specificity</w:t>
      </w:r>
      <w:r w:rsidR="005C1A6A" w:rsidRPr="00151EA2">
        <w:t xml:space="preserve"> of </w:t>
      </w:r>
      <w:r w:rsidR="005C1A6A">
        <w:t xml:space="preserve">the </w:t>
      </w:r>
      <w:r w:rsidR="005C1A6A" w:rsidRPr="00151EA2">
        <w:t>screening test</w:t>
      </w:r>
      <w:r w:rsidR="005C1A6A">
        <w:t xml:space="preserve">, including the </w:t>
      </w:r>
      <w:r w:rsidR="005C1A6A" w:rsidRPr="00151EA2">
        <w:t>cut</w:t>
      </w:r>
      <w:r w:rsidR="005C1A6A">
        <w:t>-</w:t>
      </w:r>
      <w:r w:rsidR="005C1A6A" w:rsidRPr="00151EA2">
        <w:t>off</w:t>
      </w:r>
      <w:r w:rsidR="00D0761C">
        <w:t xml:space="preserve"> and</w:t>
      </w:r>
      <w:r w:rsidR="005C1A6A" w:rsidRPr="00151EA2">
        <w:t xml:space="preserve"> methodology</w:t>
      </w:r>
      <w:r w:rsidR="00C42875">
        <w:t xml:space="preserve"> used</w:t>
      </w:r>
    </w:p>
    <w:p w14:paraId="503BF4EB" w14:textId="20DF134D" w:rsidR="005C1A6A" w:rsidRDefault="005C1A6A">
      <w:pPr>
        <w:pStyle w:val="Bullet"/>
        <w:numPr>
          <w:ilvl w:val="0"/>
          <w:numId w:val="14"/>
        </w:numPr>
        <w:spacing w:before="0"/>
        <w:ind w:left="720"/>
      </w:pPr>
      <w:r>
        <w:t>c</w:t>
      </w:r>
      <w:r w:rsidRPr="00151EA2">
        <w:t xml:space="preserve">ascade </w:t>
      </w:r>
      <w:r w:rsidR="00441863">
        <w:t>testing</w:t>
      </w:r>
      <w:r w:rsidR="00441863" w:rsidRPr="00151EA2">
        <w:t xml:space="preserve"> </w:t>
      </w:r>
      <w:r w:rsidRPr="00151EA2">
        <w:t>uptake</w:t>
      </w:r>
      <w:r>
        <w:t xml:space="preserve"> – MSAC estimated </w:t>
      </w:r>
      <w:r w:rsidR="00022E7D">
        <w:t xml:space="preserve">that </w:t>
      </w:r>
      <w:r w:rsidR="00E92238">
        <w:t xml:space="preserve">100% of families would take up </w:t>
      </w:r>
      <w:r w:rsidR="00F9452A">
        <w:t xml:space="preserve">cascade </w:t>
      </w:r>
      <w:r w:rsidR="00E92238">
        <w:t>testing</w:t>
      </w:r>
      <w:r w:rsidR="005573DB">
        <w:t>, informed by anecdotal experience</w:t>
      </w:r>
      <w:r w:rsidR="002019CF">
        <w:t xml:space="preserve">. MSAC </w:t>
      </w:r>
      <w:r>
        <w:t xml:space="preserve">also considered that </w:t>
      </w:r>
      <w:r w:rsidR="002019CF">
        <w:t xml:space="preserve">cascade testing </w:t>
      </w:r>
      <w:r w:rsidR="00382F7C">
        <w:t xml:space="preserve">would be incremental in many cases because the </w:t>
      </w:r>
      <w:r w:rsidR="008A00F4">
        <w:t xml:space="preserve">penetrance of X-ALD was not close to 100%, so the </w:t>
      </w:r>
      <w:r w:rsidRPr="00151EA2">
        <w:t>incidence</w:t>
      </w:r>
      <w:r w:rsidR="00441863">
        <w:t xml:space="preserve"> through NBS</w:t>
      </w:r>
      <w:r w:rsidRPr="00151EA2">
        <w:t xml:space="preserve"> </w:t>
      </w:r>
      <w:r w:rsidR="008A00F4">
        <w:t>would be higher than</w:t>
      </w:r>
      <w:r w:rsidRPr="00151EA2">
        <w:t xml:space="preserve"> the clinically diagnosed incidence</w:t>
      </w:r>
      <w:r w:rsidR="00441863">
        <w:t>.</w:t>
      </w:r>
    </w:p>
    <w:p w14:paraId="272FAB65" w14:textId="0449A582" w:rsidR="005C1A6A" w:rsidRPr="00151EA2" w:rsidRDefault="005C1A6A">
      <w:pPr>
        <w:pStyle w:val="Bullet"/>
        <w:numPr>
          <w:ilvl w:val="0"/>
          <w:numId w:val="14"/>
        </w:numPr>
        <w:spacing w:before="0"/>
        <w:ind w:left="720"/>
      </w:pPr>
      <w:r>
        <w:t xml:space="preserve">the assumption that </w:t>
      </w:r>
      <w:r w:rsidR="00DF4D6C">
        <w:t xml:space="preserve">AMN </w:t>
      </w:r>
      <w:r>
        <w:t>and adrenal insufficiency did not affect the overall survival for patients with X-ALD</w:t>
      </w:r>
      <w:r w:rsidR="009234C0">
        <w:t xml:space="preserve"> </w:t>
      </w:r>
      <w:r w:rsidR="001201A9">
        <w:t>–</w:t>
      </w:r>
      <w:r w:rsidR="009234C0">
        <w:t xml:space="preserve"> MSAC considered this may not be strictly correct, based on anecdotal reports</w:t>
      </w:r>
      <w:r w:rsidR="00887E2A">
        <w:t>.</w:t>
      </w:r>
    </w:p>
    <w:p w14:paraId="6ACF1B3A" w14:textId="5486295E" w:rsidR="005C1A6A" w:rsidRDefault="0080650F">
      <w:pPr>
        <w:pStyle w:val="Bullet"/>
        <w:numPr>
          <w:ilvl w:val="0"/>
          <w:numId w:val="14"/>
        </w:numPr>
        <w:spacing w:before="0"/>
        <w:ind w:left="720"/>
      </w:pPr>
      <w:r>
        <w:t>a</w:t>
      </w:r>
      <w:r w:rsidR="00887E2A">
        <w:t>ge of presentation</w:t>
      </w:r>
      <w:r w:rsidR="00144764">
        <w:t xml:space="preserve"> and diagnosis</w:t>
      </w:r>
      <w:r w:rsidR="004C0823">
        <w:t xml:space="preserve"> – MSAC considered th</w:t>
      </w:r>
      <w:r w:rsidR="009234C0">
        <w:t>e age of presentation and diagnosis may have been over-estimated</w:t>
      </w:r>
      <w:r w:rsidR="00FF7A9C">
        <w:t>, based on anecdotal reports</w:t>
      </w:r>
      <w:r w:rsidR="005C1A6A" w:rsidRPr="00151EA2">
        <w:t xml:space="preserve">.   </w:t>
      </w:r>
    </w:p>
    <w:p w14:paraId="26548299" w14:textId="45FE5D06" w:rsidR="005C1A6A" w:rsidRDefault="005C1A6A" w:rsidP="00191E1B">
      <w:pPr>
        <w:spacing w:before="240"/>
      </w:pPr>
      <w:r>
        <w:t xml:space="preserve">MSAC noted </w:t>
      </w:r>
      <w:r w:rsidR="00746683">
        <w:t xml:space="preserve">the </w:t>
      </w:r>
      <w:r w:rsidR="007B3352">
        <w:t xml:space="preserve">DCAR reported the </w:t>
      </w:r>
      <w:r w:rsidR="00652956">
        <w:t>lowest ICERs</w:t>
      </w:r>
      <w:r w:rsidR="00277C66">
        <w:t xml:space="preserve"> </w:t>
      </w:r>
      <w:r w:rsidR="00746683">
        <w:t>for strategies</w:t>
      </w:r>
      <w:r w:rsidR="00277C66">
        <w:t xml:space="preserve"> I and IV, because those strategies had </w:t>
      </w:r>
      <w:r w:rsidR="005B5E6D">
        <w:t xml:space="preserve">the </w:t>
      </w:r>
      <w:r w:rsidR="00B056E9">
        <w:t>fewest</w:t>
      </w:r>
      <w:r w:rsidR="00277C66">
        <w:t xml:space="preserve"> newborns receiving genetic testing.</w:t>
      </w:r>
      <w:r w:rsidR="00746683">
        <w:t xml:space="preserve"> </w:t>
      </w:r>
      <w:r w:rsidR="000A6676">
        <w:t xml:space="preserve">MSAC noted that </w:t>
      </w:r>
      <w:r w:rsidR="00652956">
        <w:t>for strategies I and IV</w:t>
      </w:r>
      <w:r w:rsidR="0035663B">
        <w:t>,</w:t>
      </w:r>
      <w:r w:rsidR="00652956">
        <w:t xml:space="preserve"> </w:t>
      </w:r>
      <w:r w:rsidR="000A6676">
        <w:t xml:space="preserve">the DCAR reported the cost </w:t>
      </w:r>
      <w:r w:rsidR="00F03C13">
        <w:t xml:space="preserve">of screening </w:t>
      </w:r>
      <w:r w:rsidR="000A6676">
        <w:t xml:space="preserve">per diagnosis </w:t>
      </w:r>
      <w:r w:rsidR="007B3352">
        <w:t>w</w:t>
      </w:r>
      <w:r w:rsidR="000A6676">
        <w:t xml:space="preserve">as </w:t>
      </w:r>
      <w:r w:rsidR="00652956">
        <w:t>approximately</w:t>
      </w:r>
      <w:r w:rsidR="000A6676">
        <w:t xml:space="preserve"> $83,000</w:t>
      </w:r>
      <w:r w:rsidR="00F03C13">
        <w:t xml:space="preserve"> (step 1</w:t>
      </w:r>
      <w:r w:rsidR="00652956">
        <w:t>, w</w:t>
      </w:r>
      <w:r w:rsidR="006F27CB">
        <w:t>here costs are only NBS itself</w:t>
      </w:r>
      <w:r w:rsidR="00F03C13">
        <w:t>)</w:t>
      </w:r>
      <w:r w:rsidR="000A6676">
        <w:t xml:space="preserve">, and the </w:t>
      </w:r>
      <w:r w:rsidR="00F03C13">
        <w:t xml:space="preserve">incremental </w:t>
      </w:r>
      <w:r w:rsidR="000A6676">
        <w:t xml:space="preserve">cost per QALY </w:t>
      </w:r>
      <w:r w:rsidR="00652956">
        <w:t>was</w:t>
      </w:r>
      <w:r w:rsidR="000A6676">
        <w:t xml:space="preserve"> $8,000</w:t>
      </w:r>
      <w:r w:rsidR="00F03C13">
        <w:t xml:space="preserve"> (step 2, </w:t>
      </w:r>
      <w:r w:rsidR="00652956">
        <w:t>which includes</w:t>
      </w:r>
      <w:r w:rsidR="00F03C13">
        <w:t xml:space="preserve"> other costs such as monitoring)</w:t>
      </w:r>
      <w:r w:rsidR="000A6676">
        <w:t xml:space="preserve">. </w:t>
      </w:r>
      <w:r w:rsidR="001A4C69">
        <w:t xml:space="preserve">For strategy II </w:t>
      </w:r>
      <w:r>
        <w:t xml:space="preserve">MSAC </w:t>
      </w:r>
      <w:r w:rsidR="0067234D">
        <w:t xml:space="preserve">noted that </w:t>
      </w:r>
      <w:r w:rsidR="00570930">
        <w:t>the DCAR</w:t>
      </w:r>
      <w:r w:rsidR="00C14AD1">
        <w:t>’s</w:t>
      </w:r>
      <w:r w:rsidR="00570930">
        <w:t xml:space="preserve"> reported </w:t>
      </w:r>
      <w:r w:rsidR="0067234D">
        <w:t>cost of NBS</w:t>
      </w:r>
      <w:r w:rsidR="007B2F9F">
        <w:t xml:space="preserve"> </w:t>
      </w:r>
      <w:r w:rsidR="00570930">
        <w:t xml:space="preserve">per newborn </w:t>
      </w:r>
      <w:r w:rsidR="00E30091">
        <w:t>implied around 20% of newborns would receive second tier screening</w:t>
      </w:r>
      <w:r w:rsidR="0021512D">
        <w:t>,</w:t>
      </w:r>
      <w:r w:rsidR="00E30091">
        <w:t xml:space="preserve"> which would not be appropriate for a first tier screening test</w:t>
      </w:r>
      <w:r w:rsidR="00AE6E9A">
        <w:t xml:space="preserve"> </w:t>
      </w:r>
      <w:r w:rsidR="00E30091">
        <w:t xml:space="preserve">and </w:t>
      </w:r>
      <w:r w:rsidR="0021512D">
        <w:t>implied</w:t>
      </w:r>
      <w:r>
        <w:t xml:space="preserve"> errors in the </w:t>
      </w:r>
      <w:r w:rsidR="00014D91">
        <w:t>calculations</w:t>
      </w:r>
      <w:r w:rsidR="0029367D">
        <w:t xml:space="preserve">. </w:t>
      </w:r>
      <w:r w:rsidR="0028573E">
        <w:t>MSAC considered</w:t>
      </w:r>
      <w:r w:rsidR="004B7AD8">
        <w:t xml:space="preserve"> that t</w:t>
      </w:r>
      <w:r w:rsidR="00CA5A67">
        <w:t xml:space="preserve">he </w:t>
      </w:r>
      <w:r w:rsidR="00FE374D">
        <w:t>DCAR</w:t>
      </w:r>
      <w:r w:rsidR="0028573E">
        <w:t xml:space="preserve"> </w:t>
      </w:r>
      <w:r w:rsidR="00A16FEF">
        <w:t>used</w:t>
      </w:r>
      <w:r w:rsidR="0028573E">
        <w:t xml:space="preserve"> a</w:t>
      </w:r>
      <w:r w:rsidR="00FE374D">
        <w:t xml:space="preserve"> </w:t>
      </w:r>
      <w:r w:rsidR="00673BD4">
        <w:t>specificity of</w:t>
      </w:r>
      <w:r w:rsidR="004C3799">
        <w:t xml:space="preserve"> 78.33% </w:t>
      </w:r>
      <w:r w:rsidR="00817A74">
        <w:t xml:space="preserve">(Natarajan 2019) </w:t>
      </w:r>
      <w:r w:rsidR="004C3799">
        <w:t>for FIA-MS/MS</w:t>
      </w:r>
      <w:r w:rsidR="00CC1EE3">
        <w:t xml:space="preserve">, however </w:t>
      </w:r>
      <w:r w:rsidR="00413B0E">
        <w:t>th</w:t>
      </w:r>
      <w:r w:rsidR="00AE6E9A">
        <w:t>is</w:t>
      </w:r>
      <w:r w:rsidR="00413B0E">
        <w:t xml:space="preserve"> was for </w:t>
      </w:r>
      <w:r w:rsidR="003172F4">
        <w:t xml:space="preserve">FIA-MS/MS of </w:t>
      </w:r>
      <w:r w:rsidR="00413B0E">
        <w:t>C26:0 alone</w:t>
      </w:r>
      <w:r w:rsidR="009C40EA">
        <w:t xml:space="preserve">, </w:t>
      </w:r>
      <w:r w:rsidR="0002089B">
        <w:t>which</w:t>
      </w:r>
      <w:r w:rsidR="009C40EA">
        <w:t xml:space="preserve"> </w:t>
      </w:r>
      <w:r w:rsidR="000B7390">
        <w:t xml:space="preserve">was too narrow a </w:t>
      </w:r>
      <w:r w:rsidR="00B83B09">
        <w:t>defin</w:t>
      </w:r>
      <w:r w:rsidR="000B7390">
        <w:t xml:space="preserve">ition </w:t>
      </w:r>
      <w:r w:rsidR="003678F3">
        <w:t xml:space="preserve">of the method </w:t>
      </w:r>
      <w:r w:rsidR="00DD133F">
        <w:lastRenderedPageBreak/>
        <w:t xml:space="preserve">and </w:t>
      </w:r>
      <w:r w:rsidR="00B225AB">
        <w:t xml:space="preserve">did not align with classical </w:t>
      </w:r>
      <w:r w:rsidR="00A43A32">
        <w:t>X-ALD diagnosis</w:t>
      </w:r>
      <w:r w:rsidR="00B225AB">
        <w:t xml:space="preserve"> </w:t>
      </w:r>
      <w:r w:rsidR="00DD133F">
        <w:t>based on</w:t>
      </w:r>
      <w:r w:rsidR="00B225AB">
        <w:t xml:space="preserve"> multiple VLCFA</w:t>
      </w:r>
      <w:r w:rsidR="00C84E15">
        <w:t xml:space="preserve"> species</w:t>
      </w:r>
      <w:r w:rsidR="00413B0E">
        <w:t xml:space="preserve">. </w:t>
      </w:r>
      <w:r w:rsidR="00DD296A">
        <w:t xml:space="preserve">MSAC </w:t>
      </w:r>
      <w:r w:rsidR="00817A74">
        <w:t xml:space="preserve">further </w:t>
      </w:r>
      <w:r w:rsidR="00DD296A">
        <w:t xml:space="preserve">noted that </w:t>
      </w:r>
      <w:r w:rsidR="00AE6E9A">
        <w:t xml:space="preserve">Natarajan 2019 </w:t>
      </w:r>
      <w:r w:rsidR="00817A74">
        <w:t>had</w:t>
      </w:r>
      <w:r w:rsidR="00031D9B">
        <w:t xml:space="preserve"> reported a specificity of 98.33% for C24:0</w:t>
      </w:r>
      <w:r w:rsidR="00346D11">
        <w:t xml:space="preserve"> alone</w:t>
      </w:r>
      <w:r w:rsidR="00031D9B">
        <w:t xml:space="preserve">, </w:t>
      </w:r>
      <w:r w:rsidR="00E67D78">
        <w:t>and considered that</w:t>
      </w:r>
      <w:r w:rsidR="00A54AB2">
        <w:t xml:space="preserve"> </w:t>
      </w:r>
      <w:r w:rsidR="00BE1A45">
        <w:t>the specificity of FIA-MS/MS</w:t>
      </w:r>
      <w:r w:rsidR="004E24AC">
        <w:t xml:space="preserve"> </w:t>
      </w:r>
      <w:r w:rsidR="00BE1A45">
        <w:t xml:space="preserve">would be </w:t>
      </w:r>
      <w:r w:rsidR="00363125">
        <w:t xml:space="preserve">even </w:t>
      </w:r>
      <w:r w:rsidR="00693402">
        <w:t>higher</w:t>
      </w:r>
      <w:r w:rsidR="00BE1A45">
        <w:t xml:space="preserve"> </w:t>
      </w:r>
      <w:r w:rsidR="007D141F">
        <w:t xml:space="preserve">than this </w:t>
      </w:r>
      <w:r w:rsidR="0092069F">
        <w:t xml:space="preserve">for </w:t>
      </w:r>
      <w:r w:rsidR="00EE3D09">
        <w:t>multiple species of VLCFAs and their ratios</w:t>
      </w:r>
      <w:r w:rsidR="00E67D78">
        <w:t xml:space="preserve">. MSAC </w:t>
      </w:r>
      <w:r w:rsidR="00002760">
        <w:t xml:space="preserve">noted </w:t>
      </w:r>
      <w:r w:rsidR="000A7298">
        <w:t xml:space="preserve">the department’s </w:t>
      </w:r>
      <w:r w:rsidR="00002760">
        <w:t xml:space="preserve">calculations </w:t>
      </w:r>
      <w:r w:rsidR="008A3336">
        <w:t>estimated</w:t>
      </w:r>
      <w:r w:rsidR="00002760">
        <w:t xml:space="preserve"> that</w:t>
      </w:r>
      <w:r w:rsidR="002A003F">
        <w:t xml:space="preserve"> if the specificity</w:t>
      </w:r>
      <w:r w:rsidR="00002760">
        <w:t xml:space="preserve"> of FIA-MS/MS</w:t>
      </w:r>
      <w:r w:rsidR="00EE3D09">
        <w:t xml:space="preserve"> </w:t>
      </w:r>
      <w:r w:rsidR="0039232F">
        <w:t xml:space="preserve">for multiple species </w:t>
      </w:r>
      <w:r w:rsidR="006D66E5">
        <w:t xml:space="preserve">of VLCFAs </w:t>
      </w:r>
      <w:r w:rsidR="00EE3D09">
        <w:t>w</w:t>
      </w:r>
      <w:r w:rsidR="00002760">
        <w:t>as</w:t>
      </w:r>
      <w:r w:rsidR="00EE3D09">
        <w:t xml:space="preserve"> 99.5%, then </w:t>
      </w:r>
      <w:r w:rsidR="00B01537">
        <w:t xml:space="preserve">the positive predictive value </w:t>
      </w:r>
      <w:r w:rsidR="000837FF">
        <w:t>increase</w:t>
      </w:r>
      <w:r w:rsidR="009A2E33">
        <w:t>d</w:t>
      </w:r>
      <w:r w:rsidR="000837FF">
        <w:t xml:space="preserve"> from 0.05% to 2.17%, </w:t>
      </w:r>
      <w:r w:rsidR="00056A4F">
        <w:t xml:space="preserve">and </w:t>
      </w:r>
      <w:r w:rsidR="00A004D3">
        <w:t>the proportion of newborns receiving second tier screening decrease</w:t>
      </w:r>
      <w:r w:rsidR="009A2E33">
        <w:t>d</w:t>
      </w:r>
      <w:r w:rsidR="00A004D3">
        <w:t xml:space="preserve"> to </w:t>
      </w:r>
      <w:r w:rsidR="00AF50D1">
        <w:t>0.5%</w:t>
      </w:r>
      <w:r w:rsidR="00056A4F">
        <w:t>. MSAC noted the</w:t>
      </w:r>
      <w:r w:rsidR="00E82508">
        <w:t xml:space="preserve"> DCAR</w:t>
      </w:r>
      <w:r w:rsidR="00056A4F">
        <w:t xml:space="preserve"> HTA group provided post-MSAC </w:t>
      </w:r>
      <w:r w:rsidR="0076224A">
        <w:t xml:space="preserve">updated </w:t>
      </w:r>
      <w:r w:rsidR="00056A4F">
        <w:t xml:space="preserve">modelling results </w:t>
      </w:r>
      <w:r w:rsidR="008B34F7">
        <w:t>using</w:t>
      </w:r>
      <w:r w:rsidR="00BD16A0">
        <w:t xml:space="preserve"> 99.</w:t>
      </w:r>
      <w:r w:rsidR="00487AD6">
        <w:t>5% specificity</w:t>
      </w:r>
      <w:r w:rsidR="004B7D54">
        <w:t xml:space="preserve"> for FIA-MS/MS</w:t>
      </w:r>
      <w:r w:rsidR="0049587B">
        <w:t xml:space="preserve"> (and 3 million simulations</w:t>
      </w:r>
      <w:r w:rsidR="008D50E2" w:rsidRPr="008D50E2">
        <w:t xml:space="preserve"> </w:t>
      </w:r>
      <w:r w:rsidR="008D50E2">
        <w:t>to mitigate fluctuation due to X-ALD being a rare disease</w:t>
      </w:r>
      <w:r w:rsidR="0049587B">
        <w:t>)</w:t>
      </w:r>
      <w:r w:rsidR="00AF50D1">
        <w:t xml:space="preserve">, </w:t>
      </w:r>
      <w:r w:rsidR="007D1E25">
        <w:t>which</w:t>
      </w:r>
      <w:r w:rsidR="00280BF4">
        <w:t xml:space="preserve"> for strategy II</w:t>
      </w:r>
      <w:r w:rsidR="007D1E25">
        <w:t xml:space="preserve"> </w:t>
      </w:r>
      <w:r w:rsidR="008B34F7">
        <w:t>showed</w:t>
      </w:r>
      <w:r w:rsidR="00214743">
        <w:t xml:space="preserve"> a</w:t>
      </w:r>
      <w:r w:rsidR="0076224A">
        <w:t xml:space="preserve"> </w:t>
      </w:r>
      <w:r w:rsidR="00280C18">
        <w:t>cost of screening per newborn</w:t>
      </w:r>
      <w:r w:rsidR="00136A4A">
        <w:t xml:space="preserve"> </w:t>
      </w:r>
      <w:r w:rsidR="00214743">
        <w:t>of</w:t>
      </w:r>
      <w:r w:rsidR="00280C18">
        <w:t xml:space="preserve"> $</w:t>
      </w:r>
      <w:r w:rsidR="008B34F7">
        <w:t>8.76</w:t>
      </w:r>
      <w:r w:rsidR="00950051">
        <w:t>,</w:t>
      </w:r>
      <w:r w:rsidR="00280C18">
        <w:t xml:space="preserve"> </w:t>
      </w:r>
      <w:r w:rsidR="00214743">
        <w:t>an</w:t>
      </w:r>
      <w:r w:rsidR="00002760">
        <w:t xml:space="preserve"> </w:t>
      </w:r>
      <w:r w:rsidR="002B20BC">
        <w:t xml:space="preserve">NBS </w:t>
      </w:r>
      <w:r w:rsidR="00280C18">
        <w:t xml:space="preserve">cost per diagnosis </w:t>
      </w:r>
      <w:r w:rsidR="00214743">
        <w:t>of</w:t>
      </w:r>
      <w:r w:rsidR="00423187">
        <w:t xml:space="preserve"> </w:t>
      </w:r>
      <w:r w:rsidR="00280C18">
        <w:t>$81,</w:t>
      </w:r>
      <w:r w:rsidR="007257F6">
        <w:t>886 (step 1)</w:t>
      </w:r>
      <w:r w:rsidR="00950051">
        <w:t>, and a</w:t>
      </w:r>
      <w:r w:rsidR="004C2E76">
        <w:t xml:space="preserve">n ICER per QALY </w:t>
      </w:r>
      <w:r w:rsidR="00616EA7">
        <w:t>o</w:t>
      </w:r>
      <w:r w:rsidR="004C2E76">
        <w:t>f $116,226 (step 2</w:t>
      </w:r>
      <w:r w:rsidR="004C2E76" w:rsidRPr="00125E90">
        <w:t>)</w:t>
      </w:r>
      <w:r w:rsidR="00616EA7" w:rsidRPr="00125E90">
        <w:t xml:space="preserve"> (</w:t>
      </w:r>
      <w:r w:rsidR="00A908CD" w:rsidRPr="00191E1B">
        <w:fldChar w:fldCharType="begin"/>
      </w:r>
      <w:r w:rsidR="00A908CD" w:rsidRPr="00125E90">
        <w:instrText xml:space="preserve"> REF _Ref143593594  \* MERGEFORMAT </w:instrText>
      </w:r>
      <w:r w:rsidR="00A908CD" w:rsidRPr="00191E1B">
        <w:fldChar w:fldCharType="separate"/>
      </w:r>
      <w:r w:rsidR="00253978" w:rsidRPr="00F54F3D">
        <w:t>Table </w:t>
      </w:r>
      <w:r w:rsidR="00253978">
        <w:t>11</w:t>
      </w:r>
      <w:r w:rsidR="00A908CD" w:rsidRPr="00191E1B">
        <w:fldChar w:fldCharType="end"/>
      </w:r>
      <w:r w:rsidR="00616EA7" w:rsidRPr="00125E90">
        <w:t>)</w:t>
      </w:r>
      <w:r w:rsidR="001964DC" w:rsidRPr="00125E90">
        <w:t>.</w:t>
      </w:r>
      <w:r w:rsidR="00B77EBB" w:rsidRPr="00125E90">
        <w:t xml:space="preserve"> </w:t>
      </w:r>
      <w:r w:rsidR="00CB0DB8">
        <w:t>MSAC considered that</w:t>
      </w:r>
      <w:r w:rsidR="00A27C6D">
        <w:t xml:space="preserve"> 99.5% was the estimated lower bound for FIA-MS/MS specificity</w:t>
      </w:r>
      <w:r w:rsidR="00B61835">
        <w:t>,</w:t>
      </w:r>
      <w:r w:rsidR="00DB19A7">
        <w:t xml:space="preserve"> </w:t>
      </w:r>
      <w:r w:rsidR="00CB0DB8">
        <w:t xml:space="preserve">so the updated </w:t>
      </w:r>
      <w:r w:rsidR="005A5CFD">
        <w:t>results were</w:t>
      </w:r>
      <w:r w:rsidR="00B92187">
        <w:t xml:space="preserve"> therefore </w:t>
      </w:r>
      <w:r w:rsidR="00AB7BF7">
        <w:t xml:space="preserve">an </w:t>
      </w:r>
      <w:r w:rsidR="009639C3">
        <w:t>upper bound</w:t>
      </w:r>
      <w:r w:rsidR="00AB7BF7">
        <w:t xml:space="preserve"> </w:t>
      </w:r>
      <w:r w:rsidR="009639C3">
        <w:t xml:space="preserve">estimate </w:t>
      </w:r>
      <w:r w:rsidR="00AB7BF7">
        <w:t>of the ICER.</w:t>
      </w:r>
      <w:r w:rsidR="00AE295B">
        <w:t xml:space="preserve"> </w:t>
      </w:r>
      <w:r w:rsidR="00CB0DB8">
        <w:t xml:space="preserve">MSAC considered that the updated economic results </w:t>
      </w:r>
      <w:r w:rsidR="00821747">
        <w:t xml:space="preserve">were </w:t>
      </w:r>
      <w:r w:rsidR="00CB0DB8">
        <w:t xml:space="preserve">likely </w:t>
      </w:r>
      <w:r w:rsidR="00B1417E">
        <w:t>also</w:t>
      </w:r>
      <w:r w:rsidR="00CB0DB8">
        <w:t xml:space="preserve"> </w:t>
      </w:r>
      <w:r w:rsidR="00821747">
        <w:t xml:space="preserve">conservative </w:t>
      </w:r>
      <w:r w:rsidR="00CB0DB8">
        <w:t xml:space="preserve">because first tier mass spectrometry tests </w:t>
      </w:r>
      <w:r w:rsidR="00624F2E">
        <w:t xml:space="preserve">should </w:t>
      </w:r>
      <w:r w:rsidR="00CB0DB8">
        <w:t xml:space="preserve">cost quite a bit less than the $5.44 </w:t>
      </w:r>
      <w:r w:rsidR="00AC49A0">
        <w:t xml:space="preserve">per newborn </w:t>
      </w:r>
      <w:r w:rsidR="00CB0DB8">
        <w:t>used by the DCAR</w:t>
      </w:r>
      <w:r w:rsidR="00264223">
        <w:t xml:space="preserve">. </w:t>
      </w:r>
      <w:r w:rsidR="00264223" w:rsidRPr="00264223">
        <w:t xml:space="preserve">MSAC commented that </w:t>
      </w:r>
      <w:r w:rsidR="004F25E3">
        <w:t>funding</w:t>
      </w:r>
      <w:r w:rsidR="00264223" w:rsidRPr="00264223">
        <w:t xml:space="preserve"> mass spectrometry for X-ALD </w:t>
      </w:r>
      <w:r w:rsidR="00264223">
        <w:t xml:space="preserve">NBS </w:t>
      </w:r>
      <w:r w:rsidR="00264223" w:rsidRPr="00264223">
        <w:t xml:space="preserve">would </w:t>
      </w:r>
      <w:r w:rsidR="00EA476E">
        <w:t xml:space="preserve">also </w:t>
      </w:r>
      <w:r w:rsidR="00264223" w:rsidRPr="00264223">
        <w:t xml:space="preserve">minimise the marginal cost of </w:t>
      </w:r>
      <w:r w:rsidR="0099568E">
        <w:t xml:space="preserve">any </w:t>
      </w:r>
      <w:r w:rsidR="00264223" w:rsidRPr="00264223">
        <w:t>future additions of other conditions that also use first tier mass spectrometry</w:t>
      </w:r>
      <w:r w:rsidR="00CB0DB8">
        <w:t xml:space="preserve">. </w:t>
      </w:r>
      <w:r w:rsidR="00827C85">
        <w:t xml:space="preserve">Taking into account its </w:t>
      </w:r>
      <w:r w:rsidR="00613CCF">
        <w:t xml:space="preserve">advice </w:t>
      </w:r>
      <w:r w:rsidR="00ED71E3">
        <w:t>that</w:t>
      </w:r>
      <w:r w:rsidR="00613CCF">
        <w:t xml:space="preserve"> NBS for X-ALD should use</w:t>
      </w:r>
      <w:r w:rsidR="00ED71E3">
        <w:t xml:space="preserve"> </w:t>
      </w:r>
      <w:r w:rsidR="00615380">
        <w:t>FIA-MS/MS for multiple species of VLCFA</w:t>
      </w:r>
      <w:r w:rsidR="00947B4D">
        <w:t xml:space="preserve"> to substantially improve specificity,</w:t>
      </w:r>
      <w:r w:rsidR="008B0181">
        <w:t xml:space="preserve"> followed by genetic testing,</w:t>
      </w:r>
      <w:r w:rsidR="00947B4D">
        <w:t xml:space="preserve"> MSAC advised </w:t>
      </w:r>
      <w:r w:rsidR="008A3336">
        <w:t xml:space="preserve">that </w:t>
      </w:r>
      <w:r w:rsidR="00947B4D">
        <w:t>adding X-ALD to NBS</w:t>
      </w:r>
      <w:r w:rsidR="00615380">
        <w:t xml:space="preserve"> was cost-effective.</w:t>
      </w:r>
    </w:p>
    <w:p w14:paraId="61059273" w14:textId="48467AC2" w:rsidR="009653B7" w:rsidRDefault="005C1A6A" w:rsidP="005C1A6A">
      <w:r>
        <w:t>MSAC noted that</w:t>
      </w:r>
      <w:r w:rsidR="00F06C61">
        <w:t xml:space="preserve"> utilisation was estimated</w:t>
      </w:r>
      <w:r w:rsidR="00312C1A">
        <w:t xml:space="preserve"> using an epidemiological approach and 99% NBS uptake rate. MSAC considered</w:t>
      </w:r>
      <w:r>
        <w:t xml:space="preserve"> the </w:t>
      </w:r>
      <w:r w:rsidR="00A43A32">
        <w:t>overly narrow</w:t>
      </w:r>
      <w:r w:rsidR="00170D32">
        <w:t xml:space="preserve"> definition of FIA-MS/MS </w:t>
      </w:r>
      <w:r w:rsidR="00F5020D">
        <w:t xml:space="preserve">had </w:t>
      </w:r>
      <w:r w:rsidR="007D1E25">
        <w:t>also</w:t>
      </w:r>
      <w:r w:rsidR="00F5020D">
        <w:t xml:space="preserve"> resulted in</w:t>
      </w:r>
      <w:r>
        <w:t xml:space="preserve"> the financial </w:t>
      </w:r>
      <w:r w:rsidR="0097084C">
        <w:t xml:space="preserve">cost </w:t>
      </w:r>
      <w:r w:rsidR="004F2BB3">
        <w:t xml:space="preserve">of strategy II </w:t>
      </w:r>
      <w:r w:rsidR="00F5020D">
        <w:t>having been overestimated</w:t>
      </w:r>
      <w:r w:rsidR="00BA1877">
        <w:t xml:space="preserve"> by the DCAR</w:t>
      </w:r>
      <w:r>
        <w:t xml:space="preserve">. </w:t>
      </w:r>
      <w:r w:rsidR="00F5020D">
        <w:t>MSAC noted t</w:t>
      </w:r>
      <w:r>
        <w:t xml:space="preserve">he DCAR </w:t>
      </w:r>
      <w:r w:rsidR="00F5020D">
        <w:t xml:space="preserve">had </w:t>
      </w:r>
      <w:r>
        <w:t xml:space="preserve">reported the financial </w:t>
      </w:r>
      <w:r w:rsidR="00BA1877">
        <w:t xml:space="preserve">cost of strategy II </w:t>
      </w:r>
      <w:r w:rsidR="005A39E5">
        <w:t xml:space="preserve">to NBS programs </w:t>
      </w:r>
      <w:r>
        <w:t>to be $10.5 million per year. MSAC</w:t>
      </w:r>
      <w:r w:rsidR="00A43500">
        <w:t xml:space="preserve"> noted that </w:t>
      </w:r>
      <w:r w:rsidR="00B32C5E">
        <w:t>if</w:t>
      </w:r>
      <w:r w:rsidR="00A43500">
        <w:t xml:space="preserve"> </w:t>
      </w:r>
      <w:r w:rsidR="003D54DC">
        <w:t xml:space="preserve">the specificity of FIA-MS/MS </w:t>
      </w:r>
      <w:r w:rsidR="00B32C5E">
        <w:t>was</w:t>
      </w:r>
      <w:r w:rsidR="00C31855">
        <w:t xml:space="preserve"> 99.5%</w:t>
      </w:r>
      <w:r w:rsidR="00B32C5E">
        <w:t>, this</w:t>
      </w:r>
      <w:r w:rsidR="00C31855">
        <w:t xml:space="preserve"> </w:t>
      </w:r>
      <w:r w:rsidR="003D54DC">
        <w:t>resulted in a</w:t>
      </w:r>
      <w:r w:rsidR="00BA1877">
        <w:t>n updated</w:t>
      </w:r>
      <w:r w:rsidR="003D54DC">
        <w:t xml:space="preserve"> </w:t>
      </w:r>
      <w:r w:rsidR="006D2624">
        <w:t xml:space="preserve">cost </w:t>
      </w:r>
      <w:r w:rsidR="00F030AE">
        <w:t>to NBS programs</w:t>
      </w:r>
      <w:r w:rsidR="00C31855">
        <w:t xml:space="preserve"> of </w:t>
      </w:r>
      <w:r w:rsidR="005935EF">
        <w:t>$</w:t>
      </w:r>
      <w:r w:rsidR="00755C8A">
        <w:t xml:space="preserve">2.8 million per year </w:t>
      </w:r>
      <w:r w:rsidR="00BA1877">
        <w:t xml:space="preserve">for strategy II </w:t>
      </w:r>
      <w:r w:rsidR="00755C8A">
        <w:t>(</w:t>
      </w:r>
      <w:r w:rsidR="00755C8A">
        <w:fldChar w:fldCharType="begin"/>
      </w:r>
      <w:r w:rsidR="00755C8A">
        <w:instrText xml:space="preserve"> REF _Ref132820213 \h  \* MERGEFORMAT </w:instrText>
      </w:r>
      <w:r w:rsidR="00755C8A">
        <w:fldChar w:fldCharType="separate"/>
      </w:r>
      <w:r w:rsidR="00253978">
        <w:t xml:space="preserve">Table </w:t>
      </w:r>
      <w:r w:rsidR="00253978">
        <w:rPr>
          <w:noProof/>
        </w:rPr>
        <w:t>17</w:t>
      </w:r>
      <w:r w:rsidR="00755C8A">
        <w:fldChar w:fldCharType="end"/>
      </w:r>
      <w:r w:rsidR="00755C8A">
        <w:t>)</w:t>
      </w:r>
      <w:r w:rsidR="00691A07">
        <w:t xml:space="preserve">. MSAC noted that adding X-ALD to NBS would also </w:t>
      </w:r>
      <w:r w:rsidR="00F75E35">
        <w:t xml:space="preserve">have costs </w:t>
      </w:r>
      <w:r w:rsidR="00352061">
        <w:t>to other</w:t>
      </w:r>
      <w:r w:rsidR="00D02D4A">
        <w:t xml:space="preserve"> existing</w:t>
      </w:r>
      <w:r w:rsidR="00352061">
        <w:t xml:space="preserve"> funding sources </w:t>
      </w:r>
      <w:r w:rsidR="00F75E35">
        <w:t>from changes to patient management,</w:t>
      </w:r>
      <w:r w:rsidR="00691A07">
        <w:t xml:space="preserve"> to </w:t>
      </w:r>
      <w:r w:rsidR="00081E3A">
        <w:t>state and territory governments</w:t>
      </w:r>
      <w:r w:rsidR="00310F87">
        <w:t xml:space="preserve"> </w:t>
      </w:r>
      <w:r w:rsidR="00F75E35">
        <w:t xml:space="preserve">in particular </w:t>
      </w:r>
      <w:r w:rsidR="00310F87">
        <w:t>($145,000</w:t>
      </w:r>
      <w:r w:rsidR="00B51C19">
        <w:t xml:space="preserve"> increasing to </w:t>
      </w:r>
      <w:r w:rsidR="00310F87">
        <w:t>$610,000 per year)</w:t>
      </w:r>
      <w:r w:rsidR="00F75E35">
        <w:t>, but also to the MBS ($4,000</w:t>
      </w:r>
      <w:r w:rsidR="00B51C19">
        <w:t xml:space="preserve"> increasing to $</w:t>
      </w:r>
      <w:r w:rsidR="00F75E35">
        <w:t>114,000 per year)</w:t>
      </w:r>
      <w:r w:rsidR="00B51C19">
        <w:t xml:space="preserve"> and</w:t>
      </w:r>
      <w:r w:rsidR="00F75E35">
        <w:t xml:space="preserve"> the PBS ($3,000 per year) </w:t>
      </w:r>
      <w:r w:rsidR="00765B74">
        <w:t>(</w:t>
      </w:r>
      <w:r w:rsidR="00765B74">
        <w:fldChar w:fldCharType="begin"/>
      </w:r>
      <w:r w:rsidR="00765B74">
        <w:instrText xml:space="preserve"> REF _Ref132820213 \h  \* MERGEFORMAT </w:instrText>
      </w:r>
      <w:r w:rsidR="00765B74">
        <w:fldChar w:fldCharType="separate"/>
      </w:r>
      <w:r w:rsidR="00253978">
        <w:t xml:space="preserve">Table </w:t>
      </w:r>
      <w:r w:rsidR="00253978">
        <w:rPr>
          <w:noProof/>
        </w:rPr>
        <w:t>17</w:t>
      </w:r>
      <w:r w:rsidR="00765B74">
        <w:fldChar w:fldCharType="end"/>
      </w:r>
      <w:r w:rsidR="00765B74">
        <w:t>)</w:t>
      </w:r>
      <w:r w:rsidR="00FE6685">
        <w:t xml:space="preserve">. </w:t>
      </w:r>
      <w:r w:rsidR="00BA4BA5">
        <w:t xml:space="preserve">Early diagnosis through X-ALD would shift cascade testing </w:t>
      </w:r>
      <w:r w:rsidR="00571144">
        <w:t xml:space="preserve">of </w:t>
      </w:r>
      <w:r w:rsidR="009B4957">
        <w:t xml:space="preserve">the relatives of </w:t>
      </w:r>
      <w:r w:rsidR="00571144">
        <w:t xml:space="preserve">males who would eventually present symptomatically </w:t>
      </w:r>
      <w:r w:rsidR="00BA4BA5">
        <w:t xml:space="preserve">to within the </w:t>
      </w:r>
      <w:r w:rsidR="009F2768">
        <w:t xml:space="preserve">time horizon for financial analysis, </w:t>
      </w:r>
      <w:r w:rsidR="00E12598">
        <w:t xml:space="preserve">and </w:t>
      </w:r>
      <w:r w:rsidR="00571144">
        <w:t xml:space="preserve">would add cascade testing for </w:t>
      </w:r>
      <w:r w:rsidR="009B4957">
        <w:t xml:space="preserve">the relatives of </w:t>
      </w:r>
      <w:r w:rsidR="00AA068C">
        <w:t xml:space="preserve">males who would never present symptomatically and </w:t>
      </w:r>
      <w:r w:rsidR="009B4957">
        <w:t>females</w:t>
      </w:r>
      <w:r w:rsidR="001E7B98">
        <w:t>. MSAC note</w:t>
      </w:r>
      <w:r w:rsidR="00AA068C">
        <w:t>d</w:t>
      </w:r>
      <w:r w:rsidR="001E7B98">
        <w:t xml:space="preserve"> </w:t>
      </w:r>
      <w:r w:rsidR="00E12598">
        <w:t>c</w:t>
      </w:r>
      <w:r w:rsidR="00FE6685">
        <w:t xml:space="preserve">ascade testing </w:t>
      </w:r>
      <w:r w:rsidR="001D3E32">
        <w:t>would have a</w:t>
      </w:r>
      <w:r w:rsidR="00765B74">
        <w:t>n additional</w:t>
      </w:r>
      <w:r w:rsidR="0034220B">
        <w:t xml:space="preserve"> cost of $53,000 per year to states and territories</w:t>
      </w:r>
      <w:r w:rsidR="00765B74">
        <w:t xml:space="preserve"> (</w:t>
      </w:r>
      <w:r w:rsidR="00765B74">
        <w:fldChar w:fldCharType="begin"/>
      </w:r>
      <w:r w:rsidR="00765B74">
        <w:instrText xml:space="preserve"> REF _Ref130227531 \h  \* MERGEFORMAT </w:instrText>
      </w:r>
      <w:r w:rsidR="00765B74">
        <w:fldChar w:fldCharType="separate"/>
      </w:r>
      <w:r w:rsidR="00253978">
        <w:t xml:space="preserve">Table </w:t>
      </w:r>
      <w:r w:rsidR="00253978">
        <w:rPr>
          <w:noProof/>
        </w:rPr>
        <w:t>18</w:t>
      </w:r>
      <w:r w:rsidR="00765B74">
        <w:fldChar w:fldCharType="end"/>
      </w:r>
      <w:r w:rsidR="00765B74">
        <w:t>)</w:t>
      </w:r>
      <w:r w:rsidR="0034220B">
        <w:t>.</w:t>
      </w:r>
      <w:r w:rsidR="00755C8A">
        <w:t xml:space="preserve"> </w:t>
      </w:r>
      <w:r w:rsidR="00691A07">
        <w:t>MSAC</w:t>
      </w:r>
      <w:r w:rsidR="00755C8A">
        <w:t xml:space="preserve"> advised </w:t>
      </w:r>
      <w:r w:rsidR="00691A07">
        <w:t>the</w:t>
      </w:r>
      <w:r w:rsidR="00755C8A">
        <w:t xml:space="preserve"> financial cost</w:t>
      </w:r>
      <w:r w:rsidR="00691A07">
        <w:t xml:space="preserve"> of adding X-ALD to NBS was acceptable</w:t>
      </w:r>
      <w:r>
        <w:t>.</w:t>
      </w:r>
    </w:p>
    <w:p w14:paraId="1C62C4A9" w14:textId="4594130E" w:rsidR="00C713BA" w:rsidRDefault="00C713BA" w:rsidP="005C1A6A">
      <w:r>
        <w:t xml:space="preserve">MSAC </w:t>
      </w:r>
      <w:r w:rsidR="00C67E7D">
        <w:t xml:space="preserve">noted </w:t>
      </w:r>
      <w:r w:rsidR="004F6F43">
        <w:t xml:space="preserve">that </w:t>
      </w:r>
      <w:r w:rsidR="00ED7C53">
        <w:t xml:space="preserve">the NBS NPF decision-making criteria </w:t>
      </w:r>
      <w:r w:rsidR="004F6F43">
        <w:t>form</w:t>
      </w:r>
      <w:r w:rsidR="00FB5C23">
        <w:t>ed</w:t>
      </w:r>
      <w:r w:rsidR="004F6F43">
        <w:t xml:space="preserve"> context for MSAC’s </w:t>
      </w:r>
      <w:r w:rsidR="006D5DCB">
        <w:t>consideration of</w:t>
      </w:r>
      <w:r w:rsidR="004F6F43">
        <w:t xml:space="preserve"> adding X-ALD to NBS. MSAC</w:t>
      </w:r>
      <w:r w:rsidR="00C45A62">
        <w:t xml:space="preserve"> considered that although it was not being asked to advise on the fulfilment of specific </w:t>
      </w:r>
      <w:r w:rsidR="00607B36">
        <w:t xml:space="preserve">decision-making </w:t>
      </w:r>
      <w:r w:rsidR="00C45A62">
        <w:t>criteria, i</w:t>
      </w:r>
      <w:r w:rsidR="00F33506">
        <w:t xml:space="preserve">ts advice </w:t>
      </w:r>
      <w:r w:rsidR="000F484F">
        <w:t xml:space="preserve">did not </w:t>
      </w:r>
      <w:r w:rsidR="00607B36">
        <w:t>appear counter to any of the criteria.</w:t>
      </w:r>
    </w:p>
    <w:p w14:paraId="78988E02" w14:textId="12882181" w:rsidR="00B234B0" w:rsidRPr="00F76D74" w:rsidRDefault="00B234B0" w:rsidP="005C1A6A">
      <w:r>
        <w:t>MSAC noted</w:t>
      </w:r>
      <w:r w:rsidR="007F5AD3">
        <w:t xml:space="preserve"> that in</w:t>
      </w:r>
      <w:r>
        <w:t xml:space="preserve"> the pre-MSAC response </w:t>
      </w:r>
      <w:r w:rsidR="007F5AD3">
        <w:t xml:space="preserve">the applicant </w:t>
      </w:r>
      <w:r>
        <w:t xml:space="preserve">proposed </w:t>
      </w:r>
      <w:r w:rsidR="006B590D">
        <w:t xml:space="preserve">that </w:t>
      </w:r>
      <w:r w:rsidR="00B53E83">
        <w:t>a</w:t>
      </w:r>
      <w:r w:rsidR="00B53E83" w:rsidRPr="00B53E83">
        <w:t xml:space="preserve"> coordinated strategy to collect, measure, build and translate data is needed to support quality improvement activities, monitoring of treatments and long-term outcomes, </w:t>
      </w:r>
      <w:r w:rsidR="00B53E83">
        <w:t xml:space="preserve">allowing </w:t>
      </w:r>
      <w:r w:rsidR="00B53E83" w:rsidRPr="00B53E83">
        <w:t xml:space="preserve">revision of clinical care guidelines. </w:t>
      </w:r>
      <w:r w:rsidR="00B53E83">
        <w:t>MSAC</w:t>
      </w:r>
      <w:r w:rsidR="00B53E83" w:rsidRPr="00B53E83">
        <w:t xml:space="preserve"> </w:t>
      </w:r>
      <w:r w:rsidR="00B53E83">
        <w:t>agreed that creation of a</w:t>
      </w:r>
      <w:r w:rsidR="006B590D">
        <w:t xml:space="preserve"> national newborn screening registry that incorporated an </w:t>
      </w:r>
      <w:r w:rsidR="00B53E83">
        <w:t xml:space="preserve">X-ALD registry </w:t>
      </w:r>
      <w:r w:rsidR="006B590D">
        <w:t xml:space="preserve">would </w:t>
      </w:r>
      <w:r w:rsidR="00B53E83">
        <w:t>be beneficial</w:t>
      </w:r>
      <w:r w:rsidR="000D691B">
        <w:t xml:space="preserve">, although </w:t>
      </w:r>
      <w:r w:rsidR="00337FD6">
        <w:t xml:space="preserve">considered </w:t>
      </w:r>
      <w:r w:rsidR="000D691B">
        <w:t>it would need to be f</w:t>
      </w:r>
      <w:r w:rsidR="00C63B3A">
        <w:t>unded</w:t>
      </w:r>
      <w:r w:rsidR="00B53E83">
        <w:t>.</w:t>
      </w:r>
    </w:p>
    <w:p w14:paraId="6E6DCB1E" w14:textId="59DC2734" w:rsidR="009349B9" w:rsidRPr="00CE28E3" w:rsidRDefault="009653B7" w:rsidP="009653B7">
      <w:pPr>
        <w:pStyle w:val="Heading2"/>
        <w:numPr>
          <w:ilvl w:val="1"/>
          <w:numId w:val="0"/>
        </w:numPr>
      </w:pPr>
      <w:r>
        <w:t>4.</w:t>
      </w:r>
      <w:r>
        <w:tab/>
      </w:r>
      <w:r w:rsidR="009349B9" w:rsidRPr="00CE28E3">
        <w:t>Background</w:t>
      </w:r>
      <w:bookmarkEnd w:id="2"/>
    </w:p>
    <w:p w14:paraId="05164094" w14:textId="1DD084AD" w:rsidR="009349B9" w:rsidRPr="005C65C4" w:rsidRDefault="000D6BE7" w:rsidP="00010D4D">
      <w:pPr>
        <w:pStyle w:val="Instructionaltext"/>
        <w:rPr>
          <w:color w:val="auto"/>
        </w:rPr>
      </w:pPr>
      <w:r w:rsidRPr="005C65C4">
        <w:rPr>
          <w:color w:val="auto"/>
        </w:rPr>
        <w:t xml:space="preserve">The MSAC has not previously considered the inclusion of X-ALD </w:t>
      </w:r>
      <w:r>
        <w:rPr>
          <w:color w:val="auto"/>
        </w:rPr>
        <w:t>in</w:t>
      </w:r>
      <w:r w:rsidRPr="005C65C4">
        <w:rPr>
          <w:color w:val="auto"/>
        </w:rPr>
        <w:t xml:space="preserve"> NBS.</w:t>
      </w:r>
      <w:r>
        <w:rPr>
          <w:color w:val="auto"/>
        </w:rPr>
        <w:t xml:space="preserve"> </w:t>
      </w:r>
      <w:r w:rsidR="009349B9">
        <w:rPr>
          <w:color w:val="000000" w:themeColor="text1"/>
        </w:rPr>
        <w:t xml:space="preserve">X-ALD </w:t>
      </w:r>
      <w:r w:rsidR="00A97B17">
        <w:rPr>
          <w:color w:val="000000" w:themeColor="text1"/>
        </w:rPr>
        <w:t>wa</w:t>
      </w:r>
      <w:r w:rsidR="009349B9">
        <w:rPr>
          <w:color w:val="000000" w:themeColor="text1"/>
        </w:rPr>
        <w:t xml:space="preserve">s the </w:t>
      </w:r>
      <w:r w:rsidR="009349B9" w:rsidRPr="005C65C4">
        <w:rPr>
          <w:color w:val="auto"/>
        </w:rPr>
        <w:t xml:space="preserve">first </w:t>
      </w:r>
      <w:r>
        <w:rPr>
          <w:color w:val="auto"/>
        </w:rPr>
        <w:t>NBS application</w:t>
      </w:r>
      <w:r w:rsidRPr="005C65C4">
        <w:rPr>
          <w:color w:val="auto"/>
        </w:rPr>
        <w:t xml:space="preserve"> </w:t>
      </w:r>
      <w:r w:rsidR="009349B9" w:rsidRPr="005C65C4">
        <w:rPr>
          <w:color w:val="auto"/>
        </w:rPr>
        <w:t xml:space="preserve">considered by the PICO Advisory Sub-Committee (PASC) </w:t>
      </w:r>
      <w:r w:rsidR="007B3D58">
        <w:rPr>
          <w:color w:val="auto"/>
        </w:rPr>
        <w:t xml:space="preserve">of the </w:t>
      </w:r>
      <w:r w:rsidR="007B3D58" w:rsidRPr="005C65C4">
        <w:rPr>
          <w:color w:val="auto"/>
        </w:rPr>
        <w:t xml:space="preserve">Medical Services Advisory Committee (MSAC) </w:t>
      </w:r>
      <w:r w:rsidR="009349B9" w:rsidRPr="005C65C4">
        <w:rPr>
          <w:color w:val="auto"/>
        </w:rPr>
        <w:t xml:space="preserve">(August 2022) . </w:t>
      </w:r>
    </w:p>
    <w:p w14:paraId="49186274" w14:textId="6BE0D792" w:rsidR="00D509D3" w:rsidRPr="005C65C4" w:rsidRDefault="00D509D3" w:rsidP="00010D4D">
      <w:pPr>
        <w:pStyle w:val="Instructionaltext"/>
        <w:rPr>
          <w:color w:val="auto"/>
        </w:rPr>
      </w:pPr>
      <w:r>
        <w:rPr>
          <w:color w:val="auto"/>
        </w:rPr>
        <w:lastRenderedPageBreak/>
        <w:t>Applications to add a condition to NBS were previously considered by the Standing Committee on Screening (SCoS), and</w:t>
      </w:r>
      <w:r w:rsidR="00EC4297">
        <w:rPr>
          <w:color w:val="auto"/>
        </w:rPr>
        <w:t xml:space="preserve"> with the </w:t>
      </w:r>
      <w:r w:rsidR="00E17A50">
        <w:rPr>
          <w:color w:val="auto"/>
        </w:rPr>
        <w:t xml:space="preserve">dissolution </w:t>
      </w:r>
      <w:r w:rsidR="00EC4297">
        <w:rPr>
          <w:color w:val="auto"/>
        </w:rPr>
        <w:t xml:space="preserve">of SCoS </w:t>
      </w:r>
      <w:r>
        <w:rPr>
          <w:color w:val="auto"/>
        </w:rPr>
        <w:t xml:space="preserve">the process changed in </w:t>
      </w:r>
      <w:r w:rsidR="003F681C">
        <w:rPr>
          <w:color w:val="auto"/>
        </w:rPr>
        <w:t>2021</w:t>
      </w:r>
      <w:r w:rsidR="00EC4297">
        <w:rPr>
          <w:color w:val="auto"/>
        </w:rPr>
        <w:t xml:space="preserve"> to MSAC providing advice instead</w:t>
      </w:r>
      <w:r>
        <w:rPr>
          <w:color w:val="auto"/>
        </w:rPr>
        <w:t>. MSAC’s July 2023 consideration of this application and MSAC Application 1737 (</w:t>
      </w:r>
      <w:r w:rsidRPr="005C65C4">
        <w:rPr>
          <w:color w:val="auto"/>
        </w:rPr>
        <w:t>NBS for Sickle cell disease and beta thalassaemia</w:t>
      </w:r>
      <w:r>
        <w:rPr>
          <w:color w:val="auto"/>
        </w:rPr>
        <w:t>) will be its first considerations of applications to add conditions to NBS.</w:t>
      </w:r>
    </w:p>
    <w:p w14:paraId="4E9E27AE" w14:textId="60F87C0A" w:rsidR="009349B9" w:rsidRPr="00CE28E3" w:rsidRDefault="009653B7" w:rsidP="000C02FE">
      <w:pPr>
        <w:pStyle w:val="Heading2"/>
        <w:numPr>
          <w:ilvl w:val="0"/>
          <w:numId w:val="0"/>
        </w:numPr>
      </w:pPr>
      <w:bookmarkStart w:id="3" w:name="_Toc133221377"/>
      <w:r>
        <w:t>5</w:t>
      </w:r>
      <w:r w:rsidR="009349B9" w:rsidRPr="005C65C4">
        <w:t>.</w:t>
      </w:r>
      <w:r w:rsidR="009349B9" w:rsidRPr="005C65C4">
        <w:tab/>
        <w:t xml:space="preserve">Prerequisites to implementation </w:t>
      </w:r>
      <w:r w:rsidR="009349B9" w:rsidRPr="00CE28E3">
        <w:t>of any funding advice</w:t>
      </w:r>
      <w:bookmarkEnd w:id="3"/>
    </w:p>
    <w:p w14:paraId="55753B1A" w14:textId="5CC1D237" w:rsidR="009349B9" w:rsidRDefault="00173AFB" w:rsidP="00010D4D">
      <w:r w:rsidRPr="00173AFB">
        <w:t xml:space="preserve">Each state and territory </w:t>
      </w:r>
      <w:r w:rsidR="7A91F26D">
        <w:t xml:space="preserve">is </w:t>
      </w:r>
      <w:r w:rsidR="00467F6A">
        <w:t>responsible for</w:t>
      </w:r>
      <w:r w:rsidR="39EC34E5">
        <w:t xml:space="preserve"> determin</w:t>
      </w:r>
      <w:r w:rsidR="014E2F68">
        <w:t>ing</w:t>
      </w:r>
      <w:r w:rsidRPr="00173AFB">
        <w:t xml:space="preserve"> which method of screening for </w:t>
      </w:r>
      <w:r w:rsidR="00EC4297">
        <w:t>X-ALD</w:t>
      </w:r>
      <w:r w:rsidRPr="00173AFB">
        <w:t xml:space="preserve"> they would implement. </w:t>
      </w:r>
      <w:r w:rsidRPr="00191E1B">
        <w:rPr>
          <w:color w:val="000000" w:themeColor="text1"/>
        </w:rPr>
        <w:t xml:space="preserve">New conditions added to </w:t>
      </w:r>
      <w:r w:rsidR="56EA3508" w:rsidRPr="392D163D">
        <w:rPr>
          <w:rFonts w:eastAsia="Franklin Gothic Book" w:cs="Franklin Gothic Book"/>
          <w:color w:val="000000" w:themeColor="text1"/>
        </w:rPr>
        <w:t xml:space="preserve">Australian </w:t>
      </w:r>
      <w:r w:rsidRPr="00191E1B">
        <w:rPr>
          <w:color w:val="000000" w:themeColor="text1"/>
        </w:rPr>
        <w:t xml:space="preserve">NBS </w:t>
      </w:r>
      <w:r w:rsidR="56EA3508" w:rsidRPr="392D163D">
        <w:rPr>
          <w:rFonts w:eastAsia="Franklin Gothic Book" w:cs="Franklin Gothic Book"/>
          <w:color w:val="000000" w:themeColor="text1"/>
        </w:rPr>
        <w:t xml:space="preserve">programs </w:t>
      </w:r>
      <w:r w:rsidRPr="00191E1B">
        <w:rPr>
          <w:color w:val="000000" w:themeColor="text1"/>
        </w:rPr>
        <w:t xml:space="preserve">need to </w:t>
      </w:r>
      <w:r w:rsidR="001444EC" w:rsidRPr="00191E1B">
        <w:rPr>
          <w:color w:val="000000" w:themeColor="text1"/>
        </w:rPr>
        <w:t>align with</w:t>
      </w:r>
      <w:r w:rsidRPr="00191E1B">
        <w:rPr>
          <w:color w:val="000000" w:themeColor="text1"/>
        </w:rPr>
        <w:t xml:space="preserve"> the </w:t>
      </w:r>
      <w:r w:rsidR="56EA3508" w:rsidRPr="392D163D">
        <w:rPr>
          <w:rFonts w:eastAsia="Franklin Gothic Book" w:cs="Franklin Gothic Book"/>
          <w:color w:val="000000" w:themeColor="text1"/>
        </w:rPr>
        <w:t xml:space="preserve">Newborn Bloodspot Screening </w:t>
      </w:r>
      <w:r w:rsidRPr="00191E1B">
        <w:rPr>
          <w:color w:val="000000" w:themeColor="text1"/>
        </w:rPr>
        <w:t>National Policy Framework (</w:t>
      </w:r>
      <w:r w:rsidR="56EA3508" w:rsidRPr="392D163D">
        <w:rPr>
          <w:rFonts w:eastAsia="Franklin Gothic Book" w:cs="Franklin Gothic Book"/>
          <w:color w:val="000000" w:themeColor="text1"/>
        </w:rPr>
        <w:t xml:space="preserve">NBS </w:t>
      </w:r>
      <w:r w:rsidRPr="00191E1B">
        <w:rPr>
          <w:color w:val="000000" w:themeColor="text1"/>
        </w:rPr>
        <w:t xml:space="preserve">NPF) </w:t>
      </w:r>
      <w:r w:rsidR="00FC17B2" w:rsidRPr="392D163D" w:rsidDel="002B7563">
        <w:rPr>
          <w:rFonts w:eastAsia="Franklin Gothic Book" w:cs="Franklin Gothic Book"/>
          <w:color w:val="000000" w:themeColor="text1"/>
        </w:rPr>
        <w:t>decision-making c</w:t>
      </w:r>
      <w:r w:rsidRPr="392D163D" w:rsidDel="002B7563">
        <w:rPr>
          <w:rFonts w:eastAsia="Franklin Gothic Book" w:cs="Franklin Gothic Book"/>
          <w:color w:val="000000" w:themeColor="text1"/>
        </w:rPr>
        <w:t>riteria</w:t>
      </w:r>
      <w:r w:rsidR="56EA3508" w:rsidRPr="392D163D">
        <w:rPr>
          <w:rFonts w:eastAsia="Franklin Gothic Book" w:cs="Franklin Gothic Book"/>
          <w:color w:val="000000" w:themeColor="text1"/>
        </w:rPr>
        <w:t xml:space="preserve">, which </w:t>
      </w:r>
      <w:r w:rsidR="009A42BE">
        <w:rPr>
          <w:rFonts w:eastAsia="Franklin Gothic Book" w:cs="Franklin Gothic Book"/>
          <w:color w:val="000000" w:themeColor="text1"/>
        </w:rPr>
        <w:t>were</w:t>
      </w:r>
      <w:r w:rsidR="56EA3508" w:rsidRPr="392D163D">
        <w:rPr>
          <w:rFonts w:eastAsia="Franklin Gothic Book" w:cs="Franklin Gothic Book"/>
          <w:color w:val="000000" w:themeColor="text1"/>
        </w:rPr>
        <w:t xml:space="preserve"> considered as context for MSAC’s </w:t>
      </w:r>
      <w:r w:rsidR="00C87A72">
        <w:rPr>
          <w:rFonts w:eastAsia="Franklin Gothic Book" w:cs="Franklin Gothic Book"/>
          <w:color w:val="000000" w:themeColor="text1"/>
        </w:rPr>
        <w:t>advice</w:t>
      </w:r>
      <w:r w:rsidR="56EA3508" w:rsidRPr="392D163D">
        <w:rPr>
          <w:rFonts w:eastAsia="Franklin Gothic Book" w:cs="Franklin Gothic Book"/>
          <w:color w:val="000000" w:themeColor="text1"/>
        </w:rPr>
        <w:t>.</w:t>
      </w:r>
      <w:r w:rsidR="1D2EC214">
        <w:t xml:space="preserve"> </w:t>
      </w:r>
    </w:p>
    <w:p w14:paraId="3BC3E9BC" w14:textId="21C2551B" w:rsidR="00173AFB" w:rsidRDefault="00173AFB" w:rsidP="00010D4D">
      <w:r>
        <w:t>The</w:t>
      </w:r>
      <w:r w:rsidRPr="00330A0A">
        <w:t xml:space="preserve"> proposed</w:t>
      </w:r>
      <w:r>
        <w:t xml:space="preserve"> technology does not include </w:t>
      </w:r>
      <w:r w:rsidRPr="00330A0A">
        <w:t>a therapeutic good</w:t>
      </w:r>
      <w:r>
        <w:t xml:space="preserve"> that</w:t>
      </w:r>
      <w:r w:rsidRPr="00330A0A">
        <w:t xml:space="preserve"> require</w:t>
      </w:r>
      <w:r>
        <w:t>s</w:t>
      </w:r>
      <w:r w:rsidRPr="00330A0A">
        <w:t xml:space="preserve"> TGA approv</w:t>
      </w:r>
      <w:r>
        <w:t>al</w:t>
      </w:r>
      <w:r w:rsidRPr="00330A0A">
        <w:t xml:space="preserve">. </w:t>
      </w:r>
      <w:r w:rsidR="00423637">
        <w:t>The full scope of considerations relevant to the NBS NPF criteria</w:t>
      </w:r>
      <w:r w:rsidR="002148E3">
        <w:t>, such as detailed appraisal of all relevant</w:t>
      </w:r>
      <w:r w:rsidR="00423637">
        <w:t xml:space="preserve"> </w:t>
      </w:r>
      <w:r w:rsidR="001E5CC9">
        <w:t>implementation considerations</w:t>
      </w:r>
      <w:r w:rsidR="002148E3">
        <w:t>,</w:t>
      </w:r>
      <w:r w:rsidR="001E5CC9">
        <w:t xml:space="preserve"> are outside the scope of MSAC’s advice</w:t>
      </w:r>
      <w:r w:rsidR="00B6610E">
        <w:t xml:space="preserve"> on NBS</w:t>
      </w:r>
      <w:r w:rsidR="00863046">
        <w:t>, however it is recognised that laboratories may require new equipment in order to perform testing</w:t>
      </w:r>
      <w:r w:rsidR="001E5CC9">
        <w:t>.</w:t>
      </w:r>
    </w:p>
    <w:p w14:paraId="0D692AFE" w14:textId="2D2A8DDE" w:rsidR="009349B9" w:rsidRDefault="009653B7" w:rsidP="000C02FE">
      <w:pPr>
        <w:pStyle w:val="Heading2"/>
        <w:numPr>
          <w:ilvl w:val="0"/>
          <w:numId w:val="0"/>
        </w:numPr>
      </w:pPr>
      <w:bookmarkStart w:id="4" w:name="_Toc133221378"/>
      <w:r>
        <w:t>6</w:t>
      </w:r>
      <w:r w:rsidR="009349B9">
        <w:t>.</w:t>
      </w:r>
      <w:r w:rsidR="009349B9">
        <w:tab/>
      </w:r>
      <w:r w:rsidR="009349B9" w:rsidRPr="00CE28E3">
        <w:t>Proposal for public funding</w:t>
      </w:r>
      <w:bookmarkEnd w:id="4"/>
    </w:p>
    <w:p w14:paraId="2263C38B" w14:textId="6E1A3D9B" w:rsidR="00A2031A" w:rsidRDefault="4997E6BE" w:rsidP="009349B9">
      <w:pPr>
        <w:jc w:val="both"/>
      </w:pPr>
      <w:r>
        <w:t>The proposal is for X-ALD to be added to the list of conditions screened for through Australia’s NBS programs. If a genetic diagnosis of being at risk of developing X-ALD is made via NBS, then follow-on cascade testing of first-degree relatives is also proposed.</w:t>
      </w:r>
    </w:p>
    <w:p w14:paraId="16A2FDE2" w14:textId="0D42BB97" w:rsidR="009349B9" w:rsidRPr="00191E1B" w:rsidRDefault="7F562CF5" w:rsidP="0D2FA58E">
      <w:pPr>
        <w:rPr>
          <w:color w:val="000000" w:themeColor="text1"/>
        </w:rPr>
      </w:pPr>
      <w:r w:rsidRPr="0D2FA58E">
        <w:rPr>
          <w:rFonts w:eastAsia="Franklin Gothic Book" w:cs="Franklin Gothic Book"/>
          <w:color w:val="000000" w:themeColor="text1"/>
        </w:rPr>
        <w:t xml:space="preserve">NBS programs are overseen, funded and managed by state and territory governments and operate independently of each other. The Australian Government contributes funding to hospital services, including those for NBS, through the National Health Reform Agreement (NHRA). </w:t>
      </w:r>
      <w:r w:rsidR="3BE5E86D" w:rsidRPr="49811851">
        <w:rPr>
          <w:rFonts w:eastAsia="Franklin Gothic Book" w:cs="Franklin Gothic Book"/>
          <w:color w:val="000000" w:themeColor="text1"/>
        </w:rPr>
        <w:t>It</w:t>
      </w:r>
      <w:r w:rsidR="16633D2E" w:rsidRPr="49811851">
        <w:rPr>
          <w:rFonts w:eastAsia="Franklin Gothic Book" w:cs="Franklin Gothic Book"/>
          <w:color w:val="000000" w:themeColor="text1"/>
        </w:rPr>
        <w:t xml:space="preserve"> has </w:t>
      </w:r>
      <w:r w:rsidR="690A17D4" w:rsidRPr="49811851">
        <w:rPr>
          <w:rFonts w:eastAsia="Franklin Gothic Book" w:cs="Franklin Gothic Book"/>
          <w:color w:val="000000" w:themeColor="text1"/>
        </w:rPr>
        <w:t xml:space="preserve">also </w:t>
      </w:r>
      <w:r w:rsidR="6664844C" w:rsidRPr="49811851">
        <w:rPr>
          <w:rFonts w:eastAsia="Franklin Gothic Book" w:cs="Franklin Gothic Book"/>
          <w:color w:val="000000" w:themeColor="text1"/>
        </w:rPr>
        <w:t>provided</w:t>
      </w:r>
      <w:r w:rsidR="16633D2E" w:rsidRPr="49811851">
        <w:rPr>
          <w:rFonts w:eastAsia="Franklin Gothic Book" w:cs="Franklin Gothic Book"/>
          <w:color w:val="000000" w:themeColor="text1"/>
        </w:rPr>
        <w:t xml:space="preserve"> $25.3 million </w:t>
      </w:r>
      <w:r w:rsidR="00466469">
        <w:rPr>
          <w:rFonts w:eastAsia="Franklin Gothic Book" w:cs="Franklin Gothic Book"/>
          <w:color w:val="000000" w:themeColor="text1"/>
        </w:rPr>
        <w:t xml:space="preserve">over 4 years </w:t>
      </w:r>
      <w:r w:rsidR="16633D2E" w:rsidRPr="49811851">
        <w:rPr>
          <w:rFonts w:eastAsia="Franklin Gothic Book" w:cs="Franklin Gothic Book"/>
          <w:color w:val="000000" w:themeColor="text1"/>
        </w:rPr>
        <w:t>in direct funding to states and territories</w:t>
      </w:r>
      <w:r w:rsidR="4D0321AE" w:rsidRPr="49811851">
        <w:rPr>
          <w:rFonts w:eastAsia="Franklin Gothic Book" w:cs="Franklin Gothic Book"/>
          <w:color w:val="000000" w:themeColor="text1"/>
        </w:rPr>
        <w:t xml:space="preserve"> to support expansion and consistency of NBS programs. </w:t>
      </w:r>
      <w:r w:rsidR="16633D2E" w:rsidRPr="49811851">
        <w:rPr>
          <w:rFonts w:eastAsia="Franklin Gothic Book" w:cs="Franklin Gothic Book"/>
          <w:color w:val="000000" w:themeColor="text1"/>
        </w:rPr>
        <w:t xml:space="preserve"> </w:t>
      </w:r>
      <w:r w:rsidR="7682959C" w:rsidRPr="49811851">
        <w:rPr>
          <w:rFonts w:eastAsia="Franklin Gothic Book" w:cs="Franklin Gothic Book"/>
          <w:color w:val="000000" w:themeColor="text1"/>
        </w:rPr>
        <w:t xml:space="preserve"> </w:t>
      </w:r>
    </w:p>
    <w:p w14:paraId="4671621B" w14:textId="70718F82" w:rsidR="009349B9" w:rsidRDefault="009349B9" w:rsidP="006D6B3A">
      <w:r>
        <w:t>Should X-ALD be included in the NBS program, there will be flow-on impacts to the healthcare system, including increased monitoring and surveillance of asymptomatic individuals identified as at risk for X-ALD from birth (e.g., specialists care, serial brain</w:t>
      </w:r>
      <w:r w:rsidR="002A5450">
        <w:t xml:space="preserve"> </w:t>
      </w:r>
      <w:r w:rsidR="002A5450" w:rsidRPr="002A5450">
        <w:t>magnetic resonance imaging</w:t>
      </w:r>
      <w:r>
        <w:t xml:space="preserve"> </w:t>
      </w:r>
      <w:r w:rsidR="002A5450">
        <w:t>(</w:t>
      </w:r>
      <w:r>
        <w:t>MRI</w:t>
      </w:r>
      <w:r w:rsidR="002A5450">
        <w:t>)</w:t>
      </w:r>
      <w:r>
        <w:t>, genetic counselling services), treatments (e.g., HSCT) and the management of associated adverse events.</w:t>
      </w:r>
      <w:r w:rsidR="002A5450">
        <w:t xml:space="preserve"> </w:t>
      </w:r>
    </w:p>
    <w:p w14:paraId="06CD7310" w14:textId="00EE9501" w:rsidR="009349B9" w:rsidRDefault="009349B9" w:rsidP="006D6B3A">
      <w:r>
        <w:t xml:space="preserve">The PASC noted policy advice that there is no specific funding source for cascade testing arising out of NBS (p19, </w:t>
      </w:r>
      <w:r w:rsidR="00E338D5">
        <w:t xml:space="preserve">1710 </w:t>
      </w:r>
      <w:r>
        <w:t>PICO Confirmation, August 2022 PASC Meeting).</w:t>
      </w:r>
      <w:r w:rsidR="00AE03BB">
        <w:t xml:space="preserve"> PASC subsequently also accepted that the MBS is not proposed to be the funding source for cascade testing (p32, 1737 PICO Confirmation, December 2022 PASC meeting)</w:t>
      </w:r>
      <w:r w:rsidR="009C1A21">
        <w:t>.</w:t>
      </w:r>
      <w:r>
        <w:t xml:space="preserve"> </w:t>
      </w:r>
      <w:r w:rsidR="009C1A21">
        <w:t>The Department’s</w:t>
      </w:r>
      <w:r w:rsidR="1FF7FD74">
        <w:t xml:space="preserve"> </w:t>
      </w:r>
      <w:r w:rsidR="009C1A21">
        <w:t>p</w:t>
      </w:r>
      <w:r w:rsidR="30F8E76E">
        <w:t>olicy</w:t>
      </w:r>
      <w:r w:rsidR="009C1A21">
        <w:t xml:space="preserve"> advice </w:t>
      </w:r>
      <w:r w:rsidR="00B04CFE">
        <w:t>wa</w:t>
      </w:r>
      <w:r w:rsidR="009C1A21">
        <w:t>s that</w:t>
      </w:r>
      <w:r w:rsidR="740822BB">
        <w:t xml:space="preserve"> cascade testing will continue to be funded by state and territor</w:t>
      </w:r>
      <w:r w:rsidR="009D114A">
        <w:t>y governments</w:t>
      </w:r>
      <w:r w:rsidR="740822BB">
        <w:t xml:space="preserve">, </w:t>
      </w:r>
      <w:r w:rsidR="6942E4BE">
        <w:t>in</w:t>
      </w:r>
      <w:r w:rsidR="00591609">
        <w:t xml:space="preserve"> </w:t>
      </w:r>
      <w:r w:rsidR="6942E4BE">
        <w:t>line with</w:t>
      </w:r>
      <w:r w:rsidR="740822BB">
        <w:t xml:space="preserve"> existing </w:t>
      </w:r>
      <w:r w:rsidR="1F5BDBC4">
        <w:t>arrangements</w:t>
      </w:r>
      <w:r w:rsidR="30F8E76E">
        <w:t>.</w:t>
      </w:r>
      <w:r w:rsidR="740822BB">
        <w:t xml:space="preserve"> </w:t>
      </w:r>
    </w:p>
    <w:p w14:paraId="12C3EAB5" w14:textId="674EE2A6" w:rsidR="009349B9" w:rsidRPr="00CE28E3" w:rsidRDefault="009653B7" w:rsidP="000C02FE">
      <w:pPr>
        <w:pStyle w:val="Heading2"/>
        <w:numPr>
          <w:ilvl w:val="0"/>
          <w:numId w:val="0"/>
        </w:numPr>
      </w:pPr>
      <w:bookmarkStart w:id="5" w:name="_Toc133221379"/>
      <w:r>
        <w:t>7</w:t>
      </w:r>
      <w:r w:rsidR="009349B9">
        <w:t>.</w:t>
      </w:r>
      <w:r w:rsidR="009349B9">
        <w:tab/>
      </w:r>
      <w:r w:rsidR="009349B9" w:rsidRPr="00CE28E3">
        <w:t>Population</w:t>
      </w:r>
      <w:bookmarkEnd w:id="5"/>
      <w:r w:rsidR="009349B9" w:rsidRPr="00CE28E3">
        <w:t xml:space="preserve"> </w:t>
      </w:r>
    </w:p>
    <w:p w14:paraId="010FD695" w14:textId="5BD6F9DD" w:rsidR="009349B9" w:rsidRDefault="002A16B7" w:rsidP="009349B9">
      <w:r>
        <w:t>PASC advised</w:t>
      </w:r>
      <w:r w:rsidR="005A06AC">
        <w:t xml:space="preserve"> that</w:t>
      </w:r>
      <w:r>
        <w:t xml:space="preserve"> the PICO for this application is comprised of </w:t>
      </w:r>
      <w:r w:rsidR="009349B9">
        <w:t>two PICO sets</w:t>
      </w:r>
      <w:r>
        <w:t>: PICO set 1 for NBS, and PICO set 2 for cascade testing arising out of NBS</w:t>
      </w:r>
      <w:r w:rsidR="009349B9">
        <w:t>.</w:t>
      </w:r>
      <w:r w:rsidR="009D114A">
        <w:t xml:space="preserve"> PICO set 1 is the primary purpose of this application.</w:t>
      </w:r>
    </w:p>
    <w:p w14:paraId="57A7C7C7" w14:textId="79213FD2" w:rsidR="009349B9" w:rsidRDefault="009349B9" w:rsidP="008346FA">
      <w:pPr>
        <w:pStyle w:val="Heading3"/>
      </w:pPr>
      <w:bookmarkStart w:id="6" w:name="_Toc133221380"/>
      <w:r>
        <w:lastRenderedPageBreak/>
        <w:t>PICO</w:t>
      </w:r>
      <w:r w:rsidR="003878F2">
        <w:t xml:space="preserve"> </w:t>
      </w:r>
      <w:r w:rsidR="002A16B7">
        <w:t xml:space="preserve">set </w:t>
      </w:r>
      <w:r>
        <w:t>1</w:t>
      </w:r>
      <w:bookmarkEnd w:id="6"/>
    </w:p>
    <w:p w14:paraId="5AA7F93B" w14:textId="77777777" w:rsidR="009349B9" w:rsidRDefault="009349B9" w:rsidP="006D6B3A">
      <w:r w:rsidRPr="007E42C0">
        <w:t>The proposed population to be screened for risk of X-ALD is all newborn babies born in Australia.</w:t>
      </w:r>
    </w:p>
    <w:p w14:paraId="79112CDD" w14:textId="76B77AAF" w:rsidR="009349B9" w:rsidRDefault="009349B9" w:rsidP="006D6B3A">
      <w:r w:rsidRPr="007E42C0">
        <w:t xml:space="preserve">The proposed target condition for </w:t>
      </w:r>
      <w:r w:rsidR="00B27C52">
        <w:t>addition to NBS</w:t>
      </w:r>
      <w:r>
        <w:t xml:space="preserve"> is X-ALD.</w:t>
      </w:r>
    </w:p>
    <w:p w14:paraId="22F311B9" w14:textId="148728D1" w:rsidR="009349B9" w:rsidRDefault="009349B9" w:rsidP="006D6B3A">
      <w:r>
        <w:t>The</w:t>
      </w:r>
      <w:r w:rsidRPr="00330A0A">
        <w:t xml:space="preserve"> proposed </w:t>
      </w:r>
      <w:r>
        <w:t xml:space="preserve">technology </w:t>
      </w:r>
      <w:r w:rsidRPr="00330A0A">
        <w:t>would be used</w:t>
      </w:r>
      <w:r>
        <w:t xml:space="preserve"> w</w:t>
      </w:r>
      <w:r w:rsidRPr="00330A0A">
        <w:t>here no current technology is publicly funded (</w:t>
      </w:r>
      <w:r w:rsidR="00BF1107">
        <w:t xml:space="preserve">noting some of the proposed methods are already </w:t>
      </w:r>
      <w:r w:rsidRPr="00330A0A">
        <w:t xml:space="preserve">available, but </w:t>
      </w:r>
      <w:r w:rsidR="00B573F8">
        <w:t xml:space="preserve">are </w:t>
      </w:r>
      <w:r w:rsidRPr="00330A0A">
        <w:t>not funded</w:t>
      </w:r>
      <w:r w:rsidR="00BF1107">
        <w:t xml:space="preserve"> for NBS for X-ALD</w:t>
      </w:r>
      <w:r w:rsidRPr="00330A0A">
        <w:t>)</w:t>
      </w:r>
      <w:r>
        <w:t xml:space="preserve"> and i</w:t>
      </w:r>
      <w:r w:rsidRPr="00330A0A">
        <w:t xml:space="preserve">n the context of a rare </w:t>
      </w:r>
      <w:r>
        <w:t xml:space="preserve">hereditary </w:t>
      </w:r>
      <w:r w:rsidRPr="00330A0A">
        <w:t>disease</w:t>
      </w:r>
      <w:r>
        <w:t>.</w:t>
      </w:r>
      <w:r w:rsidRPr="00330A0A">
        <w:t xml:space="preserve"> </w:t>
      </w:r>
    </w:p>
    <w:p w14:paraId="61FBAE5C" w14:textId="18314D95" w:rsidR="009349B9" w:rsidRDefault="009349B9" w:rsidP="006D6B3A">
      <w:r>
        <w:t xml:space="preserve">Current </w:t>
      </w:r>
      <w:r w:rsidRPr="00CB0C71">
        <w:t>identification of cases of X-ALD relies on the symptomatic presentation of individuals prior to formal diagnosis.</w:t>
      </w:r>
      <w:r>
        <w:t xml:space="preserve"> The proposed inclusion of X-ALD in the NBS program if </w:t>
      </w:r>
      <w:r w:rsidR="00AC0531">
        <w:t xml:space="preserve">supported </w:t>
      </w:r>
      <w:r>
        <w:t xml:space="preserve">would allow identification of cases in the pre-symptomatic stage, enabling earlier monitoring and </w:t>
      </w:r>
      <w:r w:rsidR="009D114A">
        <w:t xml:space="preserve">earlier </w:t>
      </w:r>
      <w:r>
        <w:t>treatment</w:t>
      </w:r>
      <w:r w:rsidR="009D114A">
        <w:t xml:space="preserve"> </w:t>
      </w:r>
      <w:r w:rsidR="000C2FCB">
        <w:t xml:space="preserve">(e.g., HSCT) </w:t>
      </w:r>
      <w:r>
        <w:t>if indicated</w:t>
      </w:r>
      <w:r w:rsidR="000C2FCB">
        <w:t>, thereby potentially arresting disease progression with improved survival</w:t>
      </w:r>
      <w:r>
        <w:t xml:space="preserve">. </w:t>
      </w:r>
    </w:p>
    <w:p w14:paraId="11DB48C1" w14:textId="1220C3CC" w:rsidR="00F02775" w:rsidRPr="00F02775" w:rsidRDefault="00F02775" w:rsidP="006D6B3A">
      <w:pPr>
        <w:pStyle w:val="Heading4"/>
      </w:pPr>
      <w:r w:rsidRPr="00F02775">
        <w:t xml:space="preserve">Potential </w:t>
      </w:r>
      <w:r w:rsidR="004B30AE">
        <w:t>screening</w:t>
      </w:r>
      <w:r w:rsidR="004B30AE" w:rsidRPr="00F02775">
        <w:t xml:space="preserve"> </w:t>
      </w:r>
      <w:r w:rsidRPr="00F02775">
        <w:t>strategies</w:t>
      </w:r>
    </w:p>
    <w:p w14:paraId="0D9EDB83" w14:textId="786E9486" w:rsidR="00F02775" w:rsidRDefault="00F02775" w:rsidP="006D6B3A">
      <w:r w:rsidRPr="008537DE">
        <w:t xml:space="preserve">Elevated </w:t>
      </w:r>
      <w:r w:rsidR="00066F41" w:rsidRPr="00066F41">
        <w:t xml:space="preserve">C26:0-lysophosphatidylcholine </w:t>
      </w:r>
      <w:r w:rsidR="00066F41">
        <w:t>(</w:t>
      </w:r>
      <w:r w:rsidRPr="008537DE">
        <w:t>C26:0-LPC</w:t>
      </w:r>
      <w:r w:rsidR="00066F41">
        <w:t>)</w:t>
      </w:r>
      <w:r>
        <w:t xml:space="preserve"> levels</w:t>
      </w:r>
      <w:r w:rsidRPr="008537DE">
        <w:t xml:space="preserve"> </w:t>
      </w:r>
      <w:r>
        <w:t xml:space="preserve">may indicate the deregulation of lipid </w:t>
      </w:r>
      <w:r w:rsidR="00A508E4">
        <w:t>metabolism and</w:t>
      </w:r>
      <w:r>
        <w:t xml:space="preserve"> </w:t>
      </w:r>
      <w:r w:rsidR="00723B62">
        <w:t>are</w:t>
      </w:r>
      <w:r w:rsidRPr="008537DE">
        <w:t xml:space="preserve"> an established biomarker for assessing </w:t>
      </w:r>
      <w:r>
        <w:t xml:space="preserve">the </w:t>
      </w:r>
      <w:r w:rsidRPr="008537DE">
        <w:t>risk of X-ALD</w:t>
      </w:r>
      <w:r>
        <w:t xml:space="preserve"> </w:t>
      </w:r>
      <w:r>
        <w:fldChar w:fldCharType="begin">
          <w:fldData xml:space="preserve">PEVuZE5vdGU+PENpdGU+PEF1dGhvcj5Nb3NlcjwvQXV0aG9yPjxZZWFyPjIwMTY8L1llYXI+PFJl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</w:fldData>
        </w:fldChar>
      </w:r>
      <w:r w:rsidR="00D02565">
        <w:instrText xml:space="preserve"> ADDIN EN.CITE </w:instrText>
      </w:r>
      <w:r w:rsidR="00D02565">
        <w:fldChar w:fldCharType="begin">
          <w:fldData xml:space="preserve">PEVuZE5vdGU+PENpdGU+PEF1dGhvcj5Nb3NlcjwvQXV0aG9yPjxZZWFyPjIwMTY8L1llYXI+PFJl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</w:fldData>
        </w:fldChar>
      </w:r>
      <w:r w:rsidR="00D02565">
        <w:instrText xml:space="preserve"> ADDIN EN.CITE.DATA </w:instrText>
      </w:r>
      <w:r w:rsidR="00D02565">
        <w:fldChar w:fldCharType="end"/>
      </w:r>
      <w:r>
        <w:fldChar w:fldCharType="separate"/>
      </w:r>
      <w:r>
        <w:rPr>
          <w:noProof/>
        </w:rPr>
        <w:t>(Moser et al., 2016</w:t>
      </w:r>
      <w:r w:rsidR="004250E8">
        <w:rPr>
          <w:rStyle w:val="FootnoteReference"/>
          <w:noProof/>
        </w:rPr>
        <w:footnoteReference w:id="5"/>
      </w:r>
      <w:r>
        <w:rPr>
          <w:noProof/>
        </w:rPr>
        <w:t>)</w:t>
      </w:r>
      <w:r>
        <w:fldChar w:fldCharType="end"/>
      </w:r>
      <w:r>
        <w:t>.</w:t>
      </w:r>
    </w:p>
    <w:p w14:paraId="2257F6E0" w14:textId="2DF0AE9F" w:rsidR="00F02775" w:rsidRDefault="00F02775" w:rsidP="006D6B3A">
      <w:r>
        <w:t xml:space="preserve">The Application Form </w:t>
      </w:r>
      <w:r w:rsidR="00F80BCF">
        <w:t xml:space="preserve">stated </w:t>
      </w:r>
      <w:r>
        <w:t>that there are several established methods for C26:0-LPC measurement and the screening laboratories in the US</w:t>
      </w:r>
      <w:r w:rsidR="006A70E4">
        <w:t>A</w:t>
      </w:r>
      <w:r>
        <w:t xml:space="preserve"> use either three- or two-tier strategy (p5-6, Application Form). </w:t>
      </w:r>
    </w:p>
    <w:p w14:paraId="23A6B164" w14:textId="1FB800EE" w:rsidR="00F02775" w:rsidRDefault="00F02775" w:rsidP="006D6B3A">
      <w:r w:rsidRPr="008537DE">
        <w:t xml:space="preserve">The </w:t>
      </w:r>
      <w:r w:rsidR="00FD43E7">
        <w:t>literature identified in the systematic review found that</w:t>
      </w:r>
      <w:r w:rsidRPr="008537DE">
        <w:t xml:space="preserve"> the analysis of C26:0-LPC by using flow injection analysis tandem mass spectrometry (FIA-MS/MS)</w:t>
      </w:r>
      <w:r>
        <w:t xml:space="preserve">, </w:t>
      </w:r>
      <w:r w:rsidRPr="008537DE">
        <w:t>performed in positive ion mode</w:t>
      </w:r>
      <w:r w:rsidR="00F116BE">
        <w:t xml:space="preserve"> in the studies</w:t>
      </w:r>
      <w:r w:rsidR="00FD43E7">
        <w:t>,</w:t>
      </w:r>
      <w:r w:rsidRPr="008537DE">
        <w:t xml:space="preserve"> is a fast, </w:t>
      </w:r>
      <w:r w:rsidR="00A508E4" w:rsidRPr="008537DE">
        <w:t>simple,</w:t>
      </w:r>
      <w:r w:rsidRPr="008537DE">
        <w:t xml:space="preserve"> and reliable method to screen for X-ALD </w:t>
      </w:r>
      <w:r w:rsidR="00CA0C1A">
        <w:t>from</w:t>
      </w:r>
      <w:r>
        <w:t xml:space="preserve"> </w:t>
      </w:r>
      <w:r w:rsidR="004D5BDA">
        <w:t xml:space="preserve">a </w:t>
      </w:r>
      <w:r w:rsidR="00F139CB">
        <w:t>dried blood spot</w:t>
      </w:r>
      <w:r w:rsidR="004D5BDA">
        <w:t xml:space="preserve"> (</w:t>
      </w:r>
      <w:r w:rsidRPr="008537DE">
        <w:t>DBS</w:t>
      </w:r>
      <w:r w:rsidR="004D5BDA">
        <w:t>)</w:t>
      </w:r>
      <w:r w:rsidRPr="008537DE">
        <w:t xml:space="preserve"> (Turgeon 2015</w:t>
      </w:r>
      <w:r w:rsidR="004250E8">
        <w:rPr>
          <w:rStyle w:val="FootnoteReference"/>
        </w:rPr>
        <w:footnoteReference w:id="6"/>
      </w:r>
      <w:r w:rsidRPr="008537DE">
        <w:t xml:space="preserve">). However, this method </w:t>
      </w:r>
      <w:r>
        <w:t xml:space="preserve">may </w:t>
      </w:r>
      <w:r w:rsidRPr="008537DE">
        <w:t>yield high levels of false positive</w:t>
      </w:r>
      <w:r>
        <w:t>s</w:t>
      </w:r>
      <w:r w:rsidRPr="008537DE">
        <w:t xml:space="preserve"> due to </w:t>
      </w:r>
      <w:r>
        <w:t xml:space="preserve">sample contamination or </w:t>
      </w:r>
      <w:r w:rsidRPr="008537DE">
        <w:t>an interfering art</w:t>
      </w:r>
      <w:r>
        <w:t>e</w:t>
      </w:r>
      <w:r w:rsidRPr="008537DE">
        <w:t>fact</w:t>
      </w:r>
      <w:r>
        <w:t>/metabolite</w:t>
      </w:r>
      <w:r w:rsidRPr="008537DE">
        <w:t xml:space="preserve"> of unknown origin</w:t>
      </w:r>
      <w:r>
        <w:t xml:space="preserve"> </w:t>
      </w:r>
      <w:r>
        <w:fldChar w:fldCharType="begin">
          <w:fldData xml:space="preserve">PEVuZE5vdGU+PENpdGU+PEF1dGhvcj5UZWJlcjwvQXV0aG9yPjxZZWFyPjIwMjI8L1llYXI+PFJl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</w:fldData>
        </w:fldChar>
      </w:r>
      <w:r w:rsidR="00D02565">
        <w:instrText xml:space="preserve"> ADDIN EN.CITE </w:instrText>
      </w:r>
      <w:r w:rsidR="00D02565">
        <w:fldChar w:fldCharType="begin">
          <w:fldData xml:space="preserve">PEVuZE5vdGU+PENpdGU+PEF1dGhvcj5UZWJlcjwvQXV0aG9yPjxZZWFyPjIwMjI8L1llYXI+PFJl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</w:fldData>
        </w:fldChar>
      </w:r>
      <w:r w:rsidR="00D02565">
        <w:instrText xml:space="preserve"> ADDIN EN.CITE.DATA </w:instrText>
      </w:r>
      <w:r w:rsidR="00D02565">
        <w:fldChar w:fldCharType="end"/>
      </w:r>
      <w:r>
        <w:fldChar w:fldCharType="separate"/>
      </w:r>
      <w:r>
        <w:rPr>
          <w:noProof/>
        </w:rPr>
        <w:t>(Teber et al., 2022</w:t>
      </w:r>
      <w:r w:rsidR="004250E8">
        <w:rPr>
          <w:rStyle w:val="FootnoteReference"/>
        </w:rPr>
        <w:footnoteReference w:id="7"/>
      </w:r>
      <w:r>
        <w:rPr>
          <w:noProof/>
        </w:rPr>
        <w:t>, Hubbard et al., 2009</w:t>
      </w:r>
      <w:r w:rsidR="004250E8">
        <w:rPr>
          <w:rStyle w:val="FootnoteReference"/>
        </w:rPr>
        <w:footnoteReference w:id="8"/>
      </w:r>
      <w:r>
        <w:rPr>
          <w:noProof/>
        </w:rPr>
        <w:t>)</w:t>
      </w:r>
      <w:r>
        <w:fldChar w:fldCharType="end"/>
      </w:r>
      <w:r>
        <w:t xml:space="preserve">. </w:t>
      </w:r>
    </w:p>
    <w:p w14:paraId="4CEFFDC7" w14:textId="361DBE33" w:rsidR="00F02775" w:rsidRDefault="00F02775" w:rsidP="006D6B3A">
      <w:r w:rsidRPr="008537DE">
        <w:t>Using high</w:t>
      </w:r>
      <w:r>
        <w:t>-</w:t>
      </w:r>
      <w:r w:rsidRPr="008537DE">
        <w:t>performance liquid chromatography (</w:t>
      </w:r>
      <w:r>
        <w:t>HPLC-MS/MS</w:t>
      </w:r>
      <w:r w:rsidRPr="008537DE">
        <w:t xml:space="preserve">) or liquid chromatography tandem mass spectrometry (LC-MS/MS) </w:t>
      </w:r>
      <w:r>
        <w:t>can</w:t>
      </w:r>
      <w:r w:rsidRPr="008537DE">
        <w:t xml:space="preserve"> </w:t>
      </w:r>
      <w:r>
        <w:t xml:space="preserve">ameliorate some of these issues. In HPLC-MS/MS, the sample is first separated by liquid </w:t>
      </w:r>
      <w:r w:rsidRPr="008537DE">
        <w:t>chromatograph</w:t>
      </w:r>
      <w:r>
        <w:t>y, followed by tandem mass spectrometry to measure the levels of the target molecules such as</w:t>
      </w:r>
      <w:r w:rsidRPr="008537DE">
        <w:t xml:space="preserve"> C26:0-LPC</w:t>
      </w:r>
      <w:r>
        <w:t xml:space="preserve"> </w:t>
      </w:r>
      <w:r>
        <w:fldChar w:fldCharType="begin">
          <w:fldData xml:space="preserve">PEVuZE5vdGU+PENpdGU+PEF1dGhvcj5IdWJiYXJkPC9BdXRob3I+PFllYXI+MjAwOTwvWWVhcj48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</w:fldData>
        </w:fldChar>
      </w:r>
      <w:r w:rsidR="00D02565">
        <w:instrText xml:space="preserve"> ADDIN EN.CITE </w:instrText>
      </w:r>
      <w:r w:rsidR="00D02565">
        <w:fldChar w:fldCharType="begin">
          <w:fldData xml:space="preserve">PEVuZE5vdGU+PENpdGU+PEF1dGhvcj5IdWJiYXJkPC9BdXRob3I+PFllYXI+MjAwOTwvWWVhcj48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</w:fldData>
        </w:fldChar>
      </w:r>
      <w:r w:rsidR="00D02565">
        <w:instrText xml:space="preserve"> ADDIN EN.CITE.DATA </w:instrText>
      </w:r>
      <w:r w:rsidR="00D02565">
        <w:fldChar w:fldCharType="end"/>
      </w:r>
      <w:r>
        <w:fldChar w:fldCharType="separate"/>
      </w:r>
      <w:r>
        <w:rPr>
          <w:noProof/>
        </w:rPr>
        <w:t>(Hubbard et al., 2009)</w:t>
      </w:r>
      <w:r>
        <w:fldChar w:fldCharType="end"/>
      </w:r>
      <w:r>
        <w:t xml:space="preserve">. </w:t>
      </w:r>
      <w:r w:rsidRPr="008537DE">
        <w:t xml:space="preserve">Using the same sample for the first and second tier analysis </w:t>
      </w:r>
      <w:r>
        <w:t>efficiently</w:t>
      </w:r>
      <w:r w:rsidRPr="008537DE">
        <w:t xml:space="preserve"> reduces false positive results in NBS applications</w:t>
      </w:r>
      <w:r>
        <w:t xml:space="preserve"> </w:t>
      </w:r>
      <w:r>
        <w:fldChar w:fldCharType="begin">
          <w:fldData xml:space="preserve">PEVuZE5vdGU+PENpdGU+PEF1dGhvcj5UdXJnZW9uPC9BdXRob3I+PFllYXI+MjAxNTwvWWVhcj48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</w:fldData>
        </w:fldChar>
      </w:r>
      <w:r w:rsidR="00D02565">
        <w:instrText xml:space="preserve"> ADDIN EN.CITE </w:instrText>
      </w:r>
      <w:r w:rsidR="00D02565">
        <w:fldChar w:fldCharType="begin">
          <w:fldData xml:space="preserve">PEVuZE5vdGU+PENpdGU+PEF1dGhvcj5UdXJnZW9uPC9BdXRob3I+PFllYXI+MjAxNTwvWWVhcj48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</w:fldData>
        </w:fldChar>
      </w:r>
      <w:r w:rsidR="00D02565">
        <w:instrText xml:space="preserve"> ADDIN EN.CITE.DATA </w:instrText>
      </w:r>
      <w:r w:rsidR="00D02565">
        <w:fldChar w:fldCharType="end"/>
      </w:r>
      <w:r>
        <w:fldChar w:fldCharType="separate"/>
      </w:r>
      <w:r>
        <w:rPr>
          <w:noProof/>
        </w:rPr>
        <w:t>(Turgeon et al., 2015)</w:t>
      </w:r>
      <w:r>
        <w:fldChar w:fldCharType="end"/>
      </w:r>
      <w:r>
        <w:t xml:space="preserve">. </w:t>
      </w:r>
      <w:r w:rsidRPr="008537DE">
        <w:t xml:space="preserve">However, some positives from </w:t>
      </w:r>
      <w:r w:rsidR="006B590D">
        <w:t>either</w:t>
      </w:r>
      <w:r w:rsidRPr="008537DE">
        <w:t xml:space="preserve"> tier may</w:t>
      </w:r>
      <w:r>
        <w:t xml:space="preserve"> </w:t>
      </w:r>
      <w:r w:rsidRPr="008537DE">
        <w:t xml:space="preserve">be </w:t>
      </w:r>
      <w:r>
        <w:t xml:space="preserve">associated with </w:t>
      </w:r>
      <w:r w:rsidR="005628D2">
        <w:t xml:space="preserve">other </w:t>
      </w:r>
      <w:r w:rsidRPr="008537DE">
        <w:t xml:space="preserve">disorders </w:t>
      </w:r>
      <w:r w:rsidR="00F139CB">
        <w:t>that result in</w:t>
      </w:r>
      <w:r w:rsidR="00F139CB" w:rsidRPr="008537DE">
        <w:t xml:space="preserve"> </w:t>
      </w:r>
      <w:r w:rsidRPr="008537DE">
        <w:t xml:space="preserve">elevated C26:0-LPC in the newborn DBS </w:t>
      </w:r>
      <w:r>
        <w:fldChar w:fldCharType="begin">
          <w:fldData xml:space="preserve">PEVuZE5vdGU+PENpdGU+PEF1dGhvcj5UdXJnZW9uPC9BdXRob3I+PFllYXI+MjAxNTwvWWVhcj48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</w:fldData>
        </w:fldChar>
      </w:r>
      <w:r w:rsidR="00D02565">
        <w:instrText xml:space="preserve"> ADDIN EN.CITE </w:instrText>
      </w:r>
      <w:r w:rsidR="00D02565">
        <w:fldChar w:fldCharType="begin">
          <w:fldData xml:space="preserve">PEVuZE5vdGU+PENpdGU+PEF1dGhvcj5UdXJnZW9uPC9BdXRob3I+PFllYXI+MjAxNTwvWWVhcj48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</w:fldData>
        </w:fldChar>
      </w:r>
      <w:r w:rsidR="00D02565">
        <w:instrText xml:space="preserve"> ADDIN EN.CITE.DATA </w:instrText>
      </w:r>
      <w:r w:rsidR="00D02565">
        <w:fldChar w:fldCharType="end"/>
      </w:r>
      <w:r>
        <w:fldChar w:fldCharType="separate"/>
      </w:r>
      <w:r>
        <w:rPr>
          <w:noProof/>
        </w:rPr>
        <w:t>(Turgeon et al., 2015)</w:t>
      </w:r>
      <w:r>
        <w:fldChar w:fldCharType="end"/>
      </w:r>
      <w:r>
        <w:t>.</w:t>
      </w:r>
    </w:p>
    <w:p w14:paraId="2DE79AD4" w14:textId="6B083AD6" w:rsidR="00F02775" w:rsidRDefault="00F02775" w:rsidP="006D6B3A">
      <w:r>
        <w:t>A</w:t>
      </w:r>
      <w:r w:rsidRPr="008537DE">
        <w:t xml:space="preserve"> third tier of </w:t>
      </w:r>
      <w:r>
        <w:t xml:space="preserve">molecular genetic testing for </w:t>
      </w:r>
      <w:r w:rsidRPr="00ED4706">
        <w:rPr>
          <w:i/>
          <w:iCs/>
        </w:rPr>
        <w:t>ABCD1</w:t>
      </w:r>
      <w:r w:rsidRPr="00ED4706">
        <w:t xml:space="preserve"> gene is recommended to confirm the diagnosis</w:t>
      </w:r>
      <w:r w:rsidR="00FB7AA8">
        <w:t xml:space="preserve">. </w:t>
      </w:r>
      <w:r w:rsidR="00FB7AA8">
        <w:rPr>
          <w:i/>
          <w:iCs/>
        </w:rPr>
        <w:t>ABCD1</w:t>
      </w:r>
      <w:r w:rsidR="00FB7AA8">
        <w:t xml:space="preserve"> genetic testing is the gold standard to confirm the diagnosis of X-ALD (expert adviser, a clinical geneticist)</w:t>
      </w:r>
      <w:r w:rsidR="008F43D9">
        <w:rPr>
          <w:rStyle w:val="FootnoteReference"/>
        </w:rPr>
        <w:footnoteReference w:id="9"/>
      </w:r>
      <w:r w:rsidR="000C4BBD">
        <w:fldChar w:fldCharType="begin"/>
      </w:r>
      <w:r w:rsidR="000C4BBD">
        <w:instrText xml:space="preserve"> ADDIN EN.CITE &lt;EndNote&gt;&lt;Cite&gt;&lt;Author&gt;Wanders&lt;/Author&gt;&lt;Year&gt;2023&lt;/Year&gt;&lt;RecNum&gt;10603&lt;/RecNum&gt;&lt;DisplayText&gt;(Wanders and Eichler, 2023)&lt;/DisplayText&gt;&lt;record&gt;&lt;rec-number&gt;10603&lt;/rec-number&gt;&lt;foreign-keys&gt;&lt;key app="EN" db-id="5p0vxwpf9wzvtiews9dpt0acffet2dft2xxv" timestamp="1679345882" guid="b0a8fc7e-78fd-4d79-b04e-e40601d618c3"&gt;10603&lt;/key&gt;&lt;/foreign-keys&gt;&lt;ref-type name="Web Page"&gt;12&lt;/ref-type&gt;&lt;contributors&gt;&lt;authors&gt;&lt;author&gt;Wanders, R.J.A.&lt;/author&gt;&lt;author&gt;Eichler, F.S.&lt;/author&gt;&lt;/authors&gt;&lt;/contributors&gt;&lt;titles&gt;&lt;title&gt;X-linked adrenoleukodystrophy and adrenomyeloneuropathy. [Literature review current through: Feb 2023; topic last updated: 16 Nov 2022].&lt;/title&gt;&lt;/titles&gt;&lt;volume&gt;2023&lt;/volume&gt;&lt;number&gt;10 March&lt;/number&gt;&lt;dates&gt;&lt;year&gt;2023&lt;/year&gt;&lt;/dates&gt;&lt;publisher&gt;UpToDate®&lt;/publisher&gt;&lt;urls&gt;&lt;related-urls&gt;&lt;url&gt;https://www.uptodate.com/contents/x-linked-adrenoleukodystrophy-and-adrenomyeloneuropathy#H3329080115&lt;/url&gt;&lt;/related-urls&gt;&lt;/urls&gt;&lt;/record&gt;&lt;/Cite&gt;&lt;/EndNote&gt;</w:instrText>
      </w:r>
      <w:r w:rsidR="00393F98">
        <w:fldChar w:fldCharType="separate"/>
      </w:r>
      <w:r w:rsidR="000C4BBD">
        <w:fldChar w:fldCharType="end"/>
      </w:r>
      <w:r w:rsidR="00FB7AA8">
        <w:t>.</w:t>
      </w:r>
    </w:p>
    <w:p w14:paraId="292B8132" w14:textId="04FE0D0C" w:rsidR="00F02775" w:rsidRDefault="00F02775">
      <w:r w:rsidRPr="00AC6BD6">
        <w:lastRenderedPageBreak/>
        <w:t xml:space="preserve">In general, </w:t>
      </w:r>
      <w:r w:rsidR="00B41957">
        <w:t xml:space="preserve">the applicant indicated that </w:t>
      </w:r>
      <w:r w:rsidRPr="00AC6BD6">
        <w:t xml:space="preserve">both C26:0-LPC </w:t>
      </w:r>
      <w:r>
        <w:t xml:space="preserve">biochemical testing </w:t>
      </w:r>
      <w:r w:rsidRPr="00AC6BD6">
        <w:t xml:space="preserve">and sequencing of the </w:t>
      </w:r>
      <w:r w:rsidRPr="00AC6BD6">
        <w:rPr>
          <w:i/>
          <w:iCs/>
        </w:rPr>
        <w:t>ABCD1</w:t>
      </w:r>
      <w:r w:rsidRPr="00AC6BD6">
        <w:t xml:space="preserve"> gene can be </w:t>
      </w:r>
      <w:r>
        <w:t>conducted</w:t>
      </w:r>
      <w:r w:rsidRPr="00AC6BD6">
        <w:t xml:space="preserve"> on the same </w:t>
      </w:r>
      <w:r>
        <w:t>DBS</w:t>
      </w:r>
      <w:r w:rsidRPr="00AC6BD6">
        <w:t xml:space="preserve">. In some </w:t>
      </w:r>
      <w:r w:rsidR="00A508E4" w:rsidRPr="00AC6BD6">
        <w:t>cases,</w:t>
      </w:r>
      <w:r w:rsidRPr="00AC6BD6">
        <w:t xml:space="preserve"> where the C26:0-LPC value is at the cut</w:t>
      </w:r>
      <w:r>
        <w:t>-</w:t>
      </w:r>
      <w:r w:rsidRPr="00AC6BD6">
        <w:t xml:space="preserve">off value for X-ALD newborn screening, a second </w:t>
      </w:r>
      <w:r w:rsidR="00493A6D">
        <w:t xml:space="preserve">test on a separately punched </w:t>
      </w:r>
      <w:r>
        <w:t>DBS</w:t>
      </w:r>
      <w:r w:rsidRPr="00AC6BD6">
        <w:t xml:space="preserve"> </w:t>
      </w:r>
      <w:r w:rsidR="00493A6D">
        <w:t>can be</w:t>
      </w:r>
      <w:r w:rsidR="00493A6D" w:rsidRPr="00AC6BD6">
        <w:t xml:space="preserve"> </w:t>
      </w:r>
      <w:r w:rsidRPr="00AC6BD6">
        <w:t xml:space="preserve">used for confirmation before sequencing the </w:t>
      </w:r>
      <w:r w:rsidRPr="00AC6BD6">
        <w:rPr>
          <w:i/>
          <w:iCs/>
        </w:rPr>
        <w:t>ABCD1</w:t>
      </w:r>
      <w:r w:rsidRPr="00AC6BD6">
        <w:t xml:space="preserve"> gene.</w:t>
      </w:r>
    </w:p>
    <w:p w14:paraId="3CAF6FB7" w14:textId="237F6547" w:rsidR="00F02775" w:rsidRPr="00F02775" w:rsidRDefault="00496CC8" w:rsidP="006D6B3A">
      <w:pPr>
        <w:pStyle w:val="Heading4"/>
      </w:pPr>
      <w:r>
        <w:t>Scenario analyses (</w:t>
      </w:r>
      <w:r w:rsidR="009C14B2">
        <w:t>X</w:t>
      </w:r>
      <w:r w:rsidR="00F02775" w:rsidRPr="00F02775">
        <w:t>-counter test</w:t>
      </w:r>
      <w:r>
        <w:t>)</w:t>
      </w:r>
    </w:p>
    <w:p w14:paraId="72AE7DB1" w14:textId="75FF1B5C" w:rsidR="00DE51C7" w:rsidRPr="007A5C0B" w:rsidRDefault="00DE51C7" w:rsidP="00DE51C7">
      <w:r w:rsidRPr="00123B6C">
        <w:t xml:space="preserve">The Health Council of the Netherlands considered that screening for </w:t>
      </w:r>
      <w:r>
        <w:t xml:space="preserve">the </w:t>
      </w:r>
      <w:r w:rsidRPr="00123B6C">
        <w:t xml:space="preserve">risk of X-ALD was useful only in male newborns and recommended only </w:t>
      </w:r>
      <w:r w:rsidR="00CE50E6">
        <w:t xml:space="preserve">reporting results for males from </w:t>
      </w:r>
      <w:r w:rsidRPr="00123B6C">
        <w:t xml:space="preserve">screening for X-ALD. </w:t>
      </w:r>
      <w:r>
        <w:t>Consequently, a</w:t>
      </w:r>
      <w:r w:rsidRPr="00123B6C">
        <w:t xml:space="preserve"> male-only screening algorithm</w:t>
      </w:r>
      <w:r>
        <w:t>,</w:t>
      </w:r>
      <w:r w:rsidRPr="00123B6C">
        <w:t xml:space="preserve"> including an X-counter test</w:t>
      </w:r>
      <w:r>
        <w:t>,</w:t>
      </w:r>
      <w:r w:rsidRPr="00123B6C">
        <w:t xml:space="preserve"> was </w:t>
      </w:r>
      <w:r w:rsidRPr="007A5C0B">
        <w:t>developed and tested in a Dutch pilot study (the SCAN study).</w:t>
      </w:r>
      <w:r>
        <w:t xml:space="preserve"> An X-counter test </w:t>
      </w:r>
      <w:r w:rsidRPr="007A5C0B">
        <w:t>was integrated as the second tier in the pilot Dutch 4-tier screening algorithm</w:t>
      </w:r>
      <w:r>
        <w:t xml:space="preserve"> </w:t>
      </w:r>
      <w:r>
        <w:fldChar w:fldCharType="begin">
          <w:fldData xml:space="preserve">PEVuZE5vdGU+PENpdGU+PEF1dGhvcj5BbGJlcnNlbjwvQXV0aG9yPjxZZWFyPjIwMjM8L1llYXI+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</w:fldData>
        </w:fldChar>
      </w:r>
      <w:r>
        <w:instrText xml:space="preserve"> ADDIN EN.CITE </w:instrText>
      </w:r>
      <w:r>
        <w:fldChar w:fldCharType="begin">
          <w:fldData xml:space="preserve">PEVuZE5vdGU+PENpdGU+PEF1dGhvcj5BbGJlcnNlbjwvQXV0aG9yPjxZZWFyPjIwMjM8L1llYXI+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</w:fldData>
        </w:fldChar>
      </w:r>
      <w:r>
        <w:instrText xml:space="preserve"> ADDIN EN.CITE.DATA </w:instrText>
      </w:r>
      <w:r>
        <w:fldChar w:fldCharType="end"/>
      </w:r>
      <w:r>
        <w:fldChar w:fldCharType="separate"/>
      </w:r>
      <w:r>
        <w:rPr>
          <w:noProof/>
        </w:rPr>
        <w:t>(Albersen et al., 2023</w:t>
      </w:r>
      <w:r w:rsidR="004250E8">
        <w:rPr>
          <w:rStyle w:val="FootnoteReference"/>
        </w:rPr>
        <w:footnoteReference w:id="10"/>
      </w:r>
      <w:r>
        <w:rPr>
          <w:noProof/>
        </w:rPr>
        <w:t>)</w:t>
      </w:r>
      <w:r>
        <w:fldChar w:fldCharType="end"/>
      </w:r>
      <w:r>
        <w:t>.</w:t>
      </w:r>
    </w:p>
    <w:p w14:paraId="72C7FC23" w14:textId="15E314EC" w:rsidR="0045416A" w:rsidRDefault="62275140" w:rsidP="0045416A">
      <w:r>
        <w:t>Sex determination is a complex screening algorithm challenge due to inconsistency between chromosomal sex and phenotypic sex, not classifiable male/female phenotype, and administrative errors</w:t>
      </w:r>
      <w:r w:rsidR="48209658">
        <w:t>.</w:t>
      </w:r>
      <w:r>
        <w:t xml:space="preserve"> The X-counter </w:t>
      </w:r>
      <w:r w:rsidR="2C99ACDC">
        <w:t xml:space="preserve">test </w:t>
      </w:r>
      <w:r>
        <w:t xml:space="preserve">(various commercial kits available) determines the number of X chromosomes </w:t>
      </w:r>
      <w:r w:rsidR="2C99ACDC">
        <w:t xml:space="preserve">rather than </w:t>
      </w:r>
      <w:r>
        <w:t>the presence of a Y chromosome</w:t>
      </w:r>
      <w:r w:rsidR="7F82416A">
        <w:t>, because the chance that X-ALD will develop is determined by the number of X chromosomes</w:t>
      </w:r>
      <w:r>
        <w:t xml:space="preserve">. </w:t>
      </w:r>
      <w:r w:rsidR="01AF8732">
        <w:t xml:space="preserve">The X-counter test therefore </w:t>
      </w:r>
      <w:r>
        <w:t xml:space="preserve">enables the identification of </w:t>
      </w:r>
      <w:r w:rsidR="01CAE3E1">
        <w:t>individuals with one X chromosome</w:t>
      </w:r>
      <w:r>
        <w:t xml:space="preserve"> </w:t>
      </w:r>
      <w:r w:rsidR="37CB7787">
        <w:t>a</w:t>
      </w:r>
      <w:r w:rsidR="01CAE3E1">
        <w:t xml:space="preserve">t </w:t>
      </w:r>
      <w:r w:rsidR="4337B9A4">
        <w:t xml:space="preserve">greatest </w:t>
      </w:r>
      <w:r w:rsidR="01CAE3E1">
        <w:t>risk for</w:t>
      </w:r>
      <w:r>
        <w:t xml:space="preserve"> X-ALD but without unsolicited findings (e.g., </w:t>
      </w:r>
      <w:r w:rsidR="2C99ACDC">
        <w:t xml:space="preserve">sex </w:t>
      </w:r>
      <w:r>
        <w:t>chromosome disorders).</w:t>
      </w:r>
      <w:r w:rsidR="2477080D">
        <w:t xml:space="preserve"> </w:t>
      </w:r>
    </w:p>
    <w:p w14:paraId="4745BAC1" w14:textId="716A71A0" w:rsidR="00F02775" w:rsidRDefault="004438B6" w:rsidP="006D6B3A">
      <w:r>
        <w:t xml:space="preserve">PASC considered that sex reported based on </w:t>
      </w:r>
      <w:r w:rsidR="00CB1979">
        <w:t xml:space="preserve">external </w:t>
      </w:r>
      <w:r>
        <w:t xml:space="preserve">genitalia </w:t>
      </w:r>
      <w:r w:rsidR="000A2521">
        <w:t>wa</w:t>
      </w:r>
      <w:r>
        <w:t xml:space="preserve">s unreliable, and any advice to not report results for babies with a number of X chromosomes other than </w:t>
      </w:r>
      <w:r w:rsidR="00D246B3">
        <w:t>one</w:t>
      </w:r>
      <w:r>
        <w:t xml:space="preserve"> would be based on the results of the X-counter test rather than sex reported on the bloodspot </w:t>
      </w:r>
      <w:r w:rsidR="0045416A">
        <w:t>c</w:t>
      </w:r>
      <w:r>
        <w:t>ard</w:t>
      </w:r>
      <w:r w:rsidR="0045416A">
        <w:t>. PASC also noted that no stakeholder had proposed using sex on the bloodspot card, and that the Victorian NBS laboratory had commented that this would be a departure from current practice that would have significant workflow changes and costs. PASC therefore agreed with the proposed population and advised that a scenario analysis of the population of only phenotypically male newborns is not required, because using</w:t>
      </w:r>
      <w:r w:rsidR="00D76A02">
        <w:t>record</w:t>
      </w:r>
      <w:r w:rsidR="00FC0AC1">
        <w:t>ed</w:t>
      </w:r>
      <w:r w:rsidR="00D76A02">
        <w:t xml:space="preserve"> sex on the</w:t>
      </w:r>
      <w:r w:rsidR="0045416A">
        <w:t xml:space="preserve"> bloodspot card is not proposed, and the assessment’s examination of the X-counter will be addressed through scenario analyses of the intervention. </w:t>
      </w:r>
      <w:r w:rsidR="00770F81">
        <w:t>(</w:t>
      </w:r>
      <w:r w:rsidR="00770F81" w:rsidRPr="00770F81">
        <w:t>p</w:t>
      </w:r>
      <w:r w:rsidR="00770F81">
        <w:t>7</w:t>
      </w:r>
      <w:r w:rsidR="00770F81" w:rsidRPr="00770F81">
        <w:t>, 1710 PICO</w:t>
      </w:r>
      <w:r w:rsidR="00770F81">
        <w:t xml:space="preserve">). </w:t>
      </w:r>
      <w:r w:rsidR="2477080D">
        <w:t>Due to the pos</w:t>
      </w:r>
      <w:r w:rsidR="6938B0E6">
        <w:t>i</w:t>
      </w:r>
      <w:r w:rsidR="002640B2">
        <w:t>t</w:t>
      </w:r>
      <w:r w:rsidR="2477080D">
        <w:t>ion of the X-counter test</w:t>
      </w:r>
      <w:r w:rsidR="5E3A8598">
        <w:t xml:space="preserve"> in</w:t>
      </w:r>
      <w:r w:rsidR="2477080D">
        <w:t xml:space="preserve"> the screening </w:t>
      </w:r>
      <w:r w:rsidR="5E3A8598">
        <w:t xml:space="preserve">algorithm </w:t>
      </w:r>
      <w:r w:rsidR="2477080D">
        <w:t>for X-ALD</w:t>
      </w:r>
      <w:r w:rsidR="5E3A8598">
        <w:t>,</w:t>
      </w:r>
      <w:r w:rsidR="2477080D">
        <w:t xml:space="preserve"> only a subset of all individuals with sex chromosome aneuploid</w:t>
      </w:r>
      <w:r w:rsidR="404A27DE">
        <w:t>y</w:t>
      </w:r>
      <w:r w:rsidR="25A6A6B5">
        <w:t xml:space="preserve"> will be identified</w:t>
      </w:r>
      <w:r w:rsidR="404A27DE">
        <w:t>.</w:t>
      </w:r>
    </w:p>
    <w:p w14:paraId="70EBCCE0" w14:textId="7635B8BB" w:rsidR="00D9296F" w:rsidRDefault="00F02775">
      <w:r>
        <w:t xml:space="preserve">The </w:t>
      </w:r>
      <w:r w:rsidRPr="008537DE">
        <w:t>PASC agreed th</w:t>
      </w:r>
      <w:r>
        <w:t>at</w:t>
      </w:r>
      <w:r w:rsidRPr="008537DE">
        <w:t xml:space="preserve"> two-tier </w:t>
      </w:r>
      <w:r>
        <w:t>strategy should also be considered for X-ALD testing, with LC-MS/MS as the first tier,</w:t>
      </w:r>
      <w:r w:rsidRPr="008537DE">
        <w:t xml:space="preserve"> followed by </w:t>
      </w:r>
      <w:r w:rsidRPr="00BD4F13">
        <w:rPr>
          <w:i/>
          <w:iCs/>
        </w:rPr>
        <w:t>ABCD1</w:t>
      </w:r>
      <w:r w:rsidRPr="008537DE">
        <w:t xml:space="preserve"> gene</w:t>
      </w:r>
      <w:r w:rsidR="00E56859">
        <w:t>tic testing</w:t>
      </w:r>
      <w:r>
        <w:t xml:space="preserve"> (p2</w:t>
      </w:r>
      <w:r w:rsidR="00CE24DC">
        <w:t>, 1710</w:t>
      </w:r>
      <w:r>
        <w:t xml:space="preserve"> PICO)</w:t>
      </w:r>
      <w:r w:rsidRPr="008537DE">
        <w:t>. LC-MS/MS methods ha</w:t>
      </w:r>
      <w:r>
        <w:t>ve</w:t>
      </w:r>
      <w:r w:rsidRPr="008537DE">
        <w:t xml:space="preserve"> high sensitivity and specificity</w:t>
      </w:r>
      <w:r>
        <w:t>,</w:t>
      </w:r>
      <w:r w:rsidRPr="008537DE">
        <w:t xml:space="preserve"> but </w:t>
      </w:r>
      <w:r>
        <w:t>separating</w:t>
      </w:r>
      <w:r w:rsidRPr="008537DE">
        <w:t xml:space="preserve"> different LPC species limits its applicability to </w:t>
      </w:r>
      <w:r>
        <w:t>the</w:t>
      </w:r>
      <w:r w:rsidRPr="008537DE">
        <w:t xml:space="preserve"> </w:t>
      </w:r>
      <w:r>
        <w:t xml:space="preserve">wide-scale </w:t>
      </w:r>
      <w:r w:rsidRPr="008537DE">
        <w:t>NBS program when this method is used alone</w:t>
      </w:r>
      <w:r>
        <w:t xml:space="preserve"> </w:t>
      </w:r>
      <w:r>
        <w:fldChar w:fldCharType="begin">
          <w:fldData xml:space="preserve">PEVuZE5vdGU+PENpdGU+PEF1dGhvcj5UdXJnZW9uPC9BdXRob3I+PFllYXI+MjAxNTwvWWVhcj48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</w:fldData>
        </w:fldChar>
      </w:r>
      <w:r w:rsidR="00D02565">
        <w:instrText xml:space="preserve"> ADDIN EN.CITE </w:instrText>
      </w:r>
      <w:r w:rsidR="00D02565">
        <w:fldChar w:fldCharType="begin">
          <w:fldData xml:space="preserve">PEVuZE5vdGU+PENpdGU+PEF1dGhvcj5UdXJnZW9uPC9BdXRob3I+PFllYXI+MjAxNTwvWWVhcj48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</w:fldData>
        </w:fldChar>
      </w:r>
      <w:r w:rsidR="00D02565">
        <w:instrText xml:space="preserve"> ADDIN EN.CITE.DATA </w:instrText>
      </w:r>
      <w:r w:rsidR="00D02565">
        <w:fldChar w:fldCharType="end"/>
      </w:r>
      <w:r>
        <w:fldChar w:fldCharType="separate"/>
      </w:r>
      <w:r>
        <w:t>(Turgeon et al., 2015)</w:t>
      </w:r>
      <w:r>
        <w:fldChar w:fldCharType="end"/>
      </w:r>
      <w:r w:rsidRPr="008537DE">
        <w:t>. The PICO also included using FIA</w:t>
      </w:r>
      <w:r>
        <w:t>-</w:t>
      </w:r>
      <w:r w:rsidRPr="008537DE">
        <w:t>MS/MS as the first tier</w:t>
      </w:r>
      <w:r>
        <w:t>,</w:t>
      </w:r>
      <w:r w:rsidRPr="008537DE">
        <w:t xml:space="preserve"> followed by </w:t>
      </w:r>
      <w:r w:rsidRPr="00BD4F13">
        <w:rPr>
          <w:i/>
          <w:iCs/>
        </w:rPr>
        <w:t>ABCD1</w:t>
      </w:r>
      <w:r w:rsidRPr="008537DE">
        <w:t xml:space="preserve"> gene sequencing</w:t>
      </w:r>
      <w:r>
        <w:t>. H</w:t>
      </w:r>
      <w:r w:rsidRPr="008537DE">
        <w:t>owever</w:t>
      </w:r>
      <w:r>
        <w:t>,</w:t>
      </w:r>
      <w:r w:rsidRPr="008537DE">
        <w:t xml:space="preserve"> FIA</w:t>
      </w:r>
      <w:r>
        <w:t>-</w:t>
      </w:r>
      <w:r w:rsidRPr="008537DE">
        <w:t xml:space="preserve">MS/MS </w:t>
      </w:r>
      <w:r>
        <w:t>y</w:t>
      </w:r>
      <w:r w:rsidRPr="008537DE">
        <w:t xml:space="preserve">ields a high false positive </w:t>
      </w:r>
      <w:r>
        <w:t xml:space="preserve">rate </w:t>
      </w:r>
      <w:r w:rsidRPr="008537DE">
        <w:t xml:space="preserve">and would lead to </w:t>
      </w:r>
      <w:r>
        <w:t>more</w:t>
      </w:r>
      <w:r w:rsidRPr="008537DE">
        <w:t xml:space="preserve"> samples </w:t>
      </w:r>
      <w:r w:rsidR="00BA74A2">
        <w:t>proceeding</w:t>
      </w:r>
      <w:r w:rsidRPr="008537DE">
        <w:t xml:space="preserve"> to </w:t>
      </w:r>
      <w:r w:rsidRPr="00BD4F13">
        <w:rPr>
          <w:i/>
          <w:iCs/>
        </w:rPr>
        <w:t>ABCD1</w:t>
      </w:r>
      <w:r w:rsidRPr="008537DE">
        <w:t xml:space="preserve"> sequencing</w:t>
      </w:r>
      <w:r>
        <w:t>,</w:t>
      </w:r>
      <w:r w:rsidRPr="008537DE">
        <w:t xml:space="preserve"> which </w:t>
      </w:r>
      <w:r>
        <w:t>can be</w:t>
      </w:r>
      <w:r w:rsidRPr="008537DE">
        <w:t xml:space="preserve"> time</w:t>
      </w:r>
      <w:r>
        <w:t>-</w:t>
      </w:r>
      <w:r w:rsidRPr="008537DE">
        <w:t>consuming and costly.</w:t>
      </w:r>
    </w:p>
    <w:p w14:paraId="3AB7365C" w14:textId="0A752138" w:rsidR="00F02775" w:rsidRDefault="00D9296F" w:rsidP="006D6B3A">
      <w:r>
        <w:fldChar w:fldCharType="begin"/>
      </w:r>
      <w:r>
        <w:instrText xml:space="preserve"> REF _Ref132389792 \h </w:instrText>
      </w:r>
      <w:r>
        <w:fldChar w:fldCharType="separate"/>
      </w:r>
      <w:r w:rsidR="00253978">
        <w:t xml:space="preserve">Figure </w:t>
      </w:r>
      <w:r w:rsidR="00253978">
        <w:rPr>
          <w:noProof/>
        </w:rPr>
        <w:t>1</w:t>
      </w:r>
      <w:r>
        <w:fldChar w:fldCharType="end"/>
      </w:r>
      <w:r>
        <w:t xml:space="preserve"> presents an overview of the strategies considered in the current assessment. </w:t>
      </w:r>
      <w:r>
        <w:fldChar w:fldCharType="begin"/>
      </w:r>
      <w:r>
        <w:instrText xml:space="preserve"> REF _Ref132547637 \h </w:instrText>
      </w:r>
      <w:r>
        <w:fldChar w:fldCharType="separate"/>
      </w:r>
      <w:r w:rsidR="00253978">
        <w:t xml:space="preserve">Table </w:t>
      </w:r>
      <w:r w:rsidR="00253978">
        <w:rPr>
          <w:noProof/>
        </w:rPr>
        <w:t>1</w:t>
      </w:r>
      <w:r>
        <w:fldChar w:fldCharType="end"/>
      </w:r>
      <w:r>
        <w:t xml:space="preserve"> presents a summary of the </w:t>
      </w:r>
      <w:r w:rsidR="00685087">
        <w:t xml:space="preserve">preferences of strategies </w:t>
      </w:r>
      <w:r>
        <w:t xml:space="preserve">from the </w:t>
      </w:r>
      <w:r w:rsidR="00A4507A">
        <w:t>s</w:t>
      </w:r>
      <w:r>
        <w:t>tate NBS laboratories</w:t>
      </w:r>
      <w:r w:rsidR="00685087">
        <w:t>.</w:t>
      </w:r>
    </w:p>
    <w:p w14:paraId="583901E6" w14:textId="13BFC876" w:rsidR="00F02775" w:rsidRDefault="00F02775" w:rsidP="00F02775">
      <w:pPr>
        <w:jc w:val="both"/>
        <w:sectPr w:rsidR="00F02775" w:rsidSect="00DE7099">
          <w:headerReference w:type="even" r:id="rId9"/>
          <w:headerReference w:type="default" r:id="rId10"/>
          <w:footerReference w:type="even" r:id="rId11"/>
          <w:footerReference w:type="default" r:id="rId12"/>
          <w:headerReference w:type="first" r:id="rId13"/>
          <w:footerReference w:type="first" r:id="rId14"/>
          <w:type w:val="oddPage"/>
          <w:pgSz w:w="11906" w:h="16838"/>
          <w:pgMar w:top="1440" w:right="1440" w:bottom="1440" w:left="1440" w:header="708" w:footer="708" w:gutter="0"/>
          <w:cols w:space="708"/>
          <w:docGrid w:linePitch="360"/>
        </w:sectPr>
      </w:pPr>
    </w:p>
    <w:p w14:paraId="136EEB8D" w14:textId="2C3A2896" w:rsidR="000136AD" w:rsidRDefault="000136AD" w:rsidP="00B76655">
      <w:pPr>
        <w:pStyle w:val="Caption"/>
        <w:rPr>
          <w:noProof/>
        </w:rPr>
      </w:pPr>
      <w:bookmarkStart w:id="7" w:name="_Ref132389792"/>
      <w:bookmarkStart w:id="8" w:name="_Ref132559696"/>
      <w:bookmarkStart w:id="9" w:name="_Hlk132485075"/>
      <w:r>
        <w:lastRenderedPageBreak/>
        <w:t xml:space="preserve">Figure </w:t>
      </w:r>
      <w:r>
        <w:fldChar w:fldCharType="begin"/>
      </w:r>
      <w:r>
        <w:instrText>SEQ Figure \* ARABIC</w:instrText>
      </w:r>
      <w:r>
        <w:fldChar w:fldCharType="separate"/>
      </w:r>
      <w:r w:rsidR="00253978">
        <w:rPr>
          <w:noProof/>
        </w:rPr>
        <w:t>1</w:t>
      </w:r>
      <w:r>
        <w:fldChar w:fldCharType="end"/>
      </w:r>
      <w:bookmarkEnd w:id="7"/>
      <w:bookmarkEnd w:id="8"/>
      <w:r>
        <w:t xml:space="preserve"> </w:t>
      </w:r>
      <w:r w:rsidR="006A2EE1">
        <w:t xml:space="preserve">Overview of </w:t>
      </w:r>
      <w:r w:rsidR="00F02AB6">
        <w:t xml:space="preserve">the </w:t>
      </w:r>
      <w:r w:rsidR="00683636">
        <w:t xml:space="preserve">nine </w:t>
      </w:r>
      <w:r>
        <w:t>screening strategies</w:t>
      </w:r>
      <w:r w:rsidRPr="00DA1239">
        <w:t xml:space="preserve"> </w:t>
      </w:r>
      <w:r w:rsidR="006A2EE1">
        <w:t>of</w:t>
      </w:r>
      <w:r w:rsidRPr="00DA1239">
        <w:t xml:space="preserve"> NBS for X-ALD</w:t>
      </w:r>
      <w:r w:rsidR="006A2EE1">
        <w:t xml:space="preserve"> considered in the assessment report</w:t>
      </w:r>
      <w:r>
        <w:t>, a</w:t>
      </w:r>
      <w:r w:rsidR="006A2EE1">
        <w:t xml:space="preserve">s advised by the </w:t>
      </w:r>
      <w:r>
        <w:t>PASC</w:t>
      </w:r>
      <w:r>
        <w:rPr>
          <w:noProof/>
        </w:rPr>
        <w:t xml:space="preserve"> </w:t>
      </w:r>
    </w:p>
    <w:p w14:paraId="65DAAC9D" w14:textId="7416EEF0" w:rsidR="00FA430F" w:rsidRDefault="00172211" w:rsidP="006D6B3A">
      <w:pPr>
        <w:pStyle w:val="TableFigureFooter"/>
        <w:spacing w:after="0"/>
      </w:pPr>
      <w:r w:rsidRPr="00172211">
        <w:rPr>
          <w:noProof/>
        </w:rPr>
        <w:drawing>
          <wp:inline distT="0" distB="0" distL="0" distR="0" wp14:anchorId="2ED972B6" wp14:editId="0A0B446E">
            <wp:extent cx="8863330" cy="4527550"/>
            <wp:effectExtent l="19050" t="19050" r="13970" b="25400"/>
            <wp:docPr id="24" name="Picture 24" descr="Overview of the nine screening strategies of NBS for X-ALD considered in the assessment report, as advised by the PAS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Overview of the nine screening strategies of NBS for X-ALD considered in the assessment report, as advised by the PASC "/>
                    <pic:cNvPicPr/>
                  </pic:nvPicPr>
                  <pic:blipFill>
                    <a:blip r:embed="rId15"/>
                    <a:stretch>
                      <a:fillRect/>
                    </a:stretch>
                  </pic:blipFill>
                  <pic:spPr>
                    <a:xfrm>
                      <a:off x="0" y="0"/>
                      <a:ext cx="8863330" cy="4527550"/>
                    </a:xfrm>
                    <a:prstGeom prst="rect">
                      <a:avLst/>
                    </a:prstGeom>
                    <a:ln w="3175">
                      <a:solidFill>
                        <a:schemeClr val="tx1"/>
                      </a:solidFill>
                    </a:ln>
                  </pic:spPr>
                </pic:pic>
              </a:graphicData>
            </a:graphic>
          </wp:inline>
        </w:drawing>
      </w:r>
    </w:p>
    <w:p w14:paraId="792F328F" w14:textId="5859E66D" w:rsidR="00D9296F" w:rsidRDefault="00FE3489" w:rsidP="009653B7">
      <w:pPr>
        <w:pStyle w:val="TableFigureFooter"/>
        <w:spacing w:before="0"/>
      </w:pPr>
      <w:r w:rsidRPr="00EE78E2">
        <w:t>FIA</w:t>
      </w:r>
      <w:r w:rsidR="00334A65">
        <w:t>-</w:t>
      </w:r>
      <w:r w:rsidRPr="00EE78E2">
        <w:t xml:space="preserve">MS/MS: </w:t>
      </w:r>
      <w:r w:rsidRPr="0020354C">
        <w:t>flow injection tandem mass spectrometry</w:t>
      </w:r>
      <w:r>
        <w:t>;</w:t>
      </w:r>
      <w:r w:rsidR="0092543B">
        <w:t xml:space="preserve"> </w:t>
      </w:r>
      <w:r w:rsidRPr="0020354C">
        <w:t>HPLC-MS/MS: high-</w:t>
      </w:r>
      <w:r w:rsidR="00D639CB">
        <w:t>performance</w:t>
      </w:r>
      <w:r w:rsidRPr="0020354C">
        <w:t xml:space="preserve"> liquid chromatography- mass spectrometry</w:t>
      </w:r>
      <w:r>
        <w:t xml:space="preserve">; </w:t>
      </w:r>
      <w:r w:rsidR="00124999">
        <w:t>PASC = PICO Advisory Sub-Committee of the MSAC</w:t>
      </w:r>
      <w:r w:rsidR="000136AD">
        <w:t>.</w:t>
      </w:r>
      <w:r w:rsidR="002009A9">
        <w:br/>
        <w:t>Source: DCAR Figure 1</w:t>
      </w:r>
      <w:r w:rsidR="00737714">
        <w:t>.</w:t>
      </w:r>
      <w:bookmarkEnd w:id="9"/>
      <w:r w:rsidR="00D9296F">
        <w:br w:type="page"/>
      </w:r>
    </w:p>
    <w:p w14:paraId="28D7AAE0" w14:textId="6E71DE44" w:rsidR="00D9296F" w:rsidRDefault="00D9296F" w:rsidP="00B76655">
      <w:pPr>
        <w:pStyle w:val="Caption"/>
      </w:pPr>
      <w:bookmarkStart w:id="10" w:name="_Ref132547637"/>
      <w:r>
        <w:lastRenderedPageBreak/>
        <w:t xml:space="preserve">Table </w:t>
      </w:r>
      <w:r>
        <w:fldChar w:fldCharType="begin"/>
      </w:r>
      <w:r>
        <w:instrText>SEQ Table \* ARABIC</w:instrText>
      </w:r>
      <w:r>
        <w:fldChar w:fldCharType="separate"/>
      </w:r>
      <w:r w:rsidR="00253978">
        <w:rPr>
          <w:noProof/>
        </w:rPr>
        <w:t>1</w:t>
      </w:r>
      <w:r>
        <w:fldChar w:fldCharType="end"/>
      </w:r>
      <w:bookmarkEnd w:id="10"/>
      <w:r>
        <w:tab/>
        <w:t xml:space="preserve">Summary of consultation feedback from the five </w:t>
      </w:r>
      <w:r w:rsidR="00A4507A">
        <w:t>s</w:t>
      </w:r>
      <w:r>
        <w:t>tate NBS programs in Australia</w:t>
      </w:r>
    </w:p>
    <w:tbl>
      <w:tblPr>
        <w:tblStyle w:val="TableGrid"/>
        <w:tblW w:w="0" w:type="auto"/>
        <w:tblLook w:val="04A0" w:firstRow="1" w:lastRow="0" w:firstColumn="1" w:lastColumn="0" w:noHBand="0" w:noVBand="1"/>
      </w:tblPr>
      <w:tblGrid>
        <w:gridCol w:w="1671"/>
        <w:gridCol w:w="3196"/>
        <w:gridCol w:w="3917"/>
        <w:gridCol w:w="1276"/>
        <w:gridCol w:w="1842"/>
        <w:gridCol w:w="2046"/>
      </w:tblGrid>
      <w:tr w:rsidR="00D9296F" w14:paraId="1ADB694B" w14:textId="77777777" w:rsidTr="009B7305">
        <w:trPr>
          <w:tblHeader/>
        </w:trPr>
        <w:tc>
          <w:tcPr>
            <w:tcW w:w="0" w:type="auto"/>
          </w:tcPr>
          <w:p w14:paraId="74C31D40" w14:textId="77777777" w:rsidR="00D9296F" w:rsidRDefault="00D9296F" w:rsidP="00C25359">
            <w:pPr>
              <w:pStyle w:val="TableFigureHeading"/>
            </w:pPr>
          </w:p>
        </w:tc>
        <w:tc>
          <w:tcPr>
            <w:tcW w:w="0" w:type="auto"/>
          </w:tcPr>
          <w:p w14:paraId="7C462432" w14:textId="77777777" w:rsidR="00D9296F" w:rsidRDefault="00D9296F" w:rsidP="00C25359">
            <w:pPr>
              <w:pStyle w:val="TableFigureHeading"/>
            </w:pPr>
            <w:r w:rsidRPr="00893B73">
              <w:t>Western Sydney Genetics Program (WSGP) (NSW NBS laboratory)</w:t>
            </w:r>
          </w:p>
        </w:tc>
        <w:tc>
          <w:tcPr>
            <w:tcW w:w="3917" w:type="dxa"/>
          </w:tcPr>
          <w:p w14:paraId="29E78D6C" w14:textId="77777777" w:rsidR="00D9296F" w:rsidRDefault="00D9296F" w:rsidP="00C25359">
            <w:pPr>
              <w:pStyle w:val="TableFigureHeading"/>
            </w:pPr>
            <w:r w:rsidRPr="00893B73">
              <w:t>Victorian Clinical Genetic Services (VCGS) (Victorian NBS laboratory)</w:t>
            </w:r>
          </w:p>
        </w:tc>
        <w:tc>
          <w:tcPr>
            <w:tcW w:w="1276" w:type="dxa"/>
          </w:tcPr>
          <w:p w14:paraId="33293A6F" w14:textId="77777777" w:rsidR="00D9296F" w:rsidRDefault="00D9296F" w:rsidP="00C25359">
            <w:pPr>
              <w:pStyle w:val="TableFigureHeading"/>
            </w:pPr>
            <w:r>
              <w:t>Queensland NBS program</w:t>
            </w:r>
          </w:p>
        </w:tc>
        <w:tc>
          <w:tcPr>
            <w:tcW w:w="1842" w:type="dxa"/>
          </w:tcPr>
          <w:p w14:paraId="4FB371C4" w14:textId="77777777" w:rsidR="00D9296F" w:rsidRDefault="00D9296F" w:rsidP="00C25359">
            <w:pPr>
              <w:pStyle w:val="TableFigureHeading"/>
            </w:pPr>
            <w:r>
              <w:t>Western Australia NBS program</w:t>
            </w:r>
          </w:p>
        </w:tc>
        <w:tc>
          <w:tcPr>
            <w:tcW w:w="2046" w:type="dxa"/>
          </w:tcPr>
          <w:p w14:paraId="322043F2" w14:textId="77777777" w:rsidR="00D9296F" w:rsidRDefault="00D9296F" w:rsidP="00C25359">
            <w:pPr>
              <w:pStyle w:val="TableFigureHeading"/>
            </w:pPr>
            <w:r w:rsidRPr="00893B73">
              <w:t>SA Pathology (SA NBS laboratory)</w:t>
            </w:r>
          </w:p>
        </w:tc>
      </w:tr>
      <w:tr w:rsidR="00D9296F" w14:paraId="341CD6F3" w14:textId="77777777" w:rsidTr="009B7305">
        <w:tc>
          <w:tcPr>
            <w:tcW w:w="0" w:type="auto"/>
            <w:shd w:val="clear" w:color="auto" w:fill="auto"/>
          </w:tcPr>
          <w:p w14:paraId="6E631592" w14:textId="77777777" w:rsidR="00D9296F" w:rsidRDefault="00D9296F" w:rsidP="00C25359">
            <w:pPr>
              <w:pStyle w:val="Tabletext0"/>
              <w:jc w:val="left"/>
            </w:pPr>
            <w:r w:rsidRPr="006126D1">
              <w:t>Screening (universal vs. male-only)</w:t>
            </w:r>
          </w:p>
        </w:tc>
        <w:tc>
          <w:tcPr>
            <w:tcW w:w="0" w:type="auto"/>
            <w:shd w:val="clear" w:color="auto" w:fill="auto"/>
          </w:tcPr>
          <w:p w14:paraId="6A3F6C23" w14:textId="77777777" w:rsidR="00D9296F" w:rsidRDefault="00D9296F" w:rsidP="00C25359">
            <w:pPr>
              <w:pStyle w:val="Tabletext0"/>
              <w:jc w:val="left"/>
            </w:pPr>
            <w:r w:rsidRPr="00893B73">
              <w:t>Favours male-only NBS for X-ALD; considered screening for females not warranted; also, screening females introduces the risk of false positives and associated anxiety for families</w:t>
            </w:r>
          </w:p>
        </w:tc>
        <w:tc>
          <w:tcPr>
            <w:tcW w:w="3917" w:type="dxa"/>
            <w:shd w:val="clear" w:color="auto" w:fill="auto"/>
          </w:tcPr>
          <w:p w14:paraId="1E245C59" w14:textId="77777777" w:rsidR="00D9296F" w:rsidRDefault="00D9296F" w:rsidP="00C25359">
            <w:pPr>
              <w:pStyle w:val="Tabletext0"/>
              <w:jc w:val="left"/>
            </w:pPr>
            <w:r w:rsidRPr="00893B73">
              <w:t>Universal screening raised the controversy around the identification of adult-onset disorders as part of NBS programs and the individual’s right to know vs. the potential harm caused for patients in waiting.</w:t>
            </w:r>
          </w:p>
        </w:tc>
        <w:tc>
          <w:tcPr>
            <w:tcW w:w="1276" w:type="dxa"/>
            <w:shd w:val="clear" w:color="auto" w:fill="auto"/>
          </w:tcPr>
          <w:p w14:paraId="73F78FCE" w14:textId="77777777" w:rsidR="00D9296F" w:rsidRDefault="00D9296F" w:rsidP="00C25359">
            <w:pPr>
              <w:pStyle w:val="Tabletext0"/>
              <w:jc w:val="left"/>
            </w:pPr>
            <w:r w:rsidRPr="00893B73">
              <w:t>No comment</w:t>
            </w:r>
          </w:p>
        </w:tc>
        <w:tc>
          <w:tcPr>
            <w:tcW w:w="1842" w:type="dxa"/>
            <w:shd w:val="clear" w:color="auto" w:fill="auto"/>
          </w:tcPr>
          <w:p w14:paraId="7B54CAFE" w14:textId="77777777" w:rsidR="00D9296F" w:rsidRDefault="00D9296F" w:rsidP="00C25359">
            <w:pPr>
              <w:pStyle w:val="Tabletext0"/>
              <w:jc w:val="left"/>
            </w:pPr>
            <w:r w:rsidRPr="00893B73">
              <w:t>No comment</w:t>
            </w:r>
          </w:p>
        </w:tc>
        <w:tc>
          <w:tcPr>
            <w:tcW w:w="2046" w:type="dxa"/>
            <w:shd w:val="clear" w:color="auto" w:fill="auto"/>
          </w:tcPr>
          <w:p w14:paraId="7EFC6788" w14:textId="77777777" w:rsidR="00D9296F" w:rsidRDefault="00D9296F" w:rsidP="00C25359">
            <w:pPr>
              <w:pStyle w:val="Tabletext0"/>
              <w:jc w:val="left"/>
            </w:pPr>
            <w:r w:rsidRPr="00893B73">
              <w:t>No comment</w:t>
            </w:r>
          </w:p>
        </w:tc>
      </w:tr>
      <w:tr w:rsidR="00D9296F" w14:paraId="3EF911BF" w14:textId="77777777" w:rsidTr="009B7305">
        <w:tc>
          <w:tcPr>
            <w:tcW w:w="0" w:type="auto"/>
            <w:shd w:val="clear" w:color="auto" w:fill="auto"/>
          </w:tcPr>
          <w:p w14:paraId="516EFC92" w14:textId="77777777" w:rsidR="00D9296F" w:rsidRDefault="00D9296F" w:rsidP="00C25359">
            <w:pPr>
              <w:pStyle w:val="Tabletext0"/>
              <w:jc w:val="left"/>
            </w:pPr>
            <w:r w:rsidRPr="00893B73">
              <w:t>Reporting of abnormal results (universal vs. male-only)</w:t>
            </w:r>
          </w:p>
        </w:tc>
        <w:tc>
          <w:tcPr>
            <w:tcW w:w="0" w:type="auto"/>
            <w:shd w:val="clear" w:color="auto" w:fill="auto"/>
          </w:tcPr>
          <w:p w14:paraId="29DC5424" w14:textId="77777777" w:rsidR="00D9296F" w:rsidRDefault="00D9296F" w:rsidP="00C25359">
            <w:pPr>
              <w:pStyle w:val="Tabletext0"/>
              <w:jc w:val="left"/>
            </w:pPr>
            <w:r w:rsidRPr="00893B73">
              <w:t xml:space="preserve">Favours male-only </w:t>
            </w:r>
          </w:p>
        </w:tc>
        <w:tc>
          <w:tcPr>
            <w:tcW w:w="3917" w:type="dxa"/>
            <w:shd w:val="clear" w:color="auto" w:fill="auto"/>
          </w:tcPr>
          <w:p w14:paraId="0494C086" w14:textId="77777777" w:rsidR="00D9296F" w:rsidRDefault="00D9296F" w:rsidP="00C25359">
            <w:pPr>
              <w:pStyle w:val="Tabletext0"/>
              <w:jc w:val="left"/>
            </w:pPr>
            <w:r w:rsidRPr="00893B73">
              <w:t>No comment</w:t>
            </w:r>
          </w:p>
        </w:tc>
        <w:tc>
          <w:tcPr>
            <w:tcW w:w="1276" w:type="dxa"/>
            <w:shd w:val="clear" w:color="auto" w:fill="auto"/>
          </w:tcPr>
          <w:p w14:paraId="59AA872E" w14:textId="77777777" w:rsidR="00D9296F" w:rsidRDefault="00D9296F" w:rsidP="00C25359">
            <w:pPr>
              <w:pStyle w:val="Tabletext0"/>
              <w:jc w:val="left"/>
            </w:pPr>
            <w:r w:rsidRPr="00893B73">
              <w:t>No comment</w:t>
            </w:r>
          </w:p>
        </w:tc>
        <w:tc>
          <w:tcPr>
            <w:tcW w:w="1842" w:type="dxa"/>
            <w:shd w:val="clear" w:color="auto" w:fill="auto"/>
          </w:tcPr>
          <w:p w14:paraId="7E10D9E2" w14:textId="77777777" w:rsidR="00D9296F" w:rsidRDefault="00D9296F" w:rsidP="00C25359">
            <w:pPr>
              <w:pStyle w:val="Tabletext0"/>
              <w:jc w:val="left"/>
            </w:pPr>
            <w:r w:rsidRPr="00893B73">
              <w:t>No comment</w:t>
            </w:r>
          </w:p>
        </w:tc>
        <w:tc>
          <w:tcPr>
            <w:tcW w:w="2046" w:type="dxa"/>
            <w:shd w:val="clear" w:color="auto" w:fill="auto"/>
          </w:tcPr>
          <w:p w14:paraId="67839BB3" w14:textId="77777777" w:rsidR="00D9296F" w:rsidRDefault="00D9296F" w:rsidP="00C25359">
            <w:pPr>
              <w:pStyle w:val="Tabletext0"/>
              <w:jc w:val="left"/>
            </w:pPr>
            <w:r w:rsidRPr="00893B73">
              <w:t xml:space="preserve">Favours male-only </w:t>
            </w:r>
          </w:p>
        </w:tc>
      </w:tr>
      <w:tr w:rsidR="00D9296F" w14:paraId="7B987908" w14:textId="77777777" w:rsidTr="009B7305">
        <w:tc>
          <w:tcPr>
            <w:tcW w:w="0" w:type="auto"/>
            <w:shd w:val="clear" w:color="auto" w:fill="auto"/>
          </w:tcPr>
          <w:p w14:paraId="742A9F8E" w14:textId="77777777" w:rsidR="00D9296F" w:rsidRDefault="00D9296F" w:rsidP="00C25359">
            <w:pPr>
              <w:pStyle w:val="Tabletext0"/>
              <w:jc w:val="left"/>
            </w:pPr>
            <w:r w:rsidRPr="00893B73">
              <w:t>Preference of strategies</w:t>
            </w:r>
          </w:p>
        </w:tc>
        <w:tc>
          <w:tcPr>
            <w:tcW w:w="0" w:type="auto"/>
            <w:shd w:val="clear" w:color="auto" w:fill="auto"/>
          </w:tcPr>
          <w:p w14:paraId="18518D62" w14:textId="0D07D3BE" w:rsidR="007F6D9B" w:rsidRDefault="00D9296F" w:rsidP="00B83F9F">
            <w:pPr>
              <w:pStyle w:val="Tabletext0"/>
              <w:jc w:val="left"/>
            </w:pPr>
            <w:r w:rsidRPr="00893B73">
              <w:t xml:space="preserve">Plan to use </w:t>
            </w:r>
            <w:r w:rsidR="00B83F9F">
              <w:t>“</w:t>
            </w:r>
            <w:r w:rsidRPr="00893B73">
              <w:t>a 3-tier process</w:t>
            </w:r>
            <w:r w:rsidR="00B83F9F">
              <w:t>,</w:t>
            </w:r>
            <w:r w:rsidRPr="00893B73">
              <w:t xml:space="preserve"> </w:t>
            </w:r>
            <w:r w:rsidR="00B83F9F" w:rsidRPr="00B83F9F">
              <w:t>incorporating FIA-MS/MS as first tier</w:t>
            </w:r>
            <w:r w:rsidR="00B83F9F">
              <w:t>…</w:t>
            </w:r>
            <w:r w:rsidR="00B83F9F" w:rsidRPr="00B83F9F">
              <w:t xml:space="preserve">followed by a second tier </w:t>
            </w:r>
            <w:r w:rsidR="00B83F9F" w:rsidRPr="00B83F9F">
              <w:rPr>
                <w:rFonts w:hint="eastAsia"/>
              </w:rPr>
              <w:t>‘</w:t>
            </w:r>
            <w:r w:rsidR="00B83F9F" w:rsidRPr="00B83F9F">
              <w:t>X-counter</w:t>
            </w:r>
            <w:r w:rsidR="00B83F9F" w:rsidRPr="00B83F9F">
              <w:rPr>
                <w:rFonts w:hint="eastAsia"/>
              </w:rPr>
              <w:t>’</w:t>
            </w:r>
            <w:r w:rsidR="00B83F9F" w:rsidRPr="00B83F9F">
              <w:t xml:space="preserve"> sex determination with male identified</w:t>
            </w:r>
            <w:r w:rsidR="00B83F9F">
              <w:t xml:space="preserve"> </w:t>
            </w:r>
            <w:r w:rsidR="00B83F9F" w:rsidRPr="00B83F9F">
              <w:t xml:space="preserve">newborns proceeding to have </w:t>
            </w:r>
            <w:r w:rsidR="00B83F9F" w:rsidRPr="006D6B3A">
              <w:rPr>
                <w:i/>
                <w:iCs/>
              </w:rPr>
              <w:t>ABCD1</w:t>
            </w:r>
            <w:r w:rsidR="00B83F9F" w:rsidRPr="00B83F9F">
              <w:t xml:space="preserve"> gene sequencing</w:t>
            </w:r>
            <w:r w:rsidR="00B83F9F">
              <w:t>”</w:t>
            </w:r>
            <w:r w:rsidR="007F6D9B">
              <w:t xml:space="preserve"> (</w:t>
            </w:r>
            <w:r w:rsidR="00B83F9F">
              <w:t xml:space="preserve">this description fits </w:t>
            </w:r>
            <w:r w:rsidR="007F6D9B">
              <w:t>Strategy Ia</w:t>
            </w:r>
            <w:r w:rsidR="00B83F9F">
              <w:t xml:space="preserve"> in </w:t>
            </w:r>
            <w:r w:rsidR="00B83F9F">
              <w:fldChar w:fldCharType="begin"/>
            </w:r>
            <w:r w:rsidR="00B83F9F">
              <w:instrText xml:space="preserve"> REF _Ref132559696 \h </w:instrText>
            </w:r>
            <w:r w:rsidR="00B83F9F">
              <w:fldChar w:fldCharType="separate"/>
            </w:r>
            <w:r w:rsidR="00253978">
              <w:t xml:space="preserve">Figure </w:t>
            </w:r>
            <w:r w:rsidR="00253978">
              <w:rPr>
                <w:noProof/>
              </w:rPr>
              <w:t>1</w:t>
            </w:r>
            <w:r w:rsidR="00B83F9F">
              <w:fldChar w:fldCharType="end"/>
            </w:r>
            <w:r w:rsidR="007F6D9B">
              <w:t>)</w:t>
            </w:r>
            <w:r w:rsidR="00B83F9F">
              <w:t>.</w:t>
            </w:r>
            <w:r>
              <w:t xml:space="preserve"> </w:t>
            </w:r>
          </w:p>
          <w:p w14:paraId="2237FC41" w14:textId="61E12DCF" w:rsidR="00D9296F" w:rsidRDefault="007F6D9B" w:rsidP="006D6B3A">
            <w:pPr>
              <w:pStyle w:val="Tabletext0"/>
            </w:pPr>
            <w:r>
              <w:t xml:space="preserve">However, also stated that </w:t>
            </w:r>
            <w:r w:rsidR="00B83F9F">
              <w:t xml:space="preserve">“should the kit they intend to use not be validated for use with HPLC-MS/MS, they will revert to the 4-tier screening algorithm as used by the Dutch programme” (p34, 1710 PICO) </w:t>
            </w:r>
            <w:r w:rsidR="00D9296F" w:rsidRPr="00893B73">
              <w:t>(</w:t>
            </w:r>
            <w:r w:rsidR="00B83F9F">
              <w:t xml:space="preserve">i.e., </w:t>
            </w:r>
            <w:r w:rsidR="00D9296F" w:rsidRPr="00893B73">
              <w:t>Strategy IVa).</w:t>
            </w:r>
          </w:p>
        </w:tc>
        <w:tc>
          <w:tcPr>
            <w:tcW w:w="3917" w:type="dxa"/>
            <w:shd w:val="clear" w:color="auto" w:fill="auto"/>
          </w:tcPr>
          <w:p w14:paraId="1D871265" w14:textId="039E3401" w:rsidR="009F4EFA" w:rsidRPr="009F4EFA" w:rsidRDefault="009F4EFA" w:rsidP="00C25359">
            <w:pPr>
              <w:pStyle w:val="Tabletext0"/>
              <w:jc w:val="left"/>
            </w:pPr>
            <w:r>
              <w:t xml:space="preserve">(HP)LC-MS/MS as confirmatory test instead of </w:t>
            </w:r>
            <w:r>
              <w:rPr>
                <w:i/>
                <w:iCs/>
              </w:rPr>
              <w:t xml:space="preserve">ABCD1 </w:t>
            </w:r>
            <w:r>
              <w:t>genetic testing (p13, 1710 PICO) (Strategy I)</w:t>
            </w:r>
          </w:p>
          <w:p w14:paraId="5F8F6D5E" w14:textId="77777777" w:rsidR="009F4EFA" w:rsidRDefault="009F4EFA" w:rsidP="00C25359">
            <w:pPr>
              <w:pStyle w:val="Tabletext0"/>
              <w:jc w:val="left"/>
            </w:pPr>
          </w:p>
          <w:p w14:paraId="58D51238" w14:textId="595BA434" w:rsidR="00D9296F" w:rsidRDefault="00D9296F" w:rsidP="009F4EFA">
            <w:pPr>
              <w:pStyle w:val="Tabletext0"/>
              <w:jc w:val="left"/>
            </w:pPr>
            <w:r w:rsidRPr="00893B73">
              <w:t>Preferred 2-tier method</w:t>
            </w:r>
            <w:r w:rsidR="009F4EFA">
              <w:t xml:space="preserve">; </w:t>
            </w:r>
            <w:r w:rsidR="003E4A58">
              <w:t>did</w:t>
            </w:r>
            <w:r w:rsidR="003E4A58" w:rsidRPr="00893B73">
              <w:t xml:space="preserve"> </w:t>
            </w:r>
            <w:r w:rsidRPr="00893B73">
              <w:t>not support 3-tier method (</w:t>
            </w:r>
            <w:r w:rsidR="0091427A">
              <w:t xml:space="preserve">because </w:t>
            </w:r>
            <w:r w:rsidRPr="00893B73">
              <w:t>does not add value, redundant)</w:t>
            </w:r>
            <w:r w:rsidR="009F4EFA">
              <w:t xml:space="preserve"> (p33, 1710 PICO).</w:t>
            </w:r>
          </w:p>
        </w:tc>
        <w:tc>
          <w:tcPr>
            <w:tcW w:w="1276" w:type="dxa"/>
            <w:shd w:val="clear" w:color="auto" w:fill="auto"/>
          </w:tcPr>
          <w:p w14:paraId="0128C890" w14:textId="6C4F3E94" w:rsidR="00D9296F" w:rsidRDefault="00D9296F" w:rsidP="00C25359">
            <w:pPr>
              <w:pStyle w:val="Tabletext0"/>
              <w:jc w:val="left"/>
            </w:pPr>
            <w:r w:rsidRPr="00893B73">
              <w:t>Strategy I because no current capacity to do HPLC</w:t>
            </w:r>
            <w:r w:rsidR="007F6D9B">
              <w:t>.</w:t>
            </w:r>
          </w:p>
        </w:tc>
        <w:tc>
          <w:tcPr>
            <w:tcW w:w="1842" w:type="dxa"/>
            <w:shd w:val="clear" w:color="auto" w:fill="auto"/>
          </w:tcPr>
          <w:p w14:paraId="14A2E41A" w14:textId="77777777" w:rsidR="00D9296F" w:rsidRDefault="00D9296F" w:rsidP="00C25359">
            <w:pPr>
              <w:pStyle w:val="Tabletext0"/>
              <w:jc w:val="left"/>
            </w:pPr>
            <w:r w:rsidRPr="00893B73">
              <w:t>Strategy IV</w:t>
            </w:r>
          </w:p>
        </w:tc>
        <w:tc>
          <w:tcPr>
            <w:tcW w:w="2046" w:type="dxa"/>
            <w:shd w:val="clear" w:color="auto" w:fill="auto"/>
          </w:tcPr>
          <w:p w14:paraId="48157E3B" w14:textId="77777777" w:rsidR="00D9296F" w:rsidRDefault="00D9296F" w:rsidP="00C25359">
            <w:pPr>
              <w:pStyle w:val="Tabletext0"/>
              <w:jc w:val="left"/>
            </w:pPr>
            <w:r w:rsidRPr="00893B73">
              <w:t>No comment</w:t>
            </w:r>
          </w:p>
        </w:tc>
      </w:tr>
      <w:tr w:rsidR="00D9296F" w14:paraId="6E3774E5" w14:textId="77777777" w:rsidTr="009B7305">
        <w:tc>
          <w:tcPr>
            <w:tcW w:w="0" w:type="auto"/>
            <w:shd w:val="clear" w:color="auto" w:fill="auto"/>
          </w:tcPr>
          <w:p w14:paraId="2368171A" w14:textId="77777777" w:rsidR="00D9296F" w:rsidRDefault="00D9296F" w:rsidP="00C25359">
            <w:pPr>
              <w:pStyle w:val="Tabletext0"/>
              <w:jc w:val="left"/>
            </w:pPr>
            <w:r w:rsidRPr="00893B73">
              <w:t>Implementation issue(s)</w:t>
            </w:r>
          </w:p>
        </w:tc>
        <w:tc>
          <w:tcPr>
            <w:tcW w:w="0" w:type="auto"/>
            <w:shd w:val="clear" w:color="auto" w:fill="auto"/>
          </w:tcPr>
          <w:p w14:paraId="6B4B0933" w14:textId="77777777" w:rsidR="00D9296F" w:rsidRDefault="00D9296F" w:rsidP="00C25359">
            <w:pPr>
              <w:pStyle w:val="Tabletext0"/>
              <w:jc w:val="left"/>
            </w:pPr>
            <w:r w:rsidRPr="00893B73">
              <w:t>Infrastructure required within the NBS programs needs to be adjusted as required to accommodate the increased workload.</w:t>
            </w:r>
          </w:p>
        </w:tc>
        <w:tc>
          <w:tcPr>
            <w:tcW w:w="3917" w:type="dxa"/>
            <w:shd w:val="clear" w:color="auto" w:fill="auto"/>
          </w:tcPr>
          <w:p w14:paraId="38ACD1AE" w14:textId="77777777" w:rsidR="00D9296F" w:rsidRDefault="00D9296F" w:rsidP="00C25359">
            <w:pPr>
              <w:pStyle w:val="Tabletext0"/>
              <w:jc w:val="left"/>
            </w:pPr>
            <w:r>
              <w:t xml:space="preserve">Universal screening: </w:t>
            </w:r>
            <w:r w:rsidRPr="00942AD2">
              <w:t>workflow will fit into many of the current processes</w:t>
            </w:r>
            <w:r>
              <w:t>.</w:t>
            </w:r>
          </w:p>
          <w:p w14:paraId="58F4C645" w14:textId="77777777" w:rsidR="00D9296F" w:rsidRDefault="00D9296F" w:rsidP="00C25359">
            <w:pPr>
              <w:pStyle w:val="Tabletext0"/>
              <w:jc w:val="left"/>
            </w:pPr>
            <w:r>
              <w:t xml:space="preserve">Male-only screening: </w:t>
            </w:r>
            <w:r w:rsidRPr="00942AD2">
              <w:t xml:space="preserve">significant logistical considerations for the NBS laboratory including a totally separate workflow for samples identified as male; there will be significant costs for NBS laboratory related process management, staffing, equipment, and </w:t>
            </w:r>
            <w:r>
              <w:t>information technology</w:t>
            </w:r>
            <w:r w:rsidRPr="00942AD2">
              <w:t xml:space="preserve"> costs</w:t>
            </w:r>
            <w:r>
              <w:t>.</w:t>
            </w:r>
          </w:p>
        </w:tc>
        <w:tc>
          <w:tcPr>
            <w:tcW w:w="1276" w:type="dxa"/>
            <w:shd w:val="clear" w:color="auto" w:fill="auto"/>
          </w:tcPr>
          <w:p w14:paraId="41671889" w14:textId="77777777" w:rsidR="00D9296F" w:rsidRDefault="00D9296F" w:rsidP="00C25359">
            <w:pPr>
              <w:pStyle w:val="Tabletext0"/>
              <w:jc w:val="left"/>
            </w:pPr>
            <w:r w:rsidRPr="00893B73">
              <w:t>No comment</w:t>
            </w:r>
          </w:p>
        </w:tc>
        <w:tc>
          <w:tcPr>
            <w:tcW w:w="1842" w:type="dxa"/>
            <w:shd w:val="clear" w:color="auto" w:fill="auto"/>
          </w:tcPr>
          <w:p w14:paraId="2B2526F3" w14:textId="77777777" w:rsidR="00D9296F" w:rsidRDefault="00D9296F" w:rsidP="00C25359">
            <w:pPr>
              <w:pStyle w:val="Tabletext0"/>
              <w:jc w:val="left"/>
            </w:pPr>
            <w:r w:rsidRPr="00893B73">
              <w:t>Need to adopt the commercial PerkinElmer Neobase 2 kit (~$7). Testing would require no additional staff.</w:t>
            </w:r>
          </w:p>
        </w:tc>
        <w:tc>
          <w:tcPr>
            <w:tcW w:w="2046" w:type="dxa"/>
            <w:shd w:val="clear" w:color="auto" w:fill="auto"/>
          </w:tcPr>
          <w:p w14:paraId="4B53F053" w14:textId="77777777" w:rsidR="00D9296F" w:rsidRDefault="00D9296F" w:rsidP="00C25359">
            <w:pPr>
              <w:pStyle w:val="Tabletext0"/>
              <w:jc w:val="left"/>
            </w:pPr>
            <w:r w:rsidRPr="00893B73">
              <w:t>Infrastructure required within the NBS programs needs to be adjusted as required to accommodate the increased workload.</w:t>
            </w:r>
          </w:p>
        </w:tc>
      </w:tr>
    </w:tbl>
    <w:p w14:paraId="608C5FBD" w14:textId="77777777" w:rsidR="00D9296F" w:rsidRDefault="00D9296F" w:rsidP="009B7305">
      <w:pPr>
        <w:pStyle w:val="TableFigureFooter"/>
        <w:spacing w:before="0"/>
        <w:contextualSpacing/>
      </w:pPr>
      <w:r w:rsidRPr="00942AD2">
        <w:t>FIA=Flow-injection analysis; HPLC=high performance liquid chromatography; MS/MS=tandem mass spectrometry</w:t>
      </w:r>
      <w:r>
        <w:t>; NBS = Newborn bloodspot screening; X-ALD = X-linked adrenoleukodystrophy.</w:t>
      </w:r>
    </w:p>
    <w:p w14:paraId="69E5087D" w14:textId="5C5076FE" w:rsidR="00D9296F" w:rsidRDefault="00D9296F" w:rsidP="009B7305">
      <w:pPr>
        <w:pStyle w:val="TableFigureFooter"/>
        <w:spacing w:before="0"/>
      </w:pPr>
      <w:r>
        <w:t xml:space="preserve">Source: p31-34, </w:t>
      </w:r>
      <w:r w:rsidRPr="00893B73">
        <w:t>1710 PICO</w:t>
      </w:r>
      <w:r>
        <w:t>; feedback from the Queensland and Western Australia NBS programs (</w:t>
      </w:r>
      <w:r w:rsidR="00737714">
        <w:t>via</w:t>
      </w:r>
      <w:r>
        <w:t xml:space="preserve"> the Department of Health and Aged Care).</w:t>
      </w:r>
      <w:r w:rsidR="00737714">
        <w:br/>
        <w:t>Source: DCAR Table 1.</w:t>
      </w:r>
    </w:p>
    <w:p w14:paraId="1CDF8B0D" w14:textId="77777777" w:rsidR="00D9296F" w:rsidRPr="00F02775" w:rsidRDefault="00D9296F" w:rsidP="00E917D9">
      <w:pPr>
        <w:spacing w:before="0"/>
        <w:sectPr w:rsidR="00D9296F" w:rsidRPr="00F02775" w:rsidSect="0090453D">
          <w:pgSz w:w="16838" w:h="11906" w:orient="landscape"/>
          <w:pgMar w:top="1440" w:right="1440" w:bottom="1276" w:left="1440" w:header="708" w:footer="708" w:gutter="0"/>
          <w:cols w:space="708"/>
          <w:docGrid w:linePitch="360"/>
        </w:sectPr>
      </w:pPr>
    </w:p>
    <w:p w14:paraId="25954154" w14:textId="77777777" w:rsidR="00D246B3" w:rsidRDefault="00D246B3" w:rsidP="00D246B3">
      <w:pPr>
        <w:pStyle w:val="Heading3"/>
      </w:pPr>
      <w:bookmarkStart w:id="11" w:name="_Toc133221381"/>
      <w:r>
        <w:lastRenderedPageBreak/>
        <w:t>PICO set 2</w:t>
      </w:r>
      <w:bookmarkEnd w:id="11"/>
    </w:p>
    <w:p w14:paraId="69F7FC7E" w14:textId="11384990" w:rsidR="00D246B3" w:rsidRPr="007A32F2" w:rsidRDefault="00D246B3" w:rsidP="00D246B3">
      <w:r>
        <w:t xml:space="preserve">The proposed </w:t>
      </w:r>
      <w:r w:rsidRPr="007A32F2">
        <w:t>population for cascade testing</w:t>
      </w:r>
      <w:r>
        <w:t xml:space="preserve"> was f</w:t>
      </w:r>
      <w:r w:rsidRPr="007A32F2">
        <w:t xml:space="preserve">amily members of newborns diagnosed with </w:t>
      </w:r>
      <w:r>
        <w:t>a pathogenic or likely pathogenic (</w:t>
      </w:r>
      <w:r w:rsidRPr="007A32F2">
        <w:t>P/LP</w:t>
      </w:r>
      <w:r>
        <w:t>)</w:t>
      </w:r>
      <w:r w:rsidRPr="007A32F2">
        <w:t xml:space="preserve"> variant in </w:t>
      </w:r>
      <w:r w:rsidRPr="007A32F2">
        <w:rPr>
          <w:i/>
          <w:iCs/>
        </w:rPr>
        <w:t>ABCD1</w:t>
      </w:r>
      <w:r w:rsidRPr="007A32F2">
        <w:t xml:space="preserve"> through NBS</w:t>
      </w:r>
      <w:r>
        <w:t>, with a s</w:t>
      </w:r>
      <w:r w:rsidRPr="007A32F2">
        <w:t>cenario analysis</w:t>
      </w:r>
      <w:r>
        <w:t xml:space="preserve"> of the cascade testing population being the</w:t>
      </w:r>
      <w:r w:rsidRPr="007A32F2">
        <w:t xml:space="preserve"> family members of newborns with one X chromosome and a P/LP variant in </w:t>
      </w:r>
      <w:r w:rsidRPr="007A32F2">
        <w:rPr>
          <w:i/>
          <w:iCs/>
        </w:rPr>
        <w:t>ABCD1</w:t>
      </w:r>
      <w:r w:rsidRPr="007A32F2">
        <w:t>.</w:t>
      </w:r>
    </w:p>
    <w:p w14:paraId="699E6AD4" w14:textId="65A70136" w:rsidR="00D246B3" w:rsidRPr="007A32F2" w:rsidRDefault="00D246B3" w:rsidP="00D246B3">
      <w:r w:rsidRPr="007A32F2">
        <w:t xml:space="preserve">Under universal screening, </w:t>
      </w:r>
      <w:r>
        <w:t>“</w:t>
      </w:r>
      <w:r w:rsidRPr="007A32F2">
        <w:t>family members</w:t>
      </w:r>
      <w:r>
        <w:t>”</w:t>
      </w:r>
      <w:r w:rsidRPr="007A32F2">
        <w:t xml:space="preserve"> refer</w:t>
      </w:r>
      <w:r>
        <w:t>s</w:t>
      </w:r>
      <w:r w:rsidRPr="007A32F2">
        <w:t xml:space="preserve"> to the parents (mother </w:t>
      </w:r>
      <w:r>
        <w:t xml:space="preserve">if the identified newborn is </w:t>
      </w:r>
      <w:r w:rsidRPr="007A32F2">
        <w:t xml:space="preserve">male, both parents </w:t>
      </w:r>
      <w:r>
        <w:t xml:space="preserve">if </w:t>
      </w:r>
      <w:r w:rsidRPr="007A32F2">
        <w:t xml:space="preserve">female) and siblings of the </w:t>
      </w:r>
      <w:r>
        <w:t>newborn</w:t>
      </w:r>
      <w:r w:rsidRPr="007A32F2">
        <w:t xml:space="preserve">, and first-degree relatives on the maternal side or paternal side, depending on inheritance. Under scenario analysis (male-only screening), </w:t>
      </w:r>
      <w:r>
        <w:t>“</w:t>
      </w:r>
      <w:r w:rsidRPr="007A32F2">
        <w:t>family members</w:t>
      </w:r>
      <w:r>
        <w:t>”</w:t>
      </w:r>
      <w:r w:rsidRPr="007A32F2">
        <w:t xml:space="preserve"> refer</w:t>
      </w:r>
      <w:r>
        <w:t>s</w:t>
      </w:r>
      <w:r w:rsidRPr="007A32F2">
        <w:t xml:space="preserve"> to the mother and siblings of the </w:t>
      </w:r>
      <w:r>
        <w:t>identified male newborn</w:t>
      </w:r>
      <w:r w:rsidRPr="007A32F2">
        <w:t xml:space="preserve"> and first-degree relatives on the maternal side if the mother is a carrier. </w:t>
      </w:r>
    </w:p>
    <w:p w14:paraId="126318C2" w14:textId="5C47C8DE" w:rsidR="00D246B3" w:rsidRDefault="00D246B3" w:rsidP="00D246B3">
      <w:r>
        <w:t xml:space="preserve">The proposed cascade testing of </w:t>
      </w:r>
      <w:r w:rsidRPr="00282C3C">
        <w:t xml:space="preserve">the relatives of </w:t>
      </w:r>
      <w:r>
        <w:t>newborns</w:t>
      </w:r>
      <w:r w:rsidRPr="00282C3C">
        <w:t xml:space="preserve"> </w:t>
      </w:r>
      <w:r>
        <w:t>i</w:t>
      </w:r>
      <w:r w:rsidRPr="00282C3C">
        <w:t>dentified specifically through NBS</w:t>
      </w:r>
      <w:r>
        <w:t xml:space="preserve"> would be used in the context of a rare hereditary disease.</w:t>
      </w:r>
    </w:p>
    <w:p w14:paraId="536CF847" w14:textId="4BF9D56B" w:rsidR="009349B9" w:rsidRDefault="009653B7" w:rsidP="000C02FE">
      <w:pPr>
        <w:pStyle w:val="Heading2"/>
        <w:numPr>
          <w:ilvl w:val="0"/>
          <w:numId w:val="0"/>
        </w:numPr>
      </w:pPr>
      <w:bookmarkStart w:id="12" w:name="_Toc133221382"/>
      <w:r>
        <w:t>8</w:t>
      </w:r>
      <w:r w:rsidR="009349B9">
        <w:t>.</w:t>
      </w:r>
      <w:r w:rsidR="009349B9">
        <w:tab/>
      </w:r>
      <w:r w:rsidR="009349B9" w:rsidRPr="00CE28E3">
        <w:t>Comparator</w:t>
      </w:r>
      <w:bookmarkEnd w:id="12"/>
    </w:p>
    <w:p w14:paraId="167DA778" w14:textId="5EC2A665" w:rsidR="009349B9" w:rsidRDefault="009349B9" w:rsidP="008346FA">
      <w:pPr>
        <w:pStyle w:val="Heading3"/>
      </w:pPr>
      <w:bookmarkStart w:id="13" w:name="_Toc133221383"/>
      <w:r>
        <w:t>PICO</w:t>
      </w:r>
      <w:r w:rsidR="003878F2">
        <w:t xml:space="preserve"> </w:t>
      </w:r>
      <w:r w:rsidR="004124C9">
        <w:t xml:space="preserve">set </w:t>
      </w:r>
      <w:r>
        <w:t>1</w:t>
      </w:r>
      <w:bookmarkEnd w:id="13"/>
    </w:p>
    <w:p w14:paraId="6D8E5ABE" w14:textId="70180417" w:rsidR="009349B9" w:rsidRDefault="009349B9" w:rsidP="009B7305">
      <w:r w:rsidRPr="00A84622">
        <w:t xml:space="preserve">The </w:t>
      </w:r>
      <w:r w:rsidRPr="00E339D4">
        <w:t xml:space="preserve">comparator </w:t>
      </w:r>
      <w:r w:rsidR="00EF350D">
        <w:t>wa</w:t>
      </w:r>
      <w:r w:rsidRPr="00E339D4">
        <w:t>s no screening test (NBS for</w:t>
      </w:r>
      <w:r w:rsidRPr="00A84622">
        <w:t xml:space="preserve"> X-ALD is not currently available in Australia).</w:t>
      </w:r>
    </w:p>
    <w:p w14:paraId="093C150D" w14:textId="2A6EA911" w:rsidR="009349B9" w:rsidRDefault="009349B9" w:rsidP="00A4507A">
      <w:pPr>
        <w:jc w:val="both"/>
      </w:pPr>
      <w:r w:rsidRPr="00A84622">
        <w:t xml:space="preserve">At present, identification of cases of X-ALD relies on the symptomatic presentation of individuals </w:t>
      </w:r>
      <w:r w:rsidR="006E5219">
        <w:t>followed by</w:t>
      </w:r>
      <w:r w:rsidRPr="00A84622">
        <w:t xml:space="preserve"> formal diagnosis.</w:t>
      </w:r>
      <w:r>
        <w:t xml:space="preserve"> Investigation and confirmatory tests are funded by the MBS (e.g., brain magnetic resonance imaging (MRI), adrenal function tests, specialist consultations) and the states and territories governments (e.g., plasma very long-chain fatty acid (VLCFA) levels, </w:t>
      </w:r>
      <w:r>
        <w:rPr>
          <w:i/>
          <w:iCs/>
        </w:rPr>
        <w:t>ABCD1</w:t>
      </w:r>
      <w:r>
        <w:t xml:space="preserve"> genetic test</w:t>
      </w:r>
      <w:r w:rsidR="006369BF">
        <w:t>ing</w:t>
      </w:r>
      <w:r>
        <w:t xml:space="preserve">, </w:t>
      </w:r>
      <w:r w:rsidR="00B33514">
        <w:t>cascade testing</w:t>
      </w:r>
      <w:r>
        <w:t>).</w:t>
      </w:r>
    </w:p>
    <w:p w14:paraId="61004819" w14:textId="1B90401F" w:rsidR="009349B9" w:rsidRDefault="009349B9" w:rsidP="009B7305">
      <w:r w:rsidRPr="00A84622">
        <w:t xml:space="preserve">The reference standard used to determine the accuracy of the proposed </w:t>
      </w:r>
      <w:r>
        <w:t>NBS</w:t>
      </w:r>
      <w:r w:rsidRPr="00A84622">
        <w:t xml:space="preserve"> for X-ALD (including screening test/s and confirmatory </w:t>
      </w:r>
      <w:r w:rsidRPr="00A84622">
        <w:rPr>
          <w:i/>
          <w:iCs/>
        </w:rPr>
        <w:t>ABCD1</w:t>
      </w:r>
      <w:r w:rsidRPr="00A84622">
        <w:t xml:space="preserve"> gene sequencing) is those individuals with clinical disease (i.e., clinical signs and symptoms of X-ALD, including radiology, pathology, histology) as well as a P/LP variant in </w:t>
      </w:r>
      <w:r w:rsidR="00237C96">
        <w:t xml:space="preserve">the </w:t>
      </w:r>
      <w:r w:rsidRPr="00A84622">
        <w:rPr>
          <w:i/>
          <w:iCs/>
        </w:rPr>
        <w:t>ABCD1</w:t>
      </w:r>
      <w:r w:rsidRPr="00A84622">
        <w:t xml:space="preserve"> gene</w:t>
      </w:r>
      <w:r>
        <w:t>.</w:t>
      </w:r>
    </w:p>
    <w:p w14:paraId="62DABFA5" w14:textId="2155FE61" w:rsidR="009349B9" w:rsidRDefault="009349B9" w:rsidP="009B7305">
      <w:pPr>
        <w:pStyle w:val="Heading3"/>
        <w:jc w:val="left"/>
      </w:pPr>
      <w:bookmarkStart w:id="14" w:name="_Toc133221384"/>
      <w:r>
        <w:t>PICO</w:t>
      </w:r>
      <w:r w:rsidR="004124C9">
        <w:t xml:space="preserve"> set</w:t>
      </w:r>
      <w:r>
        <w:t xml:space="preserve"> 2</w:t>
      </w:r>
      <w:bookmarkEnd w:id="14"/>
    </w:p>
    <w:p w14:paraId="7CF7119A" w14:textId="2F968B23" w:rsidR="009349B9" w:rsidRDefault="009349B9" w:rsidP="009B7305">
      <w:r>
        <w:t xml:space="preserve">The comparator </w:t>
      </w:r>
      <w:r w:rsidR="00EF350D">
        <w:t>wa</w:t>
      </w:r>
      <w:r>
        <w:t>s c</w:t>
      </w:r>
      <w:r w:rsidRPr="005F0894">
        <w:t>ascade testing offered to the family members of presenting individuals diagnosed with X-ALD.</w:t>
      </w:r>
      <w:r>
        <w:t xml:space="preserve"> There is no relevant MBS item for cascade testing. The funding source is </w:t>
      </w:r>
      <w:r w:rsidR="00A4507A">
        <w:t>s</w:t>
      </w:r>
      <w:r>
        <w:t xml:space="preserve">tate and </w:t>
      </w:r>
      <w:r w:rsidR="00A4507A">
        <w:t>t</w:t>
      </w:r>
      <w:r>
        <w:t>erritory governments.</w:t>
      </w:r>
    </w:p>
    <w:p w14:paraId="2D6B3A08" w14:textId="413CBE91" w:rsidR="009349B9" w:rsidRPr="00CE28E3" w:rsidRDefault="009653B7" w:rsidP="000C02FE">
      <w:pPr>
        <w:pStyle w:val="Heading2"/>
        <w:numPr>
          <w:ilvl w:val="1"/>
          <w:numId w:val="0"/>
        </w:numPr>
      </w:pPr>
      <w:bookmarkStart w:id="15" w:name="_Toc133221385"/>
      <w:r>
        <w:t>9</w:t>
      </w:r>
      <w:r w:rsidR="009349B9">
        <w:t>.</w:t>
      </w:r>
      <w:r w:rsidR="009349B9">
        <w:tab/>
        <w:t>Summary of public consultation input</w:t>
      </w:r>
      <w:bookmarkEnd w:id="15"/>
    </w:p>
    <w:p w14:paraId="35D7CC00" w14:textId="77777777" w:rsidR="008D6DB6" w:rsidRDefault="00405222" w:rsidP="008D6DB6">
      <w:pPr>
        <w:rPr>
          <w:rFonts w:ascii="Calibri" w:hAnsi="Calibri"/>
        </w:rPr>
      </w:pPr>
      <w:r>
        <w:t xml:space="preserve">Consultation feedback was received from five (5) professional organisations, four (4) consumer organisations and one (1) individual health professional. </w:t>
      </w:r>
      <w:r w:rsidR="008D6DB6">
        <w:t xml:space="preserve">The organisations that provided input were: </w:t>
      </w:r>
    </w:p>
    <w:p w14:paraId="32B9F265" w14:textId="77777777" w:rsidR="008D6DB6" w:rsidRDefault="008D6DB6">
      <w:pPr>
        <w:numPr>
          <w:ilvl w:val="0"/>
          <w:numId w:val="11"/>
        </w:numPr>
        <w:spacing w:before="0" w:after="0" w:line="276" w:lineRule="auto"/>
        <w:rPr>
          <w:i/>
          <w:iCs/>
        </w:rPr>
      </w:pPr>
      <w:r>
        <w:t>Australian Pompe Association (APA)</w:t>
      </w:r>
    </w:p>
    <w:p w14:paraId="2294D0BA" w14:textId="77777777" w:rsidR="008D6DB6" w:rsidRDefault="008D6DB6">
      <w:pPr>
        <w:numPr>
          <w:ilvl w:val="0"/>
          <w:numId w:val="11"/>
        </w:numPr>
        <w:spacing w:before="0" w:after="0" w:line="276" w:lineRule="auto"/>
      </w:pPr>
      <w:r>
        <w:t>Human Genetics Society of Australasia (HGSA), Newborn Screening and Education Ethics and Social Issues Committees</w:t>
      </w:r>
    </w:p>
    <w:p w14:paraId="421846B6" w14:textId="77777777" w:rsidR="008D6DB6" w:rsidRDefault="008D6DB6">
      <w:pPr>
        <w:numPr>
          <w:ilvl w:val="0"/>
          <w:numId w:val="11"/>
        </w:numPr>
        <w:spacing w:before="0" w:after="0" w:line="276" w:lineRule="auto"/>
      </w:pPr>
      <w:r>
        <w:t>HGSA, Australasian Society for Inborn Errors of Metabolism (ASIEM) special interest group</w:t>
      </w:r>
    </w:p>
    <w:p w14:paraId="385D9779" w14:textId="77777777" w:rsidR="008D6DB6" w:rsidRDefault="008D6DB6">
      <w:pPr>
        <w:numPr>
          <w:ilvl w:val="0"/>
          <w:numId w:val="11"/>
        </w:numPr>
        <w:spacing w:before="0" w:after="0" w:line="276" w:lineRule="auto"/>
        <w:rPr>
          <w:i/>
          <w:iCs/>
        </w:rPr>
      </w:pPr>
      <w:r>
        <w:t xml:space="preserve">Australian Genomics </w:t>
      </w:r>
    </w:p>
    <w:p w14:paraId="7988D140" w14:textId="77777777" w:rsidR="008D6DB6" w:rsidRDefault="008D6DB6">
      <w:pPr>
        <w:numPr>
          <w:ilvl w:val="0"/>
          <w:numId w:val="11"/>
        </w:numPr>
        <w:spacing w:before="0" w:after="0" w:line="276" w:lineRule="auto"/>
        <w:rPr>
          <w:i/>
          <w:iCs/>
        </w:rPr>
      </w:pPr>
      <w:r>
        <w:t>Victorian Clinical Genetic Services (VCGS) (Victorian NBS laboratory)</w:t>
      </w:r>
    </w:p>
    <w:p w14:paraId="10D06B5B" w14:textId="77777777" w:rsidR="008D6DB6" w:rsidRDefault="008D6DB6">
      <w:pPr>
        <w:numPr>
          <w:ilvl w:val="0"/>
          <w:numId w:val="11"/>
        </w:numPr>
        <w:spacing w:before="0" w:after="0" w:line="276" w:lineRule="auto"/>
        <w:rPr>
          <w:i/>
          <w:iCs/>
        </w:rPr>
      </w:pPr>
      <w:r>
        <w:lastRenderedPageBreak/>
        <w:t xml:space="preserve">Better Access Australia </w:t>
      </w:r>
    </w:p>
    <w:p w14:paraId="26B33323" w14:textId="77777777" w:rsidR="008D6DB6" w:rsidRDefault="008D6DB6">
      <w:pPr>
        <w:numPr>
          <w:ilvl w:val="0"/>
          <w:numId w:val="11"/>
        </w:numPr>
        <w:spacing w:before="0" w:after="0" w:line="276" w:lineRule="auto"/>
        <w:rPr>
          <w:i/>
          <w:iCs/>
        </w:rPr>
      </w:pPr>
      <w:r>
        <w:t>Genetic Undiagnosed and Rare Disease Collaborative Australia (GUaRD)</w:t>
      </w:r>
    </w:p>
    <w:p w14:paraId="43BD9E94" w14:textId="77777777" w:rsidR="008D6DB6" w:rsidRDefault="008D6DB6">
      <w:pPr>
        <w:numPr>
          <w:ilvl w:val="0"/>
          <w:numId w:val="11"/>
        </w:numPr>
        <w:spacing w:before="0" w:after="0" w:line="276" w:lineRule="auto"/>
        <w:rPr>
          <w:i/>
          <w:iCs/>
        </w:rPr>
      </w:pPr>
      <w:r>
        <w:t>Rare Voices Australia (RVA)</w:t>
      </w:r>
    </w:p>
    <w:p w14:paraId="5C797DF0" w14:textId="77777777" w:rsidR="008D6DB6" w:rsidRDefault="008D6DB6">
      <w:pPr>
        <w:numPr>
          <w:ilvl w:val="0"/>
          <w:numId w:val="11"/>
        </w:numPr>
        <w:spacing w:before="0" w:after="0" w:line="276" w:lineRule="auto"/>
        <w:rPr>
          <w:i/>
          <w:iCs/>
        </w:rPr>
      </w:pPr>
      <w:r>
        <w:t>Western Sydney Genetics Program (WSGP) (NSW NBS laboratory)</w:t>
      </w:r>
    </w:p>
    <w:p w14:paraId="3BE148CA" w14:textId="77777777" w:rsidR="008D6DB6" w:rsidRDefault="008D6DB6">
      <w:pPr>
        <w:numPr>
          <w:ilvl w:val="0"/>
          <w:numId w:val="11"/>
        </w:numPr>
        <w:spacing w:before="0" w:after="0" w:line="276" w:lineRule="auto"/>
        <w:rPr>
          <w:i/>
          <w:iCs/>
        </w:rPr>
      </w:pPr>
      <w:r>
        <w:t>SA Pathology (SA NBS laboratory)</w:t>
      </w:r>
    </w:p>
    <w:p w14:paraId="4CB236BD" w14:textId="77777777" w:rsidR="008D6DB6" w:rsidRDefault="008D6DB6" w:rsidP="00B52C39">
      <w:pPr>
        <w:spacing w:before="240"/>
      </w:pPr>
      <w:r>
        <w:t xml:space="preserve">Further input was received following PASC from two organisations that had also provided input prior to the PASC consideration. The consultation feedback received was largely supportive of Newborn Bloodspot Screening for X-ALD. The consultation feedback raised a number of concerns, predominantly in relation to the population, i.e. whether only males should be screened. </w:t>
      </w:r>
    </w:p>
    <w:p w14:paraId="6BEAC3D4" w14:textId="77777777" w:rsidR="008D6DB6" w:rsidRDefault="008D6DB6" w:rsidP="008D6DB6">
      <w:pPr>
        <w:spacing w:after="0"/>
      </w:pPr>
      <w:r>
        <w:t>Overall, consultation feedback demonstrated broad agreement that the main benefit of X-ALD for NBS is early detection and treatment. The benefits of genetic knowledge to the families of carrier girls, and for their own knowledge when older was also noted. The other main benefits of NBS for X-ALD stated in the consultation feedback were:</w:t>
      </w:r>
    </w:p>
    <w:p w14:paraId="28678DAF" w14:textId="77777777" w:rsidR="008D6DB6" w:rsidRDefault="008D6DB6">
      <w:pPr>
        <w:numPr>
          <w:ilvl w:val="0"/>
          <w:numId w:val="12"/>
        </w:numPr>
        <w:spacing w:before="0" w:after="0" w:line="256" w:lineRule="auto"/>
        <w:ind w:left="714" w:hanging="357"/>
      </w:pPr>
      <w:r>
        <w:t>Reduced financial burden</w:t>
      </w:r>
    </w:p>
    <w:p w14:paraId="27B33B2E" w14:textId="77777777" w:rsidR="008D6DB6" w:rsidRDefault="008D6DB6">
      <w:pPr>
        <w:numPr>
          <w:ilvl w:val="0"/>
          <w:numId w:val="12"/>
        </w:numPr>
        <w:spacing w:before="0" w:after="0" w:line="256" w:lineRule="auto"/>
        <w:ind w:left="714" w:hanging="357"/>
      </w:pPr>
      <w:r>
        <w:t>Gives families opportunity to plan lifestyle and set goals for treatment</w:t>
      </w:r>
    </w:p>
    <w:p w14:paraId="21F22DED" w14:textId="77777777" w:rsidR="008D6DB6" w:rsidRDefault="008D6DB6">
      <w:pPr>
        <w:numPr>
          <w:ilvl w:val="0"/>
          <w:numId w:val="12"/>
        </w:numPr>
        <w:spacing w:before="0" w:after="0" w:line="256" w:lineRule="auto"/>
        <w:ind w:left="714" w:hanging="357"/>
      </w:pPr>
      <w:r>
        <w:t>Allows for further genetic characterisation and phenotyping</w:t>
      </w:r>
    </w:p>
    <w:p w14:paraId="62D8AB3F" w14:textId="77777777" w:rsidR="008D6DB6" w:rsidRDefault="008D6DB6">
      <w:pPr>
        <w:numPr>
          <w:ilvl w:val="0"/>
          <w:numId w:val="12"/>
        </w:numPr>
        <w:spacing w:before="0" w:after="0" w:line="256" w:lineRule="auto"/>
        <w:ind w:left="714" w:hanging="357"/>
      </w:pPr>
      <w:r>
        <w:t>Identification of these disorders in the family would allow for cascade testing and identification of further affected family members</w:t>
      </w:r>
    </w:p>
    <w:p w14:paraId="2D2E7B09" w14:textId="77777777" w:rsidR="008D6DB6" w:rsidRDefault="008D6DB6">
      <w:pPr>
        <w:numPr>
          <w:ilvl w:val="0"/>
          <w:numId w:val="12"/>
        </w:numPr>
        <w:spacing w:before="0" w:after="0" w:line="256" w:lineRule="auto"/>
        <w:ind w:left="714" w:hanging="357"/>
      </w:pPr>
      <w:r>
        <w:t>Wilson and Jungner criteria for screening clearly met for male babies</w:t>
      </w:r>
    </w:p>
    <w:p w14:paraId="6B32D85E" w14:textId="77777777" w:rsidR="008D6DB6" w:rsidRDefault="008D6DB6">
      <w:pPr>
        <w:numPr>
          <w:ilvl w:val="0"/>
          <w:numId w:val="12"/>
        </w:numPr>
        <w:spacing w:before="0" w:after="0" w:line="256" w:lineRule="auto"/>
        <w:ind w:left="714" w:hanging="357"/>
      </w:pPr>
      <w:r>
        <w:t>PEX disorders may also be detected</w:t>
      </w:r>
    </w:p>
    <w:p w14:paraId="18A36EA9" w14:textId="77777777" w:rsidR="008D6DB6" w:rsidRDefault="008D6DB6">
      <w:pPr>
        <w:numPr>
          <w:ilvl w:val="0"/>
          <w:numId w:val="12"/>
        </w:numPr>
        <w:spacing w:before="0" w:after="0" w:line="256" w:lineRule="auto"/>
        <w:ind w:left="714" w:hanging="357"/>
      </w:pPr>
      <w:r>
        <w:t>Symptom awareness</w:t>
      </w:r>
    </w:p>
    <w:p w14:paraId="50D8FB12" w14:textId="77777777" w:rsidR="008D6DB6" w:rsidRDefault="008D6DB6">
      <w:pPr>
        <w:numPr>
          <w:ilvl w:val="0"/>
          <w:numId w:val="12"/>
        </w:numPr>
        <w:spacing w:before="0" w:after="0" w:line="256" w:lineRule="auto"/>
        <w:ind w:left="714" w:hanging="357"/>
      </w:pPr>
      <w:r>
        <w:t>Lack of publicly funded screening means many tests are not even available to be privately purchased, publicly funding the proposed service may improve this.</w:t>
      </w:r>
    </w:p>
    <w:p w14:paraId="2F24CBCA" w14:textId="77777777" w:rsidR="008D6DB6" w:rsidRDefault="008D6DB6">
      <w:pPr>
        <w:numPr>
          <w:ilvl w:val="0"/>
          <w:numId w:val="12"/>
        </w:numPr>
        <w:spacing w:before="0" w:after="0" w:line="256" w:lineRule="auto"/>
        <w:ind w:left="714" w:hanging="357"/>
      </w:pPr>
      <w:r>
        <w:t>Increased innovation in screening and testing technology</w:t>
      </w:r>
    </w:p>
    <w:p w14:paraId="31AACD97" w14:textId="77777777" w:rsidR="008D6DB6" w:rsidRDefault="008D6DB6">
      <w:pPr>
        <w:numPr>
          <w:ilvl w:val="0"/>
          <w:numId w:val="12"/>
        </w:numPr>
        <w:spacing w:before="0" w:after="0" w:line="256" w:lineRule="auto"/>
        <w:ind w:left="714" w:hanging="357"/>
      </w:pPr>
      <w:r>
        <w:t>Reduced need for higher cost genetic sequencing</w:t>
      </w:r>
    </w:p>
    <w:p w14:paraId="009DDF18" w14:textId="77777777" w:rsidR="008D6DB6" w:rsidRDefault="008D6DB6">
      <w:pPr>
        <w:numPr>
          <w:ilvl w:val="0"/>
          <w:numId w:val="12"/>
        </w:numPr>
        <w:spacing w:before="0" w:after="0" w:line="256" w:lineRule="auto"/>
        <w:ind w:left="714" w:hanging="357"/>
      </w:pPr>
      <w:r>
        <w:t>Reduced diagnostic odyssey</w:t>
      </w:r>
    </w:p>
    <w:p w14:paraId="438448E7" w14:textId="77777777" w:rsidR="008D6DB6" w:rsidRDefault="008D6DB6">
      <w:pPr>
        <w:numPr>
          <w:ilvl w:val="0"/>
          <w:numId w:val="12"/>
        </w:numPr>
        <w:spacing w:before="0" w:after="0" w:line="256" w:lineRule="auto"/>
        <w:ind w:left="714" w:hanging="357"/>
      </w:pPr>
      <w:r>
        <w:t>Reduced trauma from misdiagnosis and protracted medical assessments</w:t>
      </w:r>
    </w:p>
    <w:p w14:paraId="44ED8DB3" w14:textId="77777777" w:rsidR="008D6DB6" w:rsidRDefault="008D6DB6">
      <w:pPr>
        <w:numPr>
          <w:ilvl w:val="0"/>
          <w:numId w:val="12"/>
        </w:numPr>
        <w:spacing w:before="0" w:after="0" w:line="256" w:lineRule="auto"/>
        <w:ind w:left="714" w:hanging="357"/>
      </w:pPr>
      <w:r>
        <w:t>Reduces presentations of adrenal crisis associated with X-ALD</w:t>
      </w:r>
    </w:p>
    <w:p w14:paraId="108552C3" w14:textId="77777777" w:rsidR="008D6DB6" w:rsidRDefault="008D6DB6" w:rsidP="00B52C39">
      <w:pPr>
        <w:spacing w:before="240" w:after="0"/>
      </w:pPr>
      <w:r>
        <w:t>The main disadvantages of NBS for X-ALD in the consultation feedback included:</w:t>
      </w:r>
    </w:p>
    <w:p w14:paraId="65C4B2CB" w14:textId="77777777" w:rsidR="008D6DB6" w:rsidRDefault="008D6DB6">
      <w:pPr>
        <w:numPr>
          <w:ilvl w:val="0"/>
          <w:numId w:val="12"/>
        </w:numPr>
        <w:spacing w:before="0" w:after="0" w:line="256" w:lineRule="auto"/>
        <w:ind w:left="714" w:hanging="357"/>
      </w:pPr>
      <w:r>
        <w:t>Inability to predict phenotype from lab tests</w:t>
      </w:r>
    </w:p>
    <w:p w14:paraId="460BF92D" w14:textId="77777777" w:rsidR="008D6DB6" w:rsidRDefault="008D6DB6">
      <w:pPr>
        <w:numPr>
          <w:ilvl w:val="0"/>
          <w:numId w:val="12"/>
        </w:numPr>
        <w:spacing w:before="0" w:after="0" w:line="256" w:lineRule="auto"/>
        <w:ind w:left="714" w:hanging="357"/>
      </w:pPr>
      <w:r>
        <w:t>Potential for a prolonged period of medical follow up</w:t>
      </w:r>
    </w:p>
    <w:p w14:paraId="54630E9C" w14:textId="77777777" w:rsidR="008D6DB6" w:rsidRDefault="008D6DB6">
      <w:pPr>
        <w:numPr>
          <w:ilvl w:val="0"/>
          <w:numId w:val="12"/>
        </w:numPr>
        <w:spacing w:before="0" w:after="0" w:line="256" w:lineRule="auto"/>
        <w:ind w:left="714" w:hanging="357"/>
      </w:pPr>
      <w:r>
        <w:t>Not enough data on risk of screen-positive babies to develop classical X-ALD, raising questions on whether screening results overall benefit or harm families</w:t>
      </w:r>
    </w:p>
    <w:p w14:paraId="773459A6" w14:textId="77777777" w:rsidR="008D6DB6" w:rsidRDefault="008D6DB6">
      <w:pPr>
        <w:numPr>
          <w:ilvl w:val="0"/>
          <w:numId w:val="12"/>
        </w:numPr>
        <w:spacing w:before="0" w:after="0" w:line="256" w:lineRule="auto"/>
        <w:ind w:left="714" w:hanging="357"/>
      </w:pPr>
      <w:r>
        <w:t>Poor family compliance with prolonged medical follow up could lead to poorer than expected outcomes in screen-detected cases</w:t>
      </w:r>
    </w:p>
    <w:p w14:paraId="2E60337C" w14:textId="77777777" w:rsidR="008D6DB6" w:rsidRDefault="008D6DB6">
      <w:pPr>
        <w:numPr>
          <w:ilvl w:val="0"/>
          <w:numId w:val="12"/>
        </w:numPr>
        <w:spacing w:before="0" w:after="0" w:line="256" w:lineRule="auto"/>
        <w:ind w:left="714" w:hanging="357"/>
      </w:pPr>
      <w:r>
        <w:t>False positives and associated harms</w:t>
      </w:r>
    </w:p>
    <w:p w14:paraId="3BA3F164" w14:textId="77777777" w:rsidR="008D6DB6" w:rsidRDefault="008D6DB6">
      <w:pPr>
        <w:numPr>
          <w:ilvl w:val="0"/>
          <w:numId w:val="12"/>
        </w:numPr>
        <w:spacing w:before="0" w:after="0" w:line="256" w:lineRule="auto"/>
        <w:ind w:left="714" w:hanging="357"/>
      </w:pPr>
      <w:r>
        <w:t>No preventative treatment for affected females</w:t>
      </w:r>
    </w:p>
    <w:p w14:paraId="1B705EE6" w14:textId="77777777" w:rsidR="008D6DB6" w:rsidRDefault="008D6DB6">
      <w:pPr>
        <w:numPr>
          <w:ilvl w:val="0"/>
          <w:numId w:val="12"/>
        </w:numPr>
        <w:spacing w:before="0" w:after="0" w:line="256" w:lineRule="auto"/>
        <w:ind w:left="714" w:hanging="357"/>
      </w:pPr>
      <w:r>
        <w:t>Additional resources needed for genetic counselling, treatment and monitoring services for both symptomatic and asymptomatic patients, and for longer term follow up in adult onset disease</w:t>
      </w:r>
    </w:p>
    <w:p w14:paraId="40F561AA" w14:textId="77777777" w:rsidR="008D6DB6" w:rsidRDefault="008D6DB6">
      <w:pPr>
        <w:numPr>
          <w:ilvl w:val="0"/>
          <w:numId w:val="12"/>
        </w:numPr>
        <w:spacing w:before="0" w:after="0" w:line="256" w:lineRule="auto"/>
        <w:ind w:left="714" w:hanging="357"/>
      </w:pPr>
      <w:r>
        <w:t xml:space="preserve">Uncertainty on how to manage novel variants with uncertain significance in </w:t>
      </w:r>
      <w:r>
        <w:rPr>
          <w:i/>
          <w:iCs/>
        </w:rPr>
        <w:t>ABCD1</w:t>
      </w:r>
    </w:p>
    <w:p w14:paraId="20B094DF" w14:textId="77777777" w:rsidR="008D6DB6" w:rsidRDefault="008D6DB6">
      <w:pPr>
        <w:numPr>
          <w:ilvl w:val="0"/>
          <w:numId w:val="12"/>
        </w:numPr>
        <w:spacing w:before="0" w:after="0" w:line="256" w:lineRule="auto"/>
        <w:ind w:left="714" w:hanging="357"/>
      </w:pPr>
      <w:r>
        <w:t>Currently no treatments for AMN apart from steroid replacement therapy in affected females</w:t>
      </w:r>
    </w:p>
    <w:p w14:paraId="314BE7E2" w14:textId="77777777" w:rsidR="008D6DB6" w:rsidRDefault="008D6DB6">
      <w:pPr>
        <w:numPr>
          <w:ilvl w:val="0"/>
          <w:numId w:val="12"/>
        </w:numPr>
        <w:spacing w:before="0" w:after="0" w:line="256" w:lineRule="auto"/>
        <w:ind w:left="714" w:hanging="357"/>
      </w:pPr>
      <w:r>
        <w:t>Potential harms and emotional burden from the knowledge of a rare disease developing later in life</w:t>
      </w:r>
    </w:p>
    <w:p w14:paraId="480B9DC5" w14:textId="77777777" w:rsidR="008D6DB6" w:rsidRDefault="008D6DB6">
      <w:pPr>
        <w:numPr>
          <w:ilvl w:val="0"/>
          <w:numId w:val="12"/>
        </w:numPr>
        <w:spacing w:before="0" w:after="0" w:line="256" w:lineRule="auto"/>
        <w:ind w:left="714" w:hanging="357"/>
      </w:pPr>
      <w:r>
        <w:t>Ambiguity around clinical outcomes</w:t>
      </w:r>
    </w:p>
    <w:p w14:paraId="00B07226" w14:textId="77777777" w:rsidR="008D6DB6" w:rsidRDefault="008D6DB6">
      <w:pPr>
        <w:numPr>
          <w:ilvl w:val="0"/>
          <w:numId w:val="12"/>
        </w:numPr>
        <w:spacing w:before="0" w:after="0" w:line="256" w:lineRule="auto"/>
        <w:ind w:left="714" w:hanging="357"/>
      </w:pPr>
      <w:r>
        <w:lastRenderedPageBreak/>
        <w:t>Transplant does not protect against the manifestation of adrenal insufficiency adult-onset AMN</w:t>
      </w:r>
    </w:p>
    <w:p w14:paraId="0C17DEA5" w14:textId="77777777" w:rsidR="008D6DB6" w:rsidRDefault="008D6DB6">
      <w:pPr>
        <w:numPr>
          <w:ilvl w:val="0"/>
          <w:numId w:val="12"/>
        </w:numPr>
        <w:spacing w:before="0" w:after="0" w:line="256" w:lineRule="auto"/>
        <w:ind w:left="714" w:hanging="357"/>
      </w:pPr>
      <w:r>
        <w:t>Paediatric HSCT services are not available in all states and territories therefore inter-jurisdictional policies are required to be in place.</w:t>
      </w:r>
    </w:p>
    <w:p w14:paraId="45A94B7E" w14:textId="21474AD2" w:rsidR="008D6DB6" w:rsidRDefault="008D6DB6">
      <w:pPr>
        <w:pStyle w:val="ListParagraph"/>
        <w:numPr>
          <w:ilvl w:val="0"/>
          <w:numId w:val="12"/>
        </w:numPr>
        <w:spacing w:before="0" w:after="0" w:line="256" w:lineRule="auto"/>
        <w:ind w:left="714" w:hanging="357"/>
      </w:pPr>
      <w:r>
        <w:t>Concerns that adding X-ALD to NBS may result in the use of</w:t>
      </w:r>
      <w:r w:rsidR="00E83D6F">
        <w:t xml:space="preserve"> a</w:t>
      </w:r>
      <w:r>
        <w:t xml:space="preserve"> controversial low-fat diet in association with Lorenzo’s oil in delaying the onset or prevention of potential childhood onset of CALD, as one centre still manages patients with a low-fat diet with Lorenzo’s oil and several centres have provided this treatment in the past. ASIEM raised concerns that there is no international consensus on the use of Lorenzo’s oil in CALD prevention and the low-fat diet used is nutritionally incomplete for an infant and young child. Lorenzo’s oil has side-effects, requires monitoring, is contra-indicated by aspiration risk, and is not currently funded on the PBS but is available to buy in Australia.</w:t>
      </w:r>
    </w:p>
    <w:p w14:paraId="3A9688A8" w14:textId="3E812208" w:rsidR="008D6DB6" w:rsidRPr="00B52C39" w:rsidRDefault="008D6DB6" w:rsidP="00B52C39">
      <w:pPr>
        <w:spacing w:before="240"/>
        <w:rPr>
          <w:bCs/>
        </w:rPr>
      </w:pPr>
      <w:r>
        <w:t>Additional input from the NSW NBS program in regard to the proposed population confirmed their disagreement with the proposed population including female newborns, and considered there was merit in the Dutch NBS programme for X-ALD (Barendsen et al, 2020</w:t>
      </w:r>
      <w:r>
        <w:rPr>
          <w:rStyle w:val="FootnoteReference"/>
        </w:rPr>
        <w:footnoteReference w:id="11"/>
      </w:r>
      <w:r>
        <w:t>), wherein screening results are only reported for male newborns. They considered that screening female newborns will have its inherent risk of false positives, and the associated anxiety created for families.</w:t>
      </w:r>
    </w:p>
    <w:p w14:paraId="038E10CC" w14:textId="0FF02D45" w:rsidR="00423551" w:rsidRPr="00CE28E3" w:rsidRDefault="009653B7" w:rsidP="000C02FE">
      <w:pPr>
        <w:pStyle w:val="Heading2"/>
        <w:numPr>
          <w:ilvl w:val="0"/>
          <w:numId w:val="0"/>
        </w:numPr>
      </w:pPr>
      <w:bookmarkStart w:id="16" w:name="_Toc133221386"/>
      <w:bookmarkStart w:id="17" w:name="_Hlk132724413"/>
      <w:r>
        <w:t>10</w:t>
      </w:r>
      <w:r w:rsidR="00423551">
        <w:t>.</w:t>
      </w:r>
      <w:r w:rsidR="00423551">
        <w:tab/>
      </w:r>
      <w:r w:rsidR="00423551" w:rsidRPr="00CE28E3">
        <w:t>Characteristics of the evidence base</w:t>
      </w:r>
      <w:bookmarkEnd w:id="16"/>
    </w:p>
    <w:p w14:paraId="7C2723D1" w14:textId="22DC301C" w:rsidR="00423551" w:rsidRDefault="00423551" w:rsidP="00313BA2">
      <w:r>
        <w:t>No direct evidence was identified showing a direct link between NBS for X-ALD and improvement of health outcomes. A linked evidence approach was therefore used</w:t>
      </w:r>
      <w:r w:rsidRPr="00F44411">
        <w:rPr>
          <w:bCs/>
        </w:rPr>
        <w:t xml:space="preserve"> </w:t>
      </w:r>
      <w:r w:rsidRPr="00C61BF9">
        <w:rPr>
          <w:bCs/>
        </w:rPr>
        <w:t>to assess the clinical efficacy and safety of NBS for X-ALD compared to no screening</w:t>
      </w:r>
      <w:r>
        <w:t>. This assessment included two populations, population 1 (PICO set 1) was all newborns in Australia, including both female and male. For PICO set 1, an additional scenario analysis was also presented of newborns with one X chromosome (typically males and hereafter for simplicity referred to as “male newborns”, though recognising that this would include a small proportion of newborns with karyotypes other than 46,XY). Population 2 (PICO set 2) was family members of individuals genetically diagnosed with X-ALD as a result of NBS. Most of the evidence was identified for PICO set 1</w:t>
      </w:r>
      <w:r w:rsidR="007A7364">
        <w:t xml:space="preserve"> (</w:t>
      </w:r>
      <w:r>
        <w:fldChar w:fldCharType="begin"/>
      </w:r>
      <w:r>
        <w:instrText>REF _Ref132965515</w:instrText>
      </w:r>
      <w:r w:rsidR="005622B4">
        <w:instrText xml:space="preserve"> \* MERGEFORMAT </w:instrText>
      </w:r>
      <w:r>
        <w:fldChar w:fldCharType="separate"/>
      </w:r>
      <w:r w:rsidR="00253978">
        <w:t xml:space="preserve">Table </w:t>
      </w:r>
      <w:r w:rsidR="00253978">
        <w:rPr>
          <w:noProof/>
        </w:rPr>
        <w:t>2</w:t>
      </w:r>
      <w:r>
        <w:fldChar w:fldCharType="end"/>
      </w:r>
      <w:r w:rsidR="007A7364">
        <w:t>)</w:t>
      </w:r>
      <w:r>
        <w:t>.</w:t>
      </w:r>
    </w:p>
    <w:p w14:paraId="04961499" w14:textId="77777777" w:rsidR="00423551" w:rsidRPr="00F17D0D" w:rsidRDefault="00423551" w:rsidP="00313BA2">
      <w:pPr>
        <w:pStyle w:val="Heading3"/>
        <w:jc w:val="left"/>
      </w:pPr>
      <w:r w:rsidRPr="00F17D0D">
        <w:t>Test accuracy</w:t>
      </w:r>
    </w:p>
    <w:p w14:paraId="299F86DB" w14:textId="1015790F" w:rsidR="0090453D" w:rsidRPr="00023160" w:rsidRDefault="00423551" w:rsidP="00313BA2">
      <w:r>
        <w:t xml:space="preserve">Test accuracy studies were assessed using the QUADAS 2 checklist for diagnostic accuracy studies, and the majority of studies were rated low or moderate for risk of bias. </w:t>
      </w:r>
      <w:r w:rsidRPr="00E5042F">
        <w:t>Nine studies</w:t>
      </w:r>
      <w:r>
        <w:t xml:space="preserve"> of</w:t>
      </w:r>
      <w:r w:rsidRPr="00E5042F">
        <w:t xml:space="preserve"> implemented NBS</w:t>
      </w:r>
      <w:r>
        <w:t xml:space="preserve"> programs</w:t>
      </w:r>
      <w:r w:rsidRPr="00E5042F">
        <w:t xml:space="preserve"> for X-ALD met the inclusion criteria</w:t>
      </w:r>
      <w:r>
        <w:t xml:space="preserve"> (six retrospective/pilot studies, two case-control, and one Dutch study).</w:t>
      </w:r>
    </w:p>
    <w:p w14:paraId="11135E0F" w14:textId="77777777" w:rsidR="00423551" w:rsidRPr="00C93689" w:rsidRDefault="00423551" w:rsidP="009349B9">
      <w:pPr>
        <w:rPr>
          <w:b/>
          <w:bCs/>
        </w:rPr>
      </w:pPr>
      <w:r w:rsidRPr="00674A55">
        <w:rPr>
          <w:b/>
          <w:bCs/>
        </w:rPr>
        <w:t>P</w:t>
      </w:r>
      <w:r>
        <w:rPr>
          <w:b/>
          <w:bCs/>
        </w:rPr>
        <w:t>ICO set</w:t>
      </w:r>
      <w:r w:rsidRPr="00674A55">
        <w:rPr>
          <w:b/>
          <w:bCs/>
        </w:rPr>
        <w:t xml:space="preserve"> 1: A</w:t>
      </w:r>
      <w:r>
        <w:rPr>
          <w:b/>
          <w:bCs/>
        </w:rPr>
        <w:t>ll A</w:t>
      </w:r>
      <w:r w:rsidRPr="00674A55">
        <w:rPr>
          <w:b/>
          <w:bCs/>
        </w:rPr>
        <w:t>ustralian newborns</w:t>
      </w:r>
    </w:p>
    <w:p w14:paraId="2F0C2045" w14:textId="4EB3B5D8" w:rsidR="00423551" w:rsidRDefault="00423551" w:rsidP="00313BA2">
      <w:r>
        <w:t xml:space="preserve">Six studies were international retrospective analyses or pilot NBS programs in the USA. </w:t>
      </w:r>
      <w:r w:rsidRPr="00E5042F">
        <w:t>The</w:t>
      </w:r>
      <w:r>
        <w:t xml:space="preserve">se </w:t>
      </w:r>
      <w:r w:rsidRPr="00E5042F">
        <w:t>studies</w:t>
      </w:r>
      <w:r>
        <w:t xml:space="preserve"> assessed</w:t>
      </w:r>
      <w:r w:rsidRPr="00E5042F">
        <w:t xml:space="preserve"> </w:t>
      </w:r>
      <w:r>
        <w:t xml:space="preserve">a </w:t>
      </w:r>
      <w:r w:rsidRPr="00E5042F">
        <w:t>three</w:t>
      </w:r>
      <w:r>
        <w:t>-</w:t>
      </w:r>
      <w:r w:rsidRPr="00E5042F">
        <w:t xml:space="preserve">tier </w:t>
      </w:r>
      <w:r>
        <w:t>screening</w:t>
      </w:r>
      <w:r w:rsidRPr="00E5042F">
        <w:t xml:space="preserve"> </w:t>
      </w:r>
      <w:r>
        <w:t>strategy</w:t>
      </w:r>
      <w:r w:rsidRPr="00E5042F">
        <w:t xml:space="preserve"> (FIA-MS/MS+LC-MS/MS + </w:t>
      </w:r>
      <w:r w:rsidRPr="00F17D0D">
        <w:rPr>
          <w:i/>
          <w:iCs/>
        </w:rPr>
        <w:t>ABCD1</w:t>
      </w:r>
      <w:r w:rsidRPr="00E5042F">
        <w:t xml:space="preserve"> gene testing) or two-tier </w:t>
      </w:r>
      <w:r>
        <w:t>screening</w:t>
      </w:r>
      <w:r w:rsidRPr="00E5042F">
        <w:t xml:space="preserve"> </w:t>
      </w:r>
      <w:r>
        <w:t>strategy</w:t>
      </w:r>
      <w:r w:rsidRPr="00E5042F">
        <w:t xml:space="preserve"> (LC-MS/MS + </w:t>
      </w:r>
      <w:r w:rsidRPr="00F17D0D">
        <w:rPr>
          <w:i/>
          <w:iCs/>
        </w:rPr>
        <w:t>ABCD1</w:t>
      </w:r>
      <w:r w:rsidRPr="00E5042F">
        <w:t xml:space="preserve"> gene testing). All the studies used different cut</w:t>
      </w:r>
      <w:r>
        <w:t>-</w:t>
      </w:r>
      <w:r w:rsidRPr="00E5042F">
        <w:t>off values</w:t>
      </w:r>
      <w:r>
        <w:t>,</w:t>
      </w:r>
      <w:r w:rsidRPr="00E5042F">
        <w:t xml:space="preserve"> which may have impacted the</w:t>
      </w:r>
      <w:r>
        <w:t xml:space="preserve"> estimated</w:t>
      </w:r>
      <w:r w:rsidRPr="00E5042F">
        <w:t xml:space="preserve"> </w:t>
      </w:r>
      <w:r>
        <w:t>positive predictive value (</w:t>
      </w:r>
      <w:r w:rsidRPr="00E5042F">
        <w:t>PPV</w:t>
      </w:r>
      <w:r>
        <w:t>)</w:t>
      </w:r>
      <w:r w:rsidRPr="00E5042F">
        <w:t>. Two case-</w:t>
      </w:r>
      <w:r w:rsidRPr="00E5042F">
        <w:lastRenderedPageBreak/>
        <w:t xml:space="preserve">controlled studies </w:t>
      </w:r>
      <w:r>
        <w:fldChar w:fldCharType="begin">
          <w:fldData xml:space="preserve">PEVuZE5vdGU+PENpdGU+PEF1dGhvcj5OYXRhcmFqYW48L0F1dGhvcj48WWVhcj4yMDE4PC9ZZWFy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</w:fldData>
        </w:fldChar>
      </w:r>
      <w:r w:rsidR="00A72828">
        <w:instrText xml:space="preserve"> ADDIN EN.CITE </w:instrText>
      </w:r>
      <w:r w:rsidR="00A72828">
        <w:fldChar w:fldCharType="begin">
          <w:fldData xml:space="preserve">PEVuZE5vdGU+PENpdGU+PEF1dGhvcj5OYXRhcmFqYW48L0F1dGhvcj48WWVhcj4yMDE4PC9ZZWFy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</w:fldData>
        </w:fldChar>
      </w:r>
      <w:r w:rsidR="00A72828">
        <w:instrText xml:space="preserve"> ADDIN EN.CITE.DATA </w:instrText>
      </w:r>
      <w:r w:rsidR="00A72828">
        <w:fldChar w:fldCharType="end"/>
      </w:r>
      <w:r>
        <w:fldChar w:fldCharType="separate"/>
      </w:r>
      <w:r w:rsidR="00A72828">
        <w:rPr>
          <w:noProof/>
        </w:rPr>
        <w:t>(Natarajan et al., 2018</w:t>
      </w:r>
      <w:r w:rsidR="004250E8">
        <w:rPr>
          <w:rStyle w:val="FootnoteReference"/>
        </w:rPr>
        <w:footnoteReference w:id="12"/>
      </w:r>
      <w:r w:rsidR="00A72828">
        <w:rPr>
          <w:noProof/>
        </w:rPr>
        <w:t>, Natarajan et al., 2019</w:t>
      </w:r>
      <w:r w:rsidR="004250E8">
        <w:rPr>
          <w:rStyle w:val="FootnoteReference"/>
        </w:rPr>
        <w:footnoteReference w:id="13"/>
      </w:r>
      <w:r w:rsidR="00A72828">
        <w:rPr>
          <w:noProof/>
        </w:rPr>
        <w:t>)</w:t>
      </w:r>
      <w:r>
        <w:fldChar w:fldCharType="end"/>
      </w:r>
      <w:r w:rsidRPr="00E5042F">
        <w:t xml:space="preserve"> assessed the sensitivity and specificity of FIA</w:t>
      </w:r>
      <w:r w:rsidRPr="00E5042F">
        <w:noBreakHyphen/>
        <w:t>MS/MS and LC-MS/MS and had a m</w:t>
      </w:r>
      <w:r>
        <w:t xml:space="preserve">oderate </w:t>
      </w:r>
      <w:r w:rsidRPr="00E5042F">
        <w:t xml:space="preserve">study bias. The cut-off value of both FIA-MS/MS (≥0.42 µmol/L) and LC-MS/MS (≥0.13 µmol/L) </w:t>
      </w:r>
      <w:r>
        <w:t>were</w:t>
      </w:r>
      <w:r w:rsidRPr="00E5042F">
        <w:t xml:space="preserve"> higher </w:t>
      </w:r>
      <w:r>
        <w:t>than</w:t>
      </w:r>
      <w:r w:rsidRPr="00E5042F">
        <w:t xml:space="preserve"> the cut-off value</w:t>
      </w:r>
      <w:r>
        <w:t>s</w:t>
      </w:r>
      <w:r w:rsidRPr="00E5042F">
        <w:t xml:space="preserve"> used in all the </w:t>
      </w:r>
      <w:r>
        <w:t>international NBS programs for X-ALD</w:t>
      </w:r>
      <w:r w:rsidRPr="00E5042F">
        <w:t xml:space="preserve"> presented in this assessment. Thus, the </w:t>
      </w:r>
      <w:r>
        <w:t>international NBS programs</w:t>
      </w:r>
      <w:r w:rsidRPr="00E5042F">
        <w:t xml:space="preserve"> may have more positive patients</w:t>
      </w:r>
      <w:r>
        <w:t>,</w:t>
      </w:r>
      <w:r w:rsidRPr="00E5042F">
        <w:t xml:space="preserve"> including more false positive patients compared to the case-controlled studies. </w:t>
      </w:r>
    </w:p>
    <w:p w14:paraId="2AAD14CB" w14:textId="1315715B" w:rsidR="005D4A1F" w:rsidRPr="00B52C39" w:rsidRDefault="00423551" w:rsidP="00313BA2">
      <w:pPr>
        <w:rPr>
          <w:bCs/>
        </w:rPr>
      </w:pPr>
      <w:r>
        <w:rPr>
          <w:bCs/>
        </w:rPr>
        <w:t>No</w:t>
      </w:r>
      <w:r w:rsidRPr="00FF2B46">
        <w:rPr>
          <w:bCs/>
        </w:rPr>
        <w:t xml:space="preserve"> studies exam</w:t>
      </w:r>
      <w:r>
        <w:rPr>
          <w:bCs/>
        </w:rPr>
        <w:t>ined</w:t>
      </w:r>
      <w:r w:rsidRPr="00FF2B46">
        <w:rPr>
          <w:bCs/>
        </w:rPr>
        <w:t xml:space="preserve"> the test accuracy of </w:t>
      </w:r>
      <w:r w:rsidRPr="00150EFF">
        <w:rPr>
          <w:bCs/>
          <w:i/>
          <w:iCs/>
        </w:rPr>
        <w:t>ABCD1</w:t>
      </w:r>
      <w:r w:rsidRPr="00FF2B46">
        <w:rPr>
          <w:bCs/>
        </w:rPr>
        <w:t xml:space="preserve"> genetic testing directly</w:t>
      </w:r>
      <w:r>
        <w:rPr>
          <w:bCs/>
        </w:rPr>
        <w:t>, given it is considered the gold standard to confirm a genetic diagnosis</w:t>
      </w:r>
      <w:r w:rsidR="000C4BBD">
        <w:rPr>
          <w:bCs/>
        </w:rPr>
        <w:t xml:space="preserve"> </w:t>
      </w:r>
      <w:r w:rsidR="000C4BBD">
        <w:fldChar w:fldCharType="begin"/>
      </w:r>
      <w:r w:rsidR="000C4BBD">
        <w:instrText xml:space="preserve"> ADDIN EN.CITE &lt;EndNote&gt;&lt;Cite&gt;&lt;Author&gt;Wanders&lt;/Author&gt;&lt;Year&gt;2023&lt;/Year&gt;&lt;RecNum&gt;10603&lt;/RecNum&gt;&lt;DisplayText&gt;(Wanders and Eichler, 2023)&lt;/DisplayText&gt;&lt;record&gt;&lt;rec-number&gt;10603&lt;/rec-number&gt;&lt;foreign-keys&gt;&lt;key app="EN" db-id="5p0vxwpf9wzvtiews9dpt0acffet2dft2xxv" timestamp="1679345882" guid="b0a8fc7e-78fd-4d79-b04e-e40601d618c3"&gt;10603&lt;/key&gt;&lt;/foreign-keys&gt;&lt;ref-type name="Web Page"&gt;12&lt;/ref-type&gt;&lt;contributors&gt;&lt;authors&gt;&lt;author&gt;Wanders, R.J.A.&lt;/author&gt;&lt;author&gt;Eichler, F.S.&lt;/author&gt;&lt;/authors&gt;&lt;/contributors&gt;&lt;titles&gt;&lt;title&gt;X-linked adrenoleukodystrophy and adrenomyeloneuropathy. [Literature review current through: Feb 2023; topic last updated: 16 Nov 2022].&lt;/title&gt;&lt;/titles&gt;&lt;volume&gt;2023&lt;/volume&gt;&lt;number&gt;10 March&lt;/number&gt;&lt;dates&gt;&lt;year&gt;2023&lt;/year&gt;&lt;/dates&gt;&lt;publisher&gt;UpToDate®&lt;/publisher&gt;&lt;urls&gt;&lt;related-urls&gt;&lt;url&gt;https://www.uptodate.com/contents/x-linked-adrenoleukodystrophy-and-adrenomyeloneuropathy#H3329080115&lt;/url&gt;&lt;/related-urls&gt;&lt;/urls&gt;&lt;/record&gt;&lt;/Cite&gt;&lt;/EndNote&gt;</w:instrText>
      </w:r>
      <w:r w:rsidR="000C4BBD">
        <w:fldChar w:fldCharType="separate"/>
      </w:r>
      <w:r w:rsidR="000C4BBD">
        <w:rPr>
          <w:noProof/>
        </w:rPr>
        <w:t>(Wanders and Eichler, 2023)</w:t>
      </w:r>
      <w:r w:rsidR="000C4BBD">
        <w:fldChar w:fldCharType="end"/>
      </w:r>
      <w:r w:rsidRPr="00FF2B46">
        <w:rPr>
          <w:bCs/>
        </w:rPr>
        <w:t xml:space="preserve">. All </w:t>
      </w:r>
      <w:r>
        <w:rPr>
          <w:bCs/>
        </w:rPr>
        <w:t>international NBS programs for X-ALD</w:t>
      </w:r>
      <w:r w:rsidRPr="00FF2B46">
        <w:rPr>
          <w:bCs/>
        </w:rPr>
        <w:t xml:space="preserve"> reported in this assessment used </w:t>
      </w:r>
      <w:r w:rsidRPr="006D34E5">
        <w:rPr>
          <w:bCs/>
          <w:i/>
          <w:iCs/>
        </w:rPr>
        <w:t>ABCD1</w:t>
      </w:r>
      <w:r w:rsidRPr="00FF2B46">
        <w:rPr>
          <w:bCs/>
        </w:rPr>
        <w:t xml:space="preserve"> genetic testing as a confirmational test to </w:t>
      </w:r>
      <w:r>
        <w:rPr>
          <w:bCs/>
        </w:rPr>
        <w:t>en</w:t>
      </w:r>
      <w:r w:rsidRPr="00FF2B46">
        <w:rPr>
          <w:bCs/>
        </w:rPr>
        <w:t xml:space="preserve">sure patients had a genetic variation. </w:t>
      </w:r>
    </w:p>
    <w:p w14:paraId="2582A13E" w14:textId="5B035A53" w:rsidR="00423551" w:rsidRPr="00674A55" w:rsidRDefault="00423551" w:rsidP="00313BA2">
      <w:pPr>
        <w:rPr>
          <w:b/>
          <w:bCs/>
        </w:rPr>
      </w:pPr>
      <w:r w:rsidRPr="00674A55">
        <w:rPr>
          <w:b/>
          <w:bCs/>
        </w:rPr>
        <w:t>P</w:t>
      </w:r>
      <w:r>
        <w:rPr>
          <w:b/>
          <w:bCs/>
        </w:rPr>
        <w:t xml:space="preserve">ICO set </w:t>
      </w:r>
      <w:r w:rsidRPr="00674A55">
        <w:rPr>
          <w:b/>
          <w:bCs/>
        </w:rPr>
        <w:t>1</w:t>
      </w:r>
      <w:r>
        <w:rPr>
          <w:b/>
          <w:bCs/>
        </w:rPr>
        <w:t>a</w:t>
      </w:r>
      <w:r w:rsidRPr="00674A55">
        <w:rPr>
          <w:b/>
          <w:bCs/>
        </w:rPr>
        <w:t xml:space="preserve">: </w:t>
      </w:r>
      <w:r>
        <w:rPr>
          <w:b/>
          <w:bCs/>
        </w:rPr>
        <w:t>S</w:t>
      </w:r>
      <w:r w:rsidRPr="00674A55">
        <w:rPr>
          <w:b/>
          <w:bCs/>
        </w:rPr>
        <w:t>cenario analysis of male</w:t>
      </w:r>
      <w:r>
        <w:rPr>
          <w:b/>
          <w:bCs/>
        </w:rPr>
        <w:t xml:space="preserve"> newborn</w:t>
      </w:r>
      <w:r w:rsidRPr="00674A55">
        <w:rPr>
          <w:b/>
          <w:bCs/>
        </w:rPr>
        <w:t>s only</w:t>
      </w:r>
    </w:p>
    <w:p w14:paraId="4C689B97" w14:textId="77777777" w:rsidR="00A72828" w:rsidRDefault="00423551" w:rsidP="00313BA2">
      <w:r>
        <w:t>One study (</w:t>
      </w:r>
      <w:r w:rsidRPr="00713F28">
        <w:t>SCAN study</w:t>
      </w:r>
      <w:r>
        <w:t>)</w:t>
      </w:r>
      <w:r w:rsidRPr="00713F28">
        <w:t xml:space="preserve"> (N=71,208)</w:t>
      </w:r>
      <w:r>
        <w:t xml:space="preserve"> </w:t>
      </w:r>
      <w:r w:rsidRPr="00713F28">
        <w:t>was carried out by the Dutch health council</w:t>
      </w:r>
      <w:r>
        <w:t xml:space="preserve"> </w:t>
      </w:r>
      <w:r>
        <w:fldChar w:fldCharType="begin">
          <w:fldData xml:space="preserve">PEVuZE5vdGU+PENpdGU+PEF1dGhvcj5BbGJlcnNlbjwvQXV0aG9yPjxZZWFyPjIwMjM8L1llYXI+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</w:fldData>
        </w:fldChar>
      </w:r>
      <w:r w:rsidR="00A72828">
        <w:instrText xml:space="preserve"> ADDIN EN.CITE </w:instrText>
      </w:r>
      <w:r w:rsidR="00A72828">
        <w:fldChar w:fldCharType="begin">
          <w:fldData xml:space="preserve">PEVuZE5vdGU+PENpdGU+PEF1dGhvcj5BbGJlcnNlbjwvQXV0aG9yPjxZZWFyPjIwMjM8L1llYXI+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</w:fldData>
        </w:fldChar>
      </w:r>
      <w:r w:rsidR="00A72828">
        <w:instrText xml:space="preserve"> ADDIN EN.CITE.DATA </w:instrText>
      </w:r>
      <w:r w:rsidR="00A72828">
        <w:fldChar w:fldCharType="end"/>
      </w:r>
      <w:r>
        <w:fldChar w:fldCharType="separate"/>
      </w:r>
      <w:r>
        <w:rPr>
          <w:noProof/>
        </w:rPr>
        <w:t>(Albersen et al., 2023)</w:t>
      </w:r>
      <w:r>
        <w:fldChar w:fldCharType="end"/>
      </w:r>
      <w:r>
        <w:t>,</w:t>
      </w:r>
      <w:r w:rsidRPr="00713F28">
        <w:t xml:space="preserve"> </w:t>
      </w:r>
      <w:r>
        <w:t>which</w:t>
      </w:r>
      <w:r w:rsidRPr="00713F28">
        <w:t xml:space="preserve"> recommended screen</w:t>
      </w:r>
      <w:r>
        <w:t>ing</w:t>
      </w:r>
      <w:r w:rsidRPr="00713F28">
        <w:t xml:space="preserve"> only male newborns for ALD without identifying untreatable conditions associated with elevated C26:0-LPC, like Zellweger spectrum disorders and single peroxisomal enzyme defects. The SCAN study use</w:t>
      </w:r>
      <w:r>
        <w:t xml:space="preserve">d </w:t>
      </w:r>
      <w:r w:rsidRPr="00713F28">
        <w:t xml:space="preserve">a four-tier screening </w:t>
      </w:r>
      <w:r>
        <w:t>strategy</w:t>
      </w:r>
      <w:r w:rsidRPr="00713F28">
        <w:t xml:space="preserve">, which included an X-counter test to determine newborn males only. </w:t>
      </w:r>
    </w:p>
    <w:p w14:paraId="1F70942D" w14:textId="6EE9AF85" w:rsidR="00423551" w:rsidRPr="00F45D43" w:rsidRDefault="00423551" w:rsidP="00313BA2">
      <w:pPr>
        <w:rPr>
          <w:bCs/>
        </w:rPr>
      </w:pPr>
      <w:r w:rsidRPr="00713F28">
        <w:t xml:space="preserve">The SCAN study positioned X-counter in the </w:t>
      </w:r>
      <w:r>
        <w:t xml:space="preserve">second </w:t>
      </w:r>
      <w:r w:rsidRPr="00713F28">
        <w:t>tier because the</w:t>
      </w:r>
      <w:r>
        <w:t xml:space="preserve"> first</w:t>
      </w:r>
      <w:r w:rsidRPr="00713F28">
        <w:t xml:space="preserve"> tier </w:t>
      </w:r>
      <w:r>
        <w:t>FIA</w:t>
      </w:r>
      <w:r w:rsidRPr="00713F28">
        <w:t xml:space="preserve">-MS/MS is a sensitive test for identifying elevated C26:0-LPC, </w:t>
      </w:r>
      <w:r>
        <w:t xml:space="preserve">and </w:t>
      </w:r>
      <w:r w:rsidRPr="00713F28">
        <w:t xml:space="preserve">most of the girls would have been excluded prior to this test </w:t>
      </w:r>
      <w:r>
        <w:fldChar w:fldCharType="begin">
          <w:fldData xml:space="preserve">PEVuZE5vdGU+PENpdGU+PEF1dGhvcj5CYXJlbmRzZW48L0F1dGhvcj48WWVhcj4yMDIwPC9ZZWFy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</w:fldData>
        </w:fldChar>
      </w:r>
      <w:r w:rsidR="00A72828">
        <w:instrText xml:space="preserve"> ADDIN EN.CITE </w:instrText>
      </w:r>
      <w:r w:rsidR="00A72828">
        <w:fldChar w:fldCharType="begin">
          <w:fldData xml:space="preserve">PEVuZE5vdGU+PENpdGU+PEF1dGhvcj5CYXJlbmRzZW48L0F1dGhvcj48WWVhcj4yMDIwPC9ZZWFy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</w:fldData>
        </w:fldChar>
      </w:r>
      <w:r w:rsidR="00A72828">
        <w:instrText xml:space="preserve"> ADDIN EN.CITE.DATA </w:instrText>
      </w:r>
      <w:r w:rsidR="00A72828">
        <w:fldChar w:fldCharType="end"/>
      </w:r>
      <w:r>
        <w:fldChar w:fldCharType="separate"/>
      </w:r>
      <w:r>
        <w:rPr>
          <w:noProof/>
        </w:rPr>
        <w:t>(Barendsen et al., 2020)</w:t>
      </w:r>
      <w:r>
        <w:fldChar w:fldCharType="end"/>
      </w:r>
      <w:r w:rsidRPr="00713F28">
        <w:t>.</w:t>
      </w:r>
      <w:r w:rsidRPr="001F5A4D">
        <w:t xml:space="preserve"> </w:t>
      </w:r>
      <w:r>
        <w:t xml:space="preserve">The X-counter test used a modified commercial test to determine the number of X-chromosomes present in a one-tier screen positive dried blood sample (DBS) </w:t>
      </w:r>
      <w:r>
        <w:fldChar w:fldCharType="begin">
          <w:fldData xml:space="preserve">PEVuZE5vdGU+PENpdGU+PEF1dGhvcj5CYXJlbmRzZW48L0F1dGhvcj48WWVhcj4yMDIwPC9ZZWFy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</w:fldData>
        </w:fldChar>
      </w:r>
      <w:r w:rsidR="00A72828">
        <w:instrText xml:space="preserve"> ADDIN EN.CITE </w:instrText>
      </w:r>
      <w:r w:rsidR="00A72828">
        <w:fldChar w:fldCharType="begin">
          <w:fldData xml:space="preserve">PEVuZE5vdGU+PENpdGU+PEF1dGhvcj5CYXJlbmRzZW48L0F1dGhvcj48WWVhcj4yMDIwPC9ZZWFy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</w:fldData>
        </w:fldChar>
      </w:r>
      <w:r w:rsidR="00A72828">
        <w:instrText xml:space="preserve"> ADDIN EN.CITE.DATA </w:instrText>
      </w:r>
      <w:r w:rsidR="00A72828">
        <w:fldChar w:fldCharType="end"/>
      </w:r>
      <w:r>
        <w:fldChar w:fldCharType="separate"/>
      </w:r>
      <w:r>
        <w:rPr>
          <w:noProof/>
        </w:rPr>
        <w:t>(Barendsen et al., 2020)</w:t>
      </w:r>
      <w:r>
        <w:fldChar w:fldCharType="end"/>
      </w:r>
      <w:r>
        <w:t xml:space="preserve">. </w:t>
      </w:r>
      <w:r w:rsidRPr="00713F28">
        <w:t xml:space="preserve">The risk of bias of the SCAN study </w:t>
      </w:r>
      <w:r>
        <w:t>was considered</w:t>
      </w:r>
      <w:r w:rsidRPr="00713F28">
        <w:t xml:space="preserve"> low as the testing laboratory </w:t>
      </w:r>
      <w:r>
        <w:t>was</w:t>
      </w:r>
      <w:r w:rsidRPr="00713F28">
        <w:t xml:space="preserve"> blinded and the study </w:t>
      </w:r>
      <w:r>
        <w:t>strategy</w:t>
      </w:r>
      <w:r w:rsidRPr="00713F28">
        <w:t xml:space="preserve"> align</w:t>
      </w:r>
      <w:r>
        <w:t>ed</w:t>
      </w:r>
      <w:r w:rsidRPr="00713F28">
        <w:t xml:space="preserve"> with the </w:t>
      </w:r>
      <w:r>
        <w:t>four</w:t>
      </w:r>
      <w:r w:rsidRPr="00713F28">
        <w:t>-tier</w:t>
      </w:r>
      <w:r>
        <w:t>s</w:t>
      </w:r>
      <w:r w:rsidRPr="00713F28">
        <w:t xml:space="preserve"> reference standard. </w:t>
      </w:r>
    </w:p>
    <w:p w14:paraId="3CF15538" w14:textId="77777777" w:rsidR="00423551" w:rsidRDefault="00423551" w:rsidP="00313BA2">
      <w:pPr>
        <w:rPr>
          <w:b/>
          <w:bCs/>
        </w:rPr>
      </w:pPr>
      <w:r w:rsidRPr="69FDB938">
        <w:rPr>
          <w:b/>
          <w:bCs/>
        </w:rPr>
        <w:t>PICO</w:t>
      </w:r>
      <w:r>
        <w:rPr>
          <w:b/>
          <w:bCs/>
        </w:rPr>
        <w:t xml:space="preserve"> set</w:t>
      </w:r>
      <w:r w:rsidRPr="69FDB938">
        <w:rPr>
          <w:b/>
          <w:bCs/>
        </w:rPr>
        <w:t xml:space="preserve"> 2: Cascade testing of family members of newborns diagnosed with X-ALD via NBS</w:t>
      </w:r>
    </w:p>
    <w:p w14:paraId="115F1B24" w14:textId="19F55999" w:rsidR="00423551" w:rsidRDefault="00423551" w:rsidP="00313BA2">
      <w:pPr>
        <w:autoSpaceDE w:val="0"/>
        <w:autoSpaceDN w:val="0"/>
        <w:adjustRightInd w:val="0"/>
        <w:spacing w:before="0" w:after="0" w:line="240" w:lineRule="auto"/>
      </w:pPr>
      <w:r>
        <w:t xml:space="preserve">No studies that met the inclusion criteria for assessing the test accuracy for cascade testing for family members of newborns </w:t>
      </w:r>
      <w:r w:rsidR="00A72828">
        <w:t xml:space="preserve">genetically diagnosed with X-ALD as a result of </w:t>
      </w:r>
      <w:r>
        <w:t xml:space="preserve">NBS identified. Two international NBS programs for X-ALD reported their follow up results of cascade testing. </w:t>
      </w:r>
    </w:p>
    <w:p w14:paraId="33234B88" w14:textId="77777777" w:rsidR="00832288" w:rsidRDefault="00832288" w:rsidP="00313BA2">
      <w:pPr>
        <w:pStyle w:val="Heading3"/>
        <w:jc w:val="left"/>
      </w:pPr>
      <w:r>
        <w:t>Penetrance of the biomarker</w:t>
      </w:r>
    </w:p>
    <w:p w14:paraId="6C156B2F" w14:textId="35F739CB" w:rsidR="00832288" w:rsidRPr="008D4F66" w:rsidRDefault="00832288" w:rsidP="00832288">
      <w:r>
        <w:t>No evidence was identified on the proportion of babies diagnosed as positive through NBS who will go on to develop X-ALD clinically – no NBS programs have been running for long enough to capture this data.</w:t>
      </w:r>
    </w:p>
    <w:p w14:paraId="08A0E6BC" w14:textId="77777777" w:rsidR="00423551" w:rsidRPr="00F17D0D" w:rsidRDefault="00423551" w:rsidP="00313BA2">
      <w:pPr>
        <w:pStyle w:val="Heading3"/>
        <w:jc w:val="left"/>
      </w:pPr>
      <w:r w:rsidRPr="00F17D0D">
        <w:t>Change in clinical management</w:t>
      </w:r>
    </w:p>
    <w:p w14:paraId="1FC065AF" w14:textId="023D3229" w:rsidR="00423551" w:rsidRPr="002D7DFF" w:rsidRDefault="00423551" w:rsidP="009349B9">
      <w:pPr>
        <w:rPr>
          <w:b/>
          <w:bCs/>
        </w:rPr>
      </w:pPr>
      <w:r w:rsidRPr="00674A55">
        <w:rPr>
          <w:b/>
          <w:bCs/>
        </w:rPr>
        <w:t>P</w:t>
      </w:r>
      <w:r>
        <w:rPr>
          <w:b/>
          <w:bCs/>
        </w:rPr>
        <w:t>ICO</w:t>
      </w:r>
      <w:r w:rsidRPr="00674A55">
        <w:rPr>
          <w:b/>
          <w:bCs/>
        </w:rPr>
        <w:t xml:space="preserve"> </w:t>
      </w:r>
      <w:r w:rsidR="00C55545">
        <w:rPr>
          <w:b/>
          <w:bCs/>
        </w:rPr>
        <w:t xml:space="preserve">set </w:t>
      </w:r>
      <w:r w:rsidRPr="00674A55">
        <w:rPr>
          <w:b/>
          <w:bCs/>
        </w:rPr>
        <w:t>1: A</w:t>
      </w:r>
      <w:r>
        <w:rPr>
          <w:b/>
          <w:bCs/>
        </w:rPr>
        <w:t>ll A</w:t>
      </w:r>
      <w:r w:rsidRPr="00674A55">
        <w:rPr>
          <w:b/>
          <w:bCs/>
        </w:rPr>
        <w:t>ustralian newborns</w:t>
      </w:r>
    </w:p>
    <w:p w14:paraId="3309A492" w14:textId="77777777" w:rsidR="00423551" w:rsidRDefault="00423551" w:rsidP="00313BA2">
      <w:pPr>
        <w:rPr>
          <w:rFonts w:eastAsia="Calibri" w:cs="Times New Roman"/>
          <w:noProof/>
          <w:color w:val="000000" w:themeColor="text1"/>
        </w:rPr>
      </w:pPr>
      <w:r w:rsidRPr="00F729E6">
        <w:rPr>
          <w:rFonts w:eastAsia="Calibri" w:cs="Times New Roman"/>
          <w:noProof/>
          <w:color w:val="000000" w:themeColor="text1"/>
        </w:rPr>
        <w:t xml:space="preserve">No </w:t>
      </w:r>
      <w:r>
        <w:rPr>
          <w:rFonts w:eastAsia="Calibri" w:cs="Times New Roman"/>
          <w:noProof/>
          <w:color w:val="000000" w:themeColor="text1"/>
        </w:rPr>
        <w:t>studies were</w:t>
      </w:r>
      <w:r w:rsidRPr="00F729E6">
        <w:rPr>
          <w:rFonts w:eastAsia="Calibri" w:cs="Times New Roman"/>
          <w:noProof/>
          <w:color w:val="000000" w:themeColor="text1"/>
        </w:rPr>
        <w:t xml:space="preserve"> identified that examined the change in management evidence </w:t>
      </w:r>
      <w:r>
        <w:rPr>
          <w:rFonts w:eastAsia="Calibri" w:cs="Times New Roman"/>
          <w:noProof/>
          <w:color w:val="000000" w:themeColor="text1"/>
        </w:rPr>
        <w:t>from implementing</w:t>
      </w:r>
      <w:r w:rsidRPr="00F729E6">
        <w:rPr>
          <w:rFonts w:eastAsia="Calibri" w:cs="Times New Roman"/>
          <w:noProof/>
          <w:color w:val="000000" w:themeColor="text1"/>
        </w:rPr>
        <w:t xml:space="preserve"> </w:t>
      </w:r>
      <w:r>
        <w:rPr>
          <w:rFonts w:eastAsia="Calibri" w:cs="Times New Roman"/>
          <w:noProof/>
          <w:color w:val="000000" w:themeColor="text1"/>
        </w:rPr>
        <w:t>NBS</w:t>
      </w:r>
      <w:r w:rsidRPr="00F729E6">
        <w:rPr>
          <w:rFonts w:eastAsia="Calibri" w:cs="Times New Roman"/>
          <w:noProof/>
          <w:color w:val="000000" w:themeColor="text1"/>
        </w:rPr>
        <w:t xml:space="preserve"> for X</w:t>
      </w:r>
      <w:r>
        <w:rPr>
          <w:rFonts w:eastAsia="Calibri" w:cs="Times New Roman"/>
          <w:noProof/>
          <w:color w:val="000000" w:themeColor="text1"/>
        </w:rPr>
        <w:noBreakHyphen/>
      </w:r>
      <w:r w:rsidRPr="00F729E6">
        <w:rPr>
          <w:rFonts w:eastAsia="Calibri" w:cs="Times New Roman"/>
          <w:noProof/>
          <w:color w:val="000000" w:themeColor="text1"/>
        </w:rPr>
        <w:t xml:space="preserve">ALD. </w:t>
      </w:r>
    </w:p>
    <w:p w14:paraId="091D27DB" w14:textId="2A3CCA97" w:rsidR="00D35FD0" w:rsidRDefault="00423551" w:rsidP="00313BA2">
      <w:pPr>
        <w:rPr>
          <w:rFonts w:eastAsia="Calibri" w:cs="Times New Roman"/>
          <w:noProof/>
          <w:color w:val="000000" w:themeColor="text1"/>
        </w:rPr>
      </w:pPr>
      <w:r>
        <w:rPr>
          <w:rFonts w:eastAsia="Calibri" w:cs="Times New Roman"/>
          <w:noProof/>
          <w:color w:val="000000" w:themeColor="text1"/>
        </w:rPr>
        <w:lastRenderedPageBreak/>
        <w:t>Twelve guidelines and reviews were identified that described</w:t>
      </w:r>
      <w:r w:rsidRPr="005F6DF2">
        <w:rPr>
          <w:rFonts w:eastAsia="Calibri" w:cs="Times New Roman"/>
          <w:noProof/>
          <w:color w:val="000000" w:themeColor="text1"/>
        </w:rPr>
        <w:t xml:space="preserve"> the progressive conditions of X-ALD, current clinical management (including surveillance and monitoring) and the effectiveness of available treatment (for </w:t>
      </w:r>
      <w:r w:rsidR="008113B0">
        <w:rPr>
          <w:rFonts w:eastAsia="Calibri" w:cs="Times New Roman"/>
          <w:noProof/>
          <w:color w:val="000000" w:themeColor="text1"/>
        </w:rPr>
        <w:t>positive</w:t>
      </w:r>
      <w:r w:rsidR="0070069B">
        <w:rPr>
          <w:rFonts w:eastAsia="Calibri" w:cs="Times New Roman"/>
          <w:noProof/>
          <w:color w:val="000000" w:themeColor="text1"/>
        </w:rPr>
        <w:t>ly diagnosed</w:t>
      </w:r>
      <w:r w:rsidR="008113B0">
        <w:rPr>
          <w:rFonts w:eastAsia="Calibri" w:cs="Times New Roman"/>
          <w:noProof/>
          <w:color w:val="000000" w:themeColor="text1"/>
        </w:rPr>
        <w:t xml:space="preserve"> individuals</w:t>
      </w:r>
      <w:r w:rsidR="008113B0" w:rsidRPr="005F6DF2">
        <w:rPr>
          <w:rFonts w:eastAsia="Calibri" w:cs="Times New Roman"/>
          <w:noProof/>
          <w:color w:val="000000" w:themeColor="text1"/>
        </w:rPr>
        <w:t xml:space="preserve"> </w:t>
      </w:r>
      <w:r w:rsidRPr="005F6DF2">
        <w:rPr>
          <w:rFonts w:eastAsia="Calibri" w:cs="Times New Roman"/>
          <w:noProof/>
          <w:color w:val="000000" w:themeColor="text1"/>
        </w:rPr>
        <w:t xml:space="preserve">and their relatives). </w:t>
      </w:r>
      <w:r>
        <w:rPr>
          <w:rFonts w:eastAsia="Calibri" w:cs="Times New Roman"/>
          <w:noProof/>
          <w:color w:val="000000" w:themeColor="text1"/>
        </w:rPr>
        <w:t xml:space="preserve">Four studies were retrospective </w:t>
      </w:r>
      <w:r>
        <w:rPr>
          <w:rFonts w:eastAsia="Calibri" w:cs="Times New Roman"/>
          <w:noProof/>
          <w:color w:val="000000" w:themeColor="text1"/>
        </w:rPr>
        <w:fldChar w:fldCharType="begin">
          <w:fldData xml:space="preserve">PEVuZE5vdGU+PENpdGU+PEF1dGhvcj5MaWJlcmF0bzwvQXV0aG9yPjxZZWFyPjIwMTk8L1llYXI+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==
</w:fldData>
        </w:fldChar>
      </w:r>
      <w:r w:rsidR="00A72828">
        <w:rPr>
          <w:rFonts w:eastAsia="Calibri" w:cs="Times New Roman"/>
          <w:noProof/>
          <w:color w:val="000000" w:themeColor="text1"/>
        </w:rPr>
        <w:instrText xml:space="preserve"> ADDIN EN.CITE </w:instrText>
      </w:r>
      <w:r w:rsidR="00A72828">
        <w:rPr>
          <w:rFonts w:eastAsia="Calibri" w:cs="Times New Roman"/>
          <w:noProof/>
          <w:color w:val="000000" w:themeColor="text1"/>
        </w:rPr>
        <w:fldChar w:fldCharType="begin">
          <w:fldData xml:space="preserve">PEVuZE5vdGU+PENpdGU+PEF1dGhvcj5MaWJlcmF0bzwvQXV0aG9yPjxZZWFyPjIwMTk8L1llYXI+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==
</w:fldData>
        </w:fldChar>
      </w:r>
      <w:r w:rsidR="00A72828">
        <w:rPr>
          <w:rFonts w:eastAsia="Calibri" w:cs="Times New Roman"/>
          <w:noProof/>
          <w:color w:val="000000" w:themeColor="text1"/>
        </w:rPr>
        <w:instrText xml:space="preserve"> ADDIN EN.CITE.DATA </w:instrText>
      </w:r>
      <w:r w:rsidR="00A72828">
        <w:rPr>
          <w:rFonts w:eastAsia="Calibri" w:cs="Times New Roman"/>
          <w:noProof/>
          <w:color w:val="000000" w:themeColor="text1"/>
        </w:rPr>
      </w:r>
      <w:r w:rsidR="00A72828">
        <w:rPr>
          <w:rFonts w:eastAsia="Calibri" w:cs="Times New Roman"/>
          <w:noProof/>
          <w:color w:val="000000" w:themeColor="text1"/>
        </w:rPr>
        <w:fldChar w:fldCharType="end"/>
      </w:r>
      <w:r>
        <w:rPr>
          <w:rFonts w:eastAsia="Calibri" w:cs="Times New Roman"/>
          <w:noProof/>
          <w:color w:val="000000" w:themeColor="text1"/>
        </w:rPr>
      </w:r>
      <w:r>
        <w:rPr>
          <w:rFonts w:eastAsia="Calibri" w:cs="Times New Roman"/>
          <w:noProof/>
          <w:color w:val="000000" w:themeColor="text1"/>
        </w:rPr>
        <w:fldChar w:fldCharType="separate"/>
      </w:r>
      <w:r>
        <w:rPr>
          <w:rFonts w:eastAsia="Calibri" w:cs="Times New Roman"/>
          <w:noProof/>
          <w:color w:val="000000" w:themeColor="text1"/>
        </w:rPr>
        <w:t>(Liberato et al., 2019</w:t>
      </w:r>
      <w:r w:rsidR="0048115D">
        <w:rPr>
          <w:rStyle w:val="FootnoteReference"/>
          <w:rFonts w:eastAsia="Calibri" w:cs="Times New Roman"/>
          <w:noProof/>
          <w:color w:val="000000" w:themeColor="text1"/>
        </w:rPr>
        <w:footnoteReference w:id="14"/>
      </w:r>
      <w:r>
        <w:rPr>
          <w:rFonts w:eastAsia="Calibri" w:cs="Times New Roman"/>
          <w:noProof/>
          <w:color w:val="000000" w:themeColor="text1"/>
        </w:rPr>
        <w:t>, Mahmood et al., 2007</w:t>
      </w:r>
      <w:r w:rsidR="00AC30FC">
        <w:rPr>
          <w:rStyle w:val="FootnoteReference"/>
          <w:rFonts w:eastAsia="Calibri" w:cs="Times New Roman"/>
          <w:noProof/>
          <w:color w:val="000000" w:themeColor="text1"/>
        </w:rPr>
        <w:footnoteReference w:id="15"/>
      </w:r>
      <w:r>
        <w:rPr>
          <w:rFonts w:eastAsia="Calibri" w:cs="Times New Roman"/>
          <w:noProof/>
          <w:color w:val="000000" w:themeColor="text1"/>
        </w:rPr>
        <w:t>, Peters et al., 2004</w:t>
      </w:r>
      <w:r w:rsidR="00D87FB8">
        <w:rPr>
          <w:rStyle w:val="FootnoteReference"/>
          <w:rFonts w:eastAsia="Calibri" w:cs="Times New Roman"/>
          <w:noProof/>
          <w:color w:val="000000" w:themeColor="text1"/>
        </w:rPr>
        <w:footnoteReference w:id="16"/>
      </w:r>
      <w:r>
        <w:rPr>
          <w:rFonts w:eastAsia="Calibri" w:cs="Times New Roman"/>
          <w:noProof/>
          <w:color w:val="000000" w:themeColor="text1"/>
        </w:rPr>
        <w:t>, Raymond et al., 2019</w:t>
      </w:r>
      <w:r w:rsidR="001A0725">
        <w:rPr>
          <w:rStyle w:val="FootnoteReference"/>
          <w:rFonts w:eastAsia="Calibri" w:cs="Times New Roman"/>
          <w:noProof/>
          <w:color w:val="000000" w:themeColor="text1"/>
        </w:rPr>
        <w:footnoteReference w:id="17"/>
      </w:r>
      <w:r>
        <w:rPr>
          <w:rFonts w:eastAsia="Calibri" w:cs="Times New Roman"/>
          <w:noProof/>
          <w:color w:val="000000" w:themeColor="text1"/>
        </w:rPr>
        <w:t>)</w:t>
      </w:r>
      <w:r>
        <w:rPr>
          <w:rFonts w:eastAsia="Calibri" w:cs="Times New Roman"/>
          <w:noProof/>
          <w:color w:val="000000" w:themeColor="text1"/>
        </w:rPr>
        <w:fldChar w:fldCharType="end"/>
      </w:r>
      <w:r>
        <w:rPr>
          <w:rFonts w:eastAsia="Calibri" w:cs="Times New Roman"/>
          <w:noProof/>
          <w:color w:val="000000" w:themeColor="text1"/>
        </w:rPr>
        <w:t xml:space="preserve">. One prospective study </w:t>
      </w:r>
      <w:r>
        <w:rPr>
          <w:rFonts w:eastAsia="Calibri" w:cs="Times New Roman"/>
          <w:noProof/>
          <w:color w:val="000000" w:themeColor="text1"/>
        </w:rPr>
        <w:fldChar w:fldCharType="begin">
          <w:fldData xml:space="preserve">PEVuZE5vdGU+PENpdGU+PEF1dGhvcj5NYXRzdWthd2E8L0F1dGhvcj48WWVhcj4yMDIwPC9ZZWFy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==
</w:fldData>
        </w:fldChar>
      </w:r>
      <w:r w:rsidR="00A72828">
        <w:rPr>
          <w:rFonts w:eastAsia="Calibri" w:cs="Times New Roman"/>
          <w:noProof/>
          <w:color w:val="000000" w:themeColor="text1"/>
        </w:rPr>
        <w:instrText xml:space="preserve"> ADDIN EN.CITE </w:instrText>
      </w:r>
      <w:r w:rsidR="00A72828">
        <w:rPr>
          <w:rFonts w:eastAsia="Calibri" w:cs="Times New Roman"/>
          <w:noProof/>
          <w:color w:val="000000" w:themeColor="text1"/>
        </w:rPr>
        <w:fldChar w:fldCharType="begin">
          <w:fldData xml:space="preserve">PEVuZE5vdGU+PENpdGU+PEF1dGhvcj5NYXRzdWthd2E8L0F1dGhvcj48WWVhcj4yMDIwPC9ZZWFy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==
</w:fldData>
        </w:fldChar>
      </w:r>
      <w:r w:rsidR="00A72828">
        <w:rPr>
          <w:rFonts w:eastAsia="Calibri" w:cs="Times New Roman"/>
          <w:noProof/>
          <w:color w:val="000000" w:themeColor="text1"/>
        </w:rPr>
        <w:instrText xml:space="preserve"> ADDIN EN.CITE.DATA </w:instrText>
      </w:r>
      <w:r w:rsidR="00A72828">
        <w:rPr>
          <w:rFonts w:eastAsia="Calibri" w:cs="Times New Roman"/>
          <w:noProof/>
          <w:color w:val="000000" w:themeColor="text1"/>
        </w:rPr>
      </w:r>
      <w:r w:rsidR="00A72828">
        <w:rPr>
          <w:rFonts w:eastAsia="Calibri" w:cs="Times New Roman"/>
          <w:noProof/>
          <w:color w:val="000000" w:themeColor="text1"/>
        </w:rPr>
        <w:fldChar w:fldCharType="end"/>
      </w:r>
      <w:r>
        <w:rPr>
          <w:rFonts w:eastAsia="Calibri" w:cs="Times New Roman"/>
          <w:noProof/>
          <w:color w:val="000000" w:themeColor="text1"/>
        </w:rPr>
      </w:r>
      <w:r>
        <w:rPr>
          <w:rFonts w:eastAsia="Calibri" w:cs="Times New Roman"/>
          <w:noProof/>
          <w:color w:val="000000" w:themeColor="text1"/>
        </w:rPr>
        <w:fldChar w:fldCharType="separate"/>
      </w:r>
      <w:r>
        <w:rPr>
          <w:rFonts w:eastAsia="Calibri" w:cs="Times New Roman"/>
          <w:noProof/>
          <w:color w:val="000000" w:themeColor="text1"/>
        </w:rPr>
        <w:t>(Matsukawa et al., 2020</w:t>
      </w:r>
      <w:r w:rsidR="00F42250">
        <w:rPr>
          <w:rStyle w:val="FootnoteReference"/>
          <w:rFonts w:eastAsia="Calibri" w:cs="Times New Roman"/>
          <w:noProof/>
          <w:color w:val="000000" w:themeColor="text1"/>
        </w:rPr>
        <w:footnoteReference w:id="18"/>
      </w:r>
      <w:r>
        <w:rPr>
          <w:rFonts w:eastAsia="Calibri" w:cs="Times New Roman"/>
          <w:noProof/>
          <w:color w:val="000000" w:themeColor="text1"/>
        </w:rPr>
        <w:t>)</w:t>
      </w:r>
      <w:r>
        <w:rPr>
          <w:rFonts w:eastAsia="Calibri" w:cs="Times New Roman"/>
          <w:noProof/>
          <w:color w:val="000000" w:themeColor="text1"/>
        </w:rPr>
        <w:fldChar w:fldCharType="end"/>
      </w:r>
      <w:r>
        <w:rPr>
          <w:rFonts w:eastAsia="Calibri" w:cs="Times New Roman"/>
          <w:noProof/>
          <w:color w:val="000000" w:themeColor="text1"/>
        </w:rPr>
        <w:t xml:space="preserve">, three reviews </w:t>
      </w:r>
      <w:r>
        <w:rPr>
          <w:rFonts w:eastAsia="Calibri" w:cs="Times New Roman"/>
          <w:noProof/>
          <w:color w:val="000000" w:themeColor="text1"/>
        </w:rPr>
        <w:fldChar w:fldCharType="begin">
          <w:fldData xml:space="preserve">PEVuZE5vdGU+PENpdGU+PEF1dGhvcj5CYXJlbmRzZW48L0F1dGhvcj48WWVhcj4yMDIwPC9ZZWFy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</w:fldData>
        </w:fldChar>
      </w:r>
      <w:r w:rsidR="00A72828">
        <w:rPr>
          <w:rFonts w:eastAsia="Calibri" w:cs="Times New Roman"/>
          <w:noProof/>
          <w:color w:val="000000" w:themeColor="text1"/>
        </w:rPr>
        <w:instrText xml:space="preserve"> ADDIN EN.CITE </w:instrText>
      </w:r>
      <w:r w:rsidR="00A72828">
        <w:rPr>
          <w:rFonts w:eastAsia="Calibri" w:cs="Times New Roman"/>
          <w:noProof/>
          <w:color w:val="000000" w:themeColor="text1"/>
        </w:rPr>
        <w:fldChar w:fldCharType="begin">
          <w:fldData xml:space="preserve">PEVuZE5vdGU+PENpdGU+PEF1dGhvcj5CYXJlbmRzZW48L0F1dGhvcj48WWVhcj4yMDIwPC9ZZWFy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</w:fldData>
        </w:fldChar>
      </w:r>
      <w:r w:rsidR="00A72828">
        <w:rPr>
          <w:rFonts w:eastAsia="Calibri" w:cs="Times New Roman"/>
          <w:noProof/>
          <w:color w:val="000000" w:themeColor="text1"/>
        </w:rPr>
        <w:instrText xml:space="preserve"> ADDIN EN.CITE.DATA </w:instrText>
      </w:r>
      <w:r w:rsidR="00A72828">
        <w:rPr>
          <w:rFonts w:eastAsia="Calibri" w:cs="Times New Roman"/>
          <w:noProof/>
          <w:color w:val="000000" w:themeColor="text1"/>
        </w:rPr>
      </w:r>
      <w:r w:rsidR="00A72828">
        <w:rPr>
          <w:rFonts w:eastAsia="Calibri" w:cs="Times New Roman"/>
          <w:noProof/>
          <w:color w:val="000000" w:themeColor="text1"/>
        </w:rPr>
        <w:fldChar w:fldCharType="end"/>
      </w:r>
      <w:r>
        <w:rPr>
          <w:rFonts w:eastAsia="Calibri" w:cs="Times New Roman"/>
          <w:noProof/>
          <w:color w:val="000000" w:themeColor="text1"/>
        </w:rPr>
      </w:r>
      <w:r>
        <w:rPr>
          <w:rFonts w:eastAsia="Calibri" w:cs="Times New Roman"/>
          <w:noProof/>
          <w:color w:val="000000" w:themeColor="text1"/>
        </w:rPr>
        <w:fldChar w:fldCharType="separate"/>
      </w:r>
      <w:r>
        <w:rPr>
          <w:rFonts w:eastAsia="Calibri" w:cs="Times New Roman"/>
          <w:noProof/>
          <w:color w:val="000000" w:themeColor="text1"/>
        </w:rPr>
        <w:t>(Barendsen et al., 2020, Kemp et al., 2012</w:t>
      </w:r>
      <w:r w:rsidR="001B30D5">
        <w:rPr>
          <w:rStyle w:val="FootnoteReference"/>
          <w:rFonts w:eastAsia="Calibri" w:cs="Times New Roman"/>
          <w:noProof/>
          <w:color w:val="000000" w:themeColor="text1"/>
        </w:rPr>
        <w:footnoteReference w:id="19"/>
      </w:r>
      <w:r>
        <w:rPr>
          <w:rFonts w:eastAsia="Calibri" w:cs="Times New Roman"/>
          <w:noProof/>
          <w:color w:val="000000" w:themeColor="text1"/>
        </w:rPr>
        <w:t>, Turk et al., 2020</w:t>
      </w:r>
      <w:r w:rsidR="00786E75">
        <w:rPr>
          <w:rStyle w:val="FootnoteReference"/>
          <w:rFonts w:eastAsia="Calibri" w:cs="Times New Roman"/>
          <w:noProof/>
          <w:color w:val="000000" w:themeColor="text1"/>
        </w:rPr>
        <w:footnoteReference w:id="20"/>
      </w:r>
      <w:r>
        <w:rPr>
          <w:rFonts w:eastAsia="Calibri" w:cs="Times New Roman"/>
          <w:noProof/>
          <w:color w:val="000000" w:themeColor="text1"/>
        </w:rPr>
        <w:t>)</w:t>
      </w:r>
      <w:r>
        <w:rPr>
          <w:rFonts w:eastAsia="Calibri" w:cs="Times New Roman"/>
          <w:noProof/>
          <w:color w:val="000000" w:themeColor="text1"/>
        </w:rPr>
        <w:fldChar w:fldCharType="end"/>
      </w:r>
      <w:r>
        <w:rPr>
          <w:rFonts w:eastAsia="Calibri" w:cs="Times New Roman"/>
          <w:noProof/>
          <w:color w:val="000000" w:themeColor="text1"/>
        </w:rPr>
        <w:t xml:space="preserve"> and four expert opinions and reports </w:t>
      </w:r>
      <w:r>
        <w:rPr>
          <w:rFonts w:eastAsia="Calibri" w:cs="Times New Roman"/>
          <w:noProof/>
          <w:color w:val="000000" w:themeColor="text1"/>
        </w:rPr>
        <w:fldChar w:fldCharType="begin">
          <w:fldData xml:space="preserve">PEVuZE5vdGU+PENpdGU+PEF1dGhvcj5FbmdlbGVuPC9BdXRob3I+PFllYXI+MjAyMjwvWWVhcj48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</w:fldData>
        </w:fldChar>
      </w:r>
      <w:r w:rsidR="00A72828">
        <w:rPr>
          <w:rFonts w:eastAsia="Calibri" w:cs="Times New Roman"/>
          <w:noProof/>
          <w:color w:val="000000" w:themeColor="text1"/>
        </w:rPr>
        <w:instrText xml:space="preserve"> ADDIN EN.CITE </w:instrText>
      </w:r>
      <w:r w:rsidR="00A72828">
        <w:rPr>
          <w:rFonts w:eastAsia="Calibri" w:cs="Times New Roman"/>
          <w:noProof/>
          <w:color w:val="000000" w:themeColor="text1"/>
        </w:rPr>
        <w:fldChar w:fldCharType="begin">
          <w:fldData xml:space="preserve">PEVuZE5vdGU+PENpdGU+PEF1dGhvcj5FbmdlbGVuPC9BdXRob3I+PFllYXI+MjAyMjwvWWVhcj48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</w:fldData>
        </w:fldChar>
      </w:r>
      <w:r w:rsidR="00A72828">
        <w:rPr>
          <w:rFonts w:eastAsia="Calibri" w:cs="Times New Roman"/>
          <w:noProof/>
          <w:color w:val="000000" w:themeColor="text1"/>
        </w:rPr>
        <w:instrText xml:space="preserve"> ADDIN EN.CITE.DATA </w:instrText>
      </w:r>
      <w:r w:rsidR="00A72828">
        <w:rPr>
          <w:rFonts w:eastAsia="Calibri" w:cs="Times New Roman"/>
          <w:noProof/>
          <w:color w:val="000000" w:themeColor="text1"/>
        </w:rPr>
      </w:r>
      <w:r w:rsidR="00A72828">
        <w:rPr>
          <w:rFonts w:eastAsia="Calibri" w:cs="Times New Roman"/>
          <w:noProof/>
          <w:color w:val="000000" w:themeColor="text1"/>
        </w:rPr>
        <w:fldChar w:fldCharType="end"/>
      </w:r>
      <w:r>
        <w:rPr>
          <w:rFonts w:eastAsia="Calibri" w:cs="Times New Roman"/>
          <w:noProof/>
          <w:color w:val="000000" w:themeColor="text1"/>
        </w:rPr>
      </w:r>
      <w:r>
        <w:rPr>
          <w:rFonts w:eastAsia="Calibri" w:cs="Times New Roman"/>
          <w:noProof/>
          <w:color w:val="000000" w:themeColor="text1"/>
        </w:rPr>
        <w:fldChar w:fldCharType="separate"/>
      </w:r>
      <w:r>
        <w:rPr>
          <w:rFonts w:eastAsia="Calibri" w:cs="Times New Roman"/>
          <w:noProof/>
          <w:color w:val="000000" w:themeColor="text1"/>
        </w:rPr>
        <w:t>(Engelen et al., 2022</w:t>
      </w:r>
      <w:r w:rsidR="009E233F">
        <w:rPr>
          <w:rStyle w:val="FootnoteReference"/>
          <w:bCs/>
          <w:color w:val="000000" w:themeColor="text1"/>
        </w:rPr>
        <w:footnoteReference w:id="21"/>
      </w:r>
      <w:r>
        <w:rPr>
          <w:rFonts w:eastAsia="Calibri" w:cs="Times New Roman"/>
          <w:noProof/>
          <w:color w:val="000000" w:themeColor="text1"/>
        </w:rPr>
        <w:t>, Gupta et al., 2022</w:t>
      </w:r>
      <w:r w:rsidR="00B409CF">
        <w:rPr>
          <w:rStyle w:val="FootnoteReference"/>
          <w:rFonts w:eastAsia="Calibri" w:cs="Times New Roman"/>
          <w:noProof/>
          <w:color w:val="000000" w:themeColor="text1"/>
        </w:rPr>
        <w:footnoteReference w:id="22"/>
      </w:r>
      <w:r>
        <w:rPr>
          <w:rFonts w:eastAsia="Calibri" w:cs="Times New Roman"/>
          <w:noProof/>
          <w:color w:val="000000" w:themeColor="text1"/>
        </w:rPr>
        <w:t>, Regelmann et al., 2018</w:t>
      </w:r>
      <w:r w:rsidR="00C8257C">
        <w:rPr>
          <w:rStyle w:val="FootnoteReference"/>
          <w:rFonts w:eastAsia="Calibri" w:cs="Times New Roman"/>
          <w:noProof/>
          <w:color w:val="000000" w:themeColor="text1"/>
        </w:rPr>
        <w:footnoteReference w:id="23"/>
      </w:r>
      <w:r>
        <w:rPr>
          <w:rFonts w:eastAsia="Calibri" w:cs="Times New Roman"/>
          <w:noProof/>
          <w:color w:val="000000" w:themeColor="text1"/>
        </w:rPr>
        <w:t>, Vogel et al., 2015</w:t>
      </w:r>
      <w:r w:rsidR="00945F20">
        <w:rPr>
          <w:rStyle w:val="FootnoteReference"/>
          <w:rFonts w:eastAsia="Calibri" w:cs="Times New Roman"/>
          <w:noProof/>
          <w:color w:val="000000" w:themeColor="text1"/>
        </w:rPr>
        <w:footnoteReference w:id="24"/>
      </w:r>
      <w:r>
        <w:rPr>
          <w:rFonts w:eastAsia="Calibri" w:cs="Times New Roman"/>
          <w:noProof/>
          <w:color w:val="000000" w:themeColor="text1"/>
        </w:rPr>
        <w:t>)</w:t>
      </w:r>
      <w:r>
        <w:rPr>
          <w:rFonts w:eastAsia="Calibri" w:cs="Times New Roman"/>
          <w:noProof/>
          <w:color w:val="000000" w:themeColor="text1"/>
        </w:rPr>
        <w:fldChar w:fldCharType="end"/>
      </w:r>
      <w:r>
        <w:rPr>
          <w:rFonts w:eastAsia="Calibri" w:cs="Times New Roman"/>
          <w:noProof/>
          <w:color w:val="000000" w:themeColor="text1"/>
        </w:rPr>
        <w:t xml:space="preserve"> were identified.</w:t>
      </w:r>
    </w:p>
    <w:p w14:paraId="28B23A92" w14:textId="039EDD25" w:rsidR="00423551" w:rsidRDefault="00423551" w:rsidP="00206581">
      <w:pPr>
        <w:rPr>
          <w:b/>
          <w:bCs/>
        </w:rPr>
      </w:pPr>
      <w:r w:rsidRPr="00674A55">
        <w:rPr>
          <w:b/>
          <w:bCs/>
        </w:rPr>
        <w:t>P</w:t>
      </w:r>
      <w:r>
        <w:rPr>
          <w:b/>
          <w:bCs/>
        </w:rPr>
        <w:t xml:space="preserve">ICO </w:t>
      </w:r>
      <w:r w:rsidR="00C55545">
        <w:rPr>
          <w:b/>
          <w:bCs/>
        </w:rPr>
        <w:t xml:space="preserve">set </w:t>
      </w:r>
      <w:r w:rsidRPr="00674A55">
        <w:rPr>
          <w:b/>
          <w:bCs/>
        </w:rPr>
        <w:t>1</w:t>
      </w:r>
      <w:r>
        <w:rPr>
          <w:b/>
          <w:bCs/>
        </w:rPr>
        <w:t>a</w:t>
      </w:r>
      <w:r w:rsidRPr="00674A55">
        <w:rPr>
          <w:b/>
          <w:bCs/>
        </w:rPr>
        <w:t xml:space="preserve">: </w:t>
      </w:r>
      <w:r>
        <w:rPr>
          <w:b/>
          <w:bCs/>
        </w:rPr>
        <w:t>S</w:t>
      </w:r>
      <w:r w:rsidRPr="00674A55">
        <w:rPr>
          <w:b/>
          <w:bCs/>
        </w:rPr>
        <w:t>cenario analysis of male</w:t>
      </w:r>
      <w:r>
        <w:rPr>
          <w:b/>
          <w:bCs/>
        </w:rPr>
        <w:t xml:space="preserve"> newborn</w:t>
      </w:r>
      <w:r w:rsidRPr="00674A55">
        <w:rPr>
          <w:b/>
          <w:bCs/>
        </w:rPr>
        <w:t>s only</w:t>
      </w:r>
    </w:p>
    <w:p w14:paraId="587DBB7E" w14:textId="2B662CB1" w:rsidR="00423551" w:rsidRPr="00D2541A" w:rsidRDefault="00025EF6" w:rsidP="00206581">
      <w:pPr>
        <w:rPr>
          <w:rFonts w:eastAsia="Calibri" w:cs="Times New Roman"/>
          <w:noProof/>
          <w:color w:val="000000" w:themeColor="text1"/>
        </w:rPr>
      </w:pPr>
      <w:r>
        <w:rPr>
          <w:rFonts w:eastAsia="Calibri" w:cs="Times New Roman"/>
          <w:noProof/>
          <w:color w:val="000000" w:themeColor="text1"/>
        </w:rPr>
        <w:t>Twelve</w:t>
      </w:r>
      <w:r w:rsidR="00423551" w:rsidRPr="00D2541A">
        <w:rPr>
          <w:rFonts w:eastAsia="Calibri" w:cs="Times New Roman"/>
          <w:noProof/>
          <w:color w:val="000000" w:themeColor="text1"/>
        </w:rPr>
        <w:t xml:space="preserve"> studies described the difference between clinical management pathways for males and females.</w:t>
      </w:r>
    </w:p>
    <w:p w14:paraId="6A8EC369" w14:textId="77777777" w:rsidR="00423551" w:rsidRPr="00701DB0" w:rsidRDefault="00423551" w:rsidP="00206581">
      <w:pPr>
        <w:rPr>
          <w:b/>
          <w:bCs/>
        </w:rPr>
      </w:pPr>
      <w:r w:rsidRPr="00701DB0">
        <w:rPr>
          <w:b/>
          <w:bCs/>
        </w:rPr>
        <w:t>Health outcomes</w:t>
      </w:r>
    </w:p>
    <w:p w14:paraId="01EB8FE7" w14:textId="77777777" w:rsidR="00423551" w:rsidRDefault="00423551" w:rsidP="00206581">
      <w:r>
        <w:t xml:space="preserve">Cohort studies, retrospective chart reviews, and cross-sectional studies comparing health outcomes were assessed using the </w:t>
      </w:r>
      <w:r w:rsidRPr="00FC5C44">
        <w:t xml:space="preserve">Cochrane Risk of Bias In Non-randomised Studies </w:t>
      </w:r>
      <w:r>
        <w:noBreakHyphen/>
      </w:r>
      <w:r w:rsidRPr="00FC5C44">
        <w:t>Interventions (ROBINS-I)</w:t>
      </w:r>
      <w:r>
        <w:t xml:space="preserve"> and were rated moderate to high risk of bias. </w:t>
      </w:r>
    </w:p>
    <w:p w14:paraId="44FC54F4" w14:textId="77777777" w:rsidR="00423551" w:rsidRDefault="00423551" w:rsidP="00206581">
      <w:r>
        <w:t>No studies were identified linking change in management due to the identification of X-ALD to health outcomes or adverse events. No studies compared early treatment arising from NBS for X-ALD and diagnosis with late treatment at disease sign/symptom onset. There were no studies identified that assessed evidence on health outcomes for X-ALD phenotypes AMN or adrenal insufficiency.</w:t>
      </w:r>
      <w:r w:rsidRPr="003B759C">
        <w:t xml:space="preserve"> </w:t>
      </w:r>
    </w:p>
    <w:p w14:paraId="1F53EBC9" w14:textId="62CAB732" w:rsidR="00423551" w:rsidRDefault="00423551" w:rsidP="00206581">
      <w:r>
        <w:t>Two</w:t>
      </w:r>
      <w:r w:rsidRPr="00CE28E3">
        <w:t xml:space="preserve"> studies </w:t>
      </w:r>
      <w:r>
        <w:t>compared</w:t>
      </w:r>
      <w:r w:rsidRPr="00CE28E3">
        <w:t xml:space="preserve"> health outcomes </w:t>
      </w:r>
      <w:r>
        <w:t>for HSCT versus no HSCT as a treatment of c</w:t>
      </w:r>
      <w:r w:rsidRPr="005C65C4">
        <w:t>erebral adrenoleukodystrophy</w:t>
      </w:r>
      <w:r w:rsidRPr="00730498">
        <w:t xml:space="preserve"> </w:t>
      </w:r>
      <w:r>
        <w:t xml:space="preserve">(CALD) </w:t>
      </w:r>
      <w:r>
        <w:fldChar w:fldCharType="begin">
          <w:fldData xml:space="preserve">PEVuZE5vdGU+PENpdGU+PEF1dGhvcj5NYXRzdWthd2E8L0F1dGhvcj48WWVhcj4yMDIwPC9ZZWFy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==
</w:fldData>
        </w:fldChar>
      </w:r>
      <w:r w:rsidR="00A72828">
        <w:instrText xml:space="preserve"> ADDIN EN.CITE </w:instrText>
      </w:r>
      <w:r w:rsidR="00A72828">
        <w:fldChar w:fldCharType="begin">
          <w:fldData xml:space="preserve">PEVuZE5vdGU+PENpdGU+PEF1dGhvcj5NYXRzdWthd2E8L0F1dGhvcj48WWVhcj4yMDIwPC9ZZWFy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==
</w:fldData>
        </w:fldChar>
      </w:r>
      <w:r w:rsidR="00A72828">
        <w:instrText xml:space="preserve"> ADDIN EN.CITE.DATA </w:instrText>
      </w:r>
      <w:r w:rsidR="00A72828">
        <w:fldChar w:fldCharType="end"/>
      </w:r>
      <w:r>
        <w:fldChar w:fldCharType="separate"/>
      </w:r>
      <w:r>
        <w:rPr>
          <w:noProof/>
        </w:rPr>
        <w:t>(Matsukawa et al., 2020)</w:t>
      </w:r>
      <w:r>
        <w:fldChar w:fldCharType="end"/>
      </w:r>
      <w:r>
        <w:t xml:space="preserve">(N=45), </w:t>
      </w:r>
      <w:r>
        <w:fldChar w:fldCharType="begin"/>
      </w:r>
      <w:r w:rsidR="00A72828">
        <w:instrText xml:space="preserve"> ADDIN EN.CITE &lt;EndNote&gt;&lt;Cite&gt;&lt;Author&gt;Raymond&lt;/Author&gt;&lt;Year&gt;2019&lt;/Year&gt;&lt;RecNum&gt;10441&lt;/RecNum&gt;&lt;DisplayText&gt;(Raymond et al., 2019)&lt;/DisplayText&gt;&lt;record&gt;&lt;rec-number&gt;10441&lt;/rec-number&gt;&lt;foreign-keys&gt;&lt;key app="EN" db-id="5p0vxwpf9wzvtiews9dpt0acffet2dft2xxv" timestamp="1678787906" guid="3268f8ac-a7d0-41f0-afe8-eed256d14f97"&gt;10441&lt;/key&gt;&lt;/foreign-keys&gt;&lt;ref-type name="Journal Article"&gt;17&lt;/ref-type&gt;&lt;contributors&gt;&lt;authors&gt;&lt;author&gt;Raymond, Gerald V.&lt;/author&gt;&lt;author&gt;Aubourg, Patrick&lt;/author&gt;&lt;author&gt;Paker, Asif&lt;/author&gt;&lt;author&gt;Escolar, Maria&lt;/author&gt;&lt;author&gt;Fischer, Alain&lt;/author&gt;&lt;author&gt;Blanche, Stephane&lt;/author&gt;&lt;author&gt;Baruchel, André&lt;/author&gt;&lt;author&gt;Dalle, Jean-Hugues&lt;/author&gt;&lt;author&gt;Michel, Gérard&lt;/author&gt;&lt;author&gt;Prasad, Vinod&lt;/author&gt;&lt;author&gt;Miller, Weston&lt;/author&gt;&lt;author&gt;Paadre, Susan&lt;/author&gt;&lt;author&gt;Balser, John&lt;/author&gt;&lt;author&gt;Kurtzberg, Joanne&lt;/author&gt;&lt;author&gt;Nascene, David R.&lt;/author&gt;&lt;author&gt;Orchard, Paul J.&lt;/author&gt;&lt;author&gt;Lund, Troy&lt;/author&gt;&lt;/authors&gt;&lt;/contributors&gt;&lt;titles&gt;&lt;title&gt;Survival and Functional Outcomes in Boys with Cerebral Adrenoleukodystrophy with and without Hematopoietic Stem Cell Transplantation&lt;/title&gt;&lt;secondary-title&gt;Biology of Blood and Marrow Transplantation&lt;/secondary-title&gt;&lt;/titles&gt;&lt;periodical&gt;&lt;full-title&gt;Biology of Blood and Marrow Transplantation&lt;/full-title&gt;&lt;/periodical&gt;&lt;pages&gt;538-548&lt;/pages&gt;&lt;volume&gt;25&lt;/volume&gt;&lt;number&gt;3&lt;/number&gt;&lt;section&gt;538&lt;/section&gt;&lt;dates&gt;&lt;year&gt;2019&lt;/year&gt;&lt;/dates&gt;&lt;isbn&gt;10838791&lt;/isbn&gt;&lt;urls&gt;&lt;/urls&gt;&lt;electronic-resource-num&gt;10.1016/j.bbmt.2018.09.036&lt;/electronic-resource-num&gt;&lt;/record&gt;&lt;/Cite&gt;&lt;/EndNote&gt;</w:instrText>
      </w:r>
      <w:r>
        <w:fldChar w:fldCharType="separate"/>
      </w:r>
      <w:r>
        <w:rPr>
          <w:noProof/>
        </w:rPr>
        <w:t>(Raymond et al., 2019)</w:t>
      </w:r>
      <w:r>
        <w:fldChar w:fldCharType="end"/>
      </w:r>
      <w:r>
        <w:t xml:space="preserve"> (N=137). Nine studies compared early HSCT versus late HSCT as treatment of CALD, where ‘early’ and ‘late’ were based on clinical assessment of disease progression at the time of transplant.</w:t>
      </w:r>
    </w:p>
    <w:p w14:paraId="71895203" w14:textId="77777777" w:rsidR="00423551" w:rsidRDefault="00423551" w:rsidP="00206581">
      <w:r>
        <w:t>When appraised for risk of bias using the Cochrane ROBINS-I, both studies comparing HSCT with no HSCT were rated high due to the potential for confounding</w:t>
      </w:r>
      <w:r w:rsidRPr="00CE20B4">
        <w:t>.</w:t>
      </w:r>
      <w:r>
        <w:t xml:space="preserve"> When appraised for risk of bias using ROBINS-I, three of the ten studies comparing early and late HSCT were rated high, and seven were rated moderate. Studies were conducted in the USA, UK, Europe and Japan.</w:t>
      </w:r>
    </w:p>
    <w:p w14:paraId="3C1C2EAF" w14:textId="69FE3C1E" w:rsidR="00423551" w:rsidRPr="00EB076E" w:rsidRDefault="00423551" w:rsidP="00206581">
      <w:r>
        <w:lastRenderedPageBreak/>
        <w:t>One study (Schwan et al. 2019</w:t>
      </w:r>
      <w:r w:rsidR="00276FD1">
        <w:rPr>
          <w:rStyle w:val="FootnoteReference"/>
        </w:rPr>
        <w:footnoteReference w:id="25"/>
      </w:r>
      <w:r>
        <w:t>) was identified that presented qualitative</w:t>
      </w:r>
      <w:r w:rsidRPr="00CE28E3">
        <w:t xml:space="preserve"> evidence</w:t>
      </w:r>
      <w:r>
        <w:t xml:space="preserve"> on</w:t>
      </w:r>
      <w:r w:rsidRPr="00CE28E3">
        <w:t xml:space="preserve"> </w:t>
      </w:r>
      <w:r>
        <w:t xml:space="preserve">the impact of a positive newborn bloodspot screening result for X-ALD, including the impact of cascade testing. The study was assessed as having a high risk of bias using the </w:t>
      </w:r>
      <w:r w:rsidRPr="00FC5C44">
        <w:t>Critical Appraisal Skills Program (CASP) checklist for qualitative studies</w:t>
      </w:r>
      <w:r>
        <w:t>.</w:t>
      </w:r>
    </w:p>
    <w:p w14:paraId="2037B124" w14:textId="308F9810" w:rsidR="00423551" w:rsidRDefault="00423551" w:rsidP="00B76655">
      <w:pPr>
        <w:pStyle w:val="Caption"/>
      </w:pPr>
      <w:bookmarkStart w:id="18" w:name="_Ref132965515"/>
      <w:r>
        <w:t xml:space="preserve">Table </w:t>
      </w:r>
      <w:r>
        <w:fldChar w:fldCharType="begin"/>
      </w:r>
      <w:r>
        <w:instrText>SEQ Table \* ARABIC</w:instrText>
      </w:r>
      <w:r>
        <w:fldChar w:fldCharType="separate"/>
      </w:r>
      <w:r w:rsidR="00253978">
        <w:rPr>
          <w:noProof/>
        </w:rPr>
        <w:t>2</w:t>
      </w:r>
      <w:r>
        <w:fldChar w:fldCharType="end"/>
      </w:r>
      <w:bookmarkEnd w:id="18"/>
      <w:r>
        <w:t xml:space="preserve"> </w:t>
      </w:r>
      <w:r w:rsidRPr="007605BE">
        <w:t>Key features of the included evidence</w:t>
      </w:r>
    </w:p>
    <w:tbl>
      <w:tblPr>
        <w:tblStyle w:val="TableGrid1"/>
        <w:tblW w:w="5000" w:type="pct"/>
        <w:tblLook w:val="04A0" w:firstRow="1" w:lastRow="0" w:firstColumn="1" w:lastColumn="0" w:noHBand="0" w:noVBand="1"/>
      </w:tblPr>
      <w:tblGrid>
        <w:gridCol w:w="1747"/>
        <w:gridCol w:w="2440"/>
        <w:gridCol w:w="1585"/>
        <w:gridCol w:w="1751"/>
        <w:gridCol w:w="1493"/>
      </w:tblGrid>
      <w:tr w:rsidR="00423551" w:rsidRPr="00CE28E3" w14:paraId="7ABAA18D"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969" w:type="pct"/>
            <w:tcBorders>
              <w:top w:val="single" w:sz="4" w:space="0" w:color="auto"/>
              <w:left w:val="single" w:sz="4" w:space="0" w:color="auto"/>
              <w:bottom w:val="single" w:sz="4" w:space="0" w:color="auto"/>
              <w:right w:val="single" w:sz="4" w:space="0" w:color="auto"/>
            </w:tcBorders>
            <w:vAlign w:val="center"/>
          </w:tcPr>
          <w:p w14:paraId="13936316" w14:textId="77777777" w:rsidR="00423551" w:rsidRPr="00CE28E3" w:rsidRDefault="00423551" w:rsidP="00DF5FA4">
            <w:pPr>
              <w:pStyle w:val="TableText"/>
              <w:keepNext/>
              <w:jc w:val="center"/>
              <w:rPr>
                <w:b/>
              </w:rPr>
            </w:pPr>
            <w:r>
              <w:rPr>
                <w:b/>
              </w:rPr>
              <w:t>Population</w:t>
            </w:r>
          </w:p>
        </w:tc>
        <w:tc>
          <w:tcPr>
            <w:tcW w:w="1353" w:type="pct"/>
            <w:tcBorders>
              <w:top w:val="single" w:sz="4" w:space="0" w:color="auto"/>
              <w:left w:val="single" w:sz="4" w:space="0" w:color="auto"/>
              <w:bottom w:val="single" w:sz="4" w:space="0" w:color="auto"/>
              <w:right w:val="single" w:sz="4" w:space="0" w:color="auto"/>
            </w:tcBorders>
            <w:vAlign w:val="center"/>
          </w:tcPr>
          <w:p w14:paraId="184CEE87" w14:textId="77777777" w:rsidR="00423551" w:rsidRPr="00CE28E3" w:rsidRDefault="00423551" w:rsidP="00DF5FA4">
            <w:pPr>
              <w:pStyle w:val="TableText"/>
              <w:keepNext/>
              <w:jc w:val="center"/>
              <w:rPr>
                <w:b/>
              </w:rPr>
            </w:pPr>
            <w:r>
              <w:rPr>
                <w:b/>
              </w:rPr>
              <w:t>Test results (diagnostic yield)</w:t>
            </w:r>
          </w:p>
        </w:tc>
        <w:tc>
          <w:tcPr>
            <w:tcW w:w="879" w:type="pct"/>
            <w:tcBorders>
              <w:top w:val="single" w:sz="4" w:space="0" w:color="auto"/>
              <w:left w:val="single" w:sz="4" w:space="0" w:color="auto"/>
              <w:bottom w:val="single" w:sz="4" w:space="0" w:color="auto"/>
              <w:right w:val="single" w:sz="4" w:space="0" w:color="auto"/>
            </w:tcBorders>
            <w:vAlign w:val="center"/>
          </w:tcPr>
          <w:p w14:paraId="5A6778F9" w14:textId="77777777" w:rsidR="00423551" w:rsidRPr="00CE28E3" w:rsidRDefault="00423551" w:rsidP="00DF5FA4">
            <w:pPr>
              <w:pStyle w:val="TableText"/>
              <w:keepNext/>
              <w:jc w:val="center"/>
              <w:rPr>
                <w:b/>
              </w:rPr>
            </w:pPr>
            <w:r>
              <w:rPr>
                <w:b/>
              </w:rPr>
              <w:t>Change in management decisions</w:t>
            </w:r>
          </w:p>
        </w:tc>
        <w:tc>
          <w:tcPr>
            <w:tcW w:w="971" w:type="pct"/>
            <w:tcBorders>
              <w:top w:val="single" w:sz="4" w:space="0" w:color="auto"/>
              <w:left w:val="single" w:sz="4" w:space="0" w:color="auto"/>
              <w:bottom w:val="single" w:sz="4" w:space="0" w:color="auto"/>
              <w:right w:val="single" w:sz="4" w:space="0" w:color="auto"/>
            </w:tcBorders>
            <w:vAlign w:val="center"/>
          </w:tcPr>
          <w:p w14:paraId="4E98D0AF" w14:textId="77777777" w:rsidR="00423551" w:rsidRPr="00CE28E3" w:rsidRDefault="00423551" w:rsidP="00DF5FA4">
            <w:pPr>
              <w:pStyle w:val="TableText"/>
              <w:keepNext/>
              <w:jc w:val="center"/>
              <w:rPr>
                <w:b/>
              </w:rPr>
            </w:pPr>
            <w:r>
              <w:rPr>
                <w:b/>
              </w:rPr>
              <w:t>Health outcomes (OS, MFD-free survival, disease progression)</w:t>
            </w:r>
          </w:p>
        </w:tc>
        <w:tc>
          <w:tcPr>
            <w:tcW w:w="828" w:type="pct"/>
            <w:tcBorders>
              <w:top w:val="single" w:sz="4" w:space="0" w:color="auto"/>
              <w:left w:val="single" w:sz="4" w:space="0" w:color="auto"/>
              <w:bottom w:val="single" w:sz="4" w:space="0" w:color="auto"/>
              <w:right w:val="single" w:sz="4" w:space="0" w:color="auto"/>
            </w:tcBorders>
            <w:vAlign w:val="center"/>
          </w:tcPr>
          <w:p w14:paraId="578A9673" w14:textId="77777777" w:rsidR="00423551" w:rsidRPr="00CE28E3" w:rsidRDefault="00423551" w:rsidP="00DF5FA4">
            <w:pPr>
              <w:pStyle w:val="TableText"/>
              <w:keepNext/>
              <w:jc w:val="center"/>
              <w:rPr>
                <w:b/>
              </w:rPr>
            </w:pPr>
            <w:r>
              <w:rPr>
                <w:b/>
              </w:rPr>
              <w:t>Non-health outcomes (e.g., value of knowing)</w:t>
            </w:r>
          </w:p>
        </w:tc>
      </w:tr>
      <w:tr w:rsidR="00423551" w:rsidRPr="00CE28E3" w14:paraId="04B3BDB2" w14:textId="77777777" w:rsidTr="00DF5FA4">
        <w:tc>
          <w:tcPr>
            <w:tcW w:w="969" w:type="pct"/>
            <w:tcBorders>
              <w:top w:val="single" w:sz="4" w:space="0" w:color="auto"/>
              <w:left w:val="single" w:sz="4" w:space="0" w:color="auto"/>
              <w:bottom w:val="single" w:sz="4" w:space="0" w:color="auto"/>
              <w:right w:val="single" w:sz="4" w:space="0" w:color="auto"/>
            </w:tcBorders>
            <w:hideMark/>
          </w:tcPr>
          <w:p w14:paraId="64D48E04" w14:textId="3F7948B1" w:rsidR="00423551" w:rsidRPr="0046464D" w:rsidRDefault="00423551" w:rsidP="00206581">
            <w:pPr>
              <w:pStyle w:val="TableText"/>
            </w:pPr>
            <w:r w:rsidRPr="00CC0C4D">
              <w:t xml:space="preserve">All newborns in Australia </w:t>
            </w:r>
            <w:r w:rsidR="00C55545" w:rsidRPr="00CC0C4D">
              <w:br/>
              <w:t>(PICO set 1)</w:t>
            </w:r>
          </w:p>
        </w:tc>
        <w:tc>
          <w:tcPr>
            <w:tcW w:w="1353" w:type="pct"/>
            <w:tcBorders>
              <w:top w:val="single" w:sz="4" w:space="0" w:color="auto"/>
              <w:left w:val="single" w:sz="4" w:space="0" w:color="auto"/>
              <w:bottom w:val="single" w:sz="4" w:space="0" w:color="auto"/>
              <w:right w:val="single" w:sz="4" w:space="0" w:color="auto"/>
            </w:tcBorders>
          </w:tcPr>
          <w:p w14:paraId="49590997" w14:textId="77777777" w:rsidR="00423551" w:rsidRDefault="00423551" w:rsidP="00DF5FA4">
            <w:pPr>
              <w:pStyle w:val="TableText"/>
              <w:keepNext/>
            </w:pPr>
            <w:r>
              <w:t>k = 9</w:t>
            </w:r>
          </w:p>
          <w:p w14:paraId="77D1D366" w14:textId="77777777" w:rsidR="00423551" w:rsidRDefault="00423551" w:rsidP="00DF5FA4">
            <w:pPr>
              <w:pStyle w:val="TableText"/>
              <w:keepNext/>
            </w:pPr>
            <w:r>
              <w:t>n = 3,454,646</w:t>
            </w:r>
          </w:p>
          <w:p w14:paraId="47A7DF53" w14:textId="77777777" w:rsidR="00423551" w:rsidRDefault="00423551" w:rsidP="00DF5FA4">
            <w:pPr>
              <w:pStyle w:val="TableText"/>
              <w:keepNext/>
            </w:pPr>
            <w:r>
              <w:t xml:space="preserve">Pilot studies and case control studies </w:t>
            </w:r>
          </w:p>
          <w:p w14:paraId="0E2F42F4" w14:textId="77777777" w:rsidR="00423551" w:rsidRPr="00CE28E3" w:rsidRDefault="00423551" w:rsidP="00DF5FA4">
            <w:pPr>
              <w:pStyle w:val="TableText"/>
              <w:keepNext/>
            </w:pPr>
            <w:r>
              <w:t>Rob: Low – moderate [RoB]</w:t>
            </w:r>
            <w:r w:rsidRPr="00BC4972" w:rsidDel="009E4FA2">
              <w:rPr>
                <w:color w:val="258221"/>
              </w:rPr>
              <w:t xml:space="preserve"> </w:t>
            </w:r>
          </w:p>
        </w:tc>
        <w:tc>
          <w:tcPr>
            <w:tcW w:w="879" w:type="pct"/>
            <w:tcBorders>
              <w:top w:val="single" w:sz="4" w:space="0" w:color="auto"/>
              <w:left w:val="single" w:sz="4" w:space="0" w:color="auto"/>
              <w:bottom w:val="single" w:sz="4" w:space="0" w:color="auto"/>
              <w:right w:val="single" w:sz="4" w:space="0" w:color="auto"/>
            </w:tcBorders>
          </w:tcPr>
          <w:p w14:paraId="46284F46" w14:textId="77777777" w:rsidR="00423551" w:rsidRPr="003326C8" w:rsidRDefault="00423551" w:rsidP="00DF5FA4">
            <w:pPr>
              <w:pStyle w:val="TableText"/>
              <w:keepNext/>
              <w:rPr>
                <w:bCs/>
              </w:rPr>
            </w:pPr>
            <w:r w:rsidRPr="003326C8">
              <w:rPr>
                <w:bCs/>
              </w:rPr>
              <w:t xml:space="preserve">Recommended earlier monitoring surveillance and treatment. </w:t>
            </w:r>
          </w:p>
          <w:p w14:paraId="137618F5" w14:textId="77777777" w:rsidR="00423551" w:rsidRDefault="00423551" w:rsidP="00DF5FA4">
            <w:pPr>
              <w:pStyle w:val="TableText"/>
              <w:keepNext/>
            </w:pPr>
            <w:r>
              <w:t>K = 12</w:t>
            </w:r>
          </w:p>
          <w:p w14:paraId="34A83164" w14:textId="77777777" w:rsidR="00423551" w:rsidRDefault="00423551" w:rsidP="00DF5FA4">
            <w:pPr>
              <w:pStyle w:val="TableText"/>
              <w:keepNext/>
            </w:pPr>
            <w:r>
              <w:t>n = 541</w:t>
            </w:r>
          </w:p>
          <w:p w14:paraId="337BA09F" w14:textId="77777777" w:rsidR="00423551" w:rsidRPr="00D91B0E" w:rsidRDefault="00423551" w:rsidP="00DF5FA4">
            <w:pPr>
              <w:pStyle w:val="TableText"/>
              <w:keepNext/>
              <w:rPr>
                <w:bCs/>
                <w:color w:val="000000" w:themeColor="text1"/>
              </w:rPr>
            </w:pPr>
            <w:r w:rsidRPr="00D91B0E">
              <w:rPr>
                <w:bCs/>
                <w:color w:val="000000" w:themeColor="text1"/>
              </w:rPr>
              <w:t xml:space="preserve">Retrospective and prospective studies. </w:t>
            </w:r>
          </w:p>
          <w:p w14:paraId="28CDBEB1" w14:textId="77777777" w:rsidR="00423551" w:rsidRPr="00D91B0E" w:rsidRDefault="00423551" w:rsidP="00DF5FA4">
            <w:pPr>
              <w:pStyle w:val="TableText"/>
              <w:keepNext/>
              <w:rPr>
                <w:color w:val="000000" w:themeColor="text1"/>
              </w:rPr>
            </w:pPr>
            <w:r w:rsidRPr="00D91B0E">
              <w:rPr>
                <w:bCs/>
                <w:color w:val="000000" w:themeColor="text1"/>
              </w:rPr>
              <w:t xml:space="preserve">Review and expert opinion. </w:t>
            </w:r>
          </w:p>
          <w:p w14:paraId="7819585A" w14:textId="77777777" w:rsidR="00423551" w:rsidRPr="004A522F" w:rsidRDefault="00423551" w:rsidP="00DF5FA4">
            <w:pPr>
              <w:pStyle w:val="TableText"/>
              <w:keepNext/>
              <w:rPr>
                <w:highlight w:val="red"/>
              </w:rPr>
            </w:pPr>
            <w:r w:rsidRPr="00D91B0E">
              <w:rPr>
                <w:color w:val="000000" w:themeColor="text1"/>
              </w:rPr>
              <w:t xml:space="preserve">Rob: Low – </w:t>
            </w:r>
            <w:r>
              <w:rPr>
                <w:color w:val="000000" w:themeColor="text1"/>
              </w:rPr>
              <w:t>High</w:t>
            </w:r>
          </w:p>
        </w:tc>
        <w:tc>
          <w:tcPr>
            <w:tcW w:w="971" w:type="pct"/>
            <w:tcBorders>
              <w:top w:val="single" w:sz="4" w:space="0" w:color="auto"/>
              <w:left w:val="single" w:sz="4" w:space="0" w:color="auto"/>
              <w:bottom w:val="single" w:sz="4" w:space="0" w:color="auto"/>
              <w:right w:val="single" w:sz="4" w:space="0" w:color="auto"/>
            </w:tcBorders>
          </w:tcPr>
          <w:p w14:paraId="7F5F5C8B" w14:textId="77777777" w:rsidR="00423551" w:rsidRDefault="00423551" w:rsidP="00DF5FA4">
            <w:pPr>
              <w:pStyle w:val="TableText"/>
              <w:keepNext/>
            </w:pPr>
            <w:r>
              <w:t>k = 12</w:t>
            </w:r>
          </w:p>
          <w:p w14:paraId="086E3769" w14:textId="77777777" w:rsidR="00423551" w:rsidRDefault="00423551" w:rsidP="00DF5FA4">
            <w:pPr>
              <w:pStyle w:val="TableText"/>
              <w:keepNext/>
            </w:pPr>
            <w:r>
              <w:t>n = 502</w:t>
            </w:r>
          </w:p>
          <w:p w14:paraId="075074D0" w14:textId="77777777" w:rsidR="00423551" w:rsidRDefault="00423551" w:rsidP="00DF5FA4">
            <w:pPr>
              <w:pStyle w:val="TableText"/>
              <w:keepNext/>
            </w:pPr>
            <w:r>
              <w:t>Cohort, retrospective chart review, cross-sectional studies</w:t>
            </w:r>
          </w:p>
          <w:p w14:paraId="349E15D9" w14:textId="77777777" w:rsidR="00423551" w:rsidRPr="00CE28E3" w:rsidRDefault="00423551" w:rsidP="00DF5FA4">
            <w:pPr>
              <w:pStyle w:val="TableText"/>
              <w:keepNext/>
            </w:pPr>
            <w:r>
              <w:t>RoB: moderate-high</w:t>
            </w:r>
          </w:p>
        </w:tc>
        <w:tc>
          <w:tcPr>
            <w:tcW w:w="828" w:type="pct"/>
            <w:tcBorders>
              <w:top w:val="single" w:sz="4" w:space="0" w:color="auto"/>
              <w:left w:val="single" w:sz="4" w:space="0" w:color="auto"/>
              <w:bottom w:val="single" w:sz="4" w:space="0" w:color="auto"/>
              <w:right w:val="single" w:sz="4" w:space="0" w:color="auto"/>
            </w:tcBorders>
          </w:tcPr>
          <w:p w14:paraId="2FB8E7D8" w14:textId="77777777" w:rsidR="00423551" w:rsidRDefault="00423551" w:rsidP="00DF5FA4">
            <w:pPr>
              <w:pStyle w:val="TableText"/>
              <w:keepNext/>
            </w:pPr>
            <w:r>
              <w:t>k = 0</w:t>
            </w:r>
          </w:p>
          <w:p w14:paraId="63A32448" w14:textId="77777777" w:rsidR="00423551" w:rsidRPr="00CE28E3" w:rsidRDefault="00423551" w:rsidP="00DF5FA4">
            <w:pPr>
              <w:pStyle w:val="TableText"/>
              <w:keepNext/>
            </w:pPr>
            <w:r>
              <w:t>n = 0</w:t>
            </w:r>
            <w:r w:rsidRPr="001D3762" w:rsidDel="009E4FA2">
              <w:rPr>
                <w:color w:val="258221"/>
                <w:highlight w:val="red"/>
              </w:rPr>
              <w:t xml:space="preserve"> </w:t>
            </w:r>
          </w:p>
        </w:tc>
      </w:tr>
      <w:tr w:rsidR="00423551" w:rsidRPr="00CE28E3" w14:paraId="5A38BC20" w14:textId="77777777" w:rsidTr="00DF5FA4">
        <w:tc>
          <w:tcPr>
            <w:tcW w:w="969" w:type="pct"/>
            <w:tcBorders>
              <w:top w:val="single" w:sz="4" w:space="0" w:color="auto"/>
              <w:left w:val="single" w:sz="4" w:space="0" w:color="auto"/>
              <w:bottom w:val="single" w:sz="4" w:space="0" w:color="auto"/>
              <w:right w:val="single" w:sz="4" w:space="0" w:color="auto"/>
            </w:tcBorders>
            <w:hideMark/>
          </w:tcPr>
          <w:p w14:paraId="7E80F97A" w14:textId="021374ED" w:rsidR="00423551" w:rsidRPr="0046464D" w:rsidRDefault="00423551" w:rsidP="00206581">
            <w:pPr>
              <w:pStyle w:val="TableText"/>
            </w:pPr>
            <w:r w:rsidRPr="00CC0C4D">
              <w:t>Cascade testing for family members of newborns diagnosed with X-ALD</w:t>
            </w:r>
            <w:r w:rsidR="00C55545" w:rsidRPr="00CC0C4D">
              <w:t xml:space="preserve"> </w:t>
            </w:r>
            <w:r w:rsidR="00C55545" w:rsidRPr="00CC0C4D">
              <w:br/>
              <w:t>(PICO set 2)</w:t>
            </w:r>
          </w:p>
        </w:tc>
        <w:tc>
          <w:tcPr>
            <w:tcW w:w="1353" w:type="pct"/>
            <w:tcBorders>
              <w:top w:val="single" w:sz="4" w:space="0" w:color="auto"/>
              <w:left w:val="single" w:sz="4" w:space="0" w:color="auto"/>
              <w:bottom w:val="single" w:sz="4" w:space="0" w:color="auto"/>
              <w:right w:val="single" w:sz="4" w:space="0" w:color="auto"/>
            </w:tcBorders>
          </w:tcPr>
          <w:p w14:paraId="34EFB6C8" w14:textId="77777777" w:rsidR="00423551" w:rsidRPr="00CE28E3" w:rsidRDefault="00423551" w:rsidP="00DF5FA4">
            <w:pPr>
              <w:pStyle w:val="TableText"/>
              <w:keepNext/>
            </w:pPr>
            <w:r>
              <w:t>0</w:t>
            </w:r>
            <w:r w:rsidRPr="00BC4972" w:rsidDel="009E4FA2">
              <w:rPr>
                <w:color w:val="258221"/>
              </w:rPr>
              <w:t xml:space="preserve"> </w:t>
            </w:r>
          </w:p>
        </w:tc>
        <w:tc>
          <w:tcPr>
            <w:tcW w:w="879" w:type="pct"/>
            <w:tcBorders>
              <w:top w:val="single" w:sz="4" w:space="0" w:color="auto"/>
              <w:left w:val="single" w:sz="4" w:space="0" w:color="auto"/>
              <w:bottom w:val="single" w:sz="4" w:space="0" w:color="auto"/>
              <w:right w:val="single" w:sz="4" w:space="0" w:color="auto"/>
            </w:tcBorders>
          </w:tcPr>
          <w:p w14:paraId="6B43DB10" w14:textId="77777777" w:rsidR="00423551" w:rsidRDefault="00423551" w:rsidP="00DF5FA4">
            <w:pPr>
              <w:pStyle w:val="TableText"/>
              <w:keepNext/>
            </w:pPr>
            <w:r>
              <w:t>0</w:t>
            </w:r>
          </w:p>
        </w:tc>
        <w:tc>
          <w:tcPr>
            <w:tcW w:w="971" w:type="pct"/>
            <w:tcBorders>
              <w:top w:val="single" w:sz="4" w:space="0" w:color="auto"/>
              <w:left w:val="single" w:sz="4" w:space="0" w:color="auto"/>
              <w:bottom w:val="single" w:sz="4" w:space="0" w:color="auto"/>
              <w:right w:val="single" w:sz="4" w:space="0" w:color="auto"/>
            </w:tcBorders>
          </w:tcPr>
          <w:p w14:paraId="2537EECC" w14:textId="77777777" w:rsidR="00423551" w:rsidRPr="00CE28E3" w:rsidRDefault="00423551" w:rsidP="00DF5FA4">
            <w:pPr>
              <w:pStyle w:val="TableText"/>
              <w:keepNext/>
            </w:pPr>
            <w:r>
              <w:t>0</w:t>
            </w:r>
          </w:p>
        </w:tc>
        <w:tc>
          <w:tcPr>
            <w:tcW w:w="828" w:type="pct"/>
            <w:tcBorders>
              <w:top w:val="single" w:sz="4" w:space="0" w:color="auto"/>
              <w:left w:val="single" w:sz="4" w:space="0" w:color="auto"/>
              <w:bottom w:val="single" w:sz="4" w:space="0" w:color="auto"/>
              <w:right w:val="single" w:sz="4" w:space="0" w:color="auto"/>
            </w:tcBorders>
          </w:tcPr>
          <w:p w14:paraId="6DD0D6DB" w14:textId="77777777" w:rsidR="00423551" w:rsidRDefault="00423551" w:rsidP="00DF5FA4">
            <w:pPr>
              <w:pStyle w:val="TableText"/>
              <w:keepNext/>
            </w:pPr>
            <w:r>
              <w:t>k = 1</w:t>
            </w:r>
          </w:p>
          <w:p w14:paraId="7FCF8C16" w14:textId="77777777" w:rsidR="00423551" w:rsidRDefault="00423551" w:rsidP="00DF5FA4">
            <w:pPr>
              <w:pStyle w:val="TableText"/>
              <w:keepNext/>
            </w:pPr>
            <w:r>
              <w:t>n = 10</w:t>
            </w:r>
          </w:p>
          <w:p w14:paraId="583E23FF" w14:textId="77777777" w:rsidR="00423551" w:rsidRDefault="00423551" w:rsidP="00DF5FA4">
            <w:pPr>
              <w:pStyle w:val="TableText"/>
              <w:keepNext/>
            </w:pPr>
            <w:r>
              <w:t>Qualitative cross-sectional studies</w:t>
            </w:r>
          </w:p>
          <w:p w14:paraId="62F7DF27" w14:textId="77777777" w:rsidR="00423551" w:rsidRPr="00CE28E3" w:rsidRDefault="00423551" w:rsidP="00DF5FA4">
            <w:pPr>
              <w:pStyle w:val="TableText"/>
              <w:keepNext/>
            </w:pPr>
            <w:r w:rsidRPr="00C24844">
              <w:t>RoB:</w:t>
            </w:r>
            <w:r w:rsidRPr="00751D02">
              <w:t xml:space="preserve"> high</w:t>
            </w:r>
          </w:p>
        </w:tc>
      </w:tr>
    </w:tbl>
    <w:p w14:paraId="4D95F31D" w14:textId="3D4F164C" w:rsidR="00423551" w:rsidRPr="00701DB0" w:rsidRDefault="00423551" w:rsidP="00B77A8A">
      <w:pPr>
        <w:pStyle w:val="TableFigureFooter"/>
        <w:spacing w:before="0" w:after="0"/>
      </w:pPr>
      <w:r w:rsidRPr="00CE28E3">
        <w:t xml:space="preserve">k=number of studies, </w:t>
      </w:r>
      <w:r>
        <w:t xml:space="preserve">MFD = major functional disability; </w:t>
      </w:r>
      <w:r w:rsidR="00736E44" w:rsidRPr="00CE28E3">
        <w:t>n=number of patients</w:t>
      </w:r>
      <w:r w:rsidR="00736E44">
        <w:t xml:space="preserve">; </w:t>
      </w:r>
      <w:r>
        <w:t xml:space="preserve">OS = overall survival; RoB = risk of bias; X-ALD = </w:t>
      </w:r>
      <w:r w:rsidRPr="00E50891">
        <w:t>X-linked adrenoleukodystrophy</w:t>
      </w:r>
      <w:r w:rsidRPr="00CE28E3">
        <w:t>.</w:t>
      </w:r>
      <w:r w:rsidR="00737714">
        <w:br/>
        <w:t>Source: DCAR Table 2.</w:t>
      </w:r>
    </w:p>
    <w:p w14:paraId="6CECF5F1" w14:textId="47E9E69B" w:rsidR="00423551" w:rsidRPr="00CE28E3" w:rsidRDefault="009653B7" w:rsidP="000C02FE">
      <w:pPr>
        <w:pStyle w:val="Heading2"/>
        <w:numPr>
          <w:ilvl w:val="0"/>
          <w:numId w:val="0"/>
        </w:numPr>
      </w:pPr>
      <w:bookmarkStart w:id="19" w:name="_Toc133221387"/>
      <w:bookmarkEnd w:id="17"/>
      <w:r>
        <w:t>11</w:t>
      </w:r>
      <w:r w:rsidR="00423551">
        <w:t>.</w:t>
      </w:r>
      <w:r w:rsidR="00423551">
        <w:tab/>
      </w:r>
      <w:r w:rsidR="00423551" w:rsidRPr="00CE28E3">
        <w:t>Comparative safety</w:t>
      </w:r>
      <w:bookmarkEnd w:id="19"/>
    </w:p>
    <w:p w14:paraId="59A40AE5" w14:textId="77777777" w:rsidR="00423551" w:rsidRPr="00EE74AB" w:rsidRDefault="00423551" w:rsidP="00206581">
      <w:pPr>
        <w:pStyle w:val="Heading3"/>
        <w:jc w:val="left"/>
      </w:pPr>
      <w:bookmarkStart w:id="20" w:name="_Toc133221388"/>
      <w:r w:rsidRPr="00EE74AB">
        <w:t>NBS safety</w:t>
      </w:r>
      <w:bookmarkEnd w:id="20"/>
    </w:p>
    <w:p w14:paraId="0542E636" w14:textId="09CD4EBB" w:rsidR="00423551" w:rsidRDefault="00423551" w:rsidP="00206581">
      <w:pPr>
        <w:pStyle w:val="Guidelinescross-ref"/>
        <w:keepNext/>
        <w:rPr>
          <w:b w:val="0"/>
          <w:bCs/>
          <w:color w:val="auto"/>
          <w:sz w:val="22"/>
        </w:rPr>
      </w:pPr>
      <w:r w:rsidRPr="00EE74AB">
        <w:rPr>
          <w:b w:val="0"/>
          <w:bCs/>
          <w:color w:val="auto"/>
          <w:sz w:val="22"/>
        </w:rPr>
        <w:t xml:space="preserve">There was no direct safety evidence </w:t>
      </w:r>
      <w:r>
        <w:rPr>
          <w:b w:val="0"/>
          <w:bCs/>
          <w:color w:val="auto"/>
          <w:sz w:val="22"/>
        </w:rPr>
        <w:t>comparing</w:t>
      </w:r>
      <w:r w:rsidRPr="00EE74AB">
        <w:rPr>
          <w:b w:val="0"/>
          <w:bCs/>
          <w:color w:val="auto"/>
          <w:sz w:val="22"/>
        </w:rPr>
        <w:t xml:space="preserve"> </w:t>
      </w:r>
      <w:r>
        <w:rPr>
          <w:b w:val="0"/>
          <w:bCs/>
          <w:color w:val="auto"/>
          <w:sz w:val="22"/>
        </w:rPr>
        <w:t>the addition of</w:t>
      </w:r>
      <w:r w:rsidRPr="00EE74AB">
        <w:rPr>
          <w:b w:val="0"/>
          <w:bCs/>
          <w:color w:val="auto"/>
          <w:sz w:val="22"/>
        </w:rPr>
        <w:t xml:space="preserve"> X-ALD</w:t>
      </w:r>
      <w:r>
        <w:rPr>
          <w:b w:val="0"/>
          <w:bCs/>
          <w:color w:val="auto"/>
          <w:sz w:val="22"/>
        </w:rPr>
        <w:t xml:space="preserve"> to NBS</w:t>
      </w:r>
      <w:r w:rsidRPr="00EE74AB">
        <w:rPr>
          <w:b w:val="0"/>
          <w:bCs/>
          <w:color w:val="auto"/>
          <w:sz w:val="22"/>
        </w:rPr>
        <w:t xml:space="preserve"> </w:t>
      </w:r>
      <w:r>
        <w:rPr>
          <w:b w:val="0"/>
          <w:bCs/>
          <w:color w:val="auto"/>
          <w:sz w:val="22"/>
        </w:rPr>
        <w:t>against</w:t>
      </w:r>
      <w:r w:rsidRPr="00EE74AB">
        <w:rPr>
          <w:b w:val="0"/>
          <w:bCs/>
          <w:color w:val="auto"/>
          <w:sz w:val="22"/>
        </w:rPr>
        <w:t xml:space="preserve"> no </w:t>
      </w:r>
      <w:r>
        <w:rPr>
          <w:b w:val="0"/>
          <w:bCs/>
          <w:color w:val="auto"/>
          <w:sz w:val="22"/>
        </w:rPr>
        <w:t>NBS for X-ALD</w:t>
      </w:r>
      <w:r w:rsidRPr="00EE74AB">
        <w:rPr>
          <w:b w:val="0"/>
          <w:bCs/>
          <w:color w:val="auto"/>
          <w:sz w:val="22"/>
        </w:rPr>
        <w:t xml:space="preserve">. Collecting dried blood spot </w:t>
      </w:r>
      <w:r>
        <w:rPr>
          <w:b w:val="0"/>
          <w:bCs/>
          <w:color w:val="auto"/>
          <w:sz w:val="22"/>
        </w:rPr>
        <w:t xml:space="preserve">(DBS) </w:t>
      </w:r>
      <w:r w:rsidRPr="00EE74AB">
        <w:rPr>
          <w:b w:val="0"/>
          <w:bCs/>
          <w:color w:val="auto"/>
          <w:sz w:val="22"/>
        </w:rPr>
        <w:t>specimen</w:t>
      </w:r>
      <w:r>
        <w:rPr>
          <w:b w:val="0"/>
          <w:bCs/>
          <w:color w:val="auto"/>
          <w:sz w:val="22"/>
        </w:rPr>
        <w:t>s</w:t>
      </w:r>
      <w:r w:rsidRPr="00EE74AB">
        <w:rPr>
          <w:b w:val="0"/>
          <w:bCs/>
          <w:color w:val="auto"/>
          <w:sz w:val="22"/>
        </w:rPr>
        <w:t xml:space="preserve"> is performed routinely through </w:t>
      </w:r>
      <w:r>
        <w:rPr>
          <w:b w:val="0"/>
          <w:bCs/>
          <w:color w:val="auto"/>
          <w:sz w:val="22"/>
        </w:rPr>
        <w:t>the NBS program</w:t>
      </w:r>
      <w:r w:rsidRPr="00EE74AB">
        <w:rPr>
          <w:b w:val="0"/>
          <w:bCs/>
          <w:color w:val="auto"/>
          <w:sz w:val="22"/>
        </w:rPr>
        <w:t>. It involves pricking the skin of the foot and gently squeez</w:t>
      </w:r>
      <w:r>
        <w:rPr>
          <w:b w:val="0"/>
          <w:bCs/>
          <w:color w:val="auto"/>
          <w:sz w:val="22"/>
        </w:rPr>
        <w:t>ing</w:t>
      </w:r>
      <w:r w:rsidRPr="00EE74AB">
        <w:rPr>
          <w:b w:val="0"/>
          <w:bCs/>
          <w:color w:val="auto"/>
          <w:sz w:val="22"/>
        </w:rPr>
        <w:t xml:space="preserve"> and </w:t>
      </w:r>
      <w:r w:rsidR="00763DCD" w:rsidRPr="00EE74AB">
        <w:rPr>
          <w:b w:val="0"/>
          <w:bCs/>
          <w:color w:val="auto"/>
          <w:sz w:val="22"/>
        </w:rPr>
        <w:t>releas</w:t>
      </w:r>
      <w:r w:rsidR="00763DCD">
        <w:rPr>
          <w:b w:val="0"/>
          <w:bCs/>
          <w:color w:val="auto"/>
          <w:sz w:val="22"/>
        </w:rPr>
        <w:t>ing</w:t>
      </w:r>
      <w:r w:rsidR="00763DCD" w:rsidRPr="00EE74AB">
        <w:rPr>
          <w:b w:val="0"/>
          <w:bCs/>
          <w:color w:val="auto"/>
          <w:sz w:val="22"/>
        </w:rPr>
        <w:t xml:space="preserve"> </w:t>
      </w:r>
      <w:r w:rsidRPr="00EE74AB">
        <w:rPr>
          <w:b w:val="0"/>
          <w:bCs/>
          <w:color w:val="auto"/>
          <w:sz w:val="22"/>
        </w:rPr>
        <w:t xml:space="preserve">the area to be pricked until it is ready to be bled. </w:t>
      </w:r>
      <w:r>
        <w:rPr>
          <w:b w:val="0"/>
          <w:bCs/>
          <w:color w:val="auto"/>
          <w:sz w:val="22"/>
        </w:rPr>
        <w:t>G</w:t>
      </w:r>
      <w:r w:rsidRPr="00EE74AB">
        <w:rPr>
          <w:b w:val="0"/>
          <w:bCs/>
          <w:color w:val="auto"/>
          <w:sz w:val="22"/>
        </w:rPr>
        <w:t xml:space="preserve">entle pressure </w:t>
      </w:r>
      <w:r>
        <w:rPr>
          <w:b w:val="0"/>
          <w:bCs/>
          <w:color w:val="auto"/>
          <w:sz w:val="22"/>
        </w:rPr>
        <w:t xml:space="preserve">is applied </w:t>
      </w:r>
      <w:r w:rsidRPr="00EE74AB">
        <w:rPr>
          <w:b w:val="0"/>
          <w:bCs/>
          <w:color w:val="auto"/>
          <w:sz w:val="22"/>
        </w:rPr>
        <w:t xml:space="preserve">to stop </w:t>
      </w:r>
      <w:r>
        <w:rPr>
          <w:b w:val="0"/>
          <w:bCs/>
          <w:color w:val="auto"/>
          <w:sz w:val="22"/>
        </w:rPr>
        <w:t xml:space="preserve">the </w:t>
      </w:r>
      <w:r w:rsidRPr="00EE74AB">
        <w:rPr>
          <w:b w:val="0"/>
          <w:bCs/>
          <w:color w:val="auto"/>
          <w:sz w:val="22"/>
        </w:rPr>
        <w:t>bleeding, ensur</w:t>
      </w:r>
      <w:r>
        <w:rPr>
          <w:b w:val="0"/>
          <w:bCs/>
          <w:color w:val="auto"/>
          <w:sz w:val="22"/>
        </w:rPr>
        <w:t>ing</w:t>
      </w:r>
      <w:r w:rsidRPr="00EE74AB">
        <w:rPr>
          <w:b w:val="0"/>
          <w:bCs/>
          <w:color w:val="auto"/>
          <w:sz w:val="22"/>
        </w:rPr>
        <w:t xml:space="preserve"> the wound is clean and bleeding has stopped (</w:t>
      </w:r>
      <w:r>
        <w:rPr>
          <w:b w:val="0"/>
          <w:bCs/>
          <w:color w:val="auto"/>
          <w:sz w:val="22"/>
        </w:rPr>
        <w:t xml:space="preserve">clinical </w:t>
      </w:r>
      <w:r w:rsidRPr="00EE74AB">
        <w:rPr>
          <w:b w:val="0"/>
          <w:bCs/>
          <w:color w:val="auto"/>
          <w:sz w:val="22"/>
        </w:rPr>
        <w:t xml:space="preserve">expert advice). </w:t>
      </w:r>
      <w:r>
        <w:rPr>
          <w:b w:val="0"/>
          <w:bCs/>
          <w:color w:val="auto"/>
          <w:sz w:val="22"/>
        </w:rPr>
        <w:t xml:space="preserve">The </w:t>
      </w:r>
      <w:r w:rsidRPr="00EE74AB">
        <w:rPr>
          <w:b w:val="0"/>
          <w:bCs/>
          <w:color w:val="auto"/>
          <w:sz w:val="22"/>
        </w:rPr>
        <w:t xml:space="preserve">NBS for X-ALD will use the same DBS from the </w:t>
      </w:r>
      <w:r>
        <w:rPr>
          <w:b w:val="0"/>
          <w:bCs/>
          <w:color w:val="auto"/>
          <w:sz w:val="22"/>
        </w:rPr>
        <w:t>NBS</w:t>
      </w:r>
      <w:r w:rsidRPr="00EE74AB">
        <w:rPr>
          <w:b w:val="0"/>
          <w:bCs/>
          <w:color w:val="auto"/>
          <w:sz w:val="22"/>
        </w:rPr>
        <w:t xml:space="preserve"> card. There is no extra step involved in collecting DBS just for X-A</w:t>
      </w:r>
      <w:r>
        <w:rPr>
          <w:b w:val="0"/>
          <w:bCs/>
          <w:color w:val="auto"/>
          <w:sz w:val="22"/>
        </w:rPr>
        <w:t>L</w:t>
      </w:r>
      <w:r w:rsidRPr="00EE74AB">
        <w:rPr>
          <w:b w:val="0"/>
          <w:bCs/>
          <w:color w:val="auto"/>
          <w:sz w:val="22"/>
        </w:rPr>
        <w:t xml:space="preserve">D, so there is no </w:t>
      </w:r>
      <w:r>
        <w:rPr>
          <w:b w:val="0"/>
          <w:bCs/>
          <w:color w:val="auto"/>
          <w:sz w:val="22"/>
        </w:rPr>
        <w:t xml:space="preserve">incremental </w:t>
      </w:r>
      <w:r w:rsidRPr="00EE74AB">
        <w:rPr>
          <w:b w:val="0"/>
          <w:bCs/>
          <w:color w:val="auto"/>
          <w:sz w:val="22"/>
        </w:rPr>
        <w:t>direct harm to patients.</w:t>
      </w:r>
    </w:p>
    <w:p w14:paraId="37EE9BE2" w14:textId="19F0BF26" w:rsidR="00220F14" w:rsidRPr="00EE74AB" w:rsidRDefault="00220F14" w:rsidP="00206581">
      <w:pPr>
        <w:pStyle w:val="Heading3"/>
        <w:jc w:val="left"/>
      </w:pPr>
      <w:bookmarkStart w:id="21" w:name="_Toc133221389"/>
      <w:r>
        <w:t>Cascade testing</w:t>
      </w:r>
      <w:r w:rsidRPr="00EE74AB">
        <w:t xml:space="preserve"> safety</w:t>
      </w:r>
      <w:bookmarkEnd w:id="21"/>
    </w:p>
    <w:p w14:paraId="7286521F" w14:textId="77777777" w:rsidR="00423551" w:rsidRDefault="00423551" w:rsidP="00206581">
      <w:r w:rsidRPr="006D6B3A">
        <w:t xml:space="preserve">There was no direct safety evidence of cascade testing (PICO set 2). Currently, </w:t>
      </w:r>
      <w:r>
        <w:t xml:space="preserve">genetic testing for the </w:t>
      </w:r>
      <w:r w:rsidRPr="001E0CFA">
        <w:rPr>
          <w:i/>
          <w:iCs/>
        </w:rPr>
        <w:t>ABCD1</w:t>
      </w:r>
      <w:r w:rsidRPr="006D6B3A">
        <w:t xml:space="preserve"> </w:t>
      </w:r>
      <w:r>
        <w:t xml:space="preserve">familial variant is offered to family members of patients with signs and symptoms of </w:t>
      </w:r>
      <w:r>
        <w:lastRenderedPageBreak/>
        <w:t>X</w:t>
      </w:r>
      <w:r>
        <w:noBreakHyphen/>
        <w:t>ALD. The cascade genetic testing is through a blood or saliva test, therefore considered safe (clinical expert advice).</w:t>
      </w:r>
    </w:p>
    <w:p w14:paraId="526AC0F6" w14:textId="77777777" w:rsidR="00423551" w:rsidRPr="00612B02" w:rsidRDefault="00423551" w:rsidP="00206581">
      <w:pPr>
        <w:pStyle w:val="Heading3"/>
        <w:jc w:val="left"/>
      </w:pPr>
      <w:bookmarkStart w:id="22" w:name="_Toc133221390"/>
      <w:r w:rsidRPr="00612B02">
        <w:t>HSCT complications</w:t>
      </w:r>
      <w:bookmarkEnd w:id="22"/>
    </w:p>
    <w:p w14:paraId="64797615" w14:textId="271F007C" w:rsidR="00423551" w:rsidRPr="00890016" w:rsidRDefault="00A72828" w:rsidP="00206581">
      <w:r>
        <w:fldChar w:fldCharType="begin"/>
      </w:r>
      <w:r>
        <w:instrText xml:space="preserve"> REF _Ref132832995 \h </w:instrText>
      </w:r>
      <w:r w:rsidR="005622B4">
        <w:instrText xml:space="preserve"> \* MERGEFORMAT </w:instrText>
      </w:r>
      <w:r>
        <w:fldChar w:fldCharType="separate"/>
      </w:r>
      <w:r w:rsidR="00253978">
        <w:t xml:space="preserve">Table </w:t>
      </w:r>
      <w:r w:rsidR="00253978">
        <w:rPr>
          <w:noProof/>
        </w:rPr>
        <w:t>3</w:t>
      </w:r>
      <w:r>
        <w:fldChar w:fldCharType="end"/>
      </w:r>
      <w:r>
        <w:t xml:space="preserve"> </w:t>
      </w:r>
      <w:r w:rsidR="00423551" w:rsidRPr="00A13A0F">
        <w:t>outlines mortality, graft failure and graft versus host disease (GVHD) for patients receiving HSCT in the included studies.</w:t>
      </w:r>
      <w:r w:rsidR="00423551">
        <w:t xml:space="preserve"> </w:t>
      </w:r>
    </w:p>
    <w:p w14:paraId="69A01220" w14:textId="5539219C" w:rsidR="00423551" w:rsidRDefault="00423551" w:rsidP="00B76655">
      <w:pPr>
        <w:pStyle w:val="Caption"/>
      </w:pPr>
      <w:bookmarkStart w:id="23" w:name="_Ref132832995"/>
      <w:r>
        <w:t xml:space="preserve">Table </w:t>
      </w:r>
      <w:r>
        <w:fldChar w:fldCharType="begin"/>
      </w:r>
      <w:r>
        <w:instrText>SEQ Table \* ARABIC</w:instrText>
      </w:r>
      <w:r>
        <w:fldChar w:fldCharType="separate"/>
      </w:r>
      <w:r w:rsidR="00253978">
        <w:rPr>
          <w:noProof/>
        </w:rPr>
        <w:t>3</w:t>
      </w:r>
      <w:r>
        <w:fldChar w:fldCharType="end"/>
      </w:r>
      <w:bookmarkEnd w:id="23"/>
      <w:r>
        <w:t xml:space="preserve"> </w:t>
      </w:r>
      <w:r w:rsidRPr="004713A6">
        <w:t>Results of mortality, engraftment failure and GVHD across the included studies</w:t>
      </w:r>
    </w:p>
    <w:tbl>
      <w:tblPr>
        <w:tblStyle w:val="TableGrid1"/>
        <w:tblW w:w="5000" w:type="pct"/>
        <w:tblCellMar>
          <w:left w:w="28" w:type="dxa"/>
          <w:right w:w="28" w:type="dxa"/>
        </w:tblCellMar>
        <w:tblLook w:val="04A0" w:firstRow="1" w:lastRow="0" w:firstColumn="1" w:lastColumn="0" w:noHBand="0" w:noVBand="1"/>
      </w:tblPr>
      <w:tblGrid>
        <w:gridCol w:w="1780"/>
        <w:gridCol w:w="1021"/>
        <w:gridCol w:w="1545"/>
        <w:gridCol w:w="1554"/>
        <w:gridCol w:w="1558"/>
        <w:gridCol w:w="1558"/>
      </w:tblGrid>
      <w:tr w:rsidR="00423551" w:rsidRPr="00CE28E3" w14:paraId="0613AB0A" w14:textId="77777777" w:rsidTr="00C25359">
        <w:trPr>
          <w:cnfStyle w:val="100000000000" w:firstRow="1" w:lastRow="0" w:firstColumn="0" w:lastColumn="0" w:oddVBand="0" w:evenVBand="0" w:oddHBand="0" w:evenHBand="0" w:firstRowFirstColumn="0" w:firstRowLastColumn="0" w:lastRowFirstColumn="0" w:lastRowLastColumn="0"/>
          <w:tblHeader/>
        </w:trPr>
        <w:tc>
          <w:tcPr>
            <w:tcW w:w="987" w:type="pct"/>
            <w:shd w:val="clear" w:color="auto" w:fill="auto"/>
            <w:vAlign w:val="center"/>
          </w:tcPr>
          <w:p w14:paraId="1AE2FFAF" w14:textId="77777777" w:rsidR="00423551" w:rsidRPr="008D5309" w:rsidRDefault="00423551" w:rsidP="00C25359">
            <w:pPr>
              <w:pStyle w:val="In-tableHeading"/>
              <w:keepNext w:val="0"/>
              <w:widowControl w:val="0"/>
              <w:jc w:val="center"/>
            </w:pPr>
            <w:r w:rsidRPr="008D5309">
              <w:t>Trial/Study</w:t>
            </w:r>
          </w:p>
        </w:tc>
        <w:tc>
          <w:tcPr>
            <w:tcW w:w="566" w:type="pct"/>
            <w:vAlign w:val="center"/>
          </w:tcPr>
          <w:p w14:paraId="1177AEEC" w14:textId="77777777" w:rsidR="00423551" w:rsidRDefault="00423551" w:rsidP="00C25359">
            <w:pPr>
              <w:pStyle w:val="In-tableHeading"/>
              <w:keepNext w:val="0"/>
              <w:widowControl w:val="0"/>
              <w:jc w:val="center"/>
            </w:pPr>
            <w:r>
              <w:t>Matsukawa 2020</w:t>
            </w:r>
          </w:p>
        </w:tc>
        <w:tc>
          <w:tcPr>
            <w:tcW w:w="3447" w:type="pct"/>
            <w:gridSpan w:val="4"/>
          </w:tcPr>
          <w:p w14:paraId="377E5F1D" w14:textId="77777777" w:rsidR="00423551" w:rsidRDefault="00423551" w:rsidP="00C25359">
            <w:pPr>
              <w:pStyle w:val="In-tableHeading"/>
              <w:keepNext w:val="0"/>
              <w:widowControl w:val="0"/>
              <w:jc w:val="center"/>
            </w:pPr>
            <w:r>
              <w:t>Raymond 2019</w:t>
            </w:r>
          </w:p>
        </w:tc>
      </w:tr>
      <w:tr w:rsidR="00423551" w:rsidRPr="00CE28E3" w14:paraId="081376E5" w14:textId="77777777" w:rsidTr="00C25359">
        <w:trPr>
          <w:cnfStyle w:val="100000000000" w:firstRow="1" w:lastRow="0" w:firstColumn="0" w:lastColumn="0" w:oddVBand="0" w:evenVBand="0" w:oddHBand="0" w:evenHBand="0" w:firstRowFirstColumn="0" w:firstRowLastColumn="0" w:lastRowFirstColumn="0" w:lastRowLastColumn="0"/>
          <w:tblHeader/>
        </w:trPr>
        <w:tc>
          <w:tcPr>
            <w:tcW w:w="987" w:type="pct"/>
            <w:shd w:val="clear" w:color="auto" w:fill="auto"/>
            <w:vAlign w:val="center"/>
          </w:tcPr>
          <w:p w14:paraId="3B954765" w14:textId="77777777" w:rsidR="00423551" w:rsidRPr="008D5309" w:rsidRDefault="00423551" w:rsidP="00C25359">
            <w:pPr>
              <w:pStyle w:val="Tabletext0"/>
              <w:widowControl w:val="0"/>
              <w:spacing w:before="0" w:after="0"/>
              <w:jc w:val="left"/>
            </w:pPr>
            <w:r>
              <w:t>Stem cell donor source</w:t>
            </w:r>
          </w:p>
        </w:tc>
        <w:tc>
          <w:tcPr>
            <w:tcW w:w="566" w:type="pct"/>
            <w:vAlign w:val="center"/>
          </w:tcPr>
          <w:p w14:paraId="68E0C056" w14:textId="77777777" w:rsidR="00423551" w:rsidRPr="000E3CB2" w:rsidRDefault="00423551" w:rsidP="00C25359">
            <w:pPr>
              <w:pStyle w:val="Tabletext0"/>
              <w:widowControl w:val="0"/>
              <w:spacing w:before="0" w:after="0"/>
              <w:jc w:val="center"/>
            </w:pPr>
            <w:r>
              <w:t xml:space="preserve"> Bone marrow:</w:t>
            </w:r>
          </w:p>
        </w:tc>
        <w:tc>
          <w:tcPr>
            <w:tcW w:w="857" w:type="pct"/>
          </w:tcPr>
          <w:p w14:paraId="113F8A7F" w14:textId="77777777" w:rsidR="00423551" w:rsidRPr="000E3CB2" w:rsidRDefault="00423551" w:rsidP="00C25359">
            <w:pPr>
              <w:pStyle w:val="Tabletext0"/>
              <w:widowControl w:val="0"/>
              <w:spacing w:before="0" w:after="0"/>
              <w:jc w:val="center"/>
            </w:pPr>
            <w:r>
              <w:t>Related donor, BM/PBSCs</w:t>
            </w:r>
          </w:p>
        </w:tc>
        <w:tc>
          <w:tcPr>
            <w:tcW w:w="862" w:type="pct"/>
          </w:tcPr>
          <w:p w14:paraId="4DB0E927" w14:textId="77777777" w:rsidR="00423551" w:rsidRPr="000E3CB2" w:rsidRDefault="00423551" w:rsidP="00C25359">
            <w:pPr>
              <w:pStyle w:val="Tabletext0"/>
              <w:widowControl w:val="0"/>
              <w:spacing w:before="0" w:after="0"/>
              <w:jc w:val="center"/>
            </w:pPr>
            <w:r>
              <w:t>Unrelated donor, BM/PBSCs</w:t>
            </w:r>
          </w:p>
        </w:tc>
        <w:tc>
          <w:tcPr>
            <w:tcW w:w="864" w:type="pct"/>
          </w:tcPr>
          <w:p w14:paraId="16ED4DCB" w14:textId="77777777" w:rsidR="00423551" w:rsidRPr="000E3CB2" w:rsidRDefault="00423551" w:rsidP="00C25359">
            <w:pPr>
              <w:pStyle w:val="Tabletext0"/>
              <w:widowControl w:val="0"/>
              <w:spacing w:before="0" w:after="0"/>
              <w:jc w:val="center"/>
            </w:pPr>
            <w:r>
              <w:t>Unrelated Cord Blood</w:t>
            </w:r>
          </w:p>
        </w:tc>
        <w:tc>
          <w:tcPr>
            <w:tcW w:w="864" w:type="pct"/>
            <w:shd w:val="clear" w:color="auto" w:fill="auto"/>
            <w:vAlign w:val="center"/>
          </w:tcPr>
          <w:p w14:paraId="28CE294F" w14:textId="77777777" w:rsidR="00423551" w:rsidRPr="000E3CB2" w:rsidRDefault="00423551" w:rsidP="00C25359">
            <w:pPr>
              <w:pStyle w:val="Tabletext0"/>
              <w:widowControl w:val="0"/>
              <w:spacing w:before="0" w:after="0"/>
              <w:jc w:val="center"/>
            </w:pPr>
            <w:r>
              <w:t>All sources</w:t>
            </w:r>
          </w:p>
        </w:tc>
      </w:tr>
      <w:tr w:rsidR="00423551" w:rsidRPr="00CE28E3" w14:paraId="01A5C22E" w14:textId="77777777" w:rsidTr="00C25359">
        <w:trPr>
          <w:cnfStyle w:val="100000000000" w:firstRow="1" w:lastRow="0" w:firstColumn="0" w:lastColumn="0" w:oddVBand="0" w:evenVBand="0" w:oddHBand="0" w:evenHBand="0" w:firstRowFirstColumn="0" w:firstRowLastColumn="0" w:lastRowFirstColumn="0" w:lastRowLastColumn="0"/>
          <w:tblHeader/>
        </w:trPr>
        <w:tc>
          <w:tcPr>
            <w:tcW w:w="987" w:type="pct"/>
            <w:shd w:val="clear" w:color="auto" w:fill="auto"/>
            <w:vAlign w:val="center"/>
          </w:tcPr>
          <w:p w14:paraId="6DC4F5B2" w14:textId="77777777" w:rsidR="00423551" w:rsidRDefault="00423551" w:rsidP="00C25359">
            <w:pPr>
              <w:pStyle w:val="Tabletext0"/>
              <w:widowControl w:val="0"/>
              <w:spacing w:before="0" w:after="0"/>
            </w:pPr>
            <w:r>
              <w:t>HSCT cohort (N)</w:t>
            </w:r>
          </w:p>
        </w:tc>
        <w:tc>
          <w:tcPr>
            <w:tcW w:w="566" w:type="pct"/>
            <w:vAlign w:val="center"/>
          </w:tcPr>
          <w:p w14:paraId="3812AAF2" w14:textId="77777777" w:rsidR="00423551" w:rsidRDefault="00423551" w:rsidP="00C25359">
            <w:pPr>
              <w:pStyle w:val="Tabletext0"/>
              <w:widowControl w:val="0"/>
              <w:spacing w:before="0" w:after="0"/>
              <w:jc w:val="center"/>
            </w:pPr>
            <w:r>
              <w:t>12</w:t>
            </w:r>
          </w:p>
        </w:tc>
        <w:tc>
          <w:tcPr>
            <w:tcW w:w="857" w:type="pct"/>
          </w:tcPr>
          <w:p w14:paraId="3F34D45D" w14:textId="77777777" w:rsidR="00423551" w:rsidRPr="000E3CB2" w:rsidRDefault="00423551" w:rsidP="00C25359">
            <w:pPr>
              <w:pStyle w:val="Tabletext0"/>
              <w:widowControl w:val="0"/>
              <w:spacing w:before="0" w:after="0"/>
              <w:jc w:val="center"/>
            </w:pPr>
            <w:r>
              <w:t>19</w:t>
            </w:r>
          </w:p>
        </w:tc>
        <w:tc>
          <w:tcPr>
            <w:tcW w:w="862" w:type="pct"/>
          </w:tcPr>
          <w:p w14:paraId="68C3D471" w14:textId="77777777" w:rsidR="00423551" w:rsidRPr="000E3CB2" w:rsidRDefault="00423551" w:rsidP="00C25359">
            <w:pPr>
              <w:pStyle w:val="Tabletext0"/>
              <w:widowControl w:val="0"/>
              <w:spacing w:before="0" w:after="0"/>
              <w:jc w:val="center"/>
            </w:pPr>
            <w:r>
              <w:t>14</w:t>
            </w:r>
          </w:p>
        </w:tc>
        <w:tc>
          <w:tcPr>
            <w:tcW w:w="864" w:type="pct"/>
          </w:tcPr>
          <w:p w14:paraId="3BB9D907" w14:textId="77777777" w:rsidR="00423551" w:rsidRPr="000E3CB2" w:rsidRDefault="00423551" w:rsidP="00C25359">
            <w:pPr>
              <w:pStyle w:val="Tabletext0"/>
              <w:widowControl w:val="0"/>
              <w:spacing w:before="0" w:after="0"/>
              <w:jc w:val="center"/>
            </w:pPr>
            <w:r>
              <w:t>31</w:t>
            </w:r>
          </w:p>
        </w:tc>
        <w:tc>
          <w:tcPr>
            <w:tcW w:w="864" w:type="pct"/>
            <w:shd w:val="clear" w:color="auto" w:fill="auto"/>
            <w:vAlign w:val="center"/>
          </w:tcPr>
          <w:p w14:paraId="63C7C38C" w14:textId="77777777" w:rsidR="00423551" w:rsidRPr="000E3CB2" w:rsidRDefault="00423551" w:rsidP="00C25359">
            <w:pPr>
              <w:pStyle w:val="Tabletext0"/>
              <w:widowControl w:val="0"/>
              <w:spacing w:before="0" w:after="0"/>
              <w:jc w:val="center"/>
            </w:pPr>
            <w:r w:rsidRPr="000E3CB2">
              <w:t>65</w:t>
            </w:r>
          </w:p>
        </w:tc>
      </w:tr>
      <w:tr w:rsidR="00423551" w:rsidRPr="00CE28E3" w14:paraId="0D85BC6D" w14:textId="77777777" w:rsidTr="00C25359">
        <w:trPr>
          <w:cnfStyle w:val="100000000000" w:firstRow="1" w:lastRow="0" w:firstColumn="0" w:lastColumn="0" w:oddVBand="0" w:evenVBand="0" w:oddHBand="0" w:evenHBand="0" w:firstRowFirstColumn="0" w:firstRowLastColumn="0" w:lastRowFirstColumn="0" w:lastRowLastColumn="0"/>
          <w:tblHeader/>
        </w:trPr>
        <w:tc>
          <w:tcPr>
            <w:tcW w:w="987" w:type="pct"/>
            <w:shd w:val="clear" w:color="auto" w:fill="auto"/>
            <w:vAlign w:val="center"/>
          </w:tcPr>
          <w:p w14:paraId="4F171CE7" w14:textId="77777777" w:rsidR="00423551" w:rsidRPr="008D5309" w:rsidRDefault="00423551" w:rsidP="00C25359">
            <w:pPr>
              <w:pStyle w:val="Tabletext0"/>
              <w:widowControl w:val="0"/>
              <w:spacing w:before="0" w:after="0"/>
              <w:jc w:val="left"/>
            </w:pPr>
            <w:r>
              <w:t>Mortality at 1 year, n (%)</w:t>
            </w:r>
          </w:p>
        </w:tc>
        <w:tc>
          <w:tcPr>
            <w:tcW w:w="566" w:type="pct"/>
            <w:vAlign w:val="center"/>
          </w:tcPr>
          <w:p w14:paraId="44BC9A9E" w14:textId="77777777" w:rsidR="00423551" w:rsidRPr="000E3CB2" w:rsidRDefault="00423551" w:rsidP="00C25359">
            <w:pPr>
              <w:pStyle w:val="Tabletext0"/>
              <w:widowControl w:val="0"/>
              <w:spacing w:before="0" w:after="0"/>
              <w:jc w:val="center"/>
              <w:rPr>
                <w:b/>
                <w:bCs/>
              </w:rPr>
            </w:pPr>
            <w:r w:rsidRPr="000E3CB2">
              <w:rPr>
                <w:bCs/>
              </w:rPr>
              <w:t>0 (0.0)</w:t>
            </w:r>
          </w:p>
        </w:tc>
        <w:tc>
          <w:tcPr>
            <w:tcW w:w="857" w:type="pct"/>
          </w:tcPr>
          <w:p w14:paraId="12847665" w14:textId="77777777" w:rsidR="00423551" w:rsidRPr="000E3CB2" w:rsidRDefault="00423551" w:rsidP="00C25359">
            <w:pPr>
              <w:pStyle w:val="Tabletext0"/>
              <w:widowControl w:val="0"/>
              <w:spacing w:before="0" w:after="0"/>
              <w:jc w:val="center"/>
              <w:rPr>
                <w:bCs/>
              </w:rPr>
            </w:pPr>
            <w:r>
              <w:rPr>
                <w:bCs/>
              </w:rPr>
              <w:t>2 (10.5)</w:t>
            </w:r>
          </w:p>
        </w:tc>
        <w:tc>
          <w:tcPr>
            <w:tcW w:w="862" w:type="pct"/>
          </w:tcPr>
          <w:p w14:paraId="7EBEAFBE" w14:textId="77777777" w:rsidR="00423551" w:rsidRPr="000E3CB2" w:rsidRDefault="00423551" w:rsidP="00C25359">
            <w:pPr>
              <w:pStyle w:val="Tabletext0"/>
              <w:widowControl w:val="0"/>
              <w:spacing w:before="0" w:after="0"/>
              <w:jc w:val="center"/>
              <w:rPr>
                <w:bCs/>
              </w:rPr>
            </w:pPr>
            <w:r>
              <w:rPr>
                <w:bCs/>
              </w:rPr>
              <w:t>4 (28.6)</w:t>
            </w:r>
          </w:p>
        </w:tc>
        <w:tc>
          <w:tcPr>
            <w:tcW w:w="864" w:type="pct"/>
          </w:tcPr>
          <w:p w14:paraId="74690EEC" w14:textId="77777777" w:rsidR="00423551" w:rsidRPr="000E3CB2" w:rsidRDefault="00423551" w:rsidP="00C25359">
            <w:pPr>
              <w:pStyle w:val="Tabletext0"/>
              <w:widowControl w:val="0"/>
              <w:spacing w:before="0" w:after="0"/>
              <w:jc w:val="center"/>
              <w:rPr>
                <w:bCs/>
              </w:rPr>
            </w:pPr>
            <w:r>
              <w:rPr>
                <w:bCs/>
              </w:rPr>
              <w:t>6 (19.4)</w:t>
            </w:r>
          </w:p>
        </w:tc>
        <w:tc>
          <w:tcPr>
            <w:tcW w:w="864" w:type="pct"/>
            <w:shd w:val="clear" w:color="auto" w:fill="auto"/>
            <w:vAlign w:val="center"/>
          </w:tcPr>
          <w:p w14:paraId="7D6E5A28" w14:textId="77777777" w:rsidR="00423551" w:rsidRPr="000E3CB2" w:rsidRDefault="00423551" w:rsidP="00C25359">
            <w:pPr>
              <w:pStyle w:val="Tabletext0"/>
              <w:widowControl w:val="0"/>
              <w:spacing w:before="0" w:after="0"/>
              <w:jc w:val="center"/>
              <w:rPr>
                <w:b/>
                <w:bCs/>
              </w:rPr>
            </w:pPr>
            <w:r w:rsidRPr="000E3CB2">
              <w:rPr>
                <w:bCs/>
              </w:rPr>
              <w:t>12 (18.5)</w:t>
            </w:r>
          </w:p>
        </w:tc>
      </w:tr>
      <w:tr w:rsidR="00423551" w:rsidRPr="00CE28E3" w14:paraId="6A13D0FC" w14:textId="77777777" w:rsidTr="00C25359">
        <w:trPr>
          <w:cnfStyle w:val="100000000000" w:firstRow="1" w:lastRow="0" w:firstColumn="0" w:lastColumn="0" w:oddVBand="0" w:evenVBand="0" w:oddHBand="0" w:evenHBand="0" w:firstRowFirstColumn="0" w:firstRowLastColumn="0" w:lastRowFirstColumn="0" w:lastRowLastColumn="0"/>
          <w:trHeight w:val="77"/>
          <w:tblHeader/>
        </w:trPr>
        <w:tc>
          <w:tcPr>
            <w:tcW w:w="987" w:type="pct"/>
            <w:shd w:val="clear" w:color="auto" w:fill="auto"/>
            <w:vAlign w:val="center"/>
          </w:tcPr>
          <w:p w14:paraId="5E9A59DE" w14:textId="77777777" w:rsidR="00423551" w:rsidRPr="008D5309" w:rsidRDefault="00423551" w:rsidP="00C25359">
            <w:pPr>
              <w:pStyle w:val="Tabletext0"/>
              <w:widowControl w:val="0"/>
              <w:spacing w:before="0" w:after="0"/>
            </w:pPr>
            <w:r>
              <w:t>Graft failure, n (%)</w:t>
            </w:r>
          </w:p>
        </w:tc>
        <w:tc>
          <w:tcPr>
            <w:tcW w:w="566" w:type="pct"/>
            <w:vAlign w:val="center"/>
          </w:tcPr>
          <w:p w14:paraId="6276834C" w14:textId="77777777" w:rsidR="00423551" w:rsidRPr="008D5309" w:rsidRDefault="00423551" w:rsidP="00C25359">
            <w:pPr>
              <w:pStyle w:val="Tabletext0"/>
              <w:widowControl w:val="0"/>
              <w:spacing w:before="0" w:after="0"/>
              <w:jc w:val="center"/>
              <w:rPr>
                <w:b/>
                <w:bCs/>
              </w:rPr>
            </w:pPr>
            <w:r>
              <w:rPr>
                <w:bCs/>
              </w:rPr>
              <w:t>NR</w:t>
            </w:r>
          </w:p>
        </w:tc>
        <w:tc>
          <w:tcPr>
            <w:tcW w:w="857" w:type="pct"/>
          </w:tcPr>
          <w:p w14:paraId="7797D8CB" w14:textId="77777777" w:rsidR="00423551" w:rsidRPr="000E3CB2" w:rsidRDefault="00423551" w:rsidP="00C25359">
            <w:pPr>
              <w:pStyle w:val="Tabletext0"/>
              <w:widowControl w:val="0"/>
              <w:spacing w:before="0" w:after="0"/>
              <w:jc w:val="center"/>
              <w:rPr>
                <w:bCs/>
              </w:rPr>
            </w:pPr>
            <w:r>
              <w:rPr>
                <w:bCs/>
              </w:rPr>
              <w:t>2 (10.5)</w:t>
            </w:r>
          </w:p>
        </w:tc>
        <w:tc>
          <w:tcPr>
            <w:tcW w:w="862" w:type="pct"/>
          </w:tcPr>
          <w:p w14:paraId="1764C9F3" w14:textId="77777777" w:rsidR="00423551" w:rsidRPr="000E3CB2" w:rsidRDefault="00423551" w:rsidP="00C25359">
            <w:pPr>
              <w:pStyle w:val="Tabletext0"/>
              <w:widowControl w:val="0"/>
              <w:spacing w:before="0" w:after="0"/>
              <w:jc w:val="center"/>
              <w:rPr>
                <w:bCs/>
              </w:rPr>
            </w:pPr>
            <w:r>
              <w:rPr>
                <w:bCs/>
              </w:rPr>
              <w:t>4 (28.6)</w:t>
            </w:r>
          </w:p>
        </w:tc>
        <w:tc>
          <w:tcPr>
            <w:tcW w:w="864" w:type="pct"/>
          </w:tcPr>
          <w:p w14:paraId="10A43FD4" w14:textId="77777777" w:rsidR="00423551" w:rsidRPr="000E3CB2" w:rsidRDefault="00423551" w:rsidP="00C25359">
            <w:pPr>
              <w:pStyle w:val="Tabletext0"/>
              <w:widowControl w:val="0"/>
              <w:spacing w:before="0" w:after="0"/>
              <w:jc w:val="center"/>
              <w:rPr>
                <w:bCs/>
              </w:rPr>
            </w:pPr>
            <w:r>
              <w:rPr>
                <w:bCs/>
              </w:rPr>
              <w:t>6 (19.4)</w:t>
            </w:r>
          </w:p>
        </w:tc>
        <w:tc>
          <w:tcPr>
            <w:tcW w:w="864" w:type="pct"/>
            <w:shd w:val="clear" w:color="auto" w:fill="auto"/>
            <w:vAlign w:val="center"/>
          </w:tcPr>
          <w:p w14:paraId="0831659C" w14:textId="77777777" w:rsidR="00423551" w:rsidRPr="000E3CB2" w:rsidRDefault="00423551" w:rsidP="00C25359">
            <w:pPr>
              <w:pStyle w:val="Tabletext0"/>
              <w:widowControl w:val="0"/>
              <w:spacing w:before="0" w:after="0"/>
              <w:jc w:val="center"/>
              <w:rPr>
                <w:b/>
                <w:bCs/>
              </w:rPr>
            </w:pPr>
            <w:r w:rsidRPr="000E3CB2">
              <w:rPr>
                <w:bCs/>
              </w:rPr>
              <w:t>12 (18.5)</w:t>
            </w:r>
          </w:p>
        </w:tc>
      </w:tr>
      <w:tr w:rsidR="00423551" w:rsidRPr="00CE28E3" w14:paraId="2412CD73" w14:textId="77777777" w:rsidTr="00C25359">
        <w:trPr>
          <w:cnfStyle w:val="100000000000" w:firstRow="1" w:lastRow="0" w:firstColumn="0" w:lastColumn="0" w:oddVBand="0" w:evenVBand="0" w:oddHBand="0" w:evenHBand="0" w:firstRowFirstColumn="0" w:firstRowLastColumn="0" w:lastRowFirstColumn="0" w:lastRowLastColumn="0"/>
          <w:tblHeader/>
        </w:trPr>
        <w:tc>
          <w:tcPr>
            <w:tcW w:w="987" w:type="pct"/>
            <w:shd w:val="clear" w:color="auto" w:fill="auto"/>
            <w:vAlign w:val="center"/>
          </w:tcPr>
          <w:p w14:paraId="1545400C" w14:textId="77777777" w:rsidR="00423551" w:rsidRPr="008D5309" w:rsidRDefault="00423551" w:rsidP="00C25359">
            <w:pPr>
              <w:pStyle w:val="Tabletext0"/>
              <w:widowControl w:val="0"/>
              <w:spacing w:before="0" w:after="0"/>
              <w:jc w:val="left"/>
            </w:pPr>
            <w:r>
              <w:t>GVHD eligible population (n)</w:t>
            </w:r>
          </w:p>
        </w:tc>
        <w:tc>
          <w:tcPr>
            <w:tcW w:w="566" w:type="pct"/>
            <w:vAlign w:val="center"/>
          </w:tcPr>
          <w:p w14:paraId="1CB6C070" w14:textId="77777777" w:rsidR="00423551" w:rsidRPr="000E3CB2" w:rsidRDefault="00423551" w:rsidP="00C25359">
            <w:pPr>
              <w:pStyle w:val="Tabletext0"/>
              <w:widowControl w:val="0"/>
              <w:spacing w:before="0" w:after="0"/>
              <w:jc w:val="center"/>
            </w:pPr>
            <w:r w:rsidRPr="000E3CB2">
              <w:t>12</w:t>
            </w:r>
          </w:p>
        </w:tc>
        <w:tc>
          <w:tcPr>
            <w:tcW w:w="857" w:type="pct"/>
          </w:tcPr>
          <w:p w14:paraId="2A014562" w14:textId="77777777" w:rsidR="00423551" w:rsidRPr="000E3CB2" w:rsidRDefault="00423551" w:rsidP="00C25359">
            <w:pPr>
              <w:pStyle w:val="Tabletext0"/>
              <w:widowControl w:val="0"/>
              <w:spacing w:before="0" w:after="0"/>
              <w:jc w:val="center"/>
            </w:pPr>
            <w:r>
              <w:t>18</w:t>
            </w:r>
          </w:p>
        </w:tc>
        <w:tc>
          <w:tcPr>
            <w:tcW w:w="862" w:type="pct"/>
          </w:tcPr>
          <w:p w14:paraId="0DCF7907" w14:textId="77777777" w:rsidR="00423551" w:rsidRPr="000E3CB2" w:rsidRDefault="00423551" w:rsidP="00C25359">
            <w:pPr>
              <w:pStyle w:val="Tabletext0"/>
              <w:widowControl w:val="0"/>
              <w:spacing w:before="0" w:after="0"/>
              <w:jc w:val="center"/>
            </w:pPr>
            <w:r>
              <w:t>12</w:t>
            </w:r>
          </w:p>
        </w:tc>
        <w:tc>
          <w:tcPr>
            <w:tcW w:w="864" w:type="pct"/>
          </w:tcPr>
          <w:p w14:paraId="6B62AC66" w14:textId="77777777" w:rsidR="00423551" w:rsidRPr="000E3CB2" w:rsidRDefault="00423551" w:rsidP="00C25359">
            <w:pPr>
              <w:pStyle w:val="Tabletext0"/>
              <w:widowControl w:val="0"/>
              <w:spacing w:before="0" w:after="0"/>
              <w:jc w:val="center"/>
            </w:pPr>
            <w:r>
              <w:t>27</w:t>
            </w:r>
          </w:p>
        </w:tc>
        <w:tc>
          <w:tcPr>
            <w:tcW w:w="864" w:type="pct"/>
            <w:shd w:val="clear" w:color="auto" w:fill="auto"/>
            <w:vAlign w:val="center"/>
          </w:tcPr>
          <w:p w14:paraId="437CC15C" w14:textId="77777777" w:rsidR="00423551" w:rsidRPr="000E3CB2" w:rsidRDefault="00423551" w:rsidP="00C25359">
            <w:pPr>
              <w:pStyle w:val="Tabletext0"/>
              <w:widowControl w:val="0"/>
              <w:spacing w:before="0" w:after="0"/>
              <w:jc w:val="center"/>
            </w:pPr>
            <w:r w:rsidRPr="000E3CB2">
              <w:t>58</w:t>
            </w:r>
          </w:p>
        </w:tc>
      </w:tr>
      <w:tr w:rsidR="00423551" w:rsidRPr="00CE28E3" w14:paraId="11E4C53D" w14:textId="77777777" w:rsidTr="00C25359">
        <w:trPr>
          <w:cnfStyle w:val="100000000000" w:firstRow="1" w:lastRow="0" w:firstColumn="0" w:lastColumn="0" w:oddVBand="0" w:evenVBand="0" w:oddHBand="0" w:evenHBand="0" w:firstRowFirstColumn="0" w:firstRowLastColumn="0" w:lastRowFirstColumn="0" w:lastRowLastColumn="0"/>
          <w:trHeight w:val="271"/>
          <w:tblHeader/>
        </w:trPr>
        <w:tc>
          <w:tcPr>
            <w:tcW w:w="5000" w:type="pct"/>
            <w:gridSpan w:val="6"/>
          </w:tcPr>
          <w:p w14:paraId="00608541" w14:textId="77777777" w:rsidR="00423551" w:rsidRPr="008D5309" w:rsidRDefault="00423551" w:rsidP="00C25359">
            <w:pPr>
              <w:pStyle w:val="In-tableHeading"/>
              <w:keepNext w:val="0"/>
              <w:widowControl w:val="0"/>
              <w:rPr>
                <w:bCs/>
              </w:rPr>
            </w:pPr>
            <w:r>
              <w:t>Acute GVHD</w:t>
            </w:r>
          </w:p>
        </w:tc>
      </w:tr>
      <w:tr w:rsidR="00423551" w:rsidRPr="00CE28E3" w14:paraId="11D1EE83" w14:textId="77777777" w:rsidTr="00C25359">
        <w:trPr>
          <w:cnfStyle w:val="100000000000" w:firstRow="1" w:lastRow="0" w:firstColumn="0" w:lastColumn="0" w:oddVBand="0" w:evenVBand="0" w:oddHBand="0" w:evenHBand="0" w:firstRowFirstColumn="0" w:firstRowLastColumn="0" w:lastRowFirstColumn="0" w:lastRowLastColumn="0"/>
          <w:tblHeader/>
        </w:trPr>
        <w:tc>
          <w:tcPr>
            <w:tcW w:w="987" w:type="pct"/>
            <w:shd w:val="clear" w:color="auto" w:fill="auto"/>
            <w:vAlign w:val="center"/>
          </w:tcPr>
          <w:p w14:paraId="106F789A" w14:textId="77777777" w:rsidR="00423551" w:rsidRDefault="00423551" w:rsidP="00C25359">
            <w:pPr>
              <w:pStyle w:val="Tabletext0"/>
              <w:widowControl w:val="0"/>
              <w:spacing w:before="0" w:after="0"/>
            </w:pPr>
            <w:r>
              <w:t>Grade II-IV, n (%)</w:t>
            </w:r>
          </w:p>
        </w:tc>
        <w:tc>
          <w:tcPr>
            <w:tcW w:w="566" w:type="pct"/>
            <w:vAlign w:val="center"/>
          </w:tcPr>
          <w:p w14:paraId="1F7259B6" w14:textId="77777777" w:rsidR="00423551" w:rsidRPr="008D5309" w:rsidRDefault="00423551" w:rsidP="00C25359">
            <w:pPr>
              <w:pStyle w:val="Tabletext0"/>
              <w:widowControl w:val="0"/>
              <w:spacing w:before="0" w:after="0"/>
              <w:jc w:val="center"/>
              <w:rPr>
                <w:b/>
                <w:bCs/>
              </w:rPr>
            </w:pPr>
            <w:r>
              <w:rPr>
                <w:bCs/>
              </w:rPr>
              <w:t>1 (8.3)</w:t>
            </w:r>
          </w:p>
        </w:tc>
        <w:tc>
          <w:tcPr>
            <w:tcW w:w="857" w:type="pct"/>
          </w:tcPr>
          <w:p w14:paraId="00E855C6" w14:textId="77777777" w:rsidR="00423551" w:rsidRDefault="00423551" w:rsidP="00C25359">
            <w:pPr>
              <w:pStyle w:val="Tabletext0"/>
              <w:widowControl w:val="0"/>
              <w:spacing w:before="0" w:after="0"/>
              <w:jc w:val="center"/>
              <w:rPr>
                <w:bCs/>
              </w:rPr>
            </w:pPr>
            <w:r>
              <w:rPr>
                <w:bCs/>
              </w:rPr>
              <w:t>3 (16.7)</w:t>
            </w:r>
          </w:p>
        </w:tc>
        <w:tc>
          <w:tcPr>
            <w:tcW w:w="862" w:type="pct"/>
          </w:tcPr>
          <w:p w14:paraId="6C2F2A86" w14:textId="77777777" w:rsidR="00423551" w:rsidRDefault="00423551" w:rsidP="00C25359">
            <w:pPr>
              <w:pStyle w:val="Tabletext0"/>
              <w:widowControl w:val="0"/>
              <w:spacing w:before="0" w:after="0"/>
              <w:jc w:val="center"/>
              <w:rPr>
                <w:bCs/>
              </w:rPr>
            </w:pPr>
            <w:r>
              <w:rPr>
                <w:bCs/>
              </w:rPr>
              <w:t>4 (33.3)</w:t>
            </w:r>
          </w:p>
        </w:tc>
        <w:tc>
          <w:tcPr>
            <w:tcW w:w="864" w:type="pct"/>
          </w:tcPr>
          <w:p w14:paraId="687F4D37" w14:textId="77777777" w:rsidR="00423551" w:rsidRDefault="00423551" w:rsidP="00C25359">
            <w:pPr>
              <w:pStyle w:val="Tabletext0"/>
              <w:widowControl w:val="0"/>
              <w:spacing w:before="0" w:after="0"/>
              <w:jc w:val="center"/>
              <w:rPr>
                <w:bCs/>
              </w:rPr>
            </w:pPr>
            <w:r>
              <w:rPr>
                <w:bCs/>
              </w:rPr>
              <w:t>11 (40.7)</w:t>
            </w:r>
          </w:p>
        </w:tc>
        <w:tc>
          <w:tcPr>
            <w:tcW w:w="864" w:type="pct"/>
            <w:shd w:val="clear" w:color="auto" w:fill="auto"/>
            <w:vAlign w:val="center"/>
          </w:tcPr>
          <w:p w14:paraId="76C229FE" w14:textId="77777777" w:rsidR="00423551" w:rsidRPr="008D5309" w:rsidRDefault="00423551" w:rsidP="00C25359">
            <w:pPr>
              <w:pStyle w:val="Tabletext0"/>
              <w:widowControl w:val="0"/>
              <w:spacing w:before="0" w:after="0"/>
              <w:jc w:val="center"/>
              <w:rPr>
                <w:b/>
                <w:bCs/>
              </w:rPr>
            </w:pPr>
            <w:r>
              <w:rPr>
                <w:bCs/>
              </w:rPr>
              <w:t>18 (31.0)</w:t>
            </w:r>
          </w:p>
        </w:tc>
      </w:tr>
      <w:tr w:rsidR="00423551" w:rsidRPr="00CE28E3" w14:paraId="1361A4E1" w14:textId="77777777" w:rsidTr="00C25359">
        <w:trPr>
          <w:cnfStyle w:val="100000000000" w:firstRow="1" w:lastRow="0" w:firstColumn="0" w:lastColumn="0" w:oddVBand="0" w:evenVBand="0" w:oddHBand="0" w:evenHBand="0" w:firstRowFirstColumn="0" w:firstRowLastColumn="0" w:lastRowFirstColumn="0" w:lastRowLastColumn="0"/>
          <w:tblHeader/>
        </w:trPr>
        <w:tc>
          <w:tcPr>
            <w:tcW w:w="987" w:type="pct"/>
            <w:shd w:val="clear" w:color="auto" w:fill="auto"/>
            <w:vAlign w:val="center"/>
          </w:tcPr>
          <w:p w14:paraId="3DB7C72B" w14:textId="77777777" w:rsidR="00423551" w:rsidRDefault="00423551" w:rsidP="00C25359">
            <w:pPr>
              <w:pStyle w:val="Tabletext0"/>
              <w:widowControl w:val="0"/>
              <w:spacing w:before="0" w:after="0"/>
            </w:pPr>
            <w:r>
              <w:t>Grade III-IV, n (%)</w:t>
            </w:r>
          </w:p>
        </w:tc>
        <w:tc>
          <w:tcPr>
            <w:tcW w:w="566" w:type="pct"/>
            <w:vAlign w:val="center"/>
          </w:tcPr>
          <w:p w14:paraId="4E60A392" w14:textId="77777777" w:rsidR="00423551" w:rsidRPr="008D5309" w:rsidRDefault="00423551" w:rsidP="00C25359">
            <w:pPr>
              <w:pStyle w:val="Tabletext0"/>
              <w:widowControl w:val="0"/>
              <w:spacing w:before="0" w:after="0"/>
              <w:jc w:val="center"/>
              <w:rPr>
                <w:b/>
                <w:bCs/>
              </w:rPr>
            </w:pPr>
            <w:r>
              <w:rPr>
                <w:bCs/>
              </w:rPr>
              <w:t>1 (8.3)</w:t>
            </w:r>
          </w:p>
        </w:tc>
        <w:tc>
          <w:tcPr>
            <w:tcW w:w="857" w:type="pct"/>
          </w:tcPr>
          <w:p w14:paraId="6C7007E8" w14:textId="77777777" w:rsidR="00423551" w:rsidRDefault="00423551" w:rsidP="00C25359">
            <w:pPr>
              <w:pStyle w:val="Tabletext0"/>
              <w:widowControl w:val="0"/>
              <w:spacing w:before="0" w:after="0"/>
              <w:jc w:val="center"/>
              <w:rPr>
                <w:bCs/>
              </w:rPr>
            </w:pPr>
            <w:r>
              <w:rPr>
                <w:bCs/>
              </w:rPr>
              <w:t>1 (5.6)</w:t>
            </w:r>
          </w:p>
        </w:tc>
        <w:tc>
          <w:tcPr>
            <w:tcW w:w="862" w:type="pct"/>
          </w:tcPr>
          <w:p w14:paraId="20EC3064" w14:textId="77777777" w:rsidR="00423551" w:rsidRDefault="00423551" w:rsidP="00C25359">
            <w:pPr>
              <w:pStyle w:val="Tabletext0"/>
              <w:widowControl w:val="0"/>
              <w:spacing w:before="0" w:after="0"/>
              <w:jc w:val="center"/>
              <w:rPr>
                <w:bCs/>
              </w:rPr>
            </w:pPr>
            <w:r>
              <w:rPr>
                <w:bCs/>
              </w:rPr>
              <w:t>2 (16.7)</w:t>
            </w:r>
          </w:p>
        </w:tc>
        <w:tc>
          <w:tcPr>
            <w:tcW w:w="864" w:type="pct"/>
          </w:tcPr>
          <w:p w14:paraId="20092F64" w14:textId="77777777" w:rsidR="00423551" w:rsidRDefault="00423551" w:rsidP="00C25359">
            <w:pPr>
              <w:pStyle w:val="Tabletext0"/>
              <w:widowControl w:val="0"/>
              <w:spacing w:before="0" w:after="0"/>
              <w:jc w:val="center"/>
              <w:rPr>
                <w:bCs/>
              </w:rPr>
            </w:pPr>
            <w:r>
              <w:rPr>
                <w:bCs/>
              </w:rPr>
              <w:t>3 (11.1)</w:t>
            </w:r>
          </w:p>
        </w:tc>
        <w:tc>
          <w:tcPr>
            <w:tcW w:w="864" w:type="pct"/>
            <w:shd w:val="clear" w:color="auto" w:fill="auto"/>
            <w:vAlign w:val="center"/>
          </w:tcPr>
          <w:p w14:paraId="1B6BD89C" w14:textId="77777777" w:rsidR="00423551" w:rsidRPr="008D5309" w:rsidRDefault="00423551" w:rsidP="00C25359">
            <w:pPr>
              <w:pStyle w:val="Tabletext0"/>
              <w:widowControl w:val="0"/>
              <w:spacing w:before="0" w:after="0"/>
              <w:jc w:val="center"/>
              <w:rPr>
                <w:b/>
                <w:bCs/>
              </w:rPr>
            </w:pPr>
            <w:r>
              <w:rPr>
                <w:bCs/>
              </w:rPr>
              <w:t>6 (10.3)</w:t>
            </w:r>
          </w:p>
        </w:tc>
      </w:tr>
      <w:tr w:rsidR="00423551" w:rsidRPr="00CE28E3" w14:paraId="070224A2" w14:textId="77777777" w:rsidTr="00C25359">
        <w:trPr>
          <w:cnfStyle w:val="100000000000" w:firstRow="1" w:lastRow="0" w:firstColumn="0" w:lastColumn="0" w:oddVBand="0" w:evenVBand="0" w:oddHBand="0" w:evenHBand="0" w:firstRowFirstColumn="0" w:firstRowLastColumn="0" w:lastRowFirstColumn="0" w:lastRowLastColumn="0"/>
          <w:tblHeader/>
        </w:trPr>
        <w:tc>
          <w:tcPr>
            <w:tcW w:w="5000" w:type="pct"/>
            <w:gridSpan w:val="6"/>
          </w:tcPr>
          <w:p w14:paraId="23FEF4CD" w14:textId="77777777" w:rsidR="00423551" w:rsidRPr="008D5309" w:rsidRDefault="00423551" w:rsidP="00C25359">
            <w:pPr>
              <w:pStyle w:val="In-tableHeading"/>
              <w:keepNext w:val="0"/>
              <w:widowControl w:val="0"/>
              <w:rPr>
                <w:bCs/>
              </w:rPr>
            </w:pPr>
            <w:r>
              <w:t>Chronic GVHD</w:t>
            </w:r>
          </w:p>
        </w:tc>
      </w:tr>
      <w:tr w:rsidR="00423551" w:rsidRPr="00CE28E3" w14:paraId="680EBF7C" w14:textId="77777777" w:rsidTr="00C25359">
        <w:trPr>
          <w:cnfStyle w:val="100000000000" w:firstRow="1" w:lastRow="0" w:firstColumn="0" w:lastColumn="0" w:oddVBand="0" w:evenVBand="0" w:oddHBand="0" w:evenHBand="0" w:firstRowFirstColumn="0" w:firstRowLastColumn="0" w:lastRowFirstColumn="0" w:lastRowLastColumn="0"/>
          <w:tblHeader/>
        </w:trPr>
        <w:tc>
          <w:tcPr>
            <w:tcW w:w="987" w:type="pct"/>
            <w:shd w:val="clear" w:color="auto" w:fill="auto"/>
            <w:vAlign w:val="center"/>
          </w:tcPr>
          <w:p w14:paraId="78440B41" w14:textId="77777777" w:rsidR="00423551" w:rsidRDefault="00423551" w:rsidP="00C25359">
            <w:pPr>
              <w:pStyle w:val="Tabletext0"/>
              <w:widowControl w:val="0"/>
              <w:spacing w:before="0" w:after="0"/>
            </w:pPr>
            <w:r>
              <w:t>Any</w:t>
            </w:r>
          </w:p>
        </w:tc>
        <w:tc>
          <w:tcPr>
            <w:tcW w:w="566" w:type="pct"/>
            <w:vAlign w:val="center"/>
          </w:tcPr>
          <w:p w14:paraId="6570A37D" w14:textId="77777777" w:rsidR="00423551" w:rsidRPr="008D5309" w:rsidRDefault="00423551" w:rsidP="00C25359">
            <w:pPr>
              <w:pStyle w:val="Tabletext0"/>
              <w:widowControl w:val="0"/>
              <w:spacing w:before="0" w:after="0"/>
              <w:jc w:val="center"/>
              <w:rPr>
                <w:b/>
                <w:bCs/>
              </w:rPr>
            </w:pPr>
            <w:r>
              <w:rPr>
                <w:bCs/>
              </w:rPr>
              <w:t>2 (16.7)</w:t>
            </w:r>
          </w:p>
        </w:tc>
        <w:tc>
          <w:tcPr>
            <w:tcW w:w="857" w:type="pct"/>
          </w:tcPr>
          <w:p w14:paraId="2D3CDB63" w14:textId="77777777" w:rsidR="00423551" w:rsidRDefault="00423551" w:rsidP="00C25359">
            <w:pPr>
              <w:pStyle w:val="Tabletext0"/>
              <w:widowControl w:val="0"/>
              <w:spacing w:before="0" w:after="0"/>
              <w:jc w:val="center"/>
              <w:rPr>
                <w:bCs/>
              </w:rPr>
            </w:pPr>
            <w:r>
              <w:rPr>
                <w:bCs/>
              </w:rPr>
              <w:t>NR</w:t>
            </w:r>
          </w:p>
        </w:tc>
        <w:tc>
          <w:tcPr>
            <w:tcW w:w="862" w:type="pct"/>
          </w:tcPr>
          <w:p w14:paraId="12B92ACD" w14:textId="77777777" w:rsidR="00423551" w:rsidRDefault="00423551" w:rsidP="00C25359">
            <w:pPr>
              <w:pStyle w:val="Tabletext0"/>
              <w:widowControl w:val="0"/>
              <w:spacing w:before="0" w:after="0"/>
              <w:jc w:val="center"/>
              <w:rPr>
                <w:bCs/>
              </w:rPr>
            </w:pPr>
            <w:r>
              <w:rPr>
                <w:bCs/>
              </w:rPr>
              <w:t>NR</w:t>
            </w:r>
          </w:p>
        </w:tc>
        <w:tc>
          <w:tcPr>
            <w:tcW w:w="864" w:type="pct"/>
          </w:tcPr>
          <w:p w14:paraId="64ABB909" w14:textId="77777777" w:rsidR="00423551" w:rsidRDefault="00423551" w:rsidP="00C25359">
            <w:pPr>
              <w:pStyle w:val="Tabletext0"/>
              <w:widowControl w:val="0"/>
              <w:spacing w:before="0" w:after="0"/>
              <w:jc w:val="center"/>
              <w:rPr>
                <w:bCs/>
              </w:rPr>
            </w:pPr>
            <w:r>
              <w:rPr>
                <w:bCs/>
              </w:rPr>
              <w:t>NR</w:t>
            </w:r>
          </w:p>
        </w:tc>
        <w:tc>
          <w:tcPr>
            <w:tcW w:w="864" w:type="pct"/>
            <w:shd w:val="clear" w:color="auto" w:fill="auto"/>
            <w:vAlign w:val="center"/>
          </w:tcPr>
          <w:p w14:paraId="2AE681D0" w14:textId="77777777" w:rsidR="00423551" w:rsidRPr="008D5309" w:rsidRDefault="00423551" w:rsidP="00C25359">
            <w:pPr>
              <w:pStyle w:val="Tabletext0"/>
              <w:widowControl w:val="0"/>
              <w:spacing w:before="0" w:after="0"/>
              <w:jc w:val="center"/>
              <w:rPr>
                <w:b/>
                <w:bCs/>
              </w:rPr>
            </w:pPr>
            <w:r>
              <w:rPr>
                <w:bCs/>
              </w:rPr>
              <w:t>NR</w:t>
            </w:r>
          </w:p>
        </w:tc>
      </w:tr>
      <w:tr w:rsidR="00423551" w:rsidRPr="00CE28E3" w14:paraId="79442C94" w14:textId="77777777" w:rsidTr="00C25359">
        <w:trPr>
          <w:cnfStyle w:val="100000000000" w:firstRow="1" w:lastRow="0" w:firstColumn="0" w:lastColumn="0" w:oddVBand="0" w:evenVBand="0" w:oddHBand="0" w:evenHBand="0" w:firstRowFirstColumn="0" w:firstRowLastColumn="0" w:lastRowFirstColumn="0" w:lastRowLastColumn="0"/>
          <w:tblHeader/>
        </w:trPr>
        <w:tc>
          <w:tcPr>
            <w:tcW w:w="987" w:type="pct"/>
            <w:shd w:val="clear" w:color="auto" w:fill="auto"/>
            <w:vAlign w:val="center"/>
          </w:tcPr>
          <w:p w14:paraId="18D4D75C" w14:textId="77777777" w:rsidR="00423551" w:rsidRDefault="00423551" w:rsidP="00C25359">
            <w:pPr>
              <w:pStyle w:val="Tabletext0"/>
              <w:widowControl w:val="0"/>
              <w:spacing w:before="0" w:after="0"/>
            </w:pPr>
            <w:r>
              <w:t>Grade II-IV, n (%)</w:t>
            </w:r>
          </w:p>
        </w:tc>
        <w:tc>
          <w:tcPr>
            <w:tcW w:w="566" w:type="pct"/>
            <w:vAlign w:val="center"/>
          </w:tcPr>
          <w:p w14:paraId="385699B2" w14:textId="77777777" w:rsidR="00423551" w:rsidRPr="008D5309" w:rsidRDefault="00423551" w:rsidP="00C25359">
            <w:pPr>
              <w:pStyle w:val="Tabletext0"/>
              <w:widowControl w:val="0"/>
              <w:spacing w:before="0" w:after="0"/>
              <w:jc w:val="center"/>
              <w:rPr>
                <w:b/>
                <w:bCs/>
              </w:rPr>
            </w:pPr>
            <w:r>
              <w:rPr>
                <w:bCs/>
              </w:rPr>
              <w:t>NR</w:t>
            </w:r>
          </w:p>
        </w:tc>
        <w:tc>
          <w:tcPr>
            <w:tcW w:w="857" w:type="pct"/>
          </w:tcPr>
          <w:p w14:paraId="6D53211F" w14:textId="77777777" w:rsidR="00423551" w:rsidRDefault="00423551" w:rsidP="00C25359">
            <w:pPr>
              <w:pStyle w:val="Tabletext0"/>
              <w:widowControl w:val="0"/>
              <w:spacing w:before="0" w:after="0"/>
              <w:jc w:val="center"/>
              <w:rPr>
                <w:bCs/>
              </w:rPr>
            </w:pPr>
            <w:r>
              <w:rPr>
                <w:bCs/>
              </w:rPr>
              <w:t>2 (11.1)</w:t>
            </w:r>
          </w:p>
        </w:tc>
        <w:tc>
          <w:tcPr>
            <w:tcW w:w="862" w:type="pct"/>
          </w:tcPr>
          <w:p w14:paraId="292A8BD6" w14:textId="77777777" w:rsidR="00423551" w:rsidRDefault="00423551" w:rsidP="00C25359">
            <w:pPr>
              <w:pStyle w:val="Tabletext0"/>
              <w:widowControl w:val="0"/>
              <w:spacing w:before="0" w:after="0"/>
              <w:jc w:val="center"/>
              <w:rPr>
                <w:bCs/>
              </w:rPr>
            </w:pPr>
            <w:r>
              <w:rPr>
                <w:bCs/>
              </w:rPr>
              <w:t>1 (8.3)</w:t>
            </w:r>
          </w:p>
        </w:tc>
        <w:tc>
          <w:tcPr>
            <w:tcW w:w="864" w:type="pct"/>
          </w:tcPr>
          <w:p w14:paraId="60436808" w14:textId="77777777" w:rsidR="00423551" w:rsidRDefault="00423551" w:rsidP="00C25359">
            <w:pPr>
              <w:pStyle w:val="Tabletext0"/>
              <w:widowControl w:val="0"/>
              <w:spacing w:before="0" w:after="0"/>
              <w:jc w:val="center"/>
              <w:rPr>
                <w:bCs/>
              </w:rPr>
            </w:pPr>
            <w:r>
              <w:rPr>
                <w:bCs/>
              </w:rPr>
              <w:t>1 (3.7)</w:t>
            </w:r>
          </w:p>
        </w:tc>
        <w:tc>
          <w:tcPr>
            <w:tcW w:w="864" w:type="pct"/>
            <w:shd w:val="clear" w:color="auto" w:fill="auto"/>
            <w:vAlign w:val="center"/>
          </w:tcPr>
          <w:p w14:paraId="14FAEC33" w14:textId="77777777" w:rsidR="00423551" w:rsidRPr="008D5309" w:rsidRDefault="00423551" w:rsidP="00C25359">
            <w:pPr>
              <w:pStyle w:val="Tabletext0"/>
              <w:widowControl w:val="0"/>
              <w:spacing w:before="0" w:after="0"/>
              <w:jc w:val="center"/>
              <w:rPr>
                <w:b/>
                <w:bCs/>
              </w:rPr>
            </w:pPr>
            <w:r>
              <w:rPr>
                <w:bCs/>
              </w:rPr>
              <w:t>4 (6.9)</w:t>
            </w:r>
          </w:p>
        </w:tc>
      </w:tr>
      <w:tr w:rsidR="00423551" w:rsidRPr="00CE28E3" w14:paraId="35143514" w14:textId="77777777" w:rsidTr="00C25359">
        <w:trPr>
          <w:cnfStyle w:val="100000000000" w:firstRow="1" w:lastRow="0" w:firstColumn="0" w:lastColumn="0" w:oddVBand="0" w:evenVBand="0" w:oddHBand="0" w:evenHBand="0" w:firstRowFirstColumn="0" w:firstRowLastColumn="0" w:lastRowFirstColumn="0" w:lastRowLastColumn="0"/>
          <w:tblHeader/>
        </w:trPr>
        <w:tc>
          <w:tcPr>
            <w:tcW w:w="987" w:type="pct"/>
            <w:shd w:val="clear" w:color="auto" w:fill="auto"/>
            <w:vAlign w:val="center"/>
          </w:tcPr>
          <w:p w14:paraId="476F119E" w14:textId="77777777" w:rsidR="00423551" w:rsidRDefault="00423551" w:rsidP="00C25359">
            <w:pPr>
              <w:pStyle w:val="Tabletext0"/>
              <w:widowControl w:val="0"/>
              <w:spacing w:before="0" w:after="0"/>
            </w:pPr>
            <w:r>
              <w:t>Grade III-IV, n (%)</w:t>
            </w:r>
          </w:p>
        </w:tc>
        <w:tc>
          <w:tcPr>
            <w:tcW w:w="566" w:type="pct"/>
            <w:vAlign w:val="center"/>
          </w:tcPr>
          <w:p w14:paraId="0B03AAF3" w14:textId="77777777" w:rsidR="00423551" w:rsidRPr="008D5309" w:rsidRDefault="00423551" w:rsidP="00C25359">
            <w:pPr>
              <w:pStyle w:val="Tabletext0"/>
              <w:widowControl w:val="0"/>
              <w:spacing w:before="0" w:after="0"/>
              <w:jc w:val="center"/>
              <w:rPr>
                <w:b/>
                <w:bCs/>
              </w:rPr>
            </w:pPr>
            <w:r>
              <w:rPr>
                <w:bCs/>
              </w:rPr>
              <w:t>NR</w:t>
            </w:r>
          </w:p>
        </w:tc>
        <w:tc>
          <w:tcPr>
            <w:tcW w:w="857" w:type="pct"/>
          </w:tcPr>
          <w:p w14:paraId="26C1E9DF" w14:textId="77777777" w:rsidR="00423551" w:rsidRDefault="00423551" w:rsidP="00C25359">
            <w:pPr>
              <w:pStyle w:val="Tabletext0"/>
              <w:widowControl w:val="0"/>
              <w:spacing w:before="0" w:after="0"/>
              <w:jc w:val="center"/>
              <w:rPr>
                <w:bCs/>
              </w:rPr>
            </w:pPr>
            <w:r>
              <w:rPr>
                <w:bCs/>
              </w:rPr>
              <w:t>2 (11.1)</w:t>
            </w:r>
          </w:p>
        </w:tc>
        <w:tc>
          <w:tcPr>
            <w:tcW w:w="862" w:type="pct"/>
          </w:tcPr>
          <w:p w14:paraId="7835CF53" w14:textId="77777777" w:rsidR="00423551" w:rsidRDefault="00423551" w:rsidP="00C25359">
            <w:pPr>
              <w:pStyle w:val="Tabletext0"/>
              <w:widowControl w:val="0"/>
              <w:spacing w:before="0" w:after="0"/>
              <w:jc w:val="center"/>
              <w:rPr>
                <w:bCs/>
              </w:rPr>
            </w:pPr>
            <w:r>
              <w:rPr>
                <w:bCs/>
              </w:rPr>
              <w:t>0</w:t>
            </w:r>
          </w:p>
        </w:tc>
        <w:tc>
          <w:tcPr>
            <w:tcW w:w="864" w:type="pct"/>
          </w:tcPr>
          <w:p w14:paraId="435F8FA6" w14:textId="77777777" w:rsidR="00423551" w:rsidRDefault="00423551" w:rsidP="00C25359">
            <w:pPr>
              <w:pStyle w:val="Tabletext0"/>
              <w:widowControl w:val="0"/>
              <w:spacing w:before="0" w:after="0"/>
              <w:jc w:val="center"/>
              <w:rPr>
                <w:bCs/>
              </w:rPr>
            </w:pPr>
            <w:r>
              <w:rPr>
                <w:bCs/>
              </w:rPr>
              <w:t>1 (3,7)</w:t>
            </w:r>
          </w:p>
        </w:tc>
        <w:tc>
          <w:tcPr>
            <w:tcW w:w="864" w:type="pct"/>
            <w:shd w:val="clear" w:color="auto" w:fill="auto"/>
            <w:vAlign w:val="center"/>
          </w:tcPr>
          <w:p w14:paraId="4416ADBE" w14:textId="77777777" w:rsidR="00423551" w:rsidRPr="008D5309" w:rsidRDefault="00423551" w:rsidP="00C25359">
            <w:pPr>
              <w:pStyle w:val="Tabletext0"/>
              <w:widowControl w:val="0"/>
              <w:spacing w:before="0" w:after="0"/>
              <w:jc w:val="center"/>
              <w:rPr>
                <w:b/>
                <w:bCs/>
              </w:rPr>
            </w:pPr>
            <w:r>
              <w:rPr>
                <w:bCs/>
              </w:rPr>
              <w:t>3 (5.2)</w:t>
            </w:r>
          </w:p>
        </w:tc>
      </w:tr>
    </w:tbl>
    <w:p w14:paraId="07161389" w14:textId="7994964D" w:rsidR="00737714" w:rsidRPr="00701DB0" w:rsidRDefault="00423551" w:rsidP="00737714">
      <w:pPr>
        <w:pStyle w:val="TableFigureFooter"/>
        <w:spacing w:before="0" w:after="0"/>
      </w:pPr>
      <w:r>
        <w:t xml:space="preserve">Source: </w:t>
      </w:r>
      <w:r w:rsidR="004A362C">
        <w:t xml:space="preserve">DCAR Table 3. From </w:t>
      </w:r>
      <w:r>
        <w:t xml:space="preserve">Table 2, Matsukawa 2020; Table 4, Raymond 2019. </w:t>
      </w:r>
      <w:r>
        <w:br/>
        <w:t>BM = bone marrow; GVHD = graft versus host disease; HSCT = h</w:t>
      </w:r>
      <w:r w:rsidRPr="00F04E8C">
        <w:t>aematopoietic stem cell transplantation</w:t>
      </w:r>
      <w:r>
        <w:t>; n = number of patients who experienced an event; N = number of study participants in the treatment arm; NR = not reported; PBSCs = peripheral blood stem cells</w:t>
      </w:r>
      <w:r w:rsidR="00737714">
        <w:t>.</w:t>
      </w:r>
    </w:p>
    <w:p w14:paraId="21915340" w14:textId="794E95BE" w:rsidR="003C749C" w:rsidRPr="003C749C" w:rsidRDefault="00071D0E" w:rsidP="003C749C">
      <w:pPr>
        <w:spacing w:before="240"/>
      </w:pPr>
      <w:r>
        <w:t xml:space="preserve">Table 4 </w:t>
      </w:r>
      <w:r w:rsidR="00423551">
        <w:t xml:space="preserve">suggests that early intervention with HSCT reduced HSCT complications such as transplant related mortality, graft failure, and GVHD when compared with late HSCT. Some of the included studies did not present safety data in terms of ‘early’ and ‘late’ HSCT. </w:t>
      </w:r>
      <w:bookmarkStart w:id="24" w:name="_Ref132833018"/>
      <w:r w:rsidR="003C749C">
        <w:br w:type="page"/>
      </w:r>
    </w:p>
    <w:p w14:paraId="3AA847DC" w14:textId="344CFC99" w:rsidR="00423551" w:rsidRDefault="00423551" w:rsidP="00B76655">
      <w:pPr>
        <w:pStyle w:val="Caption"/>
      </w:pPr>
      <w:r>
        <w:lastRenderedPageBreak/>
        <w:t xml:space="preserve">Table </w:t>
      </w:r>
      <w:r>
        <w:fldChar w:fldCharType="begin"/>
      </w:r>
      <w:r>
        <w:instrText>SEQ Table \* ARABIC</w:instrText>
      </w:r>
      <w:r>
        <w:fldChar w:fldCharType="separate"/>
      </w:r>
      <w:r w:rsidR="00253978">
        <w:rPr>
          <w:noProof/>
        </w:rPr>
        <w:t>4</w:t>
      </w:r>
      <w:r>
        <w:fldChar w:fldCharType="end"/>
      </w:r>
      <w:bookmarkEnd w:id="24"/>
      <w:r>
        <w:t xml:space="preserve"> </w:t>
      </w:r>
      <w:r w:rsidRPr="00041137">
        <w:t>Results of transplant complications across the included studies</w:t>
      </w:r>
    </w:p>
    <w:tbl>
      <w:tblPr>
        <w:tblStyle w:val="TableGrid1"/>
        <w:tblW w:w="5000" w:type="pct"/>
        <w:tblCellMar>
          <w:left w:w="28" w:type="dxa"/>
          <w:right w:w="28" w:type="dxa"/>
        </w:tblCellMar>
        <w:tblLook w:val="04A0" w:firstRow="1" w:lastRow="0" w:firstColumn="1" w:lastColumn="0" w:noHBand="0" w:noVBand="1"/>
      </w:tblPr>
      <w:tblGrid>
        <w:gridCol w:w="1880"/>
        <w:gridCol w:w="808"/>
        <w:gridCol w:w="860"/>
        <w:gridCol w:w="132"/>
        <w:gridCol w:w="1538"/>
        <w:gridCol w:w="1580"/>
        <w:gridCol w:w="1632"/>
        <w:gridCol w:w="70"/>
        <w:gridCol w:w="516"/>
      </w:tblGrid>
      <w:tr w:rsidR="00423551" w:rsidRPr="000C5499" w14:paraId="4A984827"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43" w:type="pct"/>
            <w:shd w:val="clear" w:color="auto" w:fill="auto"/>
            <w:vAlign w:val="center"/>
          </w:tcPr>
          <w:p w14:paraId="64D98395" w14:textId="77777777" w:rsidR="00423551" w:rsidRPr="000C5499" w:rsidRDefault="00423551" w:rsidP="00DF5FA4">
            <w:pPr>
              <w:pStyle w:val="In-tableHeading"/>
              <w:jc w:val="center"/>
            </w:pPr>
            <w:r w:rsidRPr="000C5499">
              <w:t>Disease severity threshold/ Study</w:t>
            </w:r>
          </w:p>
        </w:tc>
        <w:tc>
          <w:tcPr>
            <w:tcW w:w="448" w:type="pct"/>
            <w:vAlign w:val="center"/>
          </w:tcPr>
          <w:p w14:paraId="0799E1F8" w14:textId="77777777" w:rsidR="00423551" w:rsidRPr="000C5499" w:rsidRDefault="00423551" w:rsidP="00DF5FA4">
            <w:pPr>
              <w:pStyle w:val="In-tableHeading"/>
              <w:jc w:val="center"/>
            </w:pPr>
            <w:r w:rsidRPr="000C5499">
              <w:t>Cohort</w:t>
            </w:r>
          </w:p>
        </w:tc>
        <w:tc>
          <w:tcPr>
            <w:tcW w:w="550" w:type="pct"/>
            <w:gridSpan w:val="2"/>
            <w:shd w:val="clear" w:color="auto" w:fill="auto"/>
            <w:vAlign w:val="center"/>
          </w:tcPr>
          <w:p w14:paraId="357E9DB8" w14:textId="77777777" w:rsidR="00423551" w:rsidRPr="000C5499" w:rsidRDefault="00423551" w:rsidP="00DF5FA4">
            <w:pPr>
              <w:pStyle w:val="In-tableHeading"/>
              <w:jc w:val="center"/>
            </w:pPr>
            <w:r w:rsidRPr="000C5499">
              <w:t>Analysis point, years</w:t>
            </w:r>
          </w:p>
        </w:tc>
        <w:tc>
          <w:tcPr>
            <w:tcW w:w="853" w:type="pct"/>
            <w:vAlign w:val="center"/>
          </w:tcPr>
          <w:p w14:paraId="55755F47" w14:textId="77777777" w:rsidR="00423551" w:rsidRPr="000C5499" w:rsidRDefault="00423551" w:rsidP="00DF5FA4">
            <w:pPr>
              <w:pStyle w:val="In-tableHeading"/>
              <w:jc w:val="center"/>
            </w:pPr>
            <w:r w:rsidRPr="000C5499">
              <w:t>Early</w:t>
            </w:r>
          </w:p>
          <w:p w14:paraId="12D512EB" w14:textId="77777777" w:rsidR="00423551" w:rsidRPr="000C5499" w:rsidRDefault="00423551" w:rsidP="00DF5FA4">
            <w:pPr>
              <w:pStyle w:val="In-tableHeading"/>
              <w:jc w:val="center"/>
            </w:pPr>
            <w:r w:rsidRPr="000C5499">
              <w:t>n/N, % (95% CI)</w:t>
            </w:r>
          </w:p>
        </w:tc>
        <w:tc>
          <w:tcPr>
            <w:tcW w:w="876" w:type="pct"/>
            <w:vAlign w:val="center"/>
          </w:tcPr>
          <w:p w14:paraId="134378F9" w14:textId="77777777" w:rsidR="00423551" w:rsidRPr="000C5499" w:rsidRDefault="00423551" w:rsidP="00DF5FA4">
            <w:pPr>
              <w:pStyle w:val="In-tableHeading"/>
              <w:jc w:val="center"/>
            </w:pPr>
            <w:r w:rsidRPr="000C5499">
              <w:t>Late</w:t>
            </w:r>
          </w:p>
          <w:p w14:paraId="1E849365" w14:textId="77777777" w:rsidR="00423551" w:rsidRPr="000C5499" w:rsidRDefault="00423551" w:rsidP="00DF5FA4">
            <w:pPr>
              <w:pStyle w:val="In-tableHeading"/>
              <w:jc w:val="center"/>
            </w:pPr>
            <w:r w:rsidRPr="000C5499">
              <w:t>n/N, % (95% CI)</w:t>
            </w:r>
          </w:p>
        </w:tc>
        <w:tc>
          <w:tcPr>
            <w:tcW w:w="944" w:type="pct"/>
            <w:gridSpan w:val="2"/>
            <w:vAlign w:val="center"/>
          </w:tcPr>
          <w:p w14:paraId="5F17403D" w14:textId="77777777" w:rsidR="00423551" w:rsidRPr="000C5499" w:rsidRDefault="00423551" w:rsidP="00DF5FA4">
            <w:pPr>
              <w:pStyle w:val="In-tableHeading"/>
              <w:jc w:val="center"/>
            </w:pPr>
            <w:r w:rsidRPr="000C5499">
              <w:t>HR</w:t>
            </w:r>
          </w:p>
        </w:tc>
        <w:tc>
          <w:tcPr>
            <w:tcW w:w="286" w:type="pct"/>
            <w:shd w:val="clear" w:color="auto" w:fill="auto"/>
            <w:vAlign w:val="center"/>
          </w:tcPr>
          <w:p w14:paraId="1A0846FE" w14:textId="77777777" w:rsidR="00423551" w:rsidRPr="000C5499" w:rsidRDefault="00423551" w:rsidP="00DF5FA4">
            <w:pPr>
              <w:pStyle w:val="In-tableHeading"/>
              <w:jc w:val="center"/>
            </w:pPr>
            <w:r w:rsidRPr="000C5499">
              <w:t>p-value</w:t>
            </w:r>
          </w:p>
        </w:tc>
      </w:tr>
      <w:tr w:rsidR="00423551" w:rsidRPr="000C5499" w14:paraId="6E8C09EE"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5000" w:type="pct"/>
            <w:gridSpan w:val="9"/>
            <w:shd w:val="clear" w:color="auto" w:fill="auto"/>
            <w:vAlign w:val="center"/>
          </w:tcPr>
          <w:p w14:paraId="4F14DDC1" w14:textId="77777777" w:rsidR="00423551" w:rsidRPr="000C5499" w:rsidRDefault="00423551" w:rsidP="00DF5FA4">
            <w:pPr>
              <w:pStyle w:val="In-tableHeading"/>
              <w:rPr>
                <w:bCs/>
              </w:rPr>
            </w:pPr>
            <w:r w:rsidRPr="000C5499">
              <w:t>Transplant related mortality</w:t>
            </w:r>
          </w:p>
        </w:tc>
      </w:tr>
      <w:tr w:rsidR="00423551" w:rsidRPr="000C5499" w14:paraId="6967AAE3"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43" w:type="pct"/>
            <w:shd w:val="clear" w:color="auto" w:fill="auto"/>
            <w:vAlign w:val="center"/>
          </w:tcPr>
          <w:p w14:paraId="1874B7DB" w14:textId="10E4554A" w:rsidR="00423551" w:rsidRPr="000C5499" w:rsidRDefault="00423551" w:rsidP="00DF5FA4">
            <w:pPr>
              <w:pStyle w:val="TableText"/>
              <w:keepNext/>
              <w:spacing w:before="0" w:after="0"/>
              <w:rPr>
                <w:b/>
              </w:rPr>
            </w:pPr>
            <w:r w:rsidRPr="000C5499">
              <w:t>Chiesa</w:t>
            </w:r>
            <w:r>
              <w:t xml:space="preserve"> et al.</w:t>
            </w:r>
            <w:r w:rsidRPr="000C5499">
              <w:t xml:space="preserve"> (2022)</w:t>
            </w:r>
            <w:r w:rsidRPr="00836482">
              <w:rPr>
                <w:vertAlign w:val="superscript"/>
              </w:rPr>
              <w:t xml:space="preserve"> a</w:t>
            </w:r>
          </w:p>
        </w:tc>
        <w:tc>
          <w:tcPr>
            <w:tcW w:w="448" w:type="pct"/>
            <w:vAlign w:val="center"/>
          </w:tcPr>
          <w:p w14:paraId="50BE08A7" w14:textId="77777777" w:rsidR="00423551" w:rsidRPr="000C5499" w:rsidRDefault="00423551" w:rsidP="00DF5FA4">
            <w:pPr>
              <w:pStyle w:val="TableText"/>
              <w:keepNext/>
              <w:spacing w:before="0" w:after="0"/>
              <w:rPr>
                <w:b/>
              </w:rPr>
            </w:pPr>
            <w:r w:rsidRPr="000C5499">
              <w:t>Children</w:t>
            </w:r>
          </w:p>
        </w:tc>
        <w:tc>
          <w:tcPr>
            <w:tcW w:w="477" w:type="pct"/>
            <w:shd w:val="clear" w:color="auto" w:fill="auto"/>
            <w:vAlign w:val="center"/>
          </w:tcPr>
          <w:p w14:paraId="255EBC12" w14:textId="77777777" w:rsidR="00423551" w:rsidRPr="000C5499" w:rsidRDefault="00423551" w:rsidP="00DF5FA4">
            <w:pPr>
              <w:pStyle w:val="TableText"/>
              <w:keepNext/>
              <w:spacing w:before="0" w:after="0"/>
              <w:jc w:val="center"/>
              <w:rPr>
                <w:b/>
              </w:rPr>
            </w:pPr>
            <w:r w:rsidRPr="000C5499">
              <w:t>2</w:t>
            </w:r>
          </w:p>
        </w:tc>
        <w:tc>
          <w:tcPr>
            <w:tcW w:w="926" w:type="pct"/>
            <w:gridSpan w:val="2"/>
            <w:vAlign w:val="center"/>
          </w:tcPr>
          <w:p w14:paraId="3E61CA5E" w14:textId="77777777" w:rsidR="00423551" w:rsidRPr="000C5499" w:rsidRDefault="00423551" w:rsidP="00DF5FA4">
            <w:pPr>
              <w:pStyle w:val="TableText"/>
              <w:keepNext/>
              <w:spacing w:before="0" w:after="0"/>
              <w:jc w:val="center"/>
              <w:rPr>
                <w:b/>
              </w:rPr>
            </w:pPr>
            <w:r>
              <w:t>NR</w:t>
            </w:r>
            <w:r w:rsidRPr="000C5499">
              <w:t>, 7.0 (1.1, 20.5)</w:t>
            </w:r>
          </w:p>
        </w:tc>
        <w:tc>
          <w:tcPr>
            <w:tcW w:w="876" w:type="pct"/>
            <w:shd w:val="clear" w:color="auto" w:fill="auto"/>
            <w:vAlign w:val="center"/>
          </w:tcPr>
          <w:p w14:paraId="489D4B18" w14:textId="77777777" w:rsidR="00423551" w:rsidRPr="000C5499" w:rsidRDefault="00423551" w:rsidP="00DF5FA4">
            <w:pPr>
              <w:pStyle w:val="TableText"/>
              <w:keepNext/>
              <w:spacing w:before="0" w:after="0"/>
              <w:jc w:val="center"/>
              <w:rPr>
                <w:b/>
              </w:rPr>
            </w:pPr>
            <w:r>
              <w:t>NR</w:t>
            </w:r>
            <w:r w:rsidRPr="000C5499">
              <w:t>, 22.1 (4.9, 47.1)</w:t>
            </w:r>
          </w:p>
        </w:tc>
        <w:tc>
          <w:tcPr>
            <w:tcW w:w="905" w:type="pct"/>
            <w:vAlign w:val="center"/>
          </w:tcPr>
          <w:p w14:paraId="5556B47B" w14:textId="77777777" w:rsidR="00423551" w:rsidRPr="000C5499" w:rsidRDefault="00423551" w:rsidP="00DF5FA4">
            <w:pPr>
              <w:pStyle w:val="TableText"/>
              <w:keepNext/>
              <w:spacing w:before="0" w:after="0"/>
              <w:jc w:val="center"/>
              <w:rPr>
                <w:b/>
              </w:rPr>
            </w:pPr>
            <w:r w:rsidRPr="000C5499">
              <w:t>0.214 (0.035, 1.317)</w:t>
            </w:r>
          </w:p>
        </w:tc>
        <w:tc>
          <w:tcPr>
            <w:tcW w:w="325" w:type="pct"/>
            <w:gridSpan w:val="2"/>
            <w:shd w:val="clear" w:color="auto" w:fill="auto"/>
            <w:vAlign w:val="center"/>
          </w:tcPr>
          <w:p w14:paraId="7A56A793" w14:textId="77777777" w:rsidR="00423551" w:rsidRPr="000C5499" w:rsidRDefault="00423551" w:rsidP="00DF5FA4">
            <w:pPr>
              <w:pStyle w:val="TableText"/>
              <w:keepNext/>
              <w:spacing w:before="0" w:after="0"/>
              <w:jc w:val="center"/>
              <w:rPr>
                <w:b/>
              </w:rPr>
            </w:pPr>
            <w:r w:rsidRPr="000C5499">
              <w:t>0.094</w:t>
            </w:r>
          </w:p>
        </w:tc>
      </w:tr>
      <w:tr w:rsidR="00423551" w:rsidRPr="000C5499" w14:paraId="6E4658EE"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43" w:type="pct"/>
            <w:shd w:val="clear" w:color="auto" w:fill="auto"/>
            <w:vAlign w:val="center"/>
          </w:tcPr>
          <w:p w14:paraId="116C9CD7" w14:textId="3E4C5CDE" w:rsidR="00423551" w:rsidRPr="000C5499" w:rsidRDefault="00423551" w:rsidP="00DF5FA4">
            <w:pPr>
              <w:pStyle w:val="TableText"/>
              <w:keepNext/>
              <w:spacing w:before="0" w:after="0"/>
              <w:rPr>
                <w:b/>
                <w:bCs/>
              </w:rPr>
            </w:pPr>
            <w:r w:rsidRPr="000C5499">
              <w:rPr>
                <w:bCs/>
              </w:rPr>
              <w:t>Kuhl</w:t>
            </w:r>
            <w:r>
              <w:t xml:space="preserve"> et al. </w:t>
            </w:r>
            <w:r w:rsidRPr="000C5499">
              <w:rPr>
                <w:bCs/>
              </w:rPr>
              <w:t xml:space="preserve"> (2017)</w:t>
            </w:r>
            <w:r w:rsidRPr="00836482">
              <w:rPr>
                <w:bCs/>
                <w:vertAlign w:val="superscript"/>
              </w:rPr>
              <w:t xml:space="preserve"> b</w:t>
            </w:r>
          </w:p>
        </w:tc>
        <w:tc>
          <w:tcPr>
            <w:tcW w:w="448" w:type="pct"/>
            <w:vAlign w:val="center"/>
          </w:tcPr>
          <w:p w14:paraId="0EC98BBF" w14:textId="77777777" w:rsidR="00423551" w:rsidRPr="000C5499" w:rsidRDefault="00423551" w:rsidP="00DF5FA4">
            <w:pPr>
              <w:pStyle w:val="TableText"/>
              <w:keepNext/>
              <w:spacing w:before="0" w:after="0"/>
              <w:rPr>
                <w:b/>
                <w:bCs/>
              </w:rPr>
            </w:pPr>
            <w:r w:rsidRPr="000C5499">
              <w:rPr>
                <w:bCs/>
              </w:rPr>
              <w:t>Adults</w:t>
            </w:r>
          </w:p>
        </w:tc>
        <w:tc>
          <w:tcPr>
            <w:tcW w:w="477" w:type="pct"/>
            <w:shd w:val="clear" w:color="auto" w:fill="auto"/>
            <w:vAlign w:val="center"/>
          </w:tcPr>
          <w:p w14:paraId="6502D53B" w14:textId="77777777" w:rsidR="00423551" w:rsidRPr="000C5499" w:rsidRDefault="00423551" w:rsidP="00DF5FA4">
            <w:pPr>
              <w:pStyle w:val="TableText"/>
              <w:keepNext/>
              <w:spacing w:before="0" w:after="0"/>
              <w:jc w:val="center"/>
              <w:rPr>
                <w:b/>
                <w:bCs/>
              </w:rPr>
            </w:pPr>
            <w:r>
              <w:rPr>
                <w:bCs/>
              </w:rPr>
              <w:t>NR</w:t>
            </w:r>
          </w:p>
        </w:tc>
        <w:tc>
          <w:tcPr>
            <w:tcW w:w="926" w:type="pct"/>
            <w:gridSpan w:val="2"/>
            <w:vAlign w:val="center"/>
          </w:tcPr>
          <w:p w14:paraId="38BB3723" w14:textId="3F8B4239" w:rsidR="00423551" w:rsidRPr="000C5499" w:rsidRDefault="00423551" w:rsidP="00DF5FA4">
            <w:pPr>
              <w:pStyle w:val="TableText"/>
              <w:keepNext/>
              <w:spacing w:before="0" w:after="0"/>
              <w:jc w:val="center"/>
              <w:rPr>
                <w:b/>
                <w:bCs/>
              </w:rPr>
            </w:pPr>
            <w:r w:rsidRPr="000C5499">
              <w:rPr>
                <w:bCs/>
              </w:rPr>
              <w:t>1/</w:t>
            </w:r>
            <w:r>
              <w:rPr>
                <w:bCs/>
              </w:rPr>
              <w:t>9</w:t>
            </w:r>
            <w:r w:rsidRPr="000C5499">
              <w:rPr>
                <w:bCs/>
              </w:rPr>
              <w:t xml:space="preserve">, </w:t>
            </w:r>
            <w:r>
              <w:rPr>
                <w:bCs/>
              </w:rPr>
              <w:t>11.1</w:t>
            </w:r>
          </w:p>
        </w:tc>
        <w:tc>
          <w:tcPr>
            <w:tcW w:w="876" w:type="pct"/>
            <w:shd w:val="clear" w:color="auto" w:fill="auto"/>
            <w:vAlign w:val="center"/>
          </w:tcPr>
          <w:p w14:paraId="013F197A" w14:textId="10293A09" w:rsidR="00423551" w:rsidRPr="000C5499" w:rsidRDefault="00423551" w:rsidP="00DF5FA4">
            <w:pPr>
              <w:pStyle w:val="TableText"/>
              <w:keepNext/>
              <w:spacing w:before="0" w:after="0"/>
              <w:jc w:val="center"/>
              <w:rPr>
                <w:b/>
                <w:bCs/>
              </w:rPr>
            </w:pPr>
            <w:r w:rsidRPr="000C5499">
              <w:rPr>
                <w:bCs/>
              </w:rPr>
              <w:t>2/</w:t>
            </w:r>
            <w:r>
              <w:rPr>
                <w:bCs/>
              </w:rPr>
              <w:t>5</w:t>
            </w:r>
            <w:r w:rsidRPr="000C5499">
              <w:rPr>
                <w:bCs/>
              </w:rPr>
              <w:t xml:space="preserve">, </w:t>
            </w:r>
            <w:r>
              <w:rPr>
                <w:bCs/>
              </w:rPr>
              <w:t>40</w:t>
            </w:r>
            <w:r w:rsidRPr="000C5499">
              <w:rPr>
                <w:bCs/>
              </w:rPr>
              <w:t>.0</w:t>
            </w:r>
          </w:p>
        </w:tc>
        <w:tc>
          <w:tcPr>
            <w:tcW w:w="905" w:type="pct"/>
            <w:vAlign w:val="center"/>
          </w:tcPr>
          <w:p w14:paraId="6CC1160A" w14:textId="77777777" w:rsidR="00423551" w:rsidRPr="000C5499" w:rsidRDefault="00423551" w:rsidP="00DF5FA4">
            <w:pPr>
              <w:pStyle w:val="TableText"/>
              <w:keepNext/>
              <w:spacing w:before="0" w:after="0"/>
              <w:jc w:val="center"/>
              <w:rPr>
                <w:b/>
                <w:bCs/>
              </w:rPr>
            </w:pPr>
            <w:r>
              <w:rPr>
                <w:bCs/>
              </w:rPr>
              <w:t>NR</w:t>
            </w:r>
          </w:p>
        </w:tc>
        <w:tc>
          <w:tcPr>
            <w:tcW w:w="325" w:type="pct"/>
            <w:gridSpan w:val="2"/>
            <w:shd w:val="clear" w:color="auto" w:fill="auto"/>
            <w:vAlign w:val="center"/>
          </w:tcPr>
          <w:p w14:paraId="46776ABB" w14:textId="77777777" w:rsidR="00423551" w:rsidRPr="000C5499" w:rsidRDefault="00423551" w:rsidP="00DF5FA4">
            <w:pPr>
              <w:pStyle w:val="TableText"/>
              <w:keepNext/>
              <w:spacing w:before="0" w:after="0"/>
              <w:jc w:val="center"/>
              <w:rPr>
                <w:b/>
                <w:bCs/>
              </w:rPr>
            </w:pPr>
            <w:r>
              <w:rPr>
                <w:bCs/>
              </w:rPr>
              <w:t>NR</w:t>
            </w:r>
          </w:p>
        </w:tc>
      </w:tr>
      <w:tr w:rsidR="00423551" w:rsidRPr="000C5499" w14:paraId="5584AC04"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43" w:type="pct"/>
            <w:shd w:val="clear" w:color="auto" w:fill="auto"/>
            <w:vAlign w:val="center"/>
          </w:tcPr>
          <w:p w14:paraId="5D8BB03C" w14:textId="4C715AD4" w:rsidR="00423551" w:rsidRPr="000C5499" w:rsidRDefault="00423551" w:rsidP="00DF5FA4">
            <w:pPr>
              <w:pStyle w:val="TableText"/>
              <w:keepNext/>
              <w:spacing w:before="0" w:after="0"/>
              <w:rPr>
                <w:b/>
                <w:bCs/>
              </w:rPr>
            </w:pPr>
            <w:r w:rsidRPr="000C5499">
              <w:rPr>
                <w:bCs/>
              </w:rPr>
              <w:t>Waldhüter</w:t>
            </w:r>
            <w:r>
              <w:t xml:space="preserve"> et al. </w:t>
            </w:r>
            <w:r w:rsidRPr="000C5499">
              <w:rPr>
                <w:bCs/>
              </w:rPr>
              <w:t>(2019)</w:t>
            </w:r>
            <w:r w:rsidRPr="00836482">
              <w:rPr>
                <w:bCs/>
                <w:vertAlign w:val="superscript"/>
              </w:rPr>
              <w:t xml:space="preserve"> c</w:t>
            </w:r>
          </w:p>
        </w:tc>
        <w:tc>
          <w:tcPr>
            <w:tcW w:w="448" w:type="pct"/>
            <w:vAlign w:val="center"/>
          </w:tcPr>
          <w:p w14:paraId="52F4DC8A" w14:textId="77777777" w:rsidR="00423551" w:rsidRPr="000C5499" w:rsidRDefault="00423551" w:rsidP="00DF5FA4">
            <w:pPr>
              <w:pStyle w:val="TableText"/>
              <w:keepNext/>
              <w:spacing w:before="0" w:after="0"/>
              <w:rPr>
                <w:b/>
                <w:bCs/>
              </w:rPr>
            </w:pPr>
            <w:r w:rsidRPr="000C5499">
              <w:rPr>
                <w:bCs/>
              </w:rPr>
              <w:t>Adults</w:t>
            </w:r>
          </w:p>
        </w:tc>
        <w:tc>
          <w:tcPr>
            <w:tcW w:w="477" w:type="pct"/>
            <w:shd w:val="clear" w:color="auto" w:fill="auto"/>
            <w:vAlign w:val="center"/>
          </w:tcPr>
          <w:p w14:paraId="16BD85CF" w14:textId="77777777" w:rsidR="00423551" w:rsidRPr="000C5499" w:rsidRDefault="00423551" w:rsidP="00DF5FA4">
            <w:pPr>
              <w:pStyle w:val="TableText"/>
              <w:keepNext/>
              <w:spacing w:before="0" w:after="0"/>
              <w:jc w:val="center"/>
              <w:rPr>
                <w:b/>
                <w:bCs/>
              </w:rPr>
            </w:pPr>
            <w:r w:rsidRPr="000C5499">
              <w:rPr>
                <w:bCs/>
              </w:rPr>
              <w:t>1</w:t>
            </w:r>
          </w:p>
        </w:tc>
        <w:tc>
          <w:tcPr>
            <w:tcW w:w="926" w:type="pct"/>
            <w:gridSpan w:val="2"/>
            <w:vAlign w:val="center"/>
          </w:tcPr>
          <w:p w14:paraId="7FC30A59" w14:textId="58E022D4" w:rsidR="00423551" w:rsidRPr="000C5499" w:rsidRDefault="00B86DD7" w:rsidP="00DF5FA4">
            <w:pPr>
              <w:pStyle w:val="TableText"/>
              <w:keepNext/>
              <w:spacing w:before="0" w:after="0"/>
              <w:jc w:val="center"/>
              <w:rPr>
                <w:b/>
                <w:bCs/>
              </w:rPr>
            </w:pPr>
            <w:r>
              <w:rPr>
                <w:bCs/>
              </w:rPr>
              <w:t>0</w:t>
            </w:r>
            <w:r w:rsidR="00423551" w:rsidRPr="000C5499">
              <w:rPr>
                <w:bCs/>
              </w:rPr>
              <w:t>/</w:t>
            </w:r>
            <w:r w:rsidR="00423551">
              <w:rPr>
                <w:bCs/>
              </w:rPr>
              <w:t>9</w:t>
            </w:r>
            <w:r w:rsidR="00423551" w:rsidRPr="000C5499">
              <w:rPr>
                <w:bCs/>
              </w:rPr>
              <w:t xml:space="preserve">, </w:t>
            </w:r>
            <w:r>
              <w:rPr>
                <w:bCs/>
              </w:rPr>
              <w:t>0.0</w:t>
            </w:r>
          </w:p>
        </w:tc>
        <w:tc>
          <w:tcPr>
            <w:tcW w:w="876" w:type="pct"/>
            <w:shd w:val="clear" w:color="auto" w:fill="auto"/>
            <w:vAlign w:val="center"/>
          </w:tcPr>
          <w:p w14:paraId="7870E25A" w14:textId="29A50EE3" w:rsidR="00423551" w:rsidRPr="000C5499" w:rsidRDefault="00423551" w:rsidP="00DF5FA4">
            <w:pPr>
              <w:pStyle w:val="TableText"/>
              <w:keepNext/>
              <w:spacing w:before="0" w:after="0"/>
              <w:jc w:val="center"/>
              <w:rPr>
                <w:b/>
                <w:bCs/>
              </w:rPr>
            </w:pPr>
            <w:r>
              <w:rPr>
                <w:bCs/>
              </w:rPr>
              <w:t>3/6</w:t>
            </w:r>
            <w:r w:rsidRPr="000C5499">
              <w:rPr>
                <w:bCs/>
              </w:rPr>
              <w:t>, 50.0</w:t>
            </w:r>
          </w:p>
        </w:tc>
        <w:tc>
          <w:tcPr>
            <w:tcW w:w="905" w:type="pct"/>
            <w:vAlign w:val="center"/>
          </w:tcPr>
          <w:p w14:paraId="1DA897CD" w14:textId="77777777" w:rsidR="00423551" w:rsidRPr="000C5499" w:rsidRDefault="00423551" w:rsidP="00DF5FA4">
            <w:pPr>
              <w:pStyle w:val="TableText"/>
              <w:keepNext/>
              <w:spacing w:before="0" w:after="0"/>
              <w:jc w:val="center"/>
              <w:rPr>
                <w:b/>
                <w:bCs/>
              </w:rPr>
            </w:pPr>
            <w:r>
              <w:rPr>
                <w:bCs/>
              </w:rPr>
              <w:t>NR</w:t>
            </w:r>
          </w:p>
        </w:tc>
        <w:tc>
          <w:tcPr>
            <w:tcW w:w="325" w:type="pct"/>
            <w:gridSpan w:val="2"/>
            <w:shd w:val="clear" w:color="auto" w:fill="auto"/>
            <w:vAlign w:val="center"/>
          </w:tcPr>
          <w:p w14:paraId="67D445BF" w14:textId="77777777" w:rsidR="00423551" w:rsidRPr="000C5499" w:rsidRDefault="00423551" w:rsidP="00DF5FA4">
            <w:pPr>
              <w:pStyle w:val="TableText"/>
              <w:keepNext/>
              <w:spacing w:before="0" w:after="0"/>
              <w:jc w:val="center"/>
              <w:rPr>
                <w:b/>
                <w:bCs/>
              </w:rPr>
            </w:pPr>
            <w:r>
              <w:rPr>
                <w:bCs/>
              </w:rPr>
              <w:t>NR</w:t>
            </w:r>
          </w:p>
        </w:tc>
      </w:tr>
      <w:tr w:rsidR="00423551" w:rsidRPr="000C5499" w14:paraId="5E44731A"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5000" w:type="pct"/>
            <w:gridSpan w:val="9"/>
            <w:shd w:val="clear" w:color="auto" w:fill="auto"/>
            <w:vAlign w:val="center"/>
          </w:tcPr>
          <w:p w14:paraId="5DC80A6A" w14:textId="77777777" w:rsidR="00423551" w:rsidRPr="000C5499" w:rsidRDefault="00423551" w:rsidP="00DF5FA4">
            <w:pPr>
              <w:pStyle w:val="In-tableHeading"/>
              <w:rPr>
                <w:bCs/>
              </w:rPr>
            </w:pPr>
            <w:r w:rsidRPr="000C5499">
              <w:t>Graft failure/rejection</w:t>
            </w:r>
          </w:p>
        </w:tc>
      </w:tr>
      <w:tr w:rsidR="00423551" w:rsidRPr="000C5499" w14:paraId="49FFFE8C"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43" w:type="pct"/>
            <w:shd w:val="clear" w:color="auto" w:fill="auto"/>
            <w:vAlign w:val="center"/>
          </w:tcPr>
          <w:p w14:paraId="03008A2F" w14:textId="77777777" w:rsidR="00423551" w:rsidRPr="00B77A8A" w:rsidRDefault="00423551" w:rsidP="00DF5FA4">
            <w:pPr>
              <w:pStyle w:val="TableText"/>
              <w:keepNext/>
              <w:spacing w:before="0" w:after="0"/>
              <w:rPr>
                <w:bCs/>
              </w:rPr>
            </w:pPr>
            <w:r w:rsidRPr="000C5499">
              <w:rPr>
                <w:bCs/>
              </w:rPr>
              <w:t xml:space="preserve">Yalcin </w:t>
            </w:r>
            <w:r>
              <w:rPr>
                <w:bCs/>
              </w:rPr>
              <w:t xml:space="preserve">et al. </w:t>
            </w:r>
            <w:r w:rsidRPr="000C5499">
              <w:rPr>
                <w:bCs/>
              </w:rPr>
              <w:t>(2021)</w:t>
            </w:r>
            <w:r w:rsidRPr="00836482">
              <w:rPr>
                <w:bCs/>
                <w:vertAlign w:val="superscript"/>
              </w:rPr>
              <w:t xml:space="preserve"> d</w:t>
            </w:r>
          </w:p>
        </w:tc>
        <w:tc>
          <w:tcPr>
            <w:tcW w:w="448" w:type="pct"/>
            <w:vAlign w:val="center"/>
          </w:tcPr>
          <w:p w14:paraId="46C1E977" w14:textId="77777777" w:rsidR="00423551" w:rsidRPr="000C5499" w:rsidRDefault="00423551" w:rsidP="00DF5FA4">
            <w:pPr>
              <w:pStyle w:val="TableText"/>
              <w:keepNext/>
              <w:spacing w:before="0" w:after="0"/>
              <w:rPr>
                <w:b/>
                <w:bCs/>
              </w:rPr>
            </w:pPr>
            <w:r w:rsidRPr="000C5499">
              <w:rPr>
                <w:bCs/>
              </w:rPr>
              <w:t>Children</w:t>
            </w:r>
          </w:p>
        </w:tc>
        <w:tc>
          <w:tcPr>
            <w:tcW w:w="477" w:type="pct"/>
            <w:shd w:val="clear" w:color="auto" w:fill="auto"/>
            <w:vAlign w:val="center"/>
          </w:tcPr>
          <w:p w14:paraId="18266383" w14:textId="77777777" w:rsidR="00423551" w:rsidRPr="000C5499" w:rsidRDefault="00423551" w:rsidP="00DF5FA4">
            <w:pPr>
              <w:pStyle w:val="TableText"/>
              <w:keepNext/>
              <w:spacing w:before="0" w:after="0"/>
              <w:jc w:val="center"/>
              <w:rPr>
                <w:b/>
                <w:bCs/>
              </w:rPr>
            </w:pPr>
            <w:r w:rsidRPr="000C5499">
              <w:rPr>
                <w:bCs/>
              </w:rPr>
              <w:t>3.5</w:t>
            </w:r>
          </w:p>
        </w:tc>
        <w:tc>
          <w:tcPr>
            <w:tcW w:w="926" w:type="pct"/>
            <w:gridSpan w:val="2"/>
            <w:vAlign w:val="center"/>
          </w:tcPr>
          <w:p w14:paraId="13C44493" w14:textId="77777777" w:rsidR="00423551" w:rsidRPr="000C5499" w:rsidRDefault="00423551" w:rsidP="00DF5FA4">
            <w:pPr>
              <w:pStyle w:val="TableText"/>
              <w:keepNext/>
              <w:spacing w:before="0" w:after="0"/>
              <w:jc w:val="center"/>
              <w:rPr>
                <w:b/>
                <w:bCs/>
              </w:rPr>
            </w:pPr>
            <w:r w:rsidRPr="000C5499">
              <w:rPr>
                <w:bCs/>
              </w:rPr>
              <w:t>1/15, 6.7</w:t>
            </w:r>
          </w:p>
        </w:tc>
        <w:tc>
          <w:tcPr>
            <w:tcW w:w="876" w:type="pct"/>
            <w:shd w:val="clear" w:color="auto" w:fill="auto"/>
            <w:vAlign w:val="center"/>
          </w:tcPr>
          <w:p w14:paraId="6B8786C7" w14:textId="77777777" w:rsidR="00423551" w:rsidRPr="000C5499" w:rsidRDefault="00423551" w:rsidP="00DF5FA4">
            <w:pPr>
              <w:pStyle w:val="TableText"/>
              <w:keepNext/>
              <w:spacing w:before="0" w:after="0"/>
              <w:jc w:val="center"/>
              <w:rPr>
                <w:b/>
                <w:bCs/>
              </w:rPr>
            </w:pPr>
            <w:r w:rsidRPr="000C5499">
              <w:rPr>
                <w:bCs/>
              </w:rPr>
              <w:t>1/10, 10.0</w:t>
            </w:r>
          </w:p>
        </w:tc>
        <w:tc>
          <w:tcPr>
            <w:tcW w:w="905" w:type="pct"/>
            <w:vAlign w:val="center"/>
          </w:tcPr>
          <w:p w14:paraId="494A7628" w14:textId="77777777" w:rsidR="00423551" w:rsidRPr="000C5499" w:rsidRDefault="00423551" w:rsidP="00DF5FA4">
            <w:pPr>
              <w:pStyle w:val="TableText"/>
              <w:keepNext/>
              <w:spacing w:before="0" w:after="0"/>
              <w:jc w:val="center"/>
              <w:rPr>
                <w:b/>
                <w:bCs/>
              </w:rPr>
            </w:pPr>
            <w:r>
              <w:rPr>
                <w:bCs/>
              </w:rPr>
              <w:t>NR</w:t>
            </w:r>
          </w:p>
        </w:tc>
        <w:tc>
          <w:tcPr>
            <w:tcW w:w="325" w:type="pct"/>
            <w:gridSpan w:val="2"/>
            <w:shd w:val="clear" w:color="auto" w:fill="auto"/>
            <w:vAlign w:val="center"/>
          </w:tcPr>
          <w:p w14:paraId="48A3ABBB" w14:textId="77777777" w:rsidR="00423551" w:rsidRPr="000C5499" w:rsidRDefault="00423551" w:rsidP="00DF5FA4">
            <w:pPr>
              <w:pStyle w:val="TableText"/>
              <w:keepNext/>
              <w:spacing w:before="0" w:after="0"/>
              <w:jc w:val="center"/>
              <w:rPr>
                <w:b/>
                <w:bCs/>
              </w:rPr>
            </w:pPr>
            <w:r>
              <w:rPr>
                <w:bCs/>
              </w:rPr>
              <w:t>NR</w:t>
            </w:r>
          </w:p>
        </w:tc>
      </w:tr>
      <w:tr w:rsidR="00423551" w:rsidRPr="000C5499" w14:paraId="09FDDFCE"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43" w:type="pct"/>
            <w:shd w:val="clear" w:color="auto" w:fill="auto"/>
            <w:vAlign w:val="center"/>
          </w:tcPr>
          <w:p w14:paraId="7CD523FC" w14:textId="77777777" w:rsidR="00423551" w:rsidRPr="00B77A8A" w:rsidRDefault="00423551" w:rsidP="00DF5FA4">
            <w:pPr>
              <w:pStyle w:val="TableText"/>
              <w:keepNext/>
              <w:spacing w:before="0" w:after="0"/>
              <w:rPr>
                <w:bCs/>
              </w:rPr>
            </w:pPr>
            <w:r w:rsidRPr="000C5499">
              <w:rPr>
                <w:bCs/>
              </w:rPr>
              <w:t>Chiesa</w:t>
            </w:r>
            <w:r>
              <w:rPr>
                <w:bCs/>
              </w:rPr>
              <w:t xml:space="preserve"> et al.</w:t>
            </w:r>
            <w:r w:rsidRPr="000C5499">
              <w:rPr>
                <w:bCs/>
              </w:rPr>
              <w:t xml:space="preserve"> (2022)</w:t>
            </w:r>
            <w:r w:rsidRPr="00836482">
              <w:rPr>
                <w:vertAlign w:val="superscript"/>
              </w:rPr>
              <w:t xml:space="preserve"> a</w:t>
            </w:r>
          </w:p>
        </w:tc>
        <w:tc>
          <w:tcPr>
            <w:tcW w:w="448" w:type="pct"/>
            <w:vAlign w:val="center"/>
          </w:tcPr>
          <w:p w14:paraId="17D286AA" w14:textId="77777777" w:rsidR="00423551" w:rsidRPr="000C5499" w:rsidRDefault="00423551" w:rsidP="00DF5FA4">
            <w:pPr>
              <w:pStyle w:val="TableText"/>
              <w:keepNext/>
              <w:spacing w:before="0" w:after="0"/>
              <w:rPr>
                <w:b/>
                <w:bCs/>
              </w:rPr>
            </w:pPr>
            <w:r w:rsidRPr="000C5499">
              <w:rPr>
                <w:bCs/>
              </w:rPr>
              <w:t>Children</w:t>
            </w:r>
          </w:p>
        </w:tc>
        <w:tc>
          <w:tcPr>
            <w:tcW w:w="477" w:type="pct"/>
            <w:shd w:val="clear" w:color="auto" w:fill="auto"/>
            <w:vAlign w:val="center"/>
          </w:tcPr>
          <w:p w14:paraId="0284F503" w14:textId="77777777" w:rsidR="00423551" w:rsidRPr="000C5499" w:rsidRDefault="00423551" w:rsidP="00DF5FA4">
            <w:pPr>
              <w:pStyle w:val="TableText"/>
              <w:keepNext/>
              <w:spacing w:before="0" w:after="0"/>
              <w:jc w:val="center"/>
              <w:rPr>
                <w:b/>
                <w:bCs/>
              </w:rPr>
            </w:pPr>
            <w:r w:rsidRPr="000C5499">
              <w:rPr>
                <w:bCs/>
              </w:rPr>
              <w:t>2</w:t>
            </w:r>
          </w:p>
        </w:tc>
        <w:tc>
          <w:tcPr>
            <w:tcW w:w="926" w:type="pct"/>
            <w:gridSpan w:val="2"/>
            <w:vAlign w:val="center"/>
          </w:tcPr>
          <w:p w14:paraId="41B831FB" w14:textId="77777777" w:rsidR="00423551" w:rsidRPr="000C5499" w:rsidRDefault="00423551" w:rsidP="00DF5FA4">
            <w:pPr>
              <w:pStyle w:val="TableText"/>
              <w:keepNext/>
              <w:spacing w:before="0" w:after="0"/>
              <w:jc w:val="center"/>
              <w:rPr>
                <w:b/>
                <w:bCs/>
              </w:rPr>
            </w:pPr>
            <w:r>
              <w:rPr>
                <w:bCs/>
              </w:rPr>
              <w:t>NR</w:t>
            </w:r>
            <w:r w:rsidRPr="000C5499">
              <w:rPr>
                <w:bCs/>
              </w:rPr>
              <w:t>, 23.2 (11.2, 37.4)</w:t>
            </w:r>
          </w:p>
        </w:tc>
        <w:tc>
          <w:tcPr>
            <w:tcW w:w="876" w:type="pct"/>
            <w:shd w:val="clear" w:color="auto" w:fill="auto"/>
            <w:vAlign w:val="center"/>
          </w:tcPr>
          <w:p w14:paraId="5262455F" w14:textId="77777777" w:rsidR="00423551" w:rsidRPr="000C5499" w:rsidRDefault="00423551" w:rsidP="00DF5FA4">
            <w:pPr>
              <w:pStyle w:val="TableText"/>
              <w:keepNext/>
              <w:spacing w:before="0" w:after="0"/>
              <w:jc w:val="center"/>
              <w:rPr>
                <w:b/>
                <w:bCs/>
              </w:rPr>
            </w:pPr>
            <w:r>
              <w:rPr>
                <w:bCs/>
              </w:rPr>
              <w:t>NR</w:t>
            </w:r>
            <w:r w:rsidRPr="000C5499">
              <w:rPr>
                <w:bCs/>
              </w:rPr>
              <w:t>, 6.3 (0.4, 25.5)</w:t>
            </w:r>
          </w:p>
        </w:tc>
        <w:tc>
          <w:tcPr>
            <w:tcW w:w="905" w:type="pct"/>
            <w:vAlign w:val="center"/>
          </w:tcPr>
          <w:p w14:paraId="1F0C4087" w14:textId="77777777" w:rsidR="00423551" w:rsidRPr="000C5499" w:rsidRDefault="00423551" w:rsidP="00DF5FA4">
            <w:pPr>
              <w:pStyle w:val="TableText"/>
              <w:keepNext/>
              <w:spacing w:before="0" w:after="0"/>
              <w:jc w:val="center"/>
              <w:rPr>
                <w:b/>
                <w:bCs/>
              </w:rPr>
            </w:pPr>
            <w:r w:rsidRPr="000C5499">
              <w:rPr>
                <w:bCs/>
              </w:rPr>
              <w:t>3.847 (0.487, 30.372)</w:t>
            </w:r>
          </w:p>
        </w:tc>
        <w:tc>
          <w:tcPr>
            <w:tcW w:w="325" w:type="pct"/>
            <w:gridSpan w:val="2"/>
            <w:shd w:val="clear" w:color="auto" w:fill="auto"/>
            <w:vAlign w:val="center"/>
          </w:tcPr>
          <w:p w14:paraId="34144DEA" w14:textId="77777777" w:rsidR="00423551" w:rsidRPr="000C5499" w:rsidRDefault="00423551" w:rsidP="00DF5FA4">
            <w:pPr>
              <w:pStyle w:val="TableText"/>
              <w:keepNext/>
              <w:spacing w:before="0" w:after="0"/>
              <w:jc w:val="center"/>
              <w:rPr>
                <w:b/>
                <w:bCs/>
              </w:rPr>
            </w:pPr>
            <w:r w:rsidRPr="000C5499">
              <w:rPr>
                <w:bCs/>
              </w:rPr>
              <w:t>0.153</w:t>
            </w:r>
          </w:p>
        </w:tc>
      </w:tr>
      <w:tr w:rsidR="00423551" w:rsidRPr="000C5499" w14:paraId="18705129"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5000" w:type="pct"/>
            <w:gridSpan w:val="9"/>
            <w:shd w:val="clear" w:color="auto" w:fill="auto"/>
            <w:vAlign w:val="center"/>
          </w:tcPr>
          <w:p w14:paraId="6B7F947C" w14:textId="77777777" w:rsidR="00423551" w:rsidRPr="000C5499" w:rsidRDefault="00423551" w:rsidP="00DF5FA4">
            <w:pPr>
              <w:pStyle w:val="In-tableHeading"/>
              <w:rPr>
                <w:bCs/>
              </w:rPr>
            </w:pPr>
            <w:r w:rsidRPr="000C5499">
              <w:t xml:space="preserve">Acute GVHD </w:t>
            </w:r>
            <w:r>
              <w:t>–</w:t>
            </w:r>
            <w:r w:rsidRPr="000C5499">
              <w:t xml:space="preserve"> Grade II-IV, % (95% CI)</w:t>
            </w:r>
          </w:p>
        </w:tc>
      </w:tr>
      <w:tr w:rsidR="00423551" w:rsidRPr="000C5499" w14:paraId="4F5A8B61"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43" w:type="pct"/>
            <w:shd w:val="clear" w:color="auto" w:fill="auto"/>
            <w:vAlign w:val="center"/>
          </w:tcPr>
          <w:p w14:paraId="48FD13CD" w14:textId="6B583BAD" w:rsidR="00423551" w:rsidRPr="000C5499" w:rsidRDefault="00423551" w:rsidP="00DF5FA4">
            <w:pPr>
              <w:pStyle w:val="TableText"/>
              <w:keepNext/>
              <w:spacing w:before="0" w:after="0"/>
              <w:rPr>
                <w:b/>
                <w:bCs/>
              </w:rPr>
            </w:pPr>
            <w:r w:rsidRPr="000C5499">
              <w:rPr>
                <w:bCs/>
              </w:rPr>
              <w:t>Chiesa</w:t>
            </w:r>
            <w:r>
              <w:rPr>
                <w:bCs/>
              </w:rPr>
              <w:t xml:space="preserve"> et al. </w:t>
            </w:r>
            <w:r w:rsidRPr="000C5499">
              <w:rPr>
                <w:bCs/>
              </w:rPr>
              <w:t xml:space="preserve"> (2022)</w:t>
            </w:r>
            <w:r w:rsidRPr="00836482">
              <w:rPr>
                <w:vertAlign w:val="superscript"/>
              </w:rPr>
              <w:t xml:space="preserve"> a</w:t>
            </w:r>
          </w:p>
        </w:tc>
        <w:tc>
          <w:tcPr>
            <w:tcW w:w="448" w:type="pct"/>
            <w:vAlign w:val="center"/>
          </w:tcPr>
          <w:p w14:paraId="2FED8DD8" w14:textId="77777777" w:rsidR="00423551" w:rsidRPr="000C5499" w:rsidRDefault="00423551" w:rsidP="00DF5FA4">
            <w:pPr>
              <w:pStyle w:val="TableText"/>
              <w:keepNext/>
              <w:spacing w:before="0" w:after="0"/>
              <w:rPr>
                <w:b/>
                <w:bCs/>
              </w:rPr>
            </w:pPr>
            <w:r w:rsidRPr="000C5499">
              <w:rPr>
                <w:bCs/>
              </w:rPr>
              <w:t>Children</w:t>
            </w:r>
          </w:p>
        </w:tc>
        <w:tc>
          <w:tcPr>
            <w:tcW w:w="477" w:type="pct"/>
            <w:shd w:val="clear" w:color="auto" w:fill="auto"/>
            <w:vAlign w:val="center"/>
          </w:tcPr>
          <w:p w14:paraId="4767604D" w14:textId="77777777" w:rsidR="00423551" w:rsidRPr="000C5499" w:rsidRDefault="00423551" w:rsidP="00DF5FA4">
            <w:pPr>
              <w:pStyle w:val="TableText"/>
              <w:keepNext/>
              <w:spacing w:before="0" w:after="0"/>
              <w:jc w:val="center"/>
              <w:rPr>
                <w:b/>
                <w:bCs/>
              </w:rPr>
            </w:pPr>
            <w:r w:rsidRPr="000C5499">
              <w:rPr>
                <w:bCs/>
              </w:rPr>
              <w:t>2</w:t>
            </w:r>
          </w:p>
        </w:tc>
        <w:tc>
          <w:tcPr>
            <w:tcW w:w="926" w:type="pct"/>
            <w:gridSpan w:val="2"/>
            <w:vAlign w:val="center"/>
          </w:tcPr>
          <w:p w14:paraId="63E632BA" w14:textId="77777777" w:rsidR="00423551" w:rsidRPr="000C5499" w:rsidRDefault="00423551" w:rsidP="00DF5FA4">
            <w:pPr>
              <w:pStyle w:val="TableText"/>
              <w:keepNext/>
              <w:spacing w:before="0" w:after="0"/>
              <w:jc w:val="center"/>
              <w:rPr>
                <w:b/>
                <w:bCs/>
              </w:rPr>
            </w:pPr>
            <w:r>
              <w:rPr>
                <w:bCs/>
              </w:rPr>
              <w:t>NR</w:t>
            </w:r>
            <w:r w:rsidRPr="000C5499">
              <w:rPr>
                <w:bCs/>
              </w:rPr>
              <w:t>, 15.4 (6.1, 28.5)</w:t>
            </w:r>
          </w:p>
        </w:tc>
        <w:tc>
          <w:tcPr>
            <w:tcW w:w="876" w:type="pct"/>
            <w:shd w:val="clear" w:color="auto" w:fill="auto"/>
            <w:vAlign w:val="center"/>
          </w:tcPr>
          <w:p w14:paraId="1134F1B9" w14:textId="77777777" w:rsidR="00423551" w:rsidRPr="000C5499" w:rsidRDefault="00423551" w:rsidP="00DF5FA4">
            <w:pPr>
              <w:pStyle w:val="TableText"/>
              <w:keepNext/>
              <w:spacing w:before="0" w:after="0"/>
              <w:jc w:val="center"/>
              <w:rPr>
                <w:b/>
                <w:bCs/>
              </w:rPr>
            </w:pPr>
            <w:r>
              <w:rPr>
                <w:bCs/>
              </w:rPr>
              <w:t>NR</w:t>
            </w:r>
            <w:r w:rsidRPr="000C5499">
              <w:rPr>
                <w:bCs/>
              </w:rPr>
              <w:t>, 25.6 (7.4, 49.0)</w:t>
            </w:r>
          </w:p>
        </w:tc>
        <w:tc>
          <w:tcPr>
            <w:tcW w:w="905" w:type="pct"/>
            <w:vAlign w:val="center"/>
          </w:tcPr>
          <w:p w14:paraId="372A0C1E" w14:textId="77777777" w:rsidR="00423551" w:rsidRPr="000C5499" w:rsidRDefault="00423551" w:rsidP="00DF5FA4">
            <w:pPr>
              <w:pStyle w:val="TableText"/>
              <w:keepNext/>
              <w:spacing w:before="0" w:after="0"/>
              <w:jc w:val="center"/>
              <w:rPr>
                <w:b/>
                <w:bCs/>
              </w:rPr>
            </w:pPr>
            <w:r w:rsidRPr="000C5499">
              <w:rPr>
                <w:bCs/>
              </w:rPr>
              <w:t>0.0673 (0.190, 2.388)</w:t>
            </w:r>
          </w:p>
        </w:tc>
        <w:tc>
          <w:tcPr>
            <w:tcW w:w="325" w:type="pct"/>
            <w:gridSpan w:val="2"/>
            <w:shd w:val="clear" w:color="auto" w:fill="auto"/>
            <w:vAlign w:val="center"/>
          </w:tcPr>
          <w:p w14:paraId="631FA06E" w14:textId="77777777" w:rsidR="00423551" w:rsidRPr="000C5499" w:rsidRDefault="00423551" w:rsidP="00DF5FA4">
            <w:pPr>
              <w:pStyle w:val="TableText"/>
              <w:keepNext/>
              <w:spacing w:before="0" w:after="0"/>
              <w:jc w:val="center"/>
              <w:rPr>
                <w:b/>
                <w:bCs/>
              </w:rPr>
            </w:pPr>
            <w:r w:rsidRPr="000C5499">
              <w:rPr>
                <w:bCs/>
              </w:rPr>
              <w:t>0.423</w:t>
            </w:r>
          </w:p>
        </w:tc>
      </w:tr>
      <w:tr w:rsidR="00423551" w:rsidRPr="000C5499" w14:paraId="0FB451EF"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43" w:type="pct"/>
            <w:shd w:val="clear" w:color="auto" w:fill="auto"/>
            <w:vAlign w:val="center"/>
          </w:tcPr>
          <w:p w14:paraId="60FD8457" w14:textId="2DBAED20" w:rsidR="00423551" w:rsidRPr="000C5499" w:rsidRDefault="00423551" w:rsidP="00DF5FA4">
            <w:pPr>
              <w:pStyle w:val="TableText"/>
              <w:keepNext/>
              <w:spacing w:before="0" w:after="0"/>
              <w:rPr>
                <w:b/>
                <w:bCs/>
              </w:rPr>
            </w:pPr>
            <w:r w:rsidRPr="000C5499">
              <w:rPr>
                <w:bCs/>
              </w:rPr>
              <w:t xml:space="preserve">Kuhl </w:t>
            </w:r>
            <w:r>
              <w:rPr>
                <w:bCs/>
              </w:rPr>
              <w:t xml:space="preserve">et al. </w:t>
            </w:r>
            <w:r w:rsidRPr="000C5499">
              <w:rPr>
                <w:bCs/>
              </w:rPr>
              <w:t>(2017)</w:t>
            </w:r>
            <w:r w:rsidRPr="00836482">
              <w:rPr>
                <w:bCs/>
                <w:vertAlign w:val="superscript"/>
              </w:rPr>
              <w:t xml:space="preserve"> b</w:t>
            </w:r>
          </w:p>
        </w:tc>
        <w:tc>
          <w:tcPr>
            <w:tcW w:w="448" w:type="pct"/>
            <w:vAlign w:val="center"/>
          </w:tcPr>
          <w:p w14:paraId="78CAEAFF" w14:textId="77777777" w:rsidR="00423551" w:rsidRPr="000C5499" w:rsidRDefault="00423551" w:rsidP="00DF5FA4">
            <w:pPr>
              <w:pStyle w:val="TableText"/>
              <w:keepNext/>
              <w:spacing w:before="0" w:after="0"/>
              <w:rPr>
                <w:b/>
                <w:bCs/>
              </w:rPr>
            </w:pPr>
            <w:r w:rsidRPr="000C5499">
              <w:rPr>
                <w:bCs/>
              </w:rPr>
              <w:t>Adults</w:t>
            </w:r>
          </w:p>
        </w:tc>
        <w:tc>
          <w:tcPr>
            <w:tcW w:w="477" w:type="pct"/>
            <w:shd w:val="clear" w:color="auto" w:fill="auto"/>
            <w:vAlign w:val="center"/>
          </w:tcPr>
          <w:p w14:paraId="1BA64056" w14:textId="77777777" w:rsidR="00423551" w:rsidRPr="000C5499" w:rsidRDefault="00423551" w:rsidP="00DF5FA4">
            <w:pPr>
              <w:pStyle w:val="TableText"/>
              <w:keepNext/>
              <w:spacing w:before="0" w:after="0"/>
              <w:jc w:val="center"/>
              <w:rPr>
                <w:b/>
                <w:bCs/>
              </w:rPr>
            </w:pPr>
            <w:r>
              <w:rPr>
                <w:bCs/>
              </w:rPr>
              <w:t>NR</w:t>
            </w:r>
          </w:p>
        </w:tc>
        <w:tc>
          <w:tcPr>
            <w:tcW w:w="926" w:type="pct"/>
            <w:gridSpan w:val="2"/>
            <w:vAlign w:val="center"/>
          </w:tcPr>
          <w:p w14:paraId="53FED4EB" w14:textId="7727C1FC" w:rsidR="00423551" w:rsidRPr="000C5499" w:rsidRDefault="00423551" w:rsidP="00DF5FA4">
            <w:pPr>
              <w:pStyle w:val="TableText"/>
              <w:keepNext/>
              <w:spacing w:before="0" w:after="0"/>
              <w:jc w:val="center"/>
              <w:rPr>
                <w:b/>
                <w:bCs/>
              </w:rPr>
            </w:pPr>
            <w:r w:rsidRPr="000C5499">
              <w:rPr>
                <w:bCs/>
              </w:rPr>
              <w:t>0/</w:t>
            </w:r>
            <w:r>
              <w:rPr>
                <w:bCs/>
              </w:rPr>
              <w:t>9</w:t>
            </w:r>
            <w:r w:rsidRPr="000C5499">
              <w:rPr>
                <w:bCs/>
              </w:rPr>
              <w:t>, 0.0</w:t>
            </w:r>
          </w:p>
        </w:tc>
        <w:tc>
          <w:tcPr>
            <w:tcW w:w="876" w:type="pct"/>
            <w:shd w:val="clear" w:color="auto" w:fill="auto"/>
            <w:vAlign w:val="center"/>
          </w:tcPr>
          <w:p w14:paraId="723B259E" w14:textId="61DB8553" w:rsidR="00423551" w:rsidRPr="000C5499" w:rsidRDefault="00423551" w:rsidP="00DF5FA4">
            <w:pPr>
              <w:pStyle w:val="TableText"/>
              <w:keepNext/>
              <w:spacing w:before="0" w:after="0"/>
              <w:jc w:val="center"/>
              <w:rPr>
                <w:b/>
                <w:bCs/>
              </w:rPr>
            </w:pPr>
            <w:r>
              <w:rPr>
                <w:bCs/>
              </w:rPr>
              <w:t>1/5</w:t>
            </w:r>
            <w:r w:rsidRPr="000C5499">
              <w:rPr>
                <w:bCs/>
              </w:rPr>
              <w:t>, 2</w:t>
            </w:r>
            <w:r>
              <w:rPr>
                <w:bCs/>
              </w:rPr>
              <w:t>0</w:t>
            </w:r>
            <w:r w:rsidRPr="000C5499">
              <w:rPr>
                <w:bCs/>
              </w:rPr>
              <w:t>.0</w:t>
            </w:r>
          </w:p>
        </w:tc>
        <w:tc>
          <w:tcPr>
            <w:tcW w:w="905" w:type="pct"/>
            <w:vAlign w:val="center"/>
          </w:tcPr>
          <w:p w14:paraId="621F0DF7" w14:textId="77777777" w:rsidR="00423551" w:rsidRPr="000C5499" w:rsidRDefault="00423551" w:rsidP="00DF5FA4">
            <w:pPr>
              <w:pStyle w:val="TableText"/>
              <w:keepNext/>
              <w:spacing w:before="0" w:after="0"/>
              <w:jc w:val="center"/>
              <w:rPr>
                <w:b/>
                <w:bCs/>
              </w:rPr>
            </w:pPr>
            <w:r>
              <w:rPr>
                <w:bCs/>
              </w:rPr>
              <w:t>NR</w:t>
            </w:r>
          </w:p>
        </w:tc>
        <w:tc>
          <w:tcPr>
            <w:tcW w:w="325" w:type="pct"/>
            <w:gridSpan w:val="2"/>
            <w:shd w:val="clear" w:color="auto" w:fill="auto"/>
            <w:vAlign w:val="center"/>
          </w:tcPr>
          <w:p w14:paraId="5C67A867" w14:textId="77777777" w:rsidR="00423551" w:rsidRPr="000C5499" w:rsidRDefault="00423551" w:rsidP="00DF5FA4">
            <w:pPr>
              <w:pStyle w:val="TableText"/>
              <w:keepNext/>
              <w:spacing w:before="0" w:after="0"/>
              <w:jc w:val="center"/>
              <w:rPr>
                <w:b/>
                <w:bCs/>
              </w:rPr>
            </w:pPr>
            <w:r>
              <w:rPr>
                <w:bCs/>
              </w:rPr>
              <w:t>NR</w:t>
            </w:r>
          </w:p>
        </w:tc>
      </w:tr>
      <w:tr w:rsidR="00423551" w:rsidRPr="000C5499" w14:paraId="0C37A31E"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43" w:type="pct"/>
            <w:shd w:val="clear" w:color="auto" w:fill="auto"/>
            <w:vAlign w:val="center"/>
          </w:tcPr>
          <w:p w14:paraId="13B8017D" w14:textId="77777777" w:rsidR="00423551" w:rsidRPr="000C5499" w:rsidRDefault="00423551" w:rsidP="00B77A8A">
            <w:pPr>
              <w:pStyle w:val="TableText"/>
              <w:keepNext/>
              <w:spacing w:before="0" w:after="0"/>
              <w:rPr>
                <w:b/>
                <w:bCs/>
              </w:rPr>
            </w:pPr>
            <w:r w:rsidRPr="000C5499">
              <w:rPr>
                <w:bCs/>
              </w:rPr>
              <w:t xml:space="preserve">Waldhüter </w:t>
            </w:r>
            <w:r>
              <w:rPr>
                <w:bCs/>
              </w:rPr>
              <w:t xml:space="preserve">et al. </w:t>
            </w:r>
            <w:r w:rsidRPr="000C5499">
              <w:rPr>
                <w:bCs/>
              </w:rPr>
              <w:t>(2019)</w:t>
            </w:r>
            <w:r w:rsidRPr="00836482">
              <w:rPr>
                <w:bCs/>
                <w:vertAlign w:val="superscript"/>
              </w:rPr>
              <w:t xml:space="preserve"> c</w:t>
            </w:r>
            <w:r w:rsidRPr="000C5499">
              <w:rPr>
                <w:b/>
                <w:bCs/>
              </w:rPr>
              <w:t xml:space="preserve"> </w:t>
            </w:r>
          </w:p>
        </w:tc>
        <w:tc>
          <w:tcPr>
            <w:tcW w:w="448" w:type="pct"/>
            <w:vAlign w:val="center"/>
          </w:tcPr>
          <w:p w14:paraId="151DCCB7" w14:textId="77777777" w:rsidR="00423551" w:rsidRPr="000C5499" w:rsidRDefault="00423551" w:rsidP="00DF5FA4">
            <w:pPr>
              <w:pStyle w:val="TableText"/>
              <w:keepNext/>
              <w:spacing w:before="0" w:after="0"/>
              <w:rPr>
                <w:b/>
                <w:bCs/>
              </w:rPr>
            </w:pPr>
            <w:r w:rsidRPr="000C5499">
              <w:rPr>
                <w:bCs/>
              </w:rPr>
              <w:t>Adults</w:t>
            </w:r>
          </w:p>
        </w:tc>
        <w:tc>
          <w:tcPr>
            <w:tcW w:w="477" w:type="pct"/>
            <w:shd w:val="clear" w:color="auto" w:fill="auto"/>
            <w:vAlign w:val="center"/>
          </w:tcPr>
          <w:p w14:paraId="334333B7" w14:textId="77777777" w:rsidR="00423551" w:rsidRPr="000C5499" w:rsidRDefault="00423551" w:rsidP="00DF5FA4">
            <w:pPr>
              <w:pStyle w:val="TableText"/>
              <w:keepNext/>
              <w:spacing w:before="0" w:after="0"/>
              <w:jc w:val="center"/>
              <w:rPr>
                <w:b/>
                <w:bCs/>
              </w:rPr>
            </w:pPr>
            <w:r w:rsidRPr="000C5499">
              <w:rPr>
                <w:bCs/>
              </w:rPr>
              <w:t>1</w:t>
            </w:r>
          </w:p>
        </w:tc>
        <w:tc>
          <w:tcPr>
            <w:tcW w:w="926" w:type="pct"/>
            <w:gridSpan w:val="2"/>
            <w:vAlign w:val="center"/>
          </w:tcPr>
          <w:p w14:paraId="3423C5E7" w14:textId="00B87080" w:rsidR="00423551" w:rsidRPr="000C5499" w:rsidRDefault="00B86DD7" w:rsidP="00DF5FA4">
            <w:pPr>
              <w:pStyle w:val="TableText"/>
              <w:keepNext/>
              <w:spacing w:before="0" w:after="0"/>
              <w:jc w:val="center"/>
              <w:rPr>
                <w:b/>
                <w:bCs/>
              </w:rPr>
            </w:pPr>
            <w:r>
              <w:rPr>
                <w:bCs/>
              </w:rPr>
              <w:t>0</w:t>
            </w:r>
            <w:r w:rsidR="00423551" w:rsidRPr="000C5499">
              <w:rPr>
                <w:bCs/>
              </w:rPr>
              <w:t>/</w:t>
            </w:r>
            <w:r w:rsidR="00423551">
              <w:rPr>
                <w:bCs/>
              </w:rPr>
              <w:t>9</w:t>
            </w:r>
            <w:r w:rsidR="00423551" w:rsidRPr="000C5499">
              <w:rPr>
                <w:bCs/>
              </w:rPr>
              <w:t xml:space="preserve">, </w:t>
            </w:r>
            <w:r>
              <w:rPr>
                <w:bCs/>
              </w:rPr>
              <w:t>0.0</w:t>
            </w:r>
          </w:p>
        </w:tc>
        <w:tc>
          <w:tcPr>
            <w:tcW w:w="876" w:type="pct"/>
            <w:shd w:val="clear" w:color="auto" w:fill="auto"/>
            <w:vAlign w:val="center"/>
          </w:tcPr>
          <w:p w14:paraId="5B6C0143" w14:textId="7B3FE5EA" w:rsidR="00423551" w:rsidRPr="000C5499" w:rsidRDefault="00B86DD7" w:rsidP="00DF5FA4">
            <w:pPr>
              <w:pStyle w:val="TableText"/>
              <w:keepNext/>
              <w:spacing w:before="0" w:after="0"/>
              <w:jc w:val="center"/>
              <w:rPr>
                <w:b/>
                <w:bCs/>
              </w:rPr>
            </w:pPr>
            <w:r>
              <w:rPr>
                <w:bCs/>
              </w:rPr>
              <w:t>2</w:t>
            </w:r>
            <w:r w:rsidR="00423551">
              <w:rPr>
                <w:bCs/>
              </w:rPr>
              <w:t>/6</w:t>
            </w:r>
            <w:r w:rsidR="00423551" w:rsidRPr="000C5499">
              <w:rPr>
                <w:bCs/>
              </w:rPr>
              <w:t xml:space="preserve">, </w:t>
            </w:r>
            <w:r>
              <w:rPr>
                <w:bCs/>
              </w:rPr>
              <w:t>33.3</w:t>
            </w:r>
          </w:p>
        </w:tc>
        <w:tc>
          <w:tcPr>
            <w:tcW w:w="905" w:type="pct"/>
            <w:vAlign w:val="center"/>
          </w:tcPr>
          <w:p w14:paraId="59795914" w14:textId="77777777" w:rsidR="00423551" w:rsidRPr="000C5499" w:rsidRDefault="00423551" w:rsidP="00DF5FA4">
            <w:pPr>
              <w:pStyle w:val="TableText"/>
              <w:keepNext/>
              <w:spacing w:before="0" w:after="0"/>
              <w:jc w:val="center"/>
              <w:rPr>
                <w:b/>
                <w:bCs/>
              </w:rPr>
            </w:pPr>
            <w:r>
              <w:rPr>
                <w:bCs/>
              </w:rPr>
              <w:t>NR</w:t>
            </w:r>
          </w:p>
        </w:tc>
        <w:tc>
          <w:tcPr>
            <w:tcW w:w="325" w:type="pct"/>
            <w:gridSpan w:val="2"/>
            <w:shd w:val="clear" w:color="auto" w:fill="auto"/>
            <w:vAlign w:val="center"/>
          </w:tcPr>
          <w:p w14:paraId="1F5B4A21" w14:textId="77777777" w:rsidR="00423551" w:rsidRPr="000C5499" w:rsidRDefault="00423551" w:rsidP="00DF5FA4">
            <w:pPr>
              <w:pStyle w:val="TableText"/>
              <w:keepNext/>
              <w:spacing w:before="0" w:after="0"/>
              <w:jc w:val="center"/>
              <w:rPr>
                <w:b/>
                <w:bCs/>
              </w:rPr>
            </w:pPr>
            <w:r>
              <w:rPr>
                <w:bCs/>
              </w:rPr>
              <w:t>NR</w:t>
            </w:r>
          </w:p>
        </w:tc>
      </w:tr>
      <w:tr w:rsidR="00423551" w:rsidRPr="000C5499" w14:paraId="44B865F6"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5000" w:type="pct"/>
            <w:gridSpan w:val="9"/>
            <w:shd w:val="clear" w:color="auto" w:fill="auto"/>
            <w:vAlign w:val="center"/>
          </w:tcPr>
          <w:p w14:paraId="4D79622E" w14:textId="77777777" w:rsidR="00423551" w:rsidRPr="000C5499" w:rsidRDefault="00423551" w:rsidP="00DF5FA4">
            <w:pPr>
              <w:pStyle w:val="In-tableHeading"/>
              <w:rPr>
                <w:bCs/>
              </w:rPr>
            </w:pPr>
            <w:r w:rsidRPr="000C5499">
              <w:t xml:space="preserve">Acute GVHD </w:t>
            </w:r>
            <w:r>
              <w:t>–</w:t>
            </w:r>
            <w:r w:rsidRPr="000C5499">
              <w:t xml:space="preserve"> Grade III-IV, % (95% CI)</w:t>
            </w:r>
          </w:p>
        </w:tc>
      </w:tr>
      <w:tr w:rsidR="00423551" w:rsidRPr="000C5499" w14:paraId="15AB1AEA"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43" w:type="pct"/>
            <w:shd w:val="clear" w:color="auto" w:fill="auto"/>
            <w:vAlign w:val="center"/>
          </w:tcPr>
          <w:p w14:paraId="712C73BE" w14:textId="77777777" w:rsidR="00423551" w:rsidRPr="000C5499" w:rsidRDefault="00423551" w:rsidP="00B77A8A">
            <w:pPr>
              <w:pStyle w:val="TableText"/>
              <w:keepNext/>
              <w:spacing w:before="0" w:after="0"/>
              <w:rPr>
                <w:b/>
                <w:bCs/>
              </w:rPr>
            </w:pPr>
            <w:r w:rsidRPr="000C5499">
              <w:rPr>
                <w:bCs/>
              </w:rPr>
              <w:t>Chiesa</w:t>
            </w:r>
            <w:r>
              <w:rPr>
                <w:bCs/>
              </w:rPr>
              <w:t xml:space="preserve"> et al.</w:t>
            </w:r>
            <w:r w:rsidRPr="000C5499">
              <w:rPr>
                <w:bCs/>
              </w:rPr>
              <w:t xml:space="preserve"> (2022)</w:t>
            </w:r>
            <w:r w:rsidRPr="00836482">
              <w:rPr>
                <w:vertAlign w:val="superscript"/>
              </w:rPr>
              <w:t xml:space="preserve"> a</w:t>
            </w:r>
            <w:r w:rsidRPr="000C5499">
              <w:rPr>
                <w:b/>
                <w:bCs/>
              </w:rPr>
              <w:t xml:space="preserve"> </w:t>
            </w:r>
          </w:p>
        </w:tc>
        <w:tc>
          <w:tcPr>
            <w:tcW w:w="448" w:type="pct"/>
            <w:vAlign w:val="center"/>
          </w:tcPr>
          <w:p w14:paraId="51613702" w14:textId="77777777" w:rsidR="00423551" w:rsidRPr="000C5499" w:rsidRDefault="00423551" w:rsidP="00DF5FA4">
            <w:pPr>
              <w:pStyle w:val="TableText"/>
              <w:keepNext/>
              <w:spacing w:before="0" w:after="0"/>
              <w:rPr>
                <w:b/>
                <w:bCs/>
              </w:rPr>
            </w:pPr>
            <w:r w:rsidRPr="000C5499">
              <w:rPr>
                <w:bCs/>
              </w:rPr>
              <w:t>Children</w:t>
            </w:r>
          </w:p>
        </w:tc>
        <w:tc>
          <w:tcPr>
            <w:tcW w:w="477" w:type="pct"/>
            <w:shd w:val="clear" w:color="auto" w:fill="auto"/>
            <w:vAlign w:val="center"/>
          </w:tcPr>
          <w:p w14:paraId="198832A7" w14:textId="77777777" w:rsidR="00423551" w:rsidRPr="000C5499" w:rsidRDefault="00423551" w:rsidP="00DF5FA4">
            <w:pPr>
              <w:pStyle w:val="TableText"/>
              <w:keepNext/>
              <w:spacing w:before="0" w:after="0"/>
              <w:jc w:val="center"/>
              <w:rPr>
                <w:b/>
                <w:bCs/>
              </w:rPr>
            </w:pPr>
            <w:r w:rsidRPr="000C5499">
              <w:rPr>
                <w:bCs/>
              </w:rPr>
              <w:t>2</w:t>
            </w:r>
          </w:p>
        </w:tc>
        <w:tc>
          <w:tcPr>
            <w:tcW w:w="926" w:type="pct"/>
            <w:gridSpan w:val="2"/>
            <w:vAlign w:val="center"/>
          </w:tcPr>
          <w:p w14:paraId="190BEBDD" w14:textId="77777777" w:rsidR="00423551" w:rsidRPr="000C5499" w:rsidRDefault="00423551" w:rsidP="00DF5FA4">
            <w:pPr>
              <w:pStyle w:val="TableText"/>
              <w:keepNext/>
              <w:spacing w:before="0" w:after="0"/>
              <w:jc w:val="center"/>
              <w:rPr>
                <w:b/>
                <w:bCs/>
              </w:rPr>
            </w:pPr>
            <w:r>
              <w:rPr>
                <w:bCs/>
              </w:rPr>
              <w:t>NR</w:t>
            </w:r>
            <w:r w:rsidRPr="000C5499">
              <w:rPr>
                <w:bCs/>
              </w:rPr>
              <w:t>, 10.3 (3.2, 22.2)</w:t>
            </w:r>
          </w:p>
        </w:tc>
        <w:tc>
          <w:tcPr>
            <w:tcW w:w="876" w:type="pct"/>
            <w:shd w:val="clear" w:color="auto" w:fill="auto"/>
            <w:vAlign w:val="center"/>
          </w:tcPr>
          <w:p w14:paraId="796443CA" w14:textId="77777777" w:rsidR="00423551" w:rsidRPr="000C5499" w:rsidRDefault="00423551" w:rsidP="00DF5FA4">
            <w:pPr>
              <w:pStyle w:val="TableText"/>
              <w:keepNext/>
              <w:spacing w:before="0" w:after="0"/>
              <w:jc w:val="center"/>
              <w:rPr>
                <w:b/>
                <w:bCs/>
              </w:rPr>
            </w:pPr>
            <w:r>
              <w:rPr>
                <w:bCs/>
              </w:rPr>
              <w:t>NR</w:t>
            </w:r>
            <w:r w:rsidRPr="000C5499">
              <w:rPr>
                <w:bCs/>
              </w:rPr>
              <w:t>, 13.0 (1.9, 34.8)</w:t>
            </w:r>
          </w:p>
        </w:tc>
        <w:tc>
          <w:tcPr>
            <w:tcW w:w="905" w:type="pct"/>
            <w:vAlign w:val="center"/>
          </w:tcPr>
          <w:p w14:paraId="168999AA" w14:textId="77777777" w:rsidR="00423551" w:rsidRPr="000C5499" w:rsidRDefault="00423551" w:rsidP="00DF5FA4">
            <w:pPr>
              <w:pStyle w:val="TableText"/>
              <w:keepNext/>
              <w:spacing w:before="0" w:after="0"/>
              <w:jc w:val="center"/>
              <w:rPr>
                <w:b/>
                <w:bCs/>
              </w:rPr>
            </w:pPr>
            <w:r w:rsidRPr="000C5499">
              <w:rPr>
                <w:bCs/>
              </w:rPr>
              <w:t>0.935 (0.171, 5.113)</w:t>
            </w:r>
          </w:p>
        </w:tc>
        <w:tc>
          <w:tcPr>
            <w:tcW w:w="325" w:type="pct"/>
            <w:gridSpan w:val="2"/>
            <w:shd w:val="clear" w:color="auto" w:fill="auto"/>
            <w:vAlign w:val="center"/>
          </w:tcPr>
          <w:p w14:paraId="37D8DD35" w14:textId="77777777" w:rsidR="00423551" w:rsidRPr="000C5499" w:rsidRDefault="00423551" w:rsidP="00DF5FA4">
            <w:pPr>
              <w:pStyle w:val="TableText"/>
              <w:keepNext/>
              <w:spacing w:before="0" w:after="0"/>
              <w:jc w:val="center"/>
              <w:rPr>
                <w:b/>
                <w:bCs/>
              </w:rPr>
            </w:pPr>
            <w:r w:rsidRPr="000C5499">
              <w:rPr>
                <w:bCs/>
              </w:rPr>
              <w:t>0.815</w:t>
            </w:r>
          </w:p>
        </w:tc>
      </w:tr>
      <w:tr w:rsidR="00423551" w:rsidRPr="000C5499" w14:paraId="74F4571E"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43" w:type="pct"/>
            <w:shd w:val="clear" w:color="auto" w:fill="auto"/>
            <w:vAlign w:val="center"/>
          </w:tcPr>
          <w:p w14:paraId="6034429F" w14:textId="5D643F83" w:rsidR="00423551" w:rsidRPr="000C5499" w:rsidRDefault="00423551" w:rsidP="00B77A8A">
            <w:pPr>
              <w:pStyle w:val="TableText"/>
              <w:keepNext/>
              <w:spacing w:before="0" w:after="0"/>
              <w:rPr>
                <w:b/>
                <w:bCs/>
              </w:rPr>
            </w:pPr>
            <w:r w:rsidRPr="000C5499">
              <w:rPr>
                <w:bCs/>
              </w:rPr>
              <w:t xml:space="preserve">Kuhl </w:t>
            </w:r>
            <w:r>
              <w:rPr>
                <w:bCs/>
              </w:rPr>
              <w:t xml:space="preserve">et al. </w:t>
            </w:r>
            <w:r w:rsidRPr="000C5499">
              <w:rPr>
                <w:bCs/>
              </w:rPr>
              <w:t>(2017)</w:t>
            </w:r>
            <w:r w:rsidRPr="00836482">
              <w:rPr>
                <w:bCs/>
                <w:vertAlign w:val="superscript"/>
              </w:rPr>
              <w:t xml:space="preserve"> b</w:t>
            </w:r>
            <w:r w:rsidRPr="000C5499">
              <w:rPr>
                <w:b/>
                <w:bCs/>
              </w:rPr>
              <w:t xml:space="preserve"> </w:t>
            </w:r>
          </w:p>
        </w:tc>
        <w:tc>
          <w:tcPr>
            <w:tcW w:w="448" w:type="pct"/>
            <w:vAlign w:val="center"/>
          </w:tcPr>
          <w:p w14:paraId="4FECAFC4" w14:textId="77777777" w:rsidR="00423551" w:rsidRPr="000C5499" w:rsidRDefault="00423551" w:rsidP="00DF5FA4">
            <w:pPr>
              <w:pStyle w:val="TableText"/>
              <w:keepNext/>
              <w:spacing w:before="0" w:after="0"/>
              <w:rPr>
                <w:b/>
                <w:bCs/>
              </w:rPr>
            </w:pPr>
            <w:r w:rsidRPr="000C5499">
              <w:rPr>
                <w:bCs/>
              </w:rPr>
              <w:t>Adults</w:t>
            </w:r>
          </w:p>
        </w:tc>
        <w:tc>
          <w:tcPr>
            <w:tcW w:w="477" w:type="pct"/>
            <w:shd w:val="clear" w:color="auto" w:fill="auto"/>
            <w:vAlign w:val="center"/>
          </w:tcPr>
          <w:p w14:paraId="461FE285" w14:textId="77777777" w:rsidR="00423551" w:rsidRPr="000C5499" w:rsidRDefault="00423551" w:rsidP="00DF5FA4">
            <w:pPr>
              <w:pStyle w:val="TableText"/>
              <w:keepNext/>
              <w:spacing w:before="0" w:after="0"/>
              <w:jc w:val="center"/>
              <w:rPr>
                <w:b/>
                <w:bCs/>
              </w:rPr>
            </w:pPr>
            <w:r>
              <w:rPr>
                <w:bCs/>
              </w:rPr>
              <w:t>NR</w:t>
            </w:r>
          </w:p>
        </w:tc>
        <w:tc>
          <w:tcPr>
            <w:tcW w:w="926" w:type="pct"/>
            <w:gridSpan w:val="2"/>
            <w:vAlign w:val="center"/>
          </w:tcPr>
          <w:p w14:paraId="5041ECDF" w14:textId="77777777" w:rsidR="00423551" w:rsidRPr="000C5499" w:rsidRDefault="00423551" w:rsidP="00DF5FA4">
            <w:pPr>
              <w:pStyle w:val="TableText"/>
              <w:keepNext/>
              <w:spacing w:before="0" w:after="0"/>
              <w:jc w:val="center"/>
              <w:rPr>
                <w:b/>
                <w:bCs/>
              </w:rPr>
            </w:pPr>
            <w:r>
              <w:rPr>
                <w:bCs/>
              </w:rPr>
              <w:t xml:space="preserve">0/9, </w:t>
            </w:r>
            <w:r w:rsidRPr="000C5499">
              <w:rPr>
                <w:bCs/>
              </w:rPr>
              <w:t>0.0</w:t>
            </w:r>
          </w:p>
        </w:tc>
        <w:tc>
          <w:tcPr>
            <w:tcW w:w="876" w:type="pct"/>
            <w:shd w:val="clear" w:color="auto" w:fill="auto"/>
            <w:vAlign w:val="center"/>
          </w:tcPr>
          <w:p w14:paraId="0C28F7B7" w14:textId="69E56804" w:rsidR="00423551" w:rsidRPr="000C5499" w:rsidRDefault="00423551" w:rsidP="00DF5FA4">
            <w:pPr>
              <w:pStyle w:val="TableText"/>
              <w:keepNext/>
              <w:spacing w:before="0" w:after="0"/>
              <w:jc w:val="center"/>
              <w:rPr>
                <w:b/>
                <w:bCs/>
              </w:rPr>
            </w:pPr>
            <w:r>
              <w:rPr>
                <w:bCs/>
              </w:rPr>
              <w:t xml:space="preserve">1/5, </w:t>
            </w:r>
            <w:r w:rsidRPr="000C5499">
              <w:rPr>
                <w:bCs/>
              </w:rPr>
              <w:t>2</w:t>
            </w:r>
            <w:r>
              <w:rPr>
                <w:bCs/>
              </w:rPr>
              <w:t>0</w:t>
            </w:r>
            <w:r w:rsidRPr="000C5499">
              <w:rPr>
                <w:bCs/>
              </w:rPr>
              <w:t>.0</w:t>
            </w:r>
          </w:p>
        </w:tc>
        <w:tc>
          <w:tcPr>
            <w:tcW w:w="905" w:type="pct"/>
            <w:vAlign w:val="center"/>
          </w:tcPr>
          <w:p w14:paraId="1AB3CCA6" w14:textId="77777777" w:rsidR="00423551" w:rsidRPr="000C5499" w:rsidRDefault="00423551" w:rsidP="00DF5FA4">
            <w:pPr>
              <w:pStyle w:val="TableText"/>
              <w:keepNext/>
              <w:spacing w:before="0" w:after="0"/>
              <w:jc w:val="center"/>
              <w:rPr>
                <w:b/>
                <w:bCs/>
              </w:rPr>
            </w:pPr>
            <w:r>
              <w:rPr>
                <w:bCs/>
              </w:rPr>
              <w:t>NR</w:t>
            </w:r>
          </w:p>
        </w:tc>
        <w:tc>
          <w:tcPr>
            <w:tcW w:w="325" w:type="pct"/>
            <w:gridSpan w:val="2"/>
            <w:shd w:val="clear" w:color="auto" w:fill="auto"/>
            <w:vAlign w:val="center"/>
          </w:tcPr>
          <w:p w14:paraId="7EBEB360" w14:textId="77777777" w:rsidR="00423551" w:rsidRPr="000C5499" w:rsidRDefault="00423551" w:rsidP="00DF5FA4">
            <w:pPr>
              <w:pStyle w:val="TableText"/>
              <w:keepNext/>
              <w:spacing w:before="0" w:after="0"/>
              <w:jc w:val="center"/>
              <w:rPr>
                <w:b/>
                <w:bCs/>
              </w:rPr>
            </w:pPr>
            <w:r>
              <w:rPr>
                <w:bCs/>
              </w:rPr>
              <w:t>NR</w:t>
            </w:r>
          </w:p>
        </w:tc>
      </w:tr>
      <w:tr w:rsidR="00423551" w:rsidRPr="000C5499" w14:paraId="7F9B5A26"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43" w:type="pct"/>
            <w:shd w:val="clear" w:color="auto" w:fill="auto"/>
            <w:vAlign w:val="center"/>
          </w:tcPr>
          <w:p w14:paraId="5CBF13CE" w14:textId="77777777" w:rsidR="00423551" w:rsidRPr="00B77A8A" w:rsidRDefault="00423551" w:rsidP="00DF5FA4">
            <w:pPr>
              <w:pStyle w:val="TableText"/>
              <w:keepNext/>
              <w:spacing w:before="0" w:after="0"/>
              <w:rPr>
                <w:bCs/>
              </w:rPr>
            </w:pPr>
            <w:r w:rsidRPr="000C5499">
              <w:rPr>
                <w:bCs/>
              </w:rPr>
              <w:t>Waldhüter</w:t>
            </w:r>
            <w:r>
              <w:rPr>
                <w:bCs/>
              </w:rPr>
              <w:t xml:space="preserve"> et al.</w:t>
            </w:r>
            <w:r w:rsidRPr="000C5499">
              <w:rPr>
                <w:bCs/>
              </w:rPr>
              <w:t xml:space="preserve"> (2019)</w:t>
            </w:r>
            <w:r w:rsidRPr="00836482">
              <w:rPr>
                <w:bCs/>
                <w:vertAlign w:val="superscript"/>
              </w:rPr>
              <w:t xml:space="preserve"> c</w:t>
            </w:r>
          </w:p>
        </w:tc>
        <w:tc>
          <w:tcPr>
            <w:tcW w:w="448" w:type="pct"/>
            <w:vAlign w:val="center"/>
          </w:tcPr>
          <w:p w14:paraId="2967B40F" w14:textId="77777777" w:rsidR="00423551" w:rsidRPr="000C5499" w:rsidRDefault="00423551" w:rsidP="00DF5FA4">
            <w:pPr>
              <w:pStyle w:val="TableText"/>
              <w:keepNext/>
              <w:spacing w:before="0" w:after="0"/>
              <w:rPr>
                <w:b/>
                <w:bCs/>
              </w:rPr>
            </w:pPr>
            <w:r w:rsidRPr="000C5499">
              <w:rPr>
                <w:bCs/>
              </w:rPr>
              <w:t>Adults</w:t>
            </w:r>
          </w:p>
        </w:tc>
        <w:tc>
          <w:tcPr>
            <w:tcW w:w="477" w:type="pct"/>
            <w:shd w:val="clear" w:color="auto" w:fill="auto"/>
            <w:vAlign w:val="center"/>
          </w:tcPr>
          <w:p w14:paraId="0A735E59" w14:textId="77777777" w:rsidR="00423551" w:rsidRPr="000C5499" w:rsidRDefault="00423551" w:rsidP="00DF5FA4">
            <w:pPr>
              <w:pStyle w:val="TableText"/>
              <w:keepNext/>
              <w:spacing w:before="0" w:after="0"/>
              <w:jc w:val="center"/>
              <w:rPr>
                <w:b/>
                <w:bCs/>
              </w:rPr>
            </w:pPr>
            <w:r w:rsidRPr="000C5499">
              <w:rPr>
                <w:bCs/>
              </w:rPr>
              <w:t>1</w:t>
            </w:r>
          </w:p>
        </w:tc>
        <w:tc>
          <w:tcPr>
            <w:tcW w:w="926" w:type="pct"/>
            <w:gridSpan w:val="2"/>
            <w:vAlign w:val="center"/>
          </w:tcPr>
          <w:p w14:paraId="06F726F8" w14:textId="20D46315" w:rsidR="00423551" w:rsidRPr="000C5499" w:rsidRDefault="00423551" w:rsidP="00DF5FA4">
            <w:pPr>
              <w:pStyle w:val="TableText"/>
              <w:keepNext/>
              <w:spacing w:before="0" w:after="0"/>
              <w:jc w:val="center"/>
              <w:rPr>
                <w:b/>
                <w:bCs/>
              </w:rPr>
            </w:pPr>
            <w:r w:rsidRPr="000C5499">
              <w:rPr>
                <w:bCs/>
              </w:rPr>
              <w:t>0/</w:t>
            </w:r>
            <w:r>
              <w:rPr>
                <w:bCs/>
              </w:rPr>
              <w:t>9</w:t>
            </w:r>
            <w:r w:rsidRPr="000C5499">
              <w:rPr>
                <w:bCs/>
              </w:rPr>
              <w:t>, 0.0</w:t>
            </w:r>
          </w:p>
        </w:tc>
        <w:tc>
          <w:tcPr>
            <w:tcW w:w="876" w:type="pct"/>
            <w:shd w:val="clear" w:color="auto" w:fill="auto"/>
            <w:vAlign w:val="center"/>
          </w:tcPr>
          <w:p w14:paraId="529EB921" w14:textId="02C057BD" w:rsidR="00423551" w:rsidRPr="000C5499" w:rsidRDefault="00423551" w:rsidP="00DF5FA4">
            <w:pPr>
              <w:pStyle w:val="TableText"/>
              <w:keepNext/>
              <w:spacing w:before="0" w:after="0"/>
              <w:jc w:val="center"/>
              <w:rPr>
                <w:b/>
                <w:bCs/>
              </w:rPr>
            </w:pPr>
            <w:r>
              <w:rPr>
                <w:bCs/>
              </w:rPr>
              <w:t>1/6</w:t>
            </w:r>
            <w:r w:rsidRPr="000C5499">
              <w:rPr>
                <w:bCs/>
              </w:rPr>
              <w:t xml:space="preserve">, </w:t>
            </w:r>
            <w:r>
              <w:rPr>
                <w:bCs/>
              </w:rPr>
              <w:t>16.7</w:t>
            </w:r>
          </w:p>
        </w:tc>
        <w:tc>
          <w:tcPr>
            <w:tcW w:w="905" w:type="pct"/>
            <w:vAlign w:val="center"/>
          </w:tcPr>
          <w:p w14:paraId="2E311A4E" w14:textId="77777777" w:rsidR="00423551" w:rsidRPr="000C5499" w:rsidRDefault="00423551" w:rsidP="00DF5FA4">
            <w:pPr>
              <w:pStyle w:val="TableText"/>
              <w:keepNext/>
              <w:spacing w:before="0" w:after="0"/>
              <w:jc w:val="center"/>
              <w:rPr>
                <w:b/>
                <w:bCs/>
              </w:rPr>
            </w:pPr>
            <w:r>
              <w:rPr>
                <w:bCs/>
              </w:rPr>
              <w:t>NR</w:t>
            </w:r>
          </w:p>
        </w:tc>
        <w:tc>
          <w:tcPr>
            <w:tcW w:w="325" w:type="pct"/>
            <w:gridSpan w:val="2"/>
            <w:shd w:val="clear" w:color="auto" w:fill="auto"/>
            <w:vAlign w:val="center"/>
          </w:tcPr>
          <w:p w14:paraId="2CCAEAB8" w14:textId="77777777" w:rsidR="00423551" w:rsidRPr="000C5499" w:rsidRDefault="00423551" w:rsidP="00DF5FA4">
            <w:pPr>
              <w:pStyle w:val="TableText"/>
              <w:keepNext/>
              <w:spacing w:before="0" w:after="0"/>
              <w:jc w:val="center"/>
              <w:rPr>
                <w:b/>
                <w:bCs/>
              </w:rPr>
            </w:pPr>
            <w:r>
              <w:rPr>
                <w:bCs/>
              </w:rPr>
              <w:t>NR</w:t>
            </w:r>
          </w:p>
        </w:tc>
      </w:tr>
      <w:tr w:rsidR="00423551" w:rsidRPr="000C5499" w14:paraId="3FC9513C"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5000" w:type="pct"/>
            <w:gridSpan w:val="9"/>
            <w:shd w:val="clear" w:color="auto" w:fill="auto"/>
            <w:vAlign w:val="center"/>
          </w:tcPr>
          <w:p w14:paraId="05DE64AF" w14:textId="31A8E8D3" w:rsidR="00423551" w:rsidRPr="000C5499" w:rsidRDefault="00423551" w:rsidP="00DF5FA4">
            <w:pPr>
              <w:pStyle w:val="In-tableHeading"/>
              <w:rPr>
                <w:bCs/>
              </w:rPr>
            </w:pPr>
            <w:r w:rsidRPr="000C5499">
              <w:t xml:space="preserve">Chronic GVHD </w:t>
            </w:r>
            <w:r>
              <w:t>–</w:t>
            </w:r>
            <w:r w:rsidRPr="000C5499">
              <w:t xml:space="preserve"> overall, % (95% CI)</w:t>
            </w:r>
          </w:p>
        </w:tc>
      </w:tr>
      <w:tr w:rsidR="00423551" w:rsidRPr="000C5499" w14:paraId="196689EF"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43" w:type="pct"/>
            <w:shd w:val="clear" w:color="auto" w:fill="auto"/>
            <w:vAlign w:val="center"/>
          </w:tcPr>
          <w:p w14:paraId="293E4576" w14:textId="27F29CDE" w:rsidR="00423551" w:rsidRPr="00B77A8A" w:rsidRDefault="00423551" w:rsidP="00DF5FA4">
            <w:pPr>
              <w:pStyle w:val="TableText"/>
              <w:keepNext/>
              <w:spacing w:before="0" w:after="0"/>
              <w:rPr>
                <w:bCs/>
              </w:rPr>
            </w:pPr>
            <w:r w:rsidRPr="000C5499">
              <w:rPr>
                <w:bCs/>
              </w:rPr>
              <w:t>Chiesa</w:t>
            </w:r>
            <w:r>
              <w:rPr>
                <w:bCs/>
              </w:rPr>
              <w:t xml:space="preserve"> et al.</w:t>
            </w:r>
            <w:r w:rsidRPr="000C5499">
              <w:rPr>
                <w:bCs/>
              </w:rPr>
              <w:t xml:space="preserve"> (2022)</w:t>
            </w:r>
            <w:r w:rsidRPr="00836482">
              <w:rPr>
                <w:vertAlign w:val="superscript"/>
              </w:rPr>
              <w:t xml:space="preserve"> a</w:t>
            </w:r>
            <w:r>
              <w:rPr>
                <w:b/>
                <w:bCs/>
              </w:rPr>
              <w:t xml:space="preserve"> </w:t>
            </w:r>
          </w:p>
        </w:tc>
        <w:tc>
          <w:tcPr>
            <w:tcW w:w="448" w:type="pct"/>
            <w:vAlign w:val="center"/>
          </w:tcPr>
          <w:p w14:paraId="54FB9177" w14:textId="77777777" w:rsidR="00423551" w:rsidRPr="000C5499" w:rsidRDefault="00423551" w:rsidP="00DF5FA4">
            <w:pPr>
              <w:pStyle w:val="TableText"/>
              <w:keepNext/>
              <w:spacing w:before="0" w:after="0"/>
              <w:rPr>
                <w:b/>
                <w:bCs/>
              </w:rPr>
            </w:pPr>
            <w:r w:rsidRPr="000C5499">
              <w:rPr>
                <w:bCs/>
              </w:rPr>
              <w:t>Children</w:t>
            </w:r>
          </w:p>
        </w:tc>
        <w:tc>
          <w:tcPr>
            <w:tcW w:w="477" w:type="pct"/>
            <w:shd w:val="clear" w:color="auto" w:fill="auto"/>
            <w:vAlign w:val="center"/>
          </w:tcPr>
          <w:p w14:paraId="520854A7" w14:textId="77777777" w:rsidR="00423551" w:rsidRPr="000C5499" w:rsidRDefault="00423551" w:rsidP="00DF5FA4">
            <w:pPr>
              <w:pStyle w:val="TableText"/>
              <w:keepNext/>
              <w:spacing w:before="0" w:after="0"/>
              <w:jc w:val="center"/>
              <w:rPr>
                <w:b/>
                <w:bCs/>
              </w:rPr>
            </w:pPr>
            <w:r w:rsidRPr="000C5499">
              <w:rPr>
                <w:bCs/>
              </w:rPr>
              <w:t>2</w:t>
            </w:r>
          </w:p>
        </w:tc>
        <w:tc>
          <w:tcPr>
            <w:tcW w:w="926" w:type="pct"/>
            <w:gridSpan w:val="2"/>
            <w:vAlign w:val="center"/>
          </w:tcPr>
          <w:p w14:paraId="24A45D04" w14:textId="77777777" w:rsidR="00423551" w:rsidRPr="000C5499" w:rsidRDefault="00423551" w:rsidP="00DF5FA4">
            <w:pPr>
              <w:pStyle w:val="TableText"/>
              <w:keepNext/>
              <w:spacing w:before="0" w:after="0"/>
              <w:jc w:val="center"/>
              <w:rPr>
                <w:b/>
                <w:bCs/>
              </w:rPr>
            </w:pPr>
            <w:r>
              <w:rPr>
                <w:bCs/>
              </w:rPr>
              <w:t>NR</w:t>
            </w:r>
            <w:r w:rsidRPr="000C5499">
              <w:rPr>
                <w:bCs/>
              </w:rPr>
              <w:t>, 19.3 (3.3, 33.7)</w:t>
            </w:r>
          </w:p>
        </w:tc>
        <w:tc>
          <w:tcPr>
            <w:tcW w:w="876" w:type="pct"/>
            <w:shd w:val="clear" w:color="auto" w:fill="auto"/>
            <w:vAlign w:val="center"/>
          </w:tcPr>
          <w:p w14:paraId="50912DD5" w14:textId="77777777" w:rsidR="00423551" w:rsidRPr="000C5499" w:rsidRDefault="00423551" w:rsidP="00DF5FA4">
            <w:pPr>
              <w:pStyle w:val="TableText"/>
              <w:keepNext/>
              <w:spacing w:before="0" w:after="0"/>
              <w:jc w:val="center"/>
              <w:rPr>
                <w:b/>
                <w:bCs/>
              </w:rPr>
            </w:pPr>
            <w:r>
              <w:rPr>
                <w:bCs/>
              </w:rPr>
              <w:t>NR</w:t>
            </w:r>
            <w:r w:rsidRPr="000C5499">
              <w:rPr>
                <w:bCs/>
              </w:rPr>
              <w:t>, 7.4 (0.4, 29.6)</w:t>
            </w:r>
          </w:p>
        </w:tc>
        <w:tc>
          <w:tcPr>
            <w:tcW w:w="905" w:type="pct"/>
            <w:vAlign w:val="center"/>
          </w:tcPr>
          <w:p w14:paraId="6C9813E0" w14:textId="77777777" w:rsidR="00423551" w:rsidRPr="000C5499" w:rsidRDefault="00423551" w:rsidP="00DF5FA4">
            <w:pPr>
              <w:pStyle w:val="TableText"/>
              <w:keepNext/>
              <w:spacing w:before="0" w:after="0"/>
              <w:jc w:val="center"/>
              <w:rPr>
                <w:b/>
                <w:bCs/>
              </w:rPr>
            </w:pPr>
            <w:r w:rsidRPr="000C5499">
              <w:rPr>
                <w:bCs/>
              </w:rPr>
              <w:t>2.634 (0.323, 21.502)</w:t>
            </w:r>
          </w:p>
        </w:tc>
        <w:tc>
          <w:tcPr>
            <w:tcW w:w="325" w:type="pct"/>
            <w:gridSpan w:val="2"/>
            <w:shd w:val="clear" w:color="auto" w:fill="auto"/>
            <w:vAlign w:val="center"/>
          </w:tcPr>
          <w:p w14:paraId="213F6DDD" w14:textId="77777777" w:rsidR="00423551" w:rsidRPr="000C5499" w:rsidRDefault="00423551" w:rsidP="00DF5FA4">
            <w:pPr>
              <w:pStyle w:val="TableText"/>
              <w:keepNext/>
              <w:spacing w:before="0" w:after="0"/>
              <w:jc w:val="center"/>
              <w:rPr>
                <w:b/>
                <w:bCs/>
              </w:rPr>
            </w:pPr>
            <w:r w:rsidRPr="000C5499">
              <w:rPr>
                <w:bCs/>
              </w:rPr>
              <w:t>0.304</w:t>
            </w:r>
          </w:p>
        </w:tc>
      </w:tr>
      <w:tr w:rsidR="00423551" w:rsidRPr="00CE28E3" w14:paraId="2348DCF6"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43" w:type="pct"/>
            <w:shd w:val="clear" w:color="auto" w:fill="auto"/>
            <w:vAlign w:val="center"/>
          </w:tcPr>
          <w:p w14:paraId="0DC656B7" w14:textId="77777777" w:rsidR="00423551" w:rsidRPr="00B77A8A" w:rsidRDefault="00423551" w:rsidP="00DF5FA4">
            <w:pPr>
              <w:pStyle w:val="TableText"/>
              <w:keepNext/>
              <w:spacing w:before="0" w:after="0"/>
              <w:rPr>
                <w:bCs/>
              </w:rPr>
            </w:pPr>
            <w:r w:rsidRPr="000C5499">
              <w:rPr>
                <w:bCs/>
              </w:rPr>
              <w:t xml:space="preserve">Waldhüter </w:t>
            </w:r>
            <w:r>
              <w:rPr>
                <w:bCs/>
              </w:rPr>
              <w:t xml:space="preserve">et al. </w:t>
            </w:r>
            <w:r w:rsidRPr="000C5499">
              <w:rPr>
                <w:bCs/>
              </w:rPr>
              <w:t>(2019</w:t>
            </w:r>
            <w:r>
              <w:rPr>
                <w:bCs/>
              </w:rPr>
              <w:t>)</w:t>
            </w:r>
            <w:r w:rsidRPr="00836482">
              <w:rPr>
                <w:bCs/>
                <w:vertAlign w:val="superscript"/>
              </w:rPr>
              <w:t xml:space="preserve"> c</w:t>
            </w:r>
          </w:p>
        </w:tc>
        <w:tc>
          <w:tcPr>
            <w:tcW w:w="448" w:type="pct"/>
            <w:vAlign w:val="center"/>
          </w:tcPr>
          <w:p w14:paraId="0CF96980" w14:textId="77777777" w:rsidR="00423551" w:rsidRPr="000C5499" w:rsidRDefault="00423551" w:rsidP="00DF5FA4">
            <w:pPr>
              <w:pStyle w:val="TableText"/>
              <w:keepNext/>
              <w:spacing w:before="0" w:after="0"/>
              <w:rPr>
                <w:b/>
                <w:bCs/>
              </w:rPr>
            </w:pPr>
            <w:r w:rsidRPr="000C5499">
              <w:rPr>
                <w:bCs/>
              </w:rPr>
              <w:t>Adults</w:t>
            </w:r>
          </w:p>
        </w:tc>
        <w:tc>
          <w:tcPr>
            <w:tcW w:w="477" w:type="pct"/>
            <w:shd w:val="clear" w:color="auto" w:fill="auto"/>
            <w:vAlign w:val="center"/>
          </w:tcPr>
          <w:p w14:paraId="5750FDC2" w14:textId="77777777" w:rsidR="00423551" w:rsidRPr="000C5499" w:rsidRDefault="00423551" w:rsidP="00DF5FA4">
            <w:pPr>
              <w:pStyle w:val="TableText"/>
              <w:keepNext/>
              <w:spacing w:before="0" w:after="0"/>
              <w:jc w:val="center"/>
              <w:rPr>
                <w:b/>
                <w:bCs/>
              </w:rPr>
            </w:pPr>
            <w:r w:rsidRPr="000C5499">
              <w:rPr>
                <w:bCs/>
              </w:rPr>
              <w:t>1</w:t>
            </w:r>
          </w:p>
        </w:tc>
        <w:tc>
          <w:tcPr>
            <w:tcW w:w="926" w:type="pct"/>
            <w:gridSpan w:val="2"/>
            <w:vAlign w:val="center"/>
          </w:tcPr>
          <w:p w14:paraId="5923E666" w14:textId="2EBB6B97" w:rsidR="00423551" w:rsidRPr="000C5499" w:rsidRDefault="00423551" w:rsidP="00DF5FA4">
            <w:pPr>
              <w:pStyle w:val="TableText"/>
              <w:keepNext/>
              <w:spacing w:before="0" w:after="0"/>
              <w:jc w:val="center"/>
              <w:rPr>
                <w:b/>
                <w:bCs/>
              </w:rPr>
            </w:pPr>
            <w:r w:rsidRPr="000C5499">
              <w:rPr>
                <w:bCs/>
              </w:rPr>
              <w:t>3/</w:t>
            </w:r>
            <w:r>
              <w:rPr>
                <w:bCs/>
              </w:rPr>
              <w:t>9</w:t>
            </w:r>
            <w:r w:rsidRPr="000C5499">
              <w:rPr>
                <w:bCs/>
              </w:rPr>
              <w:t xml:space="preserve">, </w:t>
            </w:r>
            <w:r>
              <w:rPr>
                <w:bCs/>
              </w:rPr>
              <w:t>33.3</w:t>
            </w:r>
          </w:p>
        </w:tc>
        <w:tc>
          <w:tcPr>
            <w:tcW w:w="876" w:type="pct"/>
            <w:shd w:val="clear" w:color="auto" w:fill="auto"/>
            <w:vAlign w:val="center"/>
          </w:tcPr>
          <w:p w14:paraId="514AB89C" w14:textId="1EBFF9AD" w:rsidR="00423551" w:rsidRPr="000C5499" w:rsidRDefault="00423551" w:rsidP="00DF5FA4">
            <w:pPr>
              <w:pStyle w:val="TableText"/>
              <w:keepNext/>
              <w:spacing w:before="0" w:after="0"/>
              <w:jc w:val="center"/>
              <w:rPr>
                <w:b/>
                <w:bCs/>
              </w:rPr>
            </w:pPr>
            <w:r w:rsidRPr="000C5499">
              <w:rPr>
                <w:bCs/>
              </w:rPr>
              <w:t>0/</w:t>
            </w:r>
            <w:r>
              <w:rPr>
                <w:bCs/>
              </w:rPr>
              <w:t>6</w:t>
            </w:r>
            <w:r w:rsidRPr="000C5499">
              <w:rPr>
                <w:bCs/>
              </w:rPr>
              <w:t>, 0.0</w:t>
            </w:r>
          </w:p>
        </w:tc>
        <w:tc>
          <w:tcPr>
            <w:tcW w:w="905" w:type="pct"/>
            <w:vAlign w:val="center"/>
          </w:tcPr>
          <w:p w14:paraId="3A99258B" w14:textId="77777777" w:rsidR="00423551" w:rsidRPr="000C5499" w:rsidRDefault="00423551" w:rsidP="00DF5FA4">
            <w:pPr>
              <w:pStyle w:val="TableText"/>
              <w:keepNext/>
              <w:spacing w:before="0" w:after="0"/>
              <w:jc w:val="center"/>
              <w:rPr>
                <w:b/>
                <w:bCs/>
              </w:rPr>
            </w:pPr>
            <w:r>
              <w:rPr>
                <w:bCs/>
              </w:rPr>
              <w:t>NR</w:t>
            </w:r>
          </w:p>
        </w:tc>
        <w:tc>
          <w:tcPr>
            <w:tcW w:w="325" w:type="pct"/>
            <w:gridSpan w:val="2"/>
            <w:shd w:val="clear" w:color="auto" w:fill="auto"/>
            <w:vAlign w:val="center"/>
          </w:tcPr>
          <w:p w14:paraId="20421C6A" w14:textId="77777777" w:rsidR="00423551" w:rsidRDefault="00423551" w:rsidP="00DF5FA4">
            <w:pPr>
              <w:pStyle w:val="TableText"/>
              <w:keepNext/>
              <w:spacing w:before="0" w:after="0"/>
              <w:jc w:val="center"/>
              <w:rPr>
                <w:b/>
                <w:bCs/>
              </w:rPr>
            </w:pPr>
            <w:r>
              <w:rPr>
                <w:bCs/>
              </w:rPr>
              <w:t>NR</w:t>
            </w:r>
          </w:p>
        </w:tc>
      </w:tr>
    </w:tbl>
    <w:p w14:paraId="3D5183A9" w14:textId="6786718A" w:rsidR="00423551" w:rsidRDefault="00423551" w:rsidP="009349B9">
      <w:pPr>
        <w:pStyle w:val="TableFooter"/>
        <w:keepNext/>
        <w:widowControl/>
        <w:spacing w:before="0" w:after="0"/>
        <w:jc w:val="left"/>
      </w:pPr>
      <w:r>
        <w:t xml:space="preserve">Source: </w:t>
      </w:r>
      <w:r w:rsidR="004A362C">
        <w:t xml:space="preserve">DCAR Table 4. From </w:t>
      </w:r>
      <w:r>
        <w:t>Table 2, Chiesa (2022); Table 2, Kuhl (2017); Table 2, Waldhüter (2019); Supplementary 1, Yalcin (2021).</w:t>
      </w:r>
      <w:r>
        <w:br/>
        <w:t xml:space="preserve">CI = confidence interval; EDSS = </w:t>
      </w:r>
      <w:r w:rsidRPr="00704D98">
        <w:t>Expanded Disability Status Scale</w:t>
      </w:r>
      <w:r>
        <w:t>; GVHD = graft versus host disease; HR = hazard ratio; HSCT = haematopoietic</w:t>
      </w:r>
      <w:r w:rsidRPr="00704D98">
        <w:t xml:space="preserve"> stem cell transplantation</w:t>
      </w:r>
      <w:r>
        <w:t>;</w:t>
      </w:r>
      <w:r w:rsidRPr="00704D98">
        <w:t xml:space="preserve"> </w:t>
      </w:r>
      <w:r>
        <w:t>MRD = matched related donor (includes bone marrow and peripheral blood); MUD = matched unrelated donor (included bone marrow and peripheral blood); n = number of patients with event; N = number of patients in the group; NR = not reported; n.s = not significant; UCB = umbilical cord blood; URD = unrelated donor (includes bone marrow and peripheral blood.</w:t>
      </w:r>
    </w:p>
    <w:p w14:paraId="7E788386" w14:textId="77777777" w:rsidR="00AB4898" w:rsidRDefault="00423551" w:rsidP="00206581">
      <w:pPr>
        <w:pStyle w:val="TableFooter"/>
        <w:jc w:val="left"/>
      </w:pPr>
      <w:r w:rsidRPr="00157662">
        <w:rPr>
          <w:vertAlign w:val="superscript"/>
        </w:rPr>
        <w:t>a</w:t>
      </w:r>
      <w:r w:rsidRPr="00157662">
        <w:t xml:space="preserve"> </w:t>
      </w:r>
      <w:r w:rsidR="00AB4898" w:rsidRPr="00AB4898">
        <w:rPr>
          <w:lang w:val="en-US"/>
        </w:rPr>
        <w:t>C</w:t>
      </w:r>
      <w:r w:rsidR="00AB4898">
        <w:rPr>
          <w:lang w:val="en-US"/>
        </w:rPr>
        <w:t>hiesa R, et al</w:t>
      </w:r>
      <w:r w:rsidR="00AB4898" w:rsidRPr="00AB4898">
        <w:rPr>
          <w:lang w:val="en-US"/>
        </w:rPr>
        <w:t xml:space="preserve">. 2022. Variables affecting outcomes after allogeneic hematopoietic stem cell transplant for cerebral adrenoleukodystrophy. </w:t>
      </w:r>
      <w:r w:rsidR="00AB4898" w:rsidRPr="00AB4898">
        <w:rPr>
          <w:i/>
          <w:lang w:val="en-US"/>
        </w:rPr>
        <w:t>Blood Advances,</w:t>
      </w:r>
      <w:r w:rsidR="00AB4898" w:rsidRPr="00AB4898">
        <w:rPr>
          <w:lang w:val="en-US"/>
        </w:rPr>
        <w:t xml:space="preserve"> 6</w:t>
      </w:r>
      <w:r w:rsidR="00AB4898" w:rsidRPr="00AB4898">
        <w:rPr>
          <w:b/>
          <w:lang w:val="en-US"/>
        </w:rPr>
        <w:t>,</w:t>
      </w:r>
      <w:r w:rsidR="00AB4898" w:rsidRPr="00AB4898">
        <w:rPr>
          <w:lang w:val="en-US"/>
        </w:rPr>
        <w:t xml:space="preserve"> 1512-1524.</w:t>
      </w:r>
      <w:r w:rsidR="00AB4898">
        <w:rPr>
          <w:lang w:val="en-US"/>
        </w:rPr>
        <w:t xml:space="preserve"> </w:t>
      </w:r>
      <w:r>
        <w:t>Donor source n (%); early disease</w:t>
      </w:r>
      <w:r w:rsidRPr="00157662">
        <w:t>: MRD</w:t>
      </w:r>
      <w:r>
        <w:t xml:space="preserve"> + matched UCB</w:t>
      </w:r>
      <w:r w:rsidRPr="00157662">
        <w:t xml:space="preserve"> </w:t>
      </w:r>
      <w:r>
        <w:t>= 11 (</w:t>
      </w:r>
      <w:r w:rsidRPr="00157662">
        <w:t>28</w:t>
      </w:r>
      <w:r>
        <w:t>.2)</w:t>
      </w:r>
      <w:r w:rsidRPr="00157662">
        <w:t>, UR</w:t>
      </w:r>
      <w:r>
        <w:t>D =</w:t>
      </w:r>
      <w:r w:rsidRPr="00157662">
        <w:t xml:space="preserve"> </w:t>
      </w:r>
      <w:r>
        <w:t>14 (</w:t>
      </w:r>
      <w:r w:rsidRPr="00157662">
        <w:t>3</w:t>
      </w:r>
      <w:r>
        <w:t>5.9)</w:t>
      </w:r>
      <w:r w:rsidRPr="00157662">
        <w:t>,</w:t>
      </w:r>
      <w:r>
        <w:t xml:space="preserve"> unrelated</w:t>
      </w:r>
      <w:r w:rsidRPr="00157662">
        <w:t xml:space="preserve"> UCB </w:t>
      </w:r>
      <w:r>
        <w:t>= 14 (35.9); late disease</w:t>
      </w:r>
      <w:r w:rsidRPr="00157662">
        <w:t>: MRD</w:t>
      </w:r>
      <w:r>
        <w:t xml:space="preserve"> + matched UCB</w:t>
      </w:r>
      <w:r w:rsidRPr="00157662">
        <w:t xml:space="preserve"> </w:t>
      </w:r>
      <w:r>
        <w:t>= 1 (</w:t>
      </w:r>
      <w:r w:rsidRPr="00157662">
        <w:t>6</w:t>
      </w:r>
      <w:r>
        <w:t>.3)</w:t>
      </w:r>
      <w:r w:rsidRPr="00157662">
        <w:t xml:space="preserve">, UR </w:t>
      </w:r>
      <w:r>
        <w:t>= 4 (25.0), unrelated UCB = 6 (37.5)</w:t>
      </w:r>
      <w:r w:rsidRPr="00157662">
        <w:t>, haploidentical</w:t>
      </w:r>
      <w:r>
        <w:t xml:space="preserve"> =</w:t>
      </w:r>
      <w:r w:rsidRPr="00157662">
        <w:t xml:space="preserve"> </w:t>
      </w:r>
      <w:r>
        <w:t>5 (</w:t>
      </w:r>
      <w:r w:rsidRPr="00157662">
        <w:t>31</w:t>
      </w:r>
      <w:r>
        <w:t>.9).</w:t>
      </w:r>
      <w:r w:rsidR="00A72828">
        <w:t xml:space="preserve"> </w:t>
      </w:r>
    </w:p>
    <w:p w14:paraId="5E30D4EC" w14:textId="1AC03B2B" w:rsidR="00AB4898" w:rsidRPr="007F1CFC" w:rsidRDefault="00423551" w:rsidP="00206581">
      <w:pPr>
        <w:pStyle w:val="TableFooter"/>
        <w:jc w:val="left"/>
      </w:pPr>
      <w:r w:rsidRPr="00836482">
        <w:rPr>
          <w:vertAlign w:val="superscript"/>
        </w:rPr>
        <w:t>b</w:t>
      </w:r>
      <w:r w:rsidRPr="00271CE6">
        <w:rPr>
          <w:vertAlign w:val="superscript"/>
        </w:rPr>
        <w:t xml:space="preserve"> </w:t>
      </w:r>
      <w:r w:rsidR="007F1CFC" w:rsidRPr="007F1CFC">
        <w:rPr>
          <w:lang w:val="en-US"/>
        </w:rPr>
        <w:t>K</w:t>
      </w:r>
      <w:r w:rsidR="007F1CFC">
        <w:rPr>
          <w:lang w:val="en-US"/>
        </w:rPr>
        <w:t>uhl JS, et al</w:t>
      </w:r>
      <w:r w:rsidR="007F1CFC" w:rsidRPr="007F1CFC">
        <w:rPr>
          <w:lang w:val="en-US"/>
        </w:rPr>
        <w:t xml:space="preserve">. 2017. Long-term outcomes of allogeneic haematopoietic stem cell transplantation for adult cerebral X-linked adrenoleukodystrophy. </w:t>
      </w:r>
      <w:r w:rsidR="007F1CFC" w:rsidRPr="007F1CFC">
        <w:rPr>
          <w:i/>
          <w:lang w:val="en-US"/>
        </w:rPr>
        <w:t>Brain,</w:t>
      </w:r>
      <w:r w:rsidR="007F1CFC" w:rsidRPr="007F1CFC">
        <w:rPr>
          <w:lang w:val="en-US"/>
        </w:rPr>
        <w:t xml:space="preserve"> 140</w:t>
      </w:r>
      <w:r w:rsidR="007F1CFC" w:rsidRPr="007F1CFC">
        <w:rPr>
          <w:b/>
          <w:lang w:val="en-US"/>
        </w:rPr>
        <w:t>,</w:t>
      </w:r>
      <w:r w:rsidR="007F1CFC" w:rsidRPr="007F1CFC">
        <w:rPr>
          <w:lang w:val="en-US"/>
        </w:rPr>
        <w:t xml:space="preserve"> 953-966.</w:t>
      </w:r>
      <w:r w:rsidR="007F1CFC">
        <w:t xml:space="preserve"> </w:t>
      </w:r>
      <w:r>
        <w:t>Donor source n (%); early disease: MRD = 1 (11.1), MUD = 7 (77.7), UCB = 1 (11.1); late disease: MRD = 2 (40.0), MUD = 2 (40.0), UCB = 1 (20.0).</w:t>
      </w:r>
      <w:r w:rsidR="00A72828">
        <w:t xml:space="preserve"> </w:t>
      </w:r>
    </w:p>
    <w:p w14:paraId="54939B11" w14:textId="09AA0D5B" w:rsidR="00AB4898" w:rsidRDefault="00423551" w:rsidP="00206581">
      <w:pPr>
        <w:pStyle w:val="TableFooter"/>
        <w:jc w:val="left"/>
      </w:pPr>
      <w:r w:rsidRPr="00836482">
        <w:rPr>
          <w:vertAlign w:val="superscript"/>
        </w:rPr>
        <w:t>c</w:t>
      </w:r>
      <w:r>
        <w:t xml:space="preserve"> </w:t>
      </w:r>
      <w:r w:rsidR="00862976" w:rsidRPr="00862976">
        <w:rPr>
          <w:bCs/>
        </w:rPr>
        <w:t>Waldhüter</w:t>
      </w:r>
      <w:r w:rsidR="00862976" w:rsidRPr="00862976">
        <w:rPr>
          <w:lang w:val="en-US"/>
        </w:rPr>
        <w:t xml:space="preserve"> N, </w:t>
      </w:r>
      <w:r w:rsidR="00862976">
        <w:rPr>
          <w:lang w:val="en-US"/>
        </w:rPr>
        <w:t>et al.</w:t>
      </w:r>
      <w:r w:rsidR="00862976" w:rsidRPr="00862976">
        <w:rPr>
          <w:lang w:val="en-US"/>
        </w:rPr>
        <w:t xml:space="preserve"> 2019. Allogeneic hematopoietic stem cell transplantation with myeloablative conditioning for adult cerebral X-linked adrenoleukodystrophy. </w:t>
      </w:r>
      <w:r w:rsidR="00862976" w:rsidRPr="00862976">
        <w:rPr>
          <w:i/>
          <w:lang w:val="en-US"/>
        </w:rPr>
        <w:t>J Inherit Metab Dis,</w:t>
      </w:r>
      <w:r w:rsidR="00862976" w:rsidRPr="00862976">
        <w:rPr>
          <w:lang w:val="en-US"/>
        </w:rPr>
        <w:t xml:space="preserve"> 42</w:t>
      </w:r>
      <w:r w:rsidR="00862976" w:rsidRPr="00862976">
        <w:rPr>
          <w:b/>
          <w:lang w:val="en-US"/>
        </w:rPr>
        <w:t>,</w:t>
      </w:r>
      <w:r w:rsidR="00862976" w:rsidRPr="00862976">
        <w:rPr>
          <w:lang w:val="en-US"/>
        </w:rPr>
        <w:t xml:space="preserve"> 313-324.</w:t>
      </w:r>
      <w:r w:rsidR="00862976">
        <w:rPr>
          <w:lang w:val="en-US"/>
        </w:rPr>
        <w:t xml:space="preserve"> </w:t>
      </w:r>
      <w:r>
        <w:t>Donor source n (%); early disease: MRD = 2 (22.2), MUD = 7 (77.7); late disease: MRD = 1 (16.7), MUD = 5 (83.3).</w:t>
      </w:r>
      <w:r w:rsidR="00A72828">
        <w:t xml:space="preserve"> </w:t>
      </w:r>
    </w:p>
    <w:p w14:paraId="1B42B19F" w14:textId="74A0E67F" w:rsidR="00423551" w:rsidRDefault="00423551" w:rsidP="00206581">
      <w:pPr>
        <w:pStyle w:val="TableFooter"/>
        <w:spacing w:after="0"/>
        <w:jc w:val="left"/>
      </w:pPr>
      <w:r w:rsidRPr="00836482">
        <w:rPr>
          <w:vertAlign w:val="superscript"/>
        </w:rPr>
        <w:t>d</w:t>
      </w:r>
      <w:r>
        <w:t xml:space="preserve"> </w:t>
      </w:r>
      <w:r w:rsidR="00EF4856" w:rsidRPr="00EF4856">
        <w:rPr>
          <w:lang w:val="en-US"/>
        </w:rPr>
        <w:t>Y</w:t>
      </w:r>
      <w:r w:rsidR="00EF4856">
        <w:rPr>
          <w:lang w:val="en-US"/>
        </w:rPr>
        <w:t>alcin K, et al</w:t>
      </w:r>
      <w:r w:rsidR="00EF4856" w:rsidRPr="00EF4856">
        <w:rPr>
          <w:lang w:val="en-US"/>
        </w:rPr>
        <w:t>. 2021. Allogeneic hematopoietic stem cell transplantation in patients with childhood cerebral adrenoleukodystrophy: A single</w:t>
      </w:r>
      <w:r w:rsidR="00EF4856" w:rsidRPr="00EF4856">
        <w:rPr>
          <w:rFonts w:ascii="Cambria Math" w:hAnsi="Cambria Math" w:cs="Cambria Math"/>
          <w:lang w:val="en-US"/>
        </w:rPr>
        <w:t>‐</w:t>
      </w:r>
      <w:r w:rsidR="00EF4856" w:rsidRPr="00EF4856">
        <w:rPr>
          <w:lang w:val="en-US"/>
        </w:rPr>
        <w:t xml:space="preserve">center experience “Better prognosis in earlier stage”. </w:t>
      </w:r>
      <w:r w:rsidR="00EF4856" w:rsidRPr="00EF4856">
        <w:rPr>
          <w:i/>
          <w:lang w:val="en-US"/>
        </w:rPr>
        <w:t>Pediatric Transplantation,</w:t>
      </w:r>
      <w:r w:rsidR="00EF4856" w:rsidRPr="00EF4856">
        <w:rPr>
          <w:lang w:val="en-US"/>
        </w:rPr>
        <w:t xml:space="preserve"> 25.</w:t>
      </w:r>
      <w:r w:rsidR="00EF4856">
        <w:rPr>
          <w:lang w:val="en-US"/>
        </w:rPr>
        <w:t xml:space="preserve"> </w:t>
      </w:r>
      <w:r>
        <w:t>Donor source n (%); early disease: MRD = 4 (26.7), MUD = 9 (60.0), haploidentical = 1 (6.7); late disease: MRD = 3 (30.0), MUD = 5 (50.0); haploidentical = 2 (20.0).</w:t>
      </w:r>
    </w:p>
    <w:p w14:paraId="4B56428D" w14:textId="14AFD9EA" w:rsidR="00E542C7" w:rsidRPr="00CE28E3" w:rsidRDefault="00E542C7" w:rsidP="000C02FE">
      <w:pPr>
        <w:pStyle w:val="Heading2"/>
        <w:numPr>
          <w:ilvl w:val="0"/>
          <w:numId w:val="0"/>
        </w:numPr>
      </w:pPr>
      <w:bookmarkStart w:id="25" w:name="_Toc133221391"/>
      <w:r>
        <w:t>1</w:t>
      </w:r>
      <w:r w:rsidR="009653B7">
        <w:t>2</w:t>
      </w:r>
      <w:r>
        <w:t>.</w:t>
      </w:r>
      <w:r>
        <w:tab/>
      </w:r>
      <w:r w:rsidRPr="00CE28E3">
        <w:t>Comparative effectiveness</w:t>
      </w:r>
      <w:bookmarkEnd w:id="25"/>
    </w:p>
    <w:p w14:paraId="47440027" w14:textId="77777777" w:rsidR="00E542C7" w:rsidRDefault="00E542C7" w:rsidP="00206581">
      <w:r>
        <w:t>A linked evidence approach was taken to show the effectiveness of the addition of X-ALD to NBS compared to no NBS for X-ALD, as no direct evidence was identified. Of note, it is common to have lack of data and research output in NBS for X-ALD as X-ALD is a rare disease.</w:t>
      </w:r>
    </w:p>
    <w:p w14:paraId="16C6A559" w14:textId="245219E7" w:rsidR="00E542C7" w:rsidRDefault="00BB6FAF" w:rsidP="00206581">
      <w:pPr>
        <w:pStyle w:val="Heading3"/>
        <w:jc w:val="left"/>
      </w:pPr>
      <w:r>
        <w:t>Test accuracy</w:t>
      </w:r>
    </w:p>
    <w:p w14:paraId="5DC1FE41" w14:textId="7CB7DB5D" w:rsidR="00E542C7" w:rsidRPr="00674A55" w:rsidRDefault="00E542C7" w:rsidP="00206581">
      <w:pPr>
        <w:rPr>
          <w:b/>
          <w:bCs/>
        </w:rPr>
      </w:pPr>
      <w:r>
        <w:rPr>
          <w:b/>
          <w:bCs/>
        </w:rPr>
        <w:t>PICO set</w:t>
      </w:r>
      <w:r w:rsidR="000A7202">
        <w:rPr>
          <w:b/>
          <w:bCs/>
        </w:rPr>
        <w:t xml:space="preserve"> </w:t>
      </w:r>
      <w:r w:rsidRPr="00674A55">
        <w:rPr>
          <w:b/>
          <w:bCs/>
        </w:rPr>
        <w:t>1: Australian newborns</w:t>
      </w:r>
    </w:p>
    <w:p w14:paraId="7643E2EB" w14:textId="1FEF9A93" w:rsidR="00E542C7" w:rsidRDefault="00E542C7" w:rsidP="00206581">
      <w:r>
        <w:t xml:space="preserve">Five pilot studies of NBS for X-ALD conducted in the USA used a three-tier strategy, </w:t>
      </w:r>
      <w:r w:rsidRPr="00910C5C">
        <w:t>Baker (2022</w:t>
      </w:r>
      <w:r>
        <w:t xml:space="preserve">, </w:t>
      </w:r>
      <w:r w:rsidRPr="00910C5C">
        <w:t xml:space="preserve">N=82,920) reported the highest </w:t>
      </w:r>
      <w:r>
        <w:t>positive predictive value (</w:t>
      </w:r>
      <w:r w:rsidRPr="00910C5C">
        <w:t>PPV</w:t>
      </w:r>
      <w:r>
        <w:t>)</w:t>
      </w:r>
      <w:r w:rsidRPr="00910C5C">
        <w:t xml:space="preserve"> after the </w:t>
      </w:r>
      <w:r>
        <w:t>second</w:t>
      </w:r>
      <w:r w:rsidRPr="00910C5C">
        <w:t xml:space="preserve"> tier (93%), 80% for males and 100% for females.</w:t>
      </w:r>
      <w:r>
        <w:t xml:space="preserve"> This is likely because the study had the lowest cut-off from the </w:t>
      </w:r>
      <w:r>
        <w:lastRenderedPageBreak/>
        <w:t xml:space="preserve">second tier using </w:t>
      </w:r>
      <w:r w:rsidRPr="00910C5C">
        <w:t>HPLC-MS/MS (0.15 µmol/L) among all five studies</w:t>
      </w:r>
      <w:r>
        <w:t xml:space="preserve">. </w:t>
      </w:r>
      <w:r w:rsidRPr="00BB1D77">
        <w:t>Matteson (202</w:t>
      </w:r>
      <w:r w:rsidR="00C92530">
        <w:t>1</w:t>
      </w:r>
      <w:r w:rsidR="002D333C" w:rsidRPr="00914EC0">
        <w:rPr>
          <w:vertAlign w:val="superscript"/>
        </w:rPr>
        <w:footnoteReference w:id="26"/>
      </w:r>
      <w:r w:rsidRPr="00BB1D77">
        <w:t xml:space="preserve">) had the </w:t>
      </w:r>
      <w:r>
        <w:t>largest</w:t>
      </w:r>
      <w:r w:rsidRPr="00BB1D77">
        <w:t xml:space="preserve"> screening population (N=1,854,631),</w:t>
      </w:r>
      <w:r>
        <w:t xml:space="preserve"> and reported the lowest PPV after the second tier (68%). </w:t>
      </w:r>
    </w:p>
    <w:p w14:paraId="25655360" w14:textId="4609BEB6" w:rsidR="00E542C7" w:rsidRPr="00D2541A" w:rsidRDefault="00E542C7" w:rsidP="00206581">
      <w:pPr>
        <w:widowControl w:val="0"/>
        <w:rPr>
          <w:color w:val="000000" w:themeColor="text1"/>
        </w:rPr>
      </w:pPr>
      <w:r w:rsidRPr="00D2541A">
        <w:rPr>
          <w:color w:val="000000" w:themeColor="text1"/>
        </w:rPr>
        <w:t>Natarajan (2019, N=310)</w:t>
      </w:r>
      <w:r>
        <w:rPr>
          <w:color w:val="000000" w:themeColor="text1"/>
        </w:rPr>
        <w:t>, which</w:t>
      </w:r>
      <w:r w:rsidRPr="00D2541A">
        <w:rPr>
          <w:color w:val="000000" w:themeColor="text1"/>
        </w:rPr>
        <w:t xml:space="preserve"> measured C26:0-LPC using FIA-MS/MS with a cut-off level of 0.42µmol/L, </w:t>
      </w:r>
      <w:r>
        <w:rPr>
          <w:color w:val="000000" w:themeColor="text1"/>
        </w:rPr>
        <w:t>reported</w:t>
      </w:r>
      <w:r w:rsidRPr="00D2541A">
        <w:rPr>
          <w:color w:val="000000" w:themeColor="text1"/>
        </w:rPr>
        <w:t xml:space="preserve"> </w:t>
      </w:r>
      <w:r>
        <w:t xml:space="preserve">that FIA-MS/MS </w:t>
      </w:r>
      <w:r w:rsidRPr="00D2541A">
        <w:rPr>
          <w:color w:val="000000" w:themeColor="text1"/>
        </w:rPr>
        <w:t>a sensitivity and specificity of 100% and 78.33% respectively. Natarajan (2018, N=396)</w:t>
      </w:r>
      <w:r>
        <w:rPr>
          <w:color w:val="000000" w:themeColor="text1"/>
        </w:rPr>
        <w:t>, which</w:t>
      </w:r>
      <w:r w:rsidRPr="00D2541A">
        <w:rPr>
          <w:color w:val="000000" w:themeColor="text1"/>
        </w:rPr>
        <w:t xml:space="preserve"> measured C26:0-LPC level using LC-MS/MS with a cut off level of 0.13 µmol/L</w:t>
      </w:r>
      <w:r>
        <w:rPr>
          <w:color w:val="000000" w:themeColor="text1"/>
        </w:rPr>
        <w:t>, reported that LC-MS/MS had a sensitivity and specificity of 100% and 100%, respectively</w:t>
      </w:r>
      <w:r w:rsidRPr="00D2541A">
        <w:rPr>
          <w:color w:val="000000" w:themeColor="text1"/>
        </w:rPr>
        <w:t xml:space="preserve">. </w:t>
      </w:r>
    </w:p>
    <w:p w14:paraId="3B3C430C" w14:textId="7EE626A1" w:rsidR="00E542C7" w:rsidRDefault="00E542C7" w:rsidP="00206581">
      <w:r>
        <w:t>There is no international standard for which strategy to use for NBS for X-ALD.</w:t>
      </w:r>
      <w:r w:rsidRPr="00B26362">
        <w:t xml:space="preserve"> </w:t>
      </w:r>
      <w:r w:rsidR="00482202">
        <w:t>T</w:t>
      </w:r>
      <w:r>
        <w:t xml:space="preserve">here are no international guidelines for any NBS program, in terms of the clinical conditions included for testing, the way screening is organised and conducted. </w:t>
      </w:r>
      <w:r w:rsidR="00482202">
        <w:t>E</w:t>
      </w:r>
      <w:r>
        <w:t>ach country/ state has different operation systems</w:t>
      </w:r>
      <w:r w:rsidRPr="0087164A">
        <w:t>, resourc</w:t>
      </w:r>
      <w:r>
        <w:t>es,</w:t>
      </w:r>
      <w:r w:rsidRPr="0087164A">
        <w:t xml:space="preserve"> infrastructure,</w:t>
      </w:r>
      <w:r>
        <w:t xml:space="preserve"> and</w:t>
      </w:r>
      <w:r w:rsidRPr="0087164A">
        <w:t xml:space="preserve"> demographics</w:t>
      </w:r>
      <w:r w:rsidR="00482202">
        <w:t>.</w:t>
      </w:r>
      <w:r>
        <w:t xml:space="preserve"> Both FIA-MS/MS and LC-MS/MS had high sensitivity (100%), while FIA-MS/MS had a lower specificity (78.33%) compared to LC-MS/MS (100%) (Natarajan et al 2018, Natarajan et al 2019). Studies that used the two-tier strategy (Matteson </w:t>
      </w:r>
      <w:r w:rsidR="007600ED">
        <w:t>et al</w:t>
      </w:r>
      <w:r w:rsidR="00981D97">
        <w:t>.,</w:t>
      </w:r>
      <w:r w:rsidR="007600ED">
        <w:t xml:space="preserve"> </w:t>
      </w:r>
      <w:r>
        <w:t>202</w:t>
      </w:r>
      <w:r w:rsidR="007600ED">
        <w:t>1</w:t>
      </w:r>
      <w:r>
        <w:t>, Wien</w:t>
      </w:r>
      <w:r w:rsidR="001900E6">
        <w:t>s</w:t>
      </w:r>
      <w:r w:rsidR="00981D97">
        <w:t xml:space="preserve"> et al.,</w:t>
      </w:r>
      <w:r>
        <w:t xml:space="preserve"> 2019</w:t>
      </w:r>
      <w:r w:rsidR="00981D97">
        <w:rPr>
          <w:rStyle w:val="FootnoteReference"/>
        </w:rPr>
        <w:footnoteReference w:id="27"/>
      </w:r>
      <w:r>
        <w:t xml:space="preserve">) had higher PPV compared to those that used a three tier </w:t>
      </w:r>
      <w:r w:rsidRPr="00BA0DEB">
        <w:t>strategy</w:t>
      </w:r>
      <w:r>
        <w:t xml:space="preserve">, but the sample size was relatively small in these two studies. </w:t>
      </w:r>
    </w:p>
    <w:p w14:paraId="11E4ED8B" w14:textId="6FF418A5" w:rsidR="00E542C7" w:rsidRPr="00674A55" w:rsidRDefault="00E542C7" w:rsidP="00206581">
      <w:pPr>
        <w:rPr>
          <w:b/>
          <w:bCs/>
        </w:rPr>
      </w:pPr>
      <w:r w:rsidRPr="00674A55">
        <w:rPr>
          <w:b/>
          <w:bCs/>
        </w:rPr>
        <w:t>P</w:t>
      </w:r>
      <w:r>
        <w:rPr>
          <w:b/>
          <w:bCs/>
        </w:rPr>
        <w:t xml:space="preserve">ICO </w:t>
      </w:r>
      <w:r w:rsidR="00653950">
        <w:rPr>
          <w:b/>
          <w:bCs/>
        </w:rPr>
        <w:t xml:space="preserve">set </w:t>
      </w:r>
      <w:r w:rsidRPr="00674A55">
        <w:rPr>
          <w:b/>
          <w:bCs/>
        </w:rPr>
        <w:t>1</w:t>
      </w:r>
      <w:r>
        <w:rPr>
          <w:b/>
          <w:bCs/>
        </w:rPr>
        <w:t>a</w:t>
      </w:r>
      <w:r w:rsidRPr="00674A55">
        <w:rPr>
          <w:b/>
          <w:bCs/>
        </w:rPr>
        <w:t>: scenario analysis of males only</w:t>
      </w:r>
    </w:p>
    <w:p w14:paraId="16799A3B" w14:textId="1768A1B0" w:rsidR="00E542C7" w:rsidRDefault="00E542C7" w:rsidP="00206581">
      <w:r>
        <w:t xml:space="preserve">The SCAN study </w:t>
      </w:r>
      <w:r>
        <w:rPr>
          <w:noProof/>
        </w:rPr>
        <w:t>(Albersen et al., 2023)</w:t>
      </w:r>
      <w:r>
        <w:t xml:space="preserve"> reported that the X-counter test (using </w:t>
      </w:r>
      <w:r w:rsidRPr="0087164A">
        <w:t>Devyser Resolution XY v2 kit</w:t>
      </w:r>
      <w:r>
        <w:t xml:space="preserve"> to match </w:t>
      </w:r>
      <w:r w:rsidR="000824C3">
        <w:t xml:space="preserve">the number of </w:t>
      </w:r>
      <w:r>
        <w:t>X chromosome</w:t>
      </w:r>
      <w:r w:rsidR="000824C3">
        <w:t>s</w:t>
      </w:r>
      <w:r>
        <w:t xml:space="preserve"> to sex</w:t>
      </w:r>
      <w:r w:rsidR="00501763">
        <w:t xml:space="preserve"> as re</w:t>
      </w:r>
      <w:r w:rsidR="00EA6230">
        <w:t>c</w:t>
      </w:r>
      <w:r w:rsidR="00501763">
        <w:t>or</w:t>
      </w:r>
      <w:r w:rsidR="00EA6230">
        <w:t>d</w:t>
      </w:r>
      <w:r w:rsidR="00501763">
        <w:t>ed on the bloodspot card</w:t>
      </w:r>
      <w:r>
        <w:t>) had 100% accuracy</w:t>
      </w:r>
      <w:r w:rsidR="008743D0">
        <w:t xml:space="preserve"> after correction of administrative errors in the recorded sex</w:t>
      </w:r>
      <w:r>
        <w:t xml:space="preserve">. </w:t>
      </w:r>
      <w:r w:rsidRPr="00634934">
        <w:t xml:space="preserve">Two samples </w:t>
      </w:r>
      <w:r w:rsidR="004D6D2E">
        <w:t xml:space="preserve">out of 507 </w:t>
      </w:r>
      <w:r w:rsidRPr="00634934">
        <w:t xml:space="preserve">had discrepancies and after </w:t>
      </w:r>
      <w:r w:rsidR="004D4295">
        <w:t>investigation</w:t>
      </w:r>
      <w:r w:rsidRPr="00634934">
        <w:t xml:space="preserve"> </w:t>
      </w:r>
      <w:r w:rsidR="006F56AC">
        <w:t>both</w:t>
      </w:r>
      <w:r w:rsidR="006F56AC" w:rsidRPr="00634934">
        <w:t xml:space="preserve"> </w:t>
      </w:r>
      <w:r>
        <w:t>dried bloodspot</w:t>
      </w:r>
      <w:r w:rsidRPr="00634934">
        <w:t xml:space="preserve"> card</w:t>
      </w:r>
      <w:r w:rsidR="006F56AC">
        <w:t>s</w:t>
      </w:r>
      <w:r>
        <w:t xml:space="preserve"> w</w:t>
      </w:r>
      <w:r w:rsidR="006F56AC">
        <w:t>ere</w:t>
      </w:r>
      <w:r>
        <w:t xml:space="preserve"> </w:t>
      </w:r>
      <w:r w:rsidR="006F56AC">
        <w:t xml:space="preserve">found to have been </w:t>
      </w:r>
      <w:r>
        <w:t>discordant for assigned</w:t>
      </w:r>
      <w:r w:rsidRPr="00634934">
        <w:t xml:space="preserve"> sex</w:t>
      </w:r>
      <w:r w:rsidR="004D4295">
        <w:t xml:space="preserve"> </w:t>
      </w:r>
      <w:r w:rsidR="006F56AC">
        <w:t>due to administrative error</w:t>
      </w:r>
      <w:r w:rsidRPr="00634934">
        <w:t xml:space="preserve">, and </w:t>
      </w:r>
      <w:r w:rsidR="00074D27">
        <w:t xml:space="preserve">so </w:t>
      </w:r>
      <w:r w:rsidRPr="00634934">
        <w:t>using X-chromosome analysis</w:t>
      </w:r>
      <w:r>
        <w:t xml:space="preserve"> with </w:t>
      </w:r>
      <w:r w:rsidRPr="0087164A">
        <w:t>Devyser Resolution XY v2 kit</w:t>
      </w:r>
      <w:r w:rsidRPr="00634934">
        <w:t xml:space="preserve"> was able to provide 100% accuracy. </w:t>
      </w:r>
    </w:p>
    <w:p w14:paraId="521E8DC4" w14:textId="77777777" w:rsidR="00E542C7" w:rsidRDefault="00E542C7" w:rsidP="00206581">
      <w:r w:rsidRPr="00634934">
        <w:t>The SCAN study did not report the true negative and false negative test results</w:t>
      </w:r>
      <w:r>
        <w:t>. T</w:t>
      </w:r>
      <w:r w:rsidRPr="00634934">
        <w:t>his is reasonable given X-ALD is rare and no follow</w:t>
      </w:r>
      <w:r>
        <w:t>-</w:t>
      </w:r>
      <w:r w:rsidRPr="00634934">
        <w:t xml:space="preserve">up </w:t>
      </w:r>
      <w:r>
        <w:t xml:space="preserve">was </w:t>
      </w:r>
      <w:r w:rsidRPr="00634934">
        <w:t>designed into the protocols for test</w:t>
      </w:r>
      <w:r>
        <w:t>-</w:t>
      </w:r>
      <w:r w:rsidRPr="00634934">
        <w:t>negative patients.</w:t>
      </w:r>
      <w:r>
        <w:t xml:space="preserve"> The PPV after the third tier was 20%, and it increased to 100% after the fourth tier of genetic sequencing test. </w:t>
      </w:r>
    </w:p>
    <w:p w14:paraId="358BFA93" w14:textId="46A676DC" w:rsidR="008D4F66" w:rsidRDefault="008D4F66" w:rsidP="00206581">
      <w:pPr>
        <w:pStyle w:val="Heading3"/>
        <w:jc w:val="left"/>
      </w:pPr>
      <w:bookmarkStart w:id="26" w:name="_Toc133221393"/>
      <w:r>
        <w:t>Penetrance of the biomarker</w:t>
      </w:r>
    </w:p>
    <w:p w14:paraId="2DEAF16E" w14:textId="00A11A71" w:rsidR="008D4F66" w:rsidRDefault="008D4F66" w:rsidP="005622B4">
      <w:r>
        <w:t>No evidence</w:t>
      </w:r>
      <w:r w:rsidR="007B5874">
        <w:t xml:space="preserve"> was identified on the proportion of babies diagnosed as positive through NBS who will go on to develop X-ALD clinically</w:t>
      </w:r>
      <w:r w:rsidR="00832288">
        <w:t>,</w:t>
      </w:r>
      <w:r w:rsidR="00DE335E">
        <w:t xml:space="preserve"> </w:t>
      </w:r>
      <w:r w:rsidR="00832288">
        <w:t>h</w:t>
      </w:r>
      <w:r w:rsidR="005029F2">
        <w:t>owever c</w:t>
      </w:r>
      <w:r w:rsidR="00CE48BD">
        <w:t>omparing incidence data from clinical presentation against positive NBS diagnosis rates gave an estimated penetrance of 9.8% to 37.7%.</w:t>
      </w:r>
    </w:p>
    <w:p w14:paraId="219A7984" w14:textId="27CAA3CD" w:rsidR="00FF3DAE" w:rsidRPr="00B21044" w:rsidRDefault="00EB4EBB" w:rsidP="005622B4">
      <w:r w:rsidRPr="00B21044">
        <w:t>The</w:t>
      </w:r>
      <w:r w:rsidR="00FF3DAE" w:rsidRPr="00B21044">
        <w:t xml:space="preserve"> economic model </w:t>
      </w:r>
      <w:r w:rsidR="00AF021A" w:rsidRPr="00B21044">
        <w:t xml:space="preserve">included the </w:t>
      </w:r>
      <w:r w:rsidR="002B0106">
        <w:t>percentage of patients with</w:t>
      </w:r>
      <w:r w:rsidR="00AF021A" w:rsidRPr="00B21044">
        <w:t xml:space="preserve"> </w:t>
      </w:r>
      <w:r w:rsidR="009E4E84">
        <w:t xml:space="preserve">incident </w:t>
      </w:r>
      <w:r w:rsidR="00AF021A" w:rsidRPr="00B21044">
        <w:t xml:space="preserve">phenotypic presentation </w:t>
      </w:r>
      <w:r w:rsidR="009E4E84">
        <w:t>by</w:t>
      </w:r>
      <w:r w:rsidR="00170006">
        <w:t xml:space="preserve"> </w:t>
      </w:r>
      <w:r w:rsidR="006C679C">
        <w:t>sex and age</w:t>
      </w:r>
      <w:r w:rsidRPr="00B21044">
        <w:t xml:space="preserve"> (</w:t>
      </w:r>
      <w:r w:rsidR="00393F98">
        <w:fldChar w:fldCharType="begin"/>
      </w:r>
      <w:r w:rsidR="00393F98">
        <w:instrText xml:space="preserve"> REF</w:instrText>
      </w:r>
      <w:r w:rsidR="00393F98">
        <w:instrText xml:space="preserve"> _Ref139007295 </w:instrText>
      </w:r>
      <w:r w:rsidR="00393F98">
        <w:fldChar w:fldCharType="separate"/>
      </w:r>
      <w:r w:rsidR="00253978">
        <w:t xml:space="preserve">Table </w:t>
      </w:r>
      <w:r w:rsidR="00253978">
        <w:rPr>
          <w:noProof/>
        </w:rPr>
        <w:t>5</w:t>
      </w:r>
      <w:r w:rsidR="00393F98">
        <w:rPr>
          <w:noProof/>
        </w:rPr>
        <w:fldChar w:fldCharType="end"/>
      </w:r>
      <w:r w:rsidRPr="00B21044">
        <w:t>).</w:t>
      </w:r>
    </w:p>
    <w:p w14:paraId="7D103042" w14:textId="04883224" w:rsidR="00EB4EBB" w:rsidRDefault="00EB4EBB" w:rsidP="00B76655">
      <w:pPr>
        <w:pStyle w:val="Caption"/>
      </w:pPr>
      <w:bookmarkStart w:id="27" w:name="_Ref139007295"/>
      <w:r>
        <w:lastRenderedPageBreak/>
        <w:t xml:space="preserve">Table </w:t>
      </w:r>
      <w:r>
        <w:fldChar w:fldCharType="begin"/>
      </w:r>
      <w:r>
        <w:instrText>SEQ Table \* ARABIC</w:instrText>
      </w:r>
      <w:r>
        <w:fldChar w:fldCharType="separate"/>
      </w:r>
      <w:r w:rsidR="00253978">
        <w:rPr>
          <w:noProof/>
        </w:rPr>
        <w:t>5</w:t>
      </w:r>
      <w:r>
        <w:fldChar w:fldCharType="end"/>
      </w:r>
      <w:bookmarkEnd w:id="27"/>
      <w:r>
        <w:t xml:space="preserve"> </w:t>
      </w:r>
      <w:r w:rsidR="00530AA5">
        <w:t>Proportion of patients</w:t>
      </w:r>
      <w:r w:rsidR="00626BE1">
        <w:t xml:space="preserve"> of developing </w:t>
      </w:r>
      <w:r w:rsidR="00540611">
        <w:t>phenotypic presentation</w:t>
      </w:r>
      <w:r w:rsidR="00530AA5">
        <w:t xml:space="preserve"> per year</w:t>
      </w:r>
      <w:r w:rsidR="00170006">
        <w:t>, by sex and age</w:t>
      </w:r>
    </w:p>
    <w:tbl>
      <w:tblPr>
        <w:tblStyle w:val="TableGrid1"/>
        <w:tblW w:w="5000" w:type="pct"/>
        <w:tblCellMar>
          <w:left w:w="28" w:type="dxa"/>
          <w:right w:w="28" w:type="dxa"/>
        </w:tblCellMar>
        <w:tblLook w:val="04A0" w:firstRow="1" w:lastRow="0" w:firstColumn="1" w:lastColumn="0" w:noHBand="0" w:noVBand="1"/>
      </w:tblPr>
      <w:tblGrid>
        <w:gridCol w:w="849"/>
        <w:gridCol w:w="2041"/>
        <w:gridCol w:w="1358"/>
        <w:gridCol w:w="2552"/>
        <w:gridCol w:w="2216"/>
      </w:tblGrid>
      <w:tr w:rsidR="009703C7" w:rsidRPr="00CE28E3" w14:paraId="3058BDC8" w14:textId="6E4F3834" w:rsidTr="009703C7">
        <w:trPr>
          <w:cnfStyle w:val="100000000000" w:firstRow="1" w:lastRow="0" w:firstColumn="0" w:lastColumn="0" w:oddVBand="0" w:evenVBand="0" w:oddHBand="0" w:evenHBand="0" w:firstRowFirstColumn="0" w:firstRowLastColumn="0" w:lastRowFirstColumn="0" w:lastRowLastColumn="0"/>
          <w:tblHeader/>
        </w:trPr>
        <w:tc>
          <w:tcPr>
            <w:tcW w:w="471" w:type="pct"/>
            <w:shd w:val="clear" w:color="auto" w:fill="auto"/>
            <w:vAlign w:val="center"/>
          </w:tcPr>
          <w:p w14:paraId="7C61F681" w14:textId="729AB5FC" w:rsidR="006E5935" w:rsidRDefault="006E5935" w:rsidP="00B21044">
            <w:pPr>
              <w:pStyle w:val="In-tableHeading"/>
              <w:widowControl w:val="0"/>
              <w:jc w:val="center"/>
            </w:pPr>
            <w:r>
              <w:t>Sex</w:t>
            </w:r>
          </w:p>
        </w:tc>
        <w:tc>
          <w:tcPr>
            <w:tcW w:w="1132" w:type="pct"/>
            <w:vAlign w:val="center"/>
          </w:tcPr>
          <w:p w14:paraId="69BC3B6D" w14:textId="23D79E3C" w:rsidR="006E5935" w:rsidRDefault="006E5935" w:rsidP="00B21044">
            <w:pPr>
              <w:pStyle w:val="In-tableHeading"/>
              <w:widowControl w:val="0"/>
              <w:jc w:val="center"/>
            </w:pPr>
            <w:r>
              <w:t>Phenotypic presentation</w:t>
            </w:r>
          </w:p>
        </w:tc>
        <w:tc>
          <w:tcPr>
            <w:tcW w:w="753" w:type="pct"/>
            <w:vAlign w:val="center"/>
          </w:tcPr>
          <w:p w14:paraId="553AA1AE" w14:textId="0AD3E0BF" w:rsidR="006E5935" w:rsidRDefault="006E5935" w:rsidP="004824B2">
            <w:pPr>
              <w:pStyle w:val="In-tableHeading"/>
              <w:widowControl w:val="0"/>
              <w:jc w:val="center"/>
            </w:pPr>
            <w:r>
              <w:t>Age</w:t>
            </w:r>
          </w:p>
        </w:tc>
        <w:tc>
          <w:tcPr>
            <w:tcW w:w="1415" w:type="pct"/>
            <w:vAlign w:val="center"/>
          </w:tcPr>
          <w:p w14:paraId="729C20D8" w14:textId="40993FD7" w:rsidR="006E5935" w:rsidRDefault="006E5935" w:rsidP="004824B2">
            <w:pPr>
              <w:pStyle w:val="In-tableHeading"/>
              <w:widowControl w:val="0"/>
              <w:jc w:val="center"/>
            </w:pPr>
            <w:r>
              <w:t xml:space="preserve">Mean </w:t>
            </w:r>
            <w:r w:rsidR="00F56302">
              <w:t>phenotypic presentation</w:t>
            </w:r>
            <w:r w:rsidR="001D17D9">
              <w:t xml:space="preserve"> incidence</w:t>
            </w:r>
            <w:r w:rsidR="000F5737">
              <w:t xml:space="preserve"> </w:t>
            </w:r>
            <w:r w:rsidR="000C7B6A">
              <w:t>(%)</w:t>
            </w:r>
          </w:p>
        </w:tc>
        <w:tc>
          <w:tcPr>
            <w:tcW w:w="1229" w:type="pct"/>
            <w:vAlign w:val="center"/>
          </w:tcPr>
          <w:p w14:paraId="702C0BA3" w14:textId="5E1636B2" w:rsidR="006E5935" w:rsidRDefault="006E5935" w:rsidP="002A644B">
            <w:pPr>
              <w:pStyle w:val="In-tableHeading"/>
              <w:widowControl w:val="0"/>
              <w:jc w:val="center"/>
            </w:pPr>
            <w:r>
              <w:t>Source</w:t>
            </w:r>
          </w:p>
        </w:tc>
      </w:tr>
      <w:tr w:rsidR="009703C7" w:rsidRPr="009703C7" w14:paraId="66820D6C" w14:textId="637E4F41" w:rsidTr="00001615">
        <w:trPr>
          <w:cnfStyle w:val="100000000000" w:firstRow="1" w:lastRow="0" w:firstColumn="0" w:lastColumn="0" w:oddVBand="0" w:evenVBand="0" w:oddHBand="0" w:evenHBand="0" w:firstRowFirstColumn="0" w:firstRowLastColumn="0" w:lastRowFirstColumn="0" w:lastRowLastColumn="0"/>
          <w:tblHeader/>
        </w:trPr>
        <w:tc>
          <w:tcPr>
            <w:tcW w:w="471" w:type="pct"/>
            <w:vMerge w:val="restart"/>
            <w:shd w:val="clear" w:color="auto" w:fill="auto"/>
            <w:vAlign w:val="center"/>
          </w:tcPr>
          <w:p w14:paraId="50B66CD1" w14:textId="6B614452" w:rsidR="007B1E01" w:rsidRPr="009703C7" w:rsidRDefault="007B1E01" w:rsidP="00B21044">
            <w:pPr>
              <w:pStyle w:val="TableText"/>
              <w:keepNext/>
              <w:widowControl w:val="0"/>
              <w:spacing w:before="0" w:after="0"/>
              <w:jc w:val="center"/>
            </w:pPr>
            <w:r w:rsidRPr="009703C7">
              <w:t>Male</w:t>
            </w:r>
          </w:p>
        </w:tc>
        <w:tc>
          <w:tcPr>
            <w:tcW w:w="1132" w:type="pct"/>
            <w:vMerge w:val="restart"/>
            <w:vAlign w:val="center"/>
          </w:tcPr>
          <w:p w14:paraId="017973FB" w14:textId="547A084B" w:rsidR="007B1E01" w:rsidRPr="009703C7" w:rsidRDefault="007B1E01" w:rsidP="00B21044">
            <w:pPr>
              <w:pStyle w:val="TableText"/>
              <w:keepNext/>
              <w:widowControl w:val="0"/>
              <w:spacing w:before="0" w:after="0"/>
              <w:jc w:val="center"/>
            </w:pPr>
            <w:r w:rsidRPr="009703C7">
              <w:t>Cerebral ALD</w:t>
            </w:r>
          </w:p>
        </w:tc>
        <w:tc>
          <w:tcPr>
            <w:tcW w:w="753" w:type="pct"/>
            <w:shd w:val="clear" w:color="auto" w:fill="auto"/>
            <w:vAlign w:val="center"/>
          </w:tcPr>
          <w:p w14:paraId="2B6326CC" w14:textId="14F96D7C" w:rsidR="007B1E01" w:rsidRPr="009703C7" w:rsidRDefault="007B1E01" w:rsidP="00B21044">
            <w:pPr>
              <w:pStyle w:val="TableText"/>
              <w:keepNext/>
              <w:widowControl w:val="0"/>
              <w:spacing w:before="0" w:after="0"/>
              <w:jc w:val="center"/>
            </w:pPr>
            <w:r w:rsidRPr="009703C7">
              <w:t>0 to &lt;3 years</w:t>
            </w:r>
          </w:p>
        </w:tc>
        <w:tc>
          <w:tcPr>
            <w:tcW w:w="1415" w:type="pct"/>
            <w:vAlign w:val="center"/>
          </w:tcPr>
          <w:p w14:paraId="2A2086E3" w14:textId="7991DB2F" w:rsidR="007B1E01" w:rsidRPr="009703C7" w:rsidRDefault="007B1E01" w:rsidP="00B21044">
            <w:pPr>
              <w:pStyle w:val="TableText"/>
              <w:keepNext/>
              <w:widowControl w:val="0"/>
              <w:spacing w:before="0" w:after="0"/>
              <w:jc w:val="center"/>
            </w:pPr>
            <w:r w:rsidRPr="009703C7">
              <w:t>0%</w:t>
            </w:r>
          </w:p>
        </w:tc>
        <w:tc>
          <w:tcPr>
            <w:tcW w:w="1229" w:type="pct"/>
            <w:vMerge w:val="restart"/>
            <w:vAlign w:val="center"/>
          </w:tcPr>
          <w:p w14:paraId="7FB35517" w14:textId="21CDE78A" w:rsidR="007B1E01" w:rsidRPr="009703C7" w:rsidRDefault="007B1E01" w:rsidP="004824B2">
            <w:pPr>
              <w:pStyle w:val="TableText"/>
              <w:keepNext/>
              <w:widowControl w:val="0"/>
              <w:spacing w:before="0" w:after="0"/>
              <w:jc w:val="center"/>
            </w:pPr>
            <w:r w:rsidRPr="009703C7">
              <w:t>Turk 2020</w:t>
            </w:r>
          </w:p>
        </w:tc>
      </w:tr>
      <w:tr w:rsidR="009703C7" w:rsidRPr="009703C7" w14:paraId="0B49F30B" w14:textId="77777777" w:rsidTr="00001615">
        <w:trPr>
          <w:cnfStyle w:val="100000000000" w:firstRow="1" w:lastRow="0" w:firstColumn="0" w:lastColumn="0" w:oddVBand="0" w:evenVBand="0" w:oddHBand="0" w:evenHBand="0" w:firstRowFirstColumn="0" w:firstRowLastColumn="0" w:lastRowFirstColumn="0" w:lastRowLastColumn="0"/>
          <w:tblHeader/>
        </w:trPr>
        <w:tc>
          <w:tcPr>
            <w:tcW w:w="471" w:type="pct"/>
            <w:vMerge/>
            <w:shd w:val="clear" w:color="auto" w:fill="auto"/>
            <w:vAlign w:val="center"/>
          </w:tcPr>
          <w:p w14:paraId="1235CF5F" w14:textId="77777777" w:rsidR="007B1E01" w:rsidRPr="00E917D9" w:rsidRDefault="007B1E01" w:rsidP="00C52AAA">
            <w:pPr>
              <w:pStyle w:val="TableText"/>
              <w:keepNext/>
              <w:widowControl w:val="0"/>
              <w:spacing w:before="0" w:after="0"/>
              <w:jc w:val="center"/>
            </w:pPr>
          </w:p>
        </w:tc>
        <w:tc>
          <w:tcPr>
            <w:tcW w:w="1132" w:type="pct"/>
            <w:vMerge/>
            <w:vAlign w:val="center"/>
          </w:tcPr>
          <w:p w14:paraId="35611C3F" w14:textId="77777777" w:rsidR="007B1E01" w:rsidRPr="00E917D9" w:rsidRDefault="007B1E01" w:rsidP="000C7B6A">
            <w:pPr>
              <w:pStyle w:val="TableText"/>
              <w:keepNext/>
              <w:widowControl w:val="0"/>
              <w:spacing w:before="0" w:after="0"/>
              <w:jc w:val="center"/>
            </w:pPr>
          </w:p>
        </w:tc>
        <w:tc>
          <w:tcPr>
            <w:tcW w:w="753" w:type="pct"/>
            <w:shd w:val="clear" w:color="auto" w:fill="auto"/>
            <w:vAlign w:val="center"/>
          </w:tcPr>
          <w:p w14:paraId="69856138" w14:textId="1FF6518E" w:rsidR="007B1E01" w:rsidRPr="00E917D9" w:rsidRDefault="007B1E01" w:rsidP="000C7B6A">
            <w:pPr>
              <w:pStyle w:val="TableText"/>
              <w:keepNext/>
              <w:widowControl w:val="0"/>
              <w:spacing w:before="0" w:after="0"/>
              <w:jc w:val="center"/>
            </w:pPr>
            <w:r w:rsidRPr="00E917D9">
              <w:t>3 to &lt;11 years</w:t>
            </w:r>
          </w:p>
        </w:tc>
        <w:tc>
          <w:tcPr>
            <w:tcW w:w="1415" w:type="pct"/>
            <w:vAlign w:val="center"/>
          </w:tcPr>
          <w:p w14:paraId="3CEF945C" w14:textId="4A271D09" w:rsidR="007B1E01" w:rsidRPr="00E917D9" w:rsidRDefault="007B1E01" w:rsidP="000C7B6A">
            <w:pPr>
              <w:pStyle w:val="TableText"/>
              <w:keepNext/>
              <w:widowControl w:val="0"/>
              <w:spacing w:before="0" w:after="0"/>
              <w:jc w:val="center"/>
            </w:pPr>
            <w:r w:rsidRPr="00E917D9">
              <w:t>33%</w:t>
            </w:r>
          </w:p>
        </w:tc>
        <w:tc>
          <w:tcPr>
            <w:tcW w:w="1229" w:type="pct"/>
            <w:vMerge/>
            <w:vAlign w:val="center"/>
          </w:tcPr>
          <w:p w14:paraId="4E1B604B" w14:textId="34268D5B" w:rsidR="007B1E01" w:rsidRPr="009703C7" w:rsidRDefault="007B1E01" w:rsidP="000C7B6A">
            <w:pPr>
              <w:pStyle w:val="TableText"/>
              <w:keepNext/>
              <w:widowControl w:val="0"/>
              <w:spacing w:before="0" w:after="0"/>
              <w:jc w:val="center"/>
            </w:pPr>
          </w:p>
        </w:tc>
      </w:tr>
      <w:tr w:rsidR="009703C7" w:rsidRPr="009703C7" w14:paraId="5F089CC3" w14:textId="77777777" w:rsidTr="00001615">
        <w:trPr>
          <w:cnfStyle w:val="100000000000" w:firstRow="1" w:lastRow="0" w:firstColumn="0" w:lastColumn="0" w:oddVBand="0" w:evenVBand="0" w:oddHBand="0" w:evenHBand="0" w:firstRowFirstColumn="0" w:firstRowLastColumn="0" w:lastRowFirstColumn="0" w:lastRowLastColumn="0"/>
          <w:tblHeader/>
        </w:trPr>
        <w:tc>
          <w:tcPr>
            <w:tcW w:w="471" w:type="pct"/>
            <w:vMerge/>
            <w:shd w:val="clear" w:color="auto" w:fill="auto"/>
            <w:vAlign w:val="center"/>
          </w:tcPr>
          <w:p w14:paraId="3E2ADBC0" w14:textId="77777777" w:rsidR="007B1E01" w:rsidRPr="00E917D9" w:rsidRDefault="007B1E01" w:rsidP="00C52AAA">
            <w:pPr>
              <w:pStyle w:val="TableText"/>
              <w:keepNext/>
              <w:widowControl w:val="0"/>
              <w:spacing w:before="0" w:after="0"/>
              <w:jc w:val="center"/>
            </w:pPr>
          </w:p>
        </w:tc>
        <w:tc>
          <w:tcPr>
            <w:tcW w:w="1132" w:type="pct"/>
            <w:vMerge/>
            <w:vAlign w:val="center"/>
          </w:tcPr>
          <w:p w14:paraId="0D3D3483" w14:textId="77777777" w:rsidR="007B1E01" w:rsidRPr="00E917D9" w:rsidRDefault="007B1E01" w:rsidP="000C7B6A">
            <w:pPr>
              <w:pStyle w:val="TableText"/>
              <w:keepNext/>
              <w:widowControl w:val="0"/>
              <w:spacing w:before="0" w:after="0"/>
              <w:jc w:val="center"/>
            </w:pPr>
          </w:p>
        </w:tc>
        <w:tc>
          <w:tcPr>
            <w:tcW w:w="753" w:type="pct"/>
            <w:shd w:val="clear" w:color="auto" w:fill="auto"/>
            <w:vAlign w:val="center"/>
          </w:tcPr>
          <w:p w14:paraId="00143E51" w14:textId="36B45EE1" w:rsidR="007B1E01" w:rsidRPr="009703C7" w:rsidRDefault="007B1E01" w:rsidP="000C7B6A">
            <w:pPr>
              <w:pStyle w:val="TableText"/>
              <w:keepNext/>
              <w:widowControl w:val="0"/>
              <w:spacing w:before="0" w:after="0"/>
              <w:jc w:val="center"/>
            </w:pPr>
            <w:r w:rsidRPr="009703C7">
              <w:t>11 to &lt;21 years</w:t>
            </w:r>
          </w:p>
        </w:tc>
        <w:tc>
          <w:tcPr>
            <w:tcW w:w="1415" w:type="pct"/>
            <w:vAlign w:val="center"/>
          </w:tcPr>
          <w:p w14:paraId="23A749CC" w14:textId="6436A9E1" w:rsidR="007B1E01" w:rsidRPr="009703C7" w:rsidRDefault="007B1E01" w:rsidP="000C7B6A">
            <w:pPr>
              <w:pStyle w:val="TableText"/>
              <w:keepNext/>
              <w:widowControl w:val="0"/>
              <w:spacing w:before="0" w:after="0"/>
              <w:jc w:val="center"/>
            </w:pPr>
            <w:r w:rsidRPr="009703C7">
              <w:t>5.5%</w:t>
            </w:r>
          </w:p>
        </w:tc>
        <w:tc>
          <w:tcPr>
            <w:tcW w:w="1229" w:type="pct"/>
            <w:vMerge/>
            <w:vAlign w:val="center"/>
          </w:tcPr>
          <w:p w14:paraId="63C6DC91" w14:textId="4609B141" w:rsidR="007B1E01" w:rsidRPr="009703C7" w:rsidRDefault="007B1E01" w:rsidP="000C7B6A">
            <w:pPr>
              <w:pStyle w:val="TableText"/>
              <w:keepNext/>
              <w:widowControl w:val="0"/>
              <w:spacing w:before="0" w:after="0"/>
              <w:jc w:val="center"/>
            </w:pPr>
          </w:p>
        </w:tc>
      </w:tr>
      <w:tr w:rsidR="009703C7" w:rsidRPr="009703C7" w14:paraId="7791E0B8" w14:textId="77777777" w:rsidTr="00001615">
        <w:trPr>
          <w:cnfStyle w:val="100000000000" w:firstRow="1" w:lastRow="0" w:firstColumn="0" w:lastColumn="0" w:oddVBand="0" w:evenVBand="0" w:oddHBand="0" w:evenHBand="0" w:firstRowFirstColumn="0" w:firstRowLastColumn="0" w:lastRowFirstColumn="0" w:lastRowLastColumn="0"/>
          <w:tblHeader/>
        </w:trPr>
        <w:tc>
          <w:tcPr>
            <w:tcW w:w="471" w:type="pct"/>
            <w:vMerge/>
            <w:shd w:val="clear" w:color="auto" w:fill="auto"/>
            <w:vAlign w:val="center"/>
          </w:tcPr>
          <w:p w14:paraId="49928435" w14:textId="77777777" w:rsidR="007B1E01" w:rsidRPr="00E917D9" w:rsidRDefault="007B1E01" w:rsidP="00C52AAA">
            <w:pPr>
              <w:pStyle w:val="TableText"/>
              <w:keepNext/>
              <w:widowControl w:val="0"/>
              <w:spacing w:before="0" w:after="0"/>
              <w:jc w:val="center"/>
            </w:pPr>
          </w:p>
        </w:tc>
        <w:tc>
          <w:tcPr>
            <w:tcW w:w="1132" w:type="pct"/>
            <w:vMerge/>
            <w:vAlign w:val="center"/>
          </w:tcPr>
          <w:p w14:paraId="14E6B2CF" w14:textId="77777777" w:rsidR="007B1E01" w:rsidRPr="00E917D9" w:rsidRDefault="007B1E01" w:rsidP="000C7B6A">
            <w:pPr>
              <w:pStyle w:val="TableText"/>
              <w:keepNext/>
              <w:widowControl w:val="0"/>
              <w:spacing w:before="0" w:after="0"/>
              <w:jc w:val="center"/>
            </w:pPr>
          </w:p>
        </w:tc>
        <w:tc>
          <w:tcPr>
            <w:tcW w:w="753" w:type="pct"/>
            <w:shd w:val="clear" w:color="auto" w:fill="auto"/>
            <w:vAlign w:val="center"/>
          </w:tcPr>
          <w:p w14:paraId="71666299" w14:textId="2600573D" w:rsidR="007B1E01" w:rsidRPr="009703C7" w:rsidRDefault="007B1E01" w:rsidP="000C7B6A">
            <w:pPr>
              <w:pStyle w:val="TableText"/>
              <w:keepNext/>
              <w:widowControl w:val="0"/>
              <w:spacing w:before="0" w:after="0"/>
              <w:jc w:val="center"/>
            </w:pPr>
            <w:r w:rsidRPr="009703C7">
              <w:t>≥21 years</w:t>
            </w:r>
          </w:p>
        </w:tc>
        <w:tc>
          <w:tcPr>
            <w:tcW w:w="1415" w:type="pct"/>
            <w:vAlign w:val="center"/>
          </w:tcPr>
          <w:p w14:paraId="7FE178A5" w14:textId="3D48FD34" w:rsidR="007B1E01" w:rsidRPr="009703C7" w:rsidRDefault="007B1E01" w:rsidP="000C7B6A">
            <w:pPr>
              <w:pStyle w:val="TableText"/>
              <w:keepNext/>
              <w:widowControl w:val="0"/>
              <w:spacing w:before="0" w:after="0"/>
              <w:jc w:val="center"/>
            </w:pPr>
            <w:r w:rsidRPr="009703C7">
              <w:t>20%</w:t>
            </w:r>
          </w:p>
        </w:tc>
        <w:tc>
          <w:tcPr>
            <w:tcW w:w="1229" w:type="pct"/>
            <w:vMerge/>
            <w:vAlign w:val="center"/>
          </w:tcPr>
          <w:p w14:paraId="07DE55E5" w14:textId="77777777" w:rsidR="007B1E01" w:rsidRPr="009703C7" w:rsidRDefault="007B1E01" w:rsidP="000C7B6A">
            <w:pPr>
              <w:pStyle w:val="TableText"/>
              <w:keepNext/>
              <w:widowControl w:val="0"/>
              <w:spacing w:before="0" w:after="0"/>
              <w:jc w:val="center"/>
            </w:pPr>
          </w:p>
        </w:tc>
      </w:tr>
      <w:tr w:rsidR="009703C7" w:rsidRPr="009703C7" w14:paraId="1B89ECAB" w14:textId="77777777" w:rsidTr="00001615">
        <w:trPr>
          <w:cnfStyle w:val="100000000000" w:firstRow="1" w:lastRow="0" w:firstColumn="0" w:lastColumn="0" w:oddVBand="0" w:evenVBand="0" w:oddHBand="0" w:evenHBand="0" w:firstRowFirstColumn="0" w:firstRowLastColumn="0" w:lastRowFirstColumn="0" w:lastRowLastColumn="0"/>
          <w:tblHeader/>
        </w:trPr>
        <w:tc>
          <w:tcPr>
            <w:tcW w:w="471" w:type="pct"/>
            <w:vMerge/>
            <w:shd w:val="clear" w:color="auto" w:fill="auto"/>
            <w:vAlign w:val="center"/>
          </w:tcPr>
          <w:p w14:paraId="4B4803BE" w14:textId="77777777" w:rsidR="007B1E01" w:rsidRPr="00E917D9" w:rsidRDefault="007B1E01" w:rsidP="00C52AAA">
            <w:pPr>
              <w:pStyle w:val="TableText"/>
              <w:keepNext/>
              <w:widowControl w:val="0"/>
              <w:spacing w:before="0" w:after="0"/>
              <w:jc w:val="center"/>
            </w:pPr>
          </w:p>
        </w:tc>
        <w:tc>
          <w:tcPr>
            <w:tcW w:w="1132" w:type="pct"/>
            <w:vMerge w:val="restart"/>
            <w:vAlign w:val="center"/>
          </w:tcPr>
          <w:p w14:paraId="24C472B5" w14:textId="3FB02294" w:rsidR="007B1E01" w:rsidRPr="009703C7" w:rsidRDefault="007B1E01" w:rsidP="00C44F84">
            <w:pPr>
              <w:pStyle w:val="TableText"/>
              <w:keepNext/>
              <w:widowControl w:val="0"/>
              <w:spacing w:before="0" w:after="0"/>
              <w:jc w:val="center"/>
            </w:pPr>
            <w:r w:rsidRPr="009703C7">
              <w:t>Adrenal insufficiency</w:t>
            </w:r>
          </w:p>
        </w:tc>
        <w:tc>
          <w:tcPr>
            <w:tcW w:w="753" w:type="pct"/>
            <w:shd w:val="clear" w:color="auto" w:fill="auto"/>
            <w:vAlign w:val="center"/>
          </w:tcPr>
          <w:p w14:paraId="1F7145B3" w14:textId="29832ADF" w:rsidR="007B1E01" w:rsidRPr="009703C7" w:rsidRDefault="0015024B" w:rsidP="008625EE">
            <w:pPr>
              <w:pStyle w:val="TableText"/>
              <w:keepNext/>
              <w:widowControl w:val="0"/>
              <w:spacing w:before="0" w:after="0"/>
              <w:jc w:val="center"/>
            </w:pPr>
            <w:r w:rsidRPr="009703C7">
              <w:t>0</w:t>
            </w:r>
            <w:r w:rsidR="00112EF3" w:rsidRPr="009703C7">
              <w:t xml:space="preserve"> to 10 years</w:t>
            </w:r>
          </w:p>
        </w:tc>
        <w:tc>
          <w:tcPr>
            <w:tcW w:w="1415" w:type="pct"/>
            <w:vAlign w:val="center"/>
          </w:tcPr>
          <w:p w14:paraId="578BA37E" w14:textId="2C5DE0B8" w:rsidR="007B1E01" w:rsidRPr="009703C7" w:rsidRDefault="009C22FC" w:rsidP="002A1CE6">
            <w:pPr>
              <w:pStyle w:val="TableText"/>
              <w:keepNext/>
              <w:widowControl w:val="0"/>
              <w:spacing w:before="0" w:after="0"/>
              <w:jc w:val="center"/>
            </w:pPr>
            <w:r w:rsidRPr="009703C7">
              <w:t>47%</w:t>
            </w:r>
          </w:p>
        </w:tc>
        <w:tc>
          <w:tcPr>
            <w:tcW w:w="1229" w:type="pct"/>
            <w:vMerge w:val="restart"/>
            <w:vAlign w:val="center"/>
          </w:tcPr>
          <w:p w14:paraId="230BECD8" w14:textId="76A99292" w:rsidR="007B1E01" w:rsidRPr="009703C7" w:rsidRDefault="009247FB" w:rsidP="009247FB">
            <w:pPr>
              <w:pStyle w:val="TableText"/>
              <w:keepNext/>
              <w:widowControl w:val="0"/>
              <w:spacing w:before="0" w:after="0"/>
              <w:jc w:val="center"/>
            </w:pPr>
            <w:r w:rsidRPr="009703C7">
              <w:t>Huffnagel 2019</w:t>
            </w:r>
          </w:p>
        </w:tc>
      </w:tr>
      <w:tr w:rsidR="009703C7" w:rsidRPr="009703C7" w14:paraId="00F682B1" w14:textId="77777777" w:rsidTr="00001615">
        <w:trPr>
          <w:cnfStyle w:val="100000000000" w:firstRow="1" w:lastRow="0" w:firstColumn="0" w:lastColumn="0" w:oddVBand="0" w:evenVBand="0" w:oddHBand="0" w:evenHBand="0" w:firstRowFirstColumn="0" w:firstRowLastColumn="0" w:lastRowFirstColumn="0" w:lastRowLastColumn="0"/>
          <w:tblHeader/>
        </w:trPr>
        <w:tc>
          <w:tcPr>
            <w:tcW w:w="471" w:type="pct"/>
            <w:vMerge/>
            <w:shd w:val="clear" w:color="auto" w:fill="auto"/>
            <w:vAlign w:val="center"/>
          </w:tcPr>
          <w:p w14:paraId="4D3E2C46" w14:textId="77777777" w:rsidR="009247FB" w:rsidRPr="00E917D9" w:rsidRDefault="009247FB" w:rsidP="00C52AAA">
            <w:pPr>
              <w:pStyle w:val="TableText"/>
              <w:keepNext/>
              <w:widowControl w:val="0"/>
              <w:spacing w:before="0" w:after="0"/>
              <w:jc w:val="center"/>
            </w:pPr>
          </w:p>
        </w:tc>
        <w:tc>
          <w:tcPr>
            <w:tcW w:w="1132" w:type="pct"/>
            <w:vMerge/>
            <w:vAlign w:val="center"/>
          </w:tcPr>
          <w:p w14:paraId="65354FBF" w14:textId="77777777" w:rsidR="009247FB" w:rsidRPr="009703C7" w:rsidRDefault="009247FB" w:rsidP="00C44F84">
            <w:pPr>
              <w:pStyle w:val="TableText"/>
              <w:keepNext/>
              <w:widowControl w:val="0"/>
              <w:spacing w:before="0" w:after="0"/>
              <w:jc w:val="center"/>
            </w:pPr>
          </w:p>
        </w:tc>
        <w:tc>
          <w:tcPr>
            <w:tcW w:w="753" w:type="pct"/>
            <w:shd w:val="clear" w:color="auto" w:fill="auto"/>
            <w:vAlign w:val="center"/>
          </w:tcPr>
          <w:p w14:paraId="494135D1" w14:textId="207F73CD" w:rsidR="009247FB" w:rsidRPr="009703C7" w:rsidRDefault="00FF0D5F" w:rsidP="008625EE">
            <w:pPr>
              <w:pStyle w:val="TableText"/>
              <w:keepNext/>
              <w:widowControl w:val="0"/>
              <w:spacing w:before="0" w:after="0"/>
              <w:jc w:val="center"/>
            </w:pPr>
            <w:r w:rsidRPr="009703C7">
              <w:t>11</w:t>
            </w:r>
            <w:r w:rsidR="00733F87" w:rsidRPr="009703C7">
              <w:t xml:space="preserve"> to 40 years</w:t>
            </w:r>
          </w:p>
        </w:tc>
        <w:tc>
          <w:tcPr>
            <w:tcW w:w="1415" w:type="pct"/>
            <w:vAlign w:val="center"/>
          </w:tcPr>
          <w:p w14:paraId="65BA6E30" w14:textId="67C76B11" w:rsidR="009247FB" w:rsidRPr="009703C7" w:rsidRDefault="00733F87" w:rsidP="002A1CE6">
            <w:pPr>
              <w:pStyle w:val="TableText"/>
              <w:keepNext/>
              <w:widowControl w:val="0"/>
              <w:spacing w:before="0" w:after="0"/>
              <w:jc w:val="center"/>
            </w:pPr>
            <w:r w:rsidRPr="009703C7">
              <w:t>29%</w:t>
            </w:r>
          </w:p>
        </w:tc>
        <w:tc>
          <w:tcPr>
            <w:tcW w:w="1229" w:type="pct"/>
            <w:vMerge/>
            <w:vAlign w:val="center"/>
          </w:tcPr>
          <w:p w14:paraId="3C220A6B" w14:textId="77777777" w:rsidR="009247FB" w:rsidRPr="009703C7" w:rsidRDefault="009247FB" w:rsidP="000C7B6A">
            <w:pPr>
              <w:pStyle w:val="TableText"/>
              <w:keepNext/>
              <w:widowControl w:val="0"/>
              <w:spacing w:before="0" w:after="0"/>
              <w:jc w:val="center"/>
            </w:pPr>
          </w:p>
        </w:tc>
      </w:tr>
      <w:tr w:rsidR="009703C7" w:rsidRPr="009703C7" w14:paraId="0DE8A6CF" w14:textId="77777777" w:rsidTr="00001615">
        <w:trPr>
          <w:cnfStyle w:val="100000000000" w:firstRow="1" w:lastRow="0" w:firstColumn="0" w:lastColumn="0" w:oddVBand="0" w:evenVBand="0" w:oddHBand="0" w:evenHBand="0" w:firstRowFirstColumn="0" w:firstRowLastColumn="0" w:lastRowFirstColumn="0" w:lastRowLastColumn="0"/>
          <w:tblHeader/>
        </w:trPr>
        <w:tc>
          <w:tcPr>
            <w:tcW w:w="471" w:type="pct"/>
            <w:vMerge/>
            <w:shd w:val="clear" w:color="auto" w:fill="auto"/>
            <w:vAlign w:val="center"/>
          </w:tcPr>
          <w:p w14:paraId="78EB802C" w14:textId="77777777" w:rsidR="000C7B6A" w:rsidRPr="00E917D9" w:rsidRDefault="000C7B6A" w:rsidP="00C52AAA">
            <w:pPr>
              <w:pStyle w:val="TableText"/>
              <w:keepNext/>
              <w:widowControl w:val="0"/>
              <w:spacing w:before="0" w:after="0"/>
              <w:jc w:val="center"/>
            </w:pPr>
          </w:p>
        </w:tc>
        <w:tc>
          <w:tcPr>
            <w:tcW w:w="1132" w:type="pct"/>
            <w:vMerge/>
            <w:vAlign w:val="center"/>
          </w:tcPr>
          <w:p w14:paraId="7DA123B9" w14:textId="77777777" w:rsidR="000C7B6A" w:rsidRPr="00E917D9" w:rsidRDefault="000C7B6A" w:rsidP="00C44F84">
            <w:pPr>
              <w:pStyle w:val="TableText"/>
              <w:keepNext/>
              <w:widowControl w:val="0"/>
              <w:spacing w:before="0" w:after="0"/>
              <w:jc w:val="center"/>
            </w:pPr>
          </w:p>
        </w:tc>
        <w:tc>
          <w:tcPr>
            <w:tcW w:w="753" w:type="pct"/>
            <w:shd w:val="clear" w:color="auto" w:fill="auto"/>
            <w:vAlign w:val="center"/>
          </w:tcPr>
          <w:p w14:paraId="29E46745" w14:textId="3B25C264" w:rsidR="000C7B6A" w:rsidRPr="009703C7" w:rsidRDefault="002C2F3E" w:rsidP="002C2F3E">
            <w:pPr>
              <w:pStyle w:val="TableText"/>
              <w:keepNext/>
              <w:widowControl w:val="0"/>
              <w:spacing w:before="0" w:after="0"/>
              <w:jc w:val="center"/>
            </w:pPr>
            <w:r w:rsidRPr="009703C7">
              <w:t xml:space="preserve">&gt; </w:t>
            </w:r>
            <w:r w:rsidR="00123B5B" w:rsidRPr="009703C7">
              <w:t>40 years</w:t>
            </w:r>
          </w:p>
        </w:tc>
        <w:tc>
          <w:tcPr>
            <w:tcW w:w="1415" w:type="pct"/>
            <w:vAlign w:val="center"/>
          </w:tcPr>
          <w:p w14:paraId="3A5A8DAB" w14:textId="2AD428F9" w:rsidR="000C7B6A" w:rsidRPr="009703C7" w:rsidRDefault="00263587" w:rsidP="002A1CE6">
            <w:pPr>
              <w:pStyle w:val="TableText"/>
              <w:keepNext/>
              <w:widowControl w:val="0"/>
              <w:spacing w:before="0" w:after="0"/>
              <w:jc w:val="center"/>
            </w:pPr>
            <w:r w:rsidRPr="009703C7">
              <w:t>5.7%</w:t>
            </w:r>
          </w:p>
        </w:tc>
        <w:tc>
          <w:tcPr>
            <w:tcW w:w="1229" w:type="pct"/>
            <w:vMerge/>
            <w:vAlign w:val="center"/>
          </w:tcPr>
          <w:p w14:paraId="3EF9BD87" w14:textId="77777777" w:rsidR="000C7B6A" w:rsidRPr="009703C7" w:rsidRDefault="000C7B6A" w:rsidP="009247FB">
            <w:pPr>
              <w:pStyle w:val="TableText"/>
              <w:keepNext/>
              <w:widowControl w:val="0"/>
              <w:spacing w:before="0" w:after="0"/>
              <w:jc w:val="center"/>
            </w:pPr>
          </w:p>
        </w:tc>
      </w:tr>
      <w:tr w:rsidR="009703C7" w:rsidRPr="009703C7" w14:paraId="29250CB6" w14:textId="77777777" w:rsidTr="00001615">
        <w:trPr>
          <w:cnfStyle w:val="100000000000" w:firstRow="1" w:lastRow="0" w:firstColumn="0" w:lastColumn="0" w:oddVBand="0" w:evenVBand="0" w:oddHBand="0" w:evenHBand="0" w:firstRowFirstColumn="0" w:firstRowLastColumn="0" w:lastRowFirstColumn="0" w:lastRowLastColumn="0"/>
          <w:tblHeader/>
        </w:trPr>
        <w:tc>
          <w:tcPr>
            <w:tcW w:w="471" w:type="pct"/>
            <w:vMerge/>
            <w:shd w:val="clear" w:color="auto" w:fill="auto"/>
            <w:vAlign w:val="center"/>
          </w:tcPr>
          <w:p w14:paraId="303C5369" w14:textId="77777777" w:rsidR="000C7B6A" w:rsidRPr="00E917D9" w:rsidRDefault="000C7B6A" w:rsidP="00C52AAA">
            <w:pPr>
              <w:pStyle w:val="TableText"/>
              <w:keepNext/>
              <w:widowControl w:val="0"/>
              <w:spacing w:before="0" w:after="0"/>
              <w:jc w:val="center"/>
            </w:pPr>
          </w:p>
        </w:tc>
        <w:tc>
          <w:tcPr>
            <w:tcW w:w="1132" w:type="pct"/>
            <w:vMerge w:val="restart"/>
            <w:vAlign w:val="center"/>
          </w:tcPr>
          <w:p w14:paraId="1558BC03" w14:textId="7E9D2B10" w:rsidR="000C7B6A" w:rsidRPr="009703C7" w:rsidRDefault="006C5E66" w:rsidP="00C44F84">
            <w:pPr>
              <w:pStyle w:val="TableText"/>
              <w:keepNext/>
              <w:widowControl w:val="0"/>
              <w:spacing w:before="0" w:after="0"/>
              <w:jc w:val="center"/>
            </w:pPr>
            <w:r w:rsidRPr="009703C7">
              <w:t>AMN</w:t>
            </w:r>
          </w:p>
        </w:tc>
        <w:tc>
          <w:tcPr>
            <w:tcW w:w="753" w:type="pct"/>
            <w:shd w:val="clear" w:color="auto" w:fill="auto"/>
            <w:vAlign w:val="center"/>
          </w:tcPr>
          <w:p w14:paraId="083182E7" w14:textId="21AEA77F" w:rsidR="000C7B6A" w:rsidRPr="009703C7" w:rsidRDefault="00B0413E" w:rsidP="008625EE">
            <w:pPr>
              <w:pStyle w:val="TableText"/>
              <w:keepNext/>
              <w:widowControl w:val="0"/>
              <w:spacing w:before="0" w:after="0"/>
              <w:jc w:val="center"/>
            </w:pPr>
            <w:r w:rsidRPr="009703C7">
              <w:t>0 to &lt;30 years</w:t>
            </w:r>
          </w:p>
        </w:tc>
        <w:tc>
          <w:tcPr>
            <w:tcW w:w="1415" w:type="pct"/>
            <w:vAlign w:val="center"/>
          </w:tcPr>
          <w:p w14:paraId="6E779A27" w14:textId="6A18409B" w:rsidR="000C7B6A" w:rsidRPr="009703C7" w:rsidRDefault="00BE2C42" w:rsidP="002A1CE6">
            <w:pPr>
              <w:pStyle w:val="TableText"/>
              <w:keepNext/>
              <w:widowControl w:val="0"/>
              <w:spacing w:before="0" w:after="0"/>
              <w:jc w:val="center"/>
            </w:pPr>
            <w:r w:rsidRPr="009703C7">
              <w:t>0%</w:t>
            </w:r>
          </w:p>
        </w:tc>
        <w:tc>
          <w:tcPr>
            <w:tcW w:w="1229" w:type="pct"/>
            <w:vMerge w:val="restart"/>
            <w:vAlign w:val="center"/>
          </w:tcPr>
          <w:p w14:paraId="7D61B9E2" w14:textId="123734B9" w:rsidR="000C7B6A" w:rsidRPr="009703C7" w:rsidRDefault="00B0413E" w:rsidP="009247FB">
            <w:pPr>
              <w:pStyle w:val="TableText"/>
              <w:keepNext/>
              <w:widowControl w:val="0"/>
              <w:spacing w:before="0" w:after="0"/>
              <w:jc w:val="center"/>
            </w:pPr>
            <w:r w:rsidRPr="009703C7">
              <w:t>Turk 2020</w:t>
            </w:r>
          </w:p>
        </w:tc>
      </w:tr>
      <w:tr w:rsidR="009703C7" w:rsidRPr="009703C7" w14:paraId="4EC044B8" w14:textId="77777777" w:rsidTr="00001615">
        <w:trPr>
          <w:cnfStyle w:val="100000000000" w:firstRow="1" w:lastRow="0" w:firstColumn="0" w:lastColumn="0" w:oddVBand="0" w:evenVBand="0" w:oddHBand="0" w:evenHBand="0" w:firstRowFirstColumn="0" w:firstRowLastColumn="0" w:lastRowFirstColumn="0" w:lastRowLastColumn="0"/>
          <w:tblHeader/>
        </w:trPr>
        <w:tc>
          <w:tcPr>
            <w:tcW w:w="471" w:type="pct"/>
            <w:vMerge/>
            <w:shd w:val="clear" w:color="auto" w:fill="auto"/>
            <w:vAlign w:val="center"/>
          </w:tcPr>
          <w:p w14:paraId="721179B1" w14:textId="77777777" w:rsidR="000C7B6A" w:rsidRPr="00E917D9" w:rsidRDefault="000C7B6A" w:rsidP="00C52AAA">
            <w:pPr>
              <w:pStyle w:val="TableText"/>
              <w:keepNext/>
              <w:widowControl w:val="0"/>
              <w:spacing w:before="0" w:after="0"/>
              <w:jc w:val="center"/>
            </w:pPr>
          </w:p>
        </w:tc>
        <w:tc>
          <w:tcPr>
            <w:tcW w:w="1132" w:type="pct"/>
            <w:vMerge/>
            <w:vAlign w:val="center"/>
          </w:tcPr>
          <w:p w14:paraId="23767955" w14:textId="77777777" w:rsidR="000C7B6A" w:rsidRPr="00E917D9" w:rsidRDefault="000C7B6A" w:rsidP="00C44F84">
            <w:pPr>
              <w:pStyle w:val="TableText"/>
              <w:keepNext/>
              <w:widowControl w:val="0"/>
              <w:spacing w:before="0" w:after="0"/>
              <w:jc w:val="center"/>
            </w:pPr>
          </w:p>
        </w:tc>
        <w:tc>
          <w:tcPr>
            <w:tcW w:w="753" w:type="pct"/>
            <w:shd w:val="clear" w:color="auto" w:fill="auto"/>
            <w:vAlign w:val="center"/>
          </w:tcPr>
          <w:p w14:paraId="13197970" w14:textId="5CE5A1DE" w:rsidR="000C7B6A" w:rsidRPr="009703C7" w:rsidRDefault="00800A00" w:rsidP="008625EE">
            <w:pPr>
              <w:pStyle w:val="TableText"/>
              <w:keepNext/>
              <w:widowControl w:val="0"/>
              <w:spacing w:before="0" w:after="0"/>
              <w:jc w:val="center"/>
            </w:pPr>
            <w:r w:rsidRPr="009703C7">
              <w:t>≥</w:t>
            </w:r>
            <w:r w:rsidR="00BE2C42" w:rsidRPr="009703C7">
              <w:t>30 years</w:t>
            </w:r>
          </w:p>
        </w:tc>
        <w:tc>
          <w:tcPr>
            <w:tcW w:w="1415" w:type="pct"/>
            <w:vAlign w:val="center"/>
          </w:tcPr>
          <w:p w14:paraId="53548312" w14:textId="689B95C2" w:rsidR="000C7B6A" w:rsidRPr="009703C7" w:rsidRDefault="004E3757" w:rsidP="002A1CE6">
            <w:pPr>
              <w:pStyle w:val="TableText"/>
              <w:keepNext/>
              <w:widowControl w:val="0"/>
              <w:spacing w:before="0" w:after="0"/>
              <w:jc w:val="center"/>
            </w:pPr>
            <w:r w:rsidRPr="009703C7">
              <w:t>100%</w:t>
            </w:r>
          </w:p>
        </w:tc>
        <w:tc>
          <w:tcPr>
            <w:tcW w:w="1229" w:type="pct"/>
            <w:vMerge/>
            <w:vAlign w:val="center"/>
          </w:tcPr>
          <w:p w14:paraId="6C352B05" w14:textId="77777777" w:rsidR="000C7B6A" w:rsidRPr="009703C7" w:rsidRDefault="000C7B6A" w:rsidP="009247FB">
            <w:pPr>
              <w:pStyle w:val="TableText"/>
              <w:keepNext/>
              <w:widowControl w:val="0"/>
              <w:spacing w:before="0" w:after="0"/>
              <w:jc w:val="center"/>
            </w:pPr>
          </w:p>
        </w:tc>
      </w:tr>
      <w:tr w:rsidR="009703C7" w:rsidRPr="009703C7" w14:paraId="554A4EEA" w14:textId="77777777" w:rsidTr="00001615">
        <w:trPr>
          <w:cnfStyle w:val="100000000000" w:firstRow="1" w:lastRow="0" w:firstColumn="0" w:lastColumn="0" w:oddVBand="0" w:evenVBand="0" w:oddHBand="0" w:evenHBand="0" w:firstRowFirstColumn="0" w:firstRowLastColumn="0" w:lastRowFirstColumn="0" w:lastRowLastColumn="0"/>
          <w:tblHeader/>
        </w:trPr>
        <w:tc>
          <w:tcPr>
            <w:tcW w:w="471" w:type="pct"/>
            <w:vMerge w:val="restart"/>
            <w:shd w:val="clear" w:color="auto" w:fill="auto"/>
            <w:vAlign w:val="center"/>
          </w:tcPr>
          <w:p w14:paraId="35669AE5" w14:textId="4BBBB7CF" w:rsidR="000C7B6A" w:rsidRPr="009703C7" w:rsidRDefault="001E1D95" w:rsidP="00C52AAA">
            <w:pPr>
              <w:pStyle w:val="TableText"/>
              <w:keepNext/>
              <w:widowControl w:val="0"/>
              <w:spacing w:before="0" w:after="0"/>
              <w:jc w:val="center"/>
            </w:pPr>
            <w:r w:rsidRPr="009703C7">
              <w:t>Female</w:t>
            </w:r>
          </w:p>
        </w:tc>
        <w:tc>
          <w:tcPr>
            <w:tcW w:w="1132" w:type="pct"/>
            <w:vAlign w:val="center"/>
          </w:tcPr>
          <w:p w14:paraId="3C512413" w14:textId="6A5FB081" w:rsidR="000C7B6A" w:rsidRPr="009703C7" w:rsidRDefault="009734BB" w:rsidP="00C44F84">
            <w:pPr>
              <w:pStyle w:val="TableText"/>
              <w:keepNext/>
              <w:widowControl w:val="0"/>
              <w:spacing w:before="0" w:after="0"/>
              <w:jc w:val="center"/>
            </w:pPr>
            <w:r w:rsidRPr="009703C7">
              <w:t>Cerebral ALD</w:t>
            </w:r>
          </w:p>
        </w:tc>
        <w:tc>
          <w:tcPr>
            <w:tcW w:w="753" w:type="pct"/>
            <w:shd w:val="clear" w:color="auto" w:fill="auto"/>
            <w:vAlign w:val="center"/>
          </w:tcPr>
          <w:p w14:paraId="0FE1C16D" w14:textId="77777777" w:rsidR="000C7B6A" w:rsidRPr="009703C7" w:rsidRDefault="000C7B6A" w:rsidP="008625EE">
            <w:pPr>
              <w:pStyle w:val="TableText"/>
              <w:keepNext/>
              <w:widowControl w:val="0"/>
              <w:spacing w:before="0" w:after="0"/>
              <w:jc w:val="center"/>
            </w:pPr>
          </w:p>
        </w:tc>
        <w:tc>
          <w:tcPr>
            <w:tcW w:w="1415" w:type="pct"/>
            <w:vAlign w:val="center"/>
          </w:tcPr>
          <w:p w14:paraId="62C621E0" w14:textId="6243D8B5" w:rsidR="000C7B6A" w:rsidRPr="009703C7" w:rsidRDefault="000B00B2" w:rsidP="002A1CE6">
            <w:pPr>
              <w:pStyle w:val="TableText"/>
              <w:keepNext/>
              <w:widowControl w:val="0"/>
              <w:spacing w:before="0" w:after="0"/>
              <w:jc w:val="center"/>
            </w:pPr>
            <w:r w:rsidRPr="009703C7">
              <w:t>0%</w:t>
            </w:r>
          </w:p>
        </w:tc>
        <w:tc>
          <w:tcPr>
            <w:tcW w:w="1229" w:type="pct"/>
            <w:vAlign w:val="center"/>
          </w:tcPr>
          <w:p w14:paraId="660E7FD0" w14:textId="17764AE7" w:rsidR="000C7B6A" w:rsidRPr="009703C7" w:rsidRDefault="002462A4" w:rsidP="009247FB">
            <w:pPr>
              <w:pStyle w:val="TableText"/>
              <w:keepNext/>
              <w:widowControl w:val="0"/>
              <w:spacing w:before="0" w:after="0"/>
              <w:jc w:val="center"/>
            </w:pPr>
            <w:r w:rsidRPr="009703C7">
              <w:t>Turk 2020</w:t>
            </w:r>
          </w:p>
        </w:tc>
      </w:tr>
      <w:tr w:rsidR="009703C7" w:rsidRPr="009703C7" w14:paraId="2F2B2BC1" w14:textId="77777777" w:rsidTr="00001615">
        <w:trPr>
          <w:cnfStyle w:val="100000000000" w:firstRow="1" w:lastRow="0" w:firstColumn="0" w:lastColumn="0" w:oddVBand="0" w:evenVBand="0" w:oddHBand="0" w:evenHBand="0" w:firstRowFirstColumn="0" w:firstRowLastColumn="0" w:lastRowFirstColumn="0" w:lastRowLastColumn="0"/>
          <w:tblHeader/>
        </w:trPr>
        <w:tc>
          <w:tcPr>
            <w:tcW w:w="471" w:type="pct"/>
            <w:vMerge/>
            <w:shd w:val="clear" w:color="auto" w:fill="auto"/>
            <w:vAlign w:val="center"/>
          </w:tcPr>
          <w:p w14:paraId="59605E95" w14:textId="77777777" w:rsidR="000C7B6A" w:rsidRPr="00E917D9" w:rsidRDefault="000C7B6A" w:rsidP="00C52AAA">
            <w:pPr>
              <w:pStyle w:val="TableText"/>
              <w:keepNext/>
              <w:widowControl w:val="0"/>
              <w:spacing w:before="0" w:after="0"/>
              <w:jc w:val="center"/>
            </w:pPr>
          </w:p>
        </w:tc>
        <w:tc>
          <w:tcPr>
            <w:tcW w:w="1132" w:type="pct"/>
            <w:vAlign w:val="center"/>
          </w:tcPr>
          <w:p w14:paraId="61197084" w14:textId="3DA2CD93" w:rsidR="000C7B6A" w:rsidRPr="009703C7" w:rsidRDefault="000B00B2" w:rsidP="00C44F84">
            <w:pPr>
              <w:pStyle w:val="TableText"/>
              <w:keepNext/>
              <w:widowControl w:val="0"/>
              <w:spacing w:before="0" w:after="0"/>
              <w:jc w:val="center"/>
            </w:pPr>
            <w:r w:rsidRPr="009703C7">
              <w:t>Adrenal insufficiency</w:t>
            </w:r>
          </w:p>
        </w:tc>
        <w:tc>
          <w:tcPr>
            <w:tcW w:w="753" w:type="pct"/>
            <w:shd w:val="clear" w:color="auto" w:fill="auto"/>
            <w:vAlign w:val="center"/>
          </w:tcPr>
          <w:p w14:paraId="27FE517F" w14:textId="77777777" w:rsidR="000C7B6A" w:rsidRPr="009703C7" w:rsidRDefault="000C7B6A" w:rsidP="008625EE">
            <w:pPr>
              <w:pStyle w:val="TableText"/>
              <w:keepNext/>
              <w:widowControl w:val="0"/>
              <w:spacing w:before="0" w:after="0"/>
              <w:jc w:val="center"/>
            </w:pPr>
          </w:p>
        </w:tc>
        <w:tc>
          <w:tcPr>
            <w:tcW w:w="1415" w:type="pct"/>
            <w:vAlign w:val="center"/>
          </w:tcPr>
          <w:p w14:paraId="62892AEF" w14:textId="163B526E" w:rsidR="000C7B6A" w:rsidRPr="009703C7" w:rsidRDefault="005E53E5" w:rsidP="002A1CE6">
            <w:pPr>
              <w:pStyle w:val="TableText"/>
              <w:keepNext/>
              <w:widowControl w:val="0"/>
              <w:spacing w:before="0" w:after="0"/>
              <w:jc w:val="center"/>
            </w:pPr>
            <w:r w:rsidRPr="009703C7">
              <w:t>0%</w:t>
            </w:r>
          </w:p>
        </w:tc>
        <w:tc>
          <w:tcPr>
            <w:tcW w:w="1229" w:type="pct"/>
            <w:vAlign w:val="center"/>
          </w:tcPr>
          <w:p w14:paraId="4340FCB3" w14:textId="22EE8A62" w:rsidR="000C7B6A" w:rsidRPr="009703C7" w:rsidRDefault="002462A4" w:rsidP="009247FB">
            <w:pPr>
              <w:pStyle w:val="TableText"/>
              <w:keepNext/>
              <w:widowControl w:val="0"/>
              <w:spacing w:before="0" w:after="0"/>
              <w:jc w:val="center"/>
            </w:pPr>
            <w:r w:rsidRPr="009703C7">
              <w:t>Turk 2020 (</w:t>
            </w:r>
            <w:r w:rsidR="00DC78CC" w:rsidRPr="009703C7">
              <w:t xml:space="preserve">rare in </w:t>
            </w:r>
            <w:r w:rsidR="005B7AEC" w:rsidRPr="009703C7">
              <w:t>female</w:t>
            </w:r>
            <w:r w:rsidR="000530A2" w:rsidRPr="009703C7">
              <w:t>s</w:t>
            </w:r>
            <w:r w:rsidR="00DC78CC" w:rsidRPr="009703C7">
              <w:t xml:space="preserve"> and </w:t>
            </w:r>
            <w:r w:rsidR="005B7AEC" w:rsidRPr="009703C7">
              <w:t>does</w:t>
            </w:r>
            <w:r w:rsidR="000530A2" w:rsidRPr="009703C7">
              <w:t xml:space="preserve"> </w:t>
            </w:r>
            <w:r w:rsidR="005B7AEC" w:rsidRPr="009703C7">
              <w:t>not</w:t>
            </w:r>
            <w:r w:rsidR="00DC78CC" w:rsidRPr="009703C7">
              <w:t xml:space="preserve"> </w:t>
            </w:r>
            <w:r w:rsidR="00F14651" w:rsidRPr="009703C7">
              <w:t>precede AMN phenotype</w:t>
            </w:r>
            <w:r w:rsidR="00CB7679" w:rsidRPr="009703C7">
              <w:t xml:space="preserve"> as seen in males</w:t>
            </w:r>
            <w:r w:rsidR="00F14651" w:rsidRPr="009703C7">
              <w:t>)</w:t>
            </w:r>
          </w:p>
        </w:tc>
      </w:tr>
      <w:tr w:rsidR="009703C7" w:rsidRPr="009703C7" w14:paraId="62AFD276" w14:textId="77777777" w:rsidTr="00001615">
        <w:trPr>
          <w:cnfStyle w:val="100000000000" w:firstRow="1" w:lastRow="0" w:firstColumn="0" w:lastColumn="0" w:oddVBand="0" w:evenVBand="0" w:oddHBand="0" w:evenHBand="0" w:firstRowFirstColumn="0" w:firstRowLastColumn="0" w:lastRowFirstColumn="0" w:lastRowLastColumn="0"/>
          <w:tblHeader/>
        </w:trPr>
        <w:tc>
          <w:tcPr>
            <w:tcW w:w="471" w:type="pct"/>
            <w:vMerge/>
            <w:shd w:val="clear" w:color="auto" w:fill="auto"/>
            <w:vAlign w:val="center"/>
          </w:tcPr>
          <w:p w14:paraId="3315DB17" w14:textId="77777777" w:rsidR="000C7B6A" w:rsidRPr="00E917D9" w:rsidRDefault="000C7B6A" w:rsidP="00C52AAA">
            <w:pPr>
              <w:pStyle w:val="TableText"/>
              <w:keepNext/>
              <w:widowControl w:val="0"/>
              <w:spacing w:before="0" w:after="0"/>
              <w:jc w:val="center"/>
            </w:pPr>
          </w:p>
        </w:tc>
        <w:tc>
          <w:tcPr>
            <w:tcW w:w="1132" w:type="pct"/>
            <w:vMerge w:val="restart"/>
            <w:vAlign w:val="center"/>
          </w:tcPr>
          <w:p w14:paraId="6882D725" w14:textId="242DA43A" w:rsidR="000C7B6A" w:rsidRPr="009703C7" w:rsidRDefault="005E53E5" w:rsidP="00C44F84">
            <w:pPr>
              <w:pStyle w:val="TableText"/>
              <w:keepNext/>
              <w:widowControl w:val="0"/>
              <w:spacing w:before="0" w:after="0"/>
              <w:jc w:val="center"/>
            </w:pPr>
            <w:r w:rsidRPr="009703C7">
              <w:t>AMN</w:t>
            </w:r>
          </w:p>
        </w:tc>
        <w:tc>
          <w:tcPr>
            <w:tcW w:w="753" w:type="pct"/>
            <w:shd w:val="clear" w:color="auto" w:fill="auto"/>
            <w:vAlign w:val="center"/>
          </w:tcPr>
          <w:p w14:paraId="7E84A5D1" w14:textId="53E97A37" w:rsidR="000C7B6A" w:rsidRPr="009703C7" w:rsidRDefault="004F28E4" w:rsidP="008625EE">
            <w:pPr>
              <w:pStyle w:val="TableText"/>
              <w:keepNext/>
              <w:widowControl w:val="0"/>
              <w:spacing w:before="0" w:after="0"/>
              <w:jc w:val="center"/>
            </w:pPr>
            <w:r w:rsidRPr="009703C7">
              <w:t>0 to &lt;40years</w:t>
            </w:r>
          </w:p>
        </w:tc>
        <w:tc>
          <w:tcPr>
            <w:tcW w:w="1415" w:type="pct"/>
            <w:vAlign w:val="center"/>
          </w:tcPr>
          <w:p w14:paraId="41DA3B09" w14:textId="6284E2CB" w:rsidR="000C7B6A" w:rsidRPr="009703C7" w:rsidRDefault="00D12178" w:rsidP="002A1CE6">
            <w:pPr>
              <w:pStyle w:val="TableText"/>
              <w:keepNext/>
              <w:widowControl w:val="0"/>
              <w:spacing w:before="0" w:after="0"/>
              <w:jc w:val="center"/>
            </w:pPr>
            <w:r w:rsidRPr="009703C7">
              <w:t>0%</w:t>
            </w:r>
          </w:p>
        </w:tc>
        <w:tc>
          <w:tcPr>
            <w:tcW w:w="1229" w:type="pct"/>
            <w:vMerge w:val="restart"/>
            <w:vAlign w:val="center"/>
          </w:tcPr>
          <w:p w14:paraId="6C17A8B3" w14:textId="6CAD4374" w:rsidR="000C7B6A" w:rsidRPr="009703C7" w:rsidRDefault="005B7AEC" w:rsidP="009247FB">
            <w:pPr>
              <w:pStyle w:val="TableText"/>
              <w:keepNext/>
              <w:widowControl w:val="0"/>
              <w:spacing w:before="0" w:after="0"/>
              <w:jc w:val="center"/>
            </w:pPr>
            <w:r w:rsidRPr="009703C7">
              <w:t>Turk 2020</w:t>
            </w:r>
          </w:p>
        </w:tc>
      </w:tr>
      <w:tr w:rsidR="009703C7" w:rsidRPr="009703C7" w14:paraId="0BB83307" w14:textId="77777777" w:rsidTr="00001615">
        <w:trPr>
          <w:cnfStyle w:val="100000000000" w:firstRow="1" w:lastRow="0" w:firstColumn="0" w:lastColumn="0" w:oddVBand="0" w:evenVBand="0" w:oddHBand="0" w:evenHBand="0" w:firstRowFirstColumn="0" w:firstRowLastColumn="0" w:lastRowFirstColumn="0" w:lastRowLastColumn="0"/>
          <w:tblHeader/>
        </w:trPr>
        <w:tc>
          <w:tcPr>
            <w:tcW w:w="471" w:type="pct"/>
            <w:vMerge/>
            <w:shd w:val="clear" w:color="auto" w:fill="auto"/>
            <w:vAlign w:val="center"/>
          </w:tcPr>
          <w:p w14:paraId="1B4059DE" w14:textId="77777777" w:rsidR="00335EF1" w:rsidRPr="00E917D9" w:rsidRDefault="00335EF1" w:rsidP="00C52AAA">
            <w:pPr>
              <w:pStyle w:val="TableText"/>
              <w:keepNext/>
              <w:widowControl w:val="0"/>
              <w:spacing w:before="0" w:after="0"/>
              <w:jc w:val="center"/>
            </w:pPr>
          </w:p>
        </w:tc>
        <w:tc>
          <w:tcPr>
            <w:tcW w:w="1132" w:type="pct"/>
            <w:vMerge/>
            <w:vAlign w:val="center"/>
          </w:tcPr>
          <w:p w14:paraId="0EC46076" w14:textId="77777777" w:rsidR="00335EF1" w:rsidRPr="009703C7" w:rsidRDefault="00335EF1" w:rsidP="00C44F84">
            <w:pPr>
              <w:pStyle w:val="TableText"/>
              <w:keepNext/>
              <w:widowControl w:val="0"/>
              <w:spacing w:before="0" w:after="0"/>
              <w:jc w:val="center"/>
            </w:pPr>
          </w:p>
        </w:tc>
        <w:tc>
          <w:tcPr>
            <w:tcW w:w="753" w:type="pct"/>
            <w:shd w:val="clear" w:color="auto" w:fill="auto"/>
            <w:vAlign w:val="center"/>
          </w:tcPr>
          <w:p w14:paraId="1EB534EF" w14:textId="006C513E" w:rsidR="00335EF1" w:rsidRPr="009703C7" w:rsidRDefault="002A14D9" w:rsidP="008625EE">
            <w:pPr>
              <w:pStyle w:val="TableText"/>
              <w:keepNext/>
              <w:widowControl w:val="0"/>
              <w:spacing w:before="0" w:after="0"/>
              <w:jc w:val="center"/>
            </w:pPr>
            <w:r w:rsidRPr="009703C7">
              <w:t>≥</w:t>
            </w:r>
            <w:r w:rsidR="00831C51" w:rsidRPr="009703C7">
              <w:t>40 to &lt;65 years</w:t>
            </w:r>
          </w:p>
        </w:tc>
        <w:tc>
          <w:tcPr>
            <w:tcW w:w="1415" w:type="pct"/>
            <w:vAlign w:val="center"/>
          </w:tcPr>
          <w:p w14:paraId="28BC72CB" w14:textId="4A549012" w:rsidR="00335EF1" w:rsidRPr="009703C7" w:rsidRDefault="005B7AEC" w:rsidP="002A1CE6">
            <w:pPr>
              <w:pStyle w:val="TableText"/>
              <w:keepNext/>
              <w:widowControl w:val="0"/>
              <w:spacing w:before="0" w:after="0"/>
              <w:jc w:val="center"/>
            </w:pPr>
            <w:r w:rsidRPr="009703C7">
              <w:t>50%</w:t>
            </w:r>
          </w:p>
        </w:tc>
        <w:tc>
          <w:tcPr>
            <w:tcW w:w="1229" w:type="pct"/>
            <w:vMerge/>
            <w:vAlign w:val="center"/>
          </w:tcPr>
          <w:p w14:paraId="608C918A" w14:textId="77777777" w:rsidR="00335EF1" w:rsidRPr="009703C7" w:rsidRDefault="00335EF1" w:rsidP="009247FB">
            <w:pPr>
              <w:pStyle w:val="TableText"/>
              <w:keepNext/>
              <w:widowControl w:val="0"/>
              <w:spacing w:before="0" w:after="0"/>
              <w:jc w:val="center"/>
            </w:pPr>
          </w:p>
        </w:tc>
      </w:tr>
      <w:tr w:rsidR="009703C7" w:rsidRPr="009703C7" w14:paraId="456814B6" w14:textId="77777777" w:rsidTr="00001615">
        <w:trPr>
          <w:cnfStyle w:val="100000000000" w:firstRow="1" w:lastRow="0" w:firstColumn="0" w:lastColumn="0" w:oddVBand="0" w:evenVBand="0" w:oddHBand="0" w:evenHBand="0" w:firstRowFirstColumn="0" w:firstRowLastColumn="0" w:lastRowFirstColumn="0" w:lastRowLastColumn="0"/>
          <w:tblHeader/>
        </w:trPr>
        <w:tc>
          <w:tcPr>
            <w:tcW w:w="471" w:type="pct"/>
            <w:vMerge/>
            <w:shd w:val="clear" w:color="auto" w:fill="auto"/>
            <w:vAlign w:val="center"/>
          </w:tcPr>
          <w:p w14:paraId="73A1F63C" w14:textId="77777777" w:rsidR="00335EF1" w:rsidRPr="00E917D9" w:rsidRDefault="00335EF1" w:rsidP="00C52AAA">
            <w:pPr>
              <w:pStyle w:val="TableText"/>
              <w:keepNext/>
              <w:widowControl w:val="0"/>
              <w:spacing w:before="0" w:after="0"/>
              <w:jc w:val="center"/>
            </w:pPr>
          </w:p>
        </w:tc>
        <w:tc>
          <w:tcPr>
            <w:tcW w:w="1132" w:type="pct"/>
            <w:vMerge/>
            <w:vAlign w:val="center"/>
          </w:tcPr>
          <w:p w14:paraId="27706272" w14:textId="77777777" w:rsidR="00335EF1" w:rsidRPr="009703C7" w:rsidRDefault="00335EF1" w:rsidP="00C44F84">
            <w:pPr>
              <w:pStyle w:val="TableText"/>
              <w:keepNext/>
              <w:widowControl w:val="0"/>
              <w:spacing w:before="0" w:after="0"/>
              <w:jc w:val="center"/>
            </w:pPr>
          </w:p>
        </w:tc>
        <w:tc>
          <w:tcPr>
            <w:tcW w:w="753" w:type="pct"/>
            <w:shd w:val="clear" w:color="auto" w:fill="auto"/>
            <w:vAlign w:val="center"/>
          </w:tcPr>
          <w:p w14:paraId="1D7D72A1" w14:textId="0AE4A014" w:rsidR="00335EF1" w:rsidRPr="009703C7" w:rsidRDefault="005B7AEC" w:rsidP="008625EE">
            <w:pPr>
              <w:pStyle w:val="TableText"/>
              <w:keepNext/>
              <w:widowControl w:val="0"/>
              <w:spacing w:before="0" w:after="0"/>
              <w:jc w:val="center"/>
            </w:pPr>
            <w:r w:rsidRPr="009703C7">
              <w:t>≥65 years</w:t>
            </w:r>
          </w:p>
        </w:tc>
        <w:tc>
          <w:tcPr>
            <w:tcW w:w="1415" w:type="pct"/>
            <w:vAlign w:val="center"/>
          </w:tcPr>
          <w:p w14:paraId="70A33B57" w14:textId="049A5BEA" w:rsidR="00335EF1" w:rsidRPr="009703C7" w:rsidRDefault="005B7AEC" w:rsidP="002A1CE6">
            <w:pPr>
              <w:pStyle w:val="TableText"/>
              <w:keepNext/>
              <w:widowControl w:val="0"/>
              <w:spacing w:before="0" w:after="0"/>
              <w:jc w:val="center"/>
            </w:pPr>
            <w:r w:rsidRPr="009703C7">
              <w:t>65%</w:t>
            </w:r>
          </w:p>
        </w:tc>
        <w:tc>
          <w:tcPr>
            <w:tcW w:w="1229" w:type="pct"/>
            <w:vMerge/>
            <w:vAlign w:val="center"/>
          </w:tcPr>
          <w:p w14:paraId="412862EE" w14:textId="77777777" w:rsidR="00335EF1" w:rsidRPr="009703C7" w:rsidRDefault="00335EF1" w:rsidP="009247FB">
            <w:pPr>
              <w:pStyle w:val="TableText"/>
              <w:keepNext/>
              <w:widowControl w:val="0"/>
              <w:spacing w:before="0" w:after="0"/>
              <w:jc w:val="center"/>
            </w:pPr>
          </w:p>
        </w:tc>
      </w:tr>
    </w:tbl>
    <w:p w14:paraId="698E2530" w14:textId="6CE7A8EC" w:rsidR="00F36B1B" w:rsidRPr="009703C7" w:rsidRDefault="00F36B1B" w:rsidP="00C52AAA">
      <w:pPr>
        <w:pStyle w:val="TableFooter"/>
        <w:keepNext/>
        <w:spacing w:before="0" w:after="0"/>
        <w:jc w:val="left"/>
      </w:pPr>
      <w:r w:rsidRPr="009703C7">
        <w:t>ALD</w:t>
      </w:r>
      <w:r w:rsidR="005B2927" w:rsidRPr="009703C7">
        <w:t xml:space="preserve"> =</w:t>
      </w:r>
      <w:r w:rsidRPr="009703C7">
        <w:t xml:space="preserve"> adrenoleukodystrophy</w:t>
      </w:r>
      <w:r w:rsidR="00E97B29" w:rsidRPr="009703C7">
        <w:t>; AMN</w:t>
      </w:r>
      <w:r w:rsidR="005B2927" w:rsidRPr="009703C7">
        <w:t xml:space="preserve"> =</w:t>
      </w:r>
      <w:r w:rsidR="009F0E19" w:rsidRPr="009703C7">
        <w:t xml:space="preserve"> adrenomyeloneuropathy</w:t>
      </w:r>
      <w:r w:rsidR="00E97B29" w:rsidRPr="009703C7">
        <w:t xml:space="preserve"> </w:t>
      </w:r>
    </w:p>
    <w:p w14:paraId="768C3D14" w14:textId="614357F8" w:rsidR="00EB4EBB" w:rsidRPr="009703C7" w:rsidRDefault="00EB4EBB" w:rsidP="009703C7">
      <w:pPr>
        <w:pStyle w:val="TableFooter"/>
        <w:keepNext/>
        <w:spacing w:before="0" w:after="0"/>
        <w:jc w:val="left"/>
      </w:pPr>
      <w:r>
        <w:t xml:space="preserve">Source: </w:t>
      </w:r>
      <w:r w:rsidR="006E5935">
        <w:t>DCAR</w:t>
      </w:r>
      <w:r w:rsidR="00540611">
        <w:t xml:space="preserve"> </w:t>
      </w:r>
      <w:r w:rsidR="006E5935">
        <w:t>economic model</w:t>
      </w:r>
      <w:r w:rsidR="002C7934">
        <w:t xml:space="preserve"> for PICO set 1, tab “Probabilities”</w:t>
      </w:r>
      <w:r w:rsidR="00540611">
        <w:t xml:space="preserve"> and DCAR Table 99</w:t>
      </w:r>
      <w:r w:rsidR="002C7934">
        <w:t>.</w:t>
      </w:r>
    </w:p>
    <w:p w14:paraId="79318B37" w14:textId="63693A19" w:rsidR="00E542C7" w:rsidRPr="00721732" w:rsidRDefault="00E542C7" w:rsidP="00206581">
      <w:pPr>
        <w:pStyle w:val="Heading3"/>
        <w:jc w:val="left"/>
      </w:pPr>
      <w:r>
        <w:t>Change in clinical management</w:t>
      </w:r>
      <w:bookmarkEnd w:id="26"/>
    </w:p>
    <w:p w14:paraId="7CB6B636" w14:textId="77777777" w:rsidR="00E542C7" w:rsidRDefault="00E542C7" w:rsidP="00206581">
      <w:pPr>
        <w:widowControl w:val="0"/>
        <w:rPr>
          <w:rFonts w:eastAsia="Calibri" w:cs="Times New Roman"/>
          <w:noProof/>
          <w:color w:val="000000" w:themeColor="text1"/>
        </w:rPr>
      </w:pPr>
      <w:r>
        <w:rPr>
          <w:rFonts w:eastAsia="Calibri" w:cs="Times New Roman"/>
          <w:noProof/>
          <w:color w:val="000000" w:themeColor="text1"/>
        </w:rPr>
        <w:t>Clinical experts advised that</w:t>
      </w:r>
      <w:r w:rsidRPr="00870AB6">
        <w:rPr>
          <w:rFonts w:eastAsia="Calibri" w:cs="Times New Roman"/>
          <w:noProof/>
          <w:color w:val="000000" w:themeColor="text1"/>
        </w:rPr>
        <w:t xml:space="preserve"> the </w:t>
      </w:r>
      <w:r>
        <w:rPr>
          <w:rFonts w:eastAsia="Calibri" w:cs="Times New Roman"/>
          <w:noProof/>
          <w:color w:val="000000" w:themeColor="text1"/>
        </w:rPr>
        <w:t>implementation</w:t>
      </w:r>
      <w:r w:rsidRPr="00870AB6">
        <w:rPr>
          <w:rFonts w:eastAsia="Calibri" w:cs="Times New Roman"/>
          <w:noProof/>
          <w:color w:val="000000" w:themeColor="text1"/>
        </w:rPr>
        <w:t xml:space="preserve"> of </w:t>
      </w:r>
      <w:r>
        <w:rPr>
          <w:rFonts w:eastAsia="Calibri" w:cs="Times New Roman"/>
          <w:noProof/>
          <w:color w:val="000000" w:themeColor="text1"/>
        </w:rPr>
        <w:t>NBS</w:t>
      </w:r>
      <w:r w:rsidRPr="00870AB6">
        <w:rPr>
          <w:rFonts w:eastAsia="Calibri" w:cs="Times New Roman"/>
          <w:noProof/>
          <w:color w:val="000000" w:themeColor="text1"/>
        </w:rPr>
        <w:t xml:space="preserve"> for X-ALD would result in the same </w:t>
      </w:r>
      <w:r>
        <w:rPr>
          <w:rFonts w:eastAsia="Calibri" w:cs="Times New Roman"/>
          <w:noProof/>
          <w:color w:val="000000" w:themeColor="text1"/>
        </w:rPr>
        <w:t xml:space="preserve">clinical </w:t>
      </w:r>
      <w:r w:rsidRPr="00870AB6">
        <w:rPr>
          <w:rFonts w:eastAsia="Calibri" w:cs="Times New Roman"/>
          <w:noProof/>
          <w:color w:val="000000" w:themeColor="text1"/>
        </w:rPr>
        <w:t>management decision</w:t>
      </w:r>
      <w:r>
        <w:rPr>
          <w:rFonts w:eastAsia="Calibri" w:cs="Times New Roman"/>
          <w:noProof/>
          <w:color w:val="000000" w:themeColor="text1"/>
        </w:rPr>
        <w:t xml:space="preserve">s, but would change the clinical pathway where earlier monitoring of newborns with X-ALD will occur instead of monitoring disease progression commencing only after the onset of symptoms. Early monitoring may lead to earlier treatment before patients become </w:t>
      </w:r>
      <w:r>
        <w:t>symptomatic and potentially untreatable</w:t>
      </w:r>
      <w:r>
        <w:rPr>
          <w:rFonts w:eastAsia="Calibri" w:cs="Times New Roman"/>
          <w:noProof/>
          <w:color w:val="000000" w:themeColor="text1"/>
        </w:rPr>
        <w:t xml:space="preserve">, reducing mortality and morbidity rates. </w:t>
      </w:r>
    </w:p>
    <w:p w14:paraId="087931ED" w14:textId="7A5CA304" w:rsidR="00E542C7" w:rsidRDefault="00E542C7" w:rsidP="00206581">
      <w:pPr>
        <w:widowControl w:val="0"/>
        <w:rPr>
          <w:bCs/>
          <w:color w:val="000000" w:themeColor="text1"/>
        </w:rPr>
      </w:pPr>
      <w:r w:rsidRPr="00EF6FF1">
        <w:rPr>
          <w:bCs/>
          <w:color w:val="000000" w:themeColor="text1"/>
        </w:rPr>
        <w:t xml:space="preserve">Most of the guidelines and reviews concluded that </w:t>
      </w:r>
      <w:r w:rsidRPr="005B5363">
        <w:rPr>
          <w:bCs/>
          <w:color w:val="000000" w:themeColor="text1"/>
        </w:rPr>
        <w:t>HSCT could halt the progression of</w:t>
      </w:r>
      <w:r>
        <w:rPr>
          <w:bCs/>
          <w:color w:val="000000" w:themeColor="text1"/>
        </w:rPr>
        <w:t xml:space="preserve"> CALD</w:t>
      </w:r>
      <w:r w:rsidRPr="005B5363">
        <w:rPr>
          <w:bCs/>
          <w:color w:val="000000" w:themeColor="text1"/>
        </w:rPr>
        <w:t>, with superior outcomes obtained when HSCT is performed early in the disease pro</w:t>
      </w:r>
      <w:r>
        <w:rPr>
          <w:bCs/>
          <w:color w:val="000000" w:themeColor="text1"/>
        </w:rPr>
        <w:t>gr</w:t>
      </w:r>
      <w:r w:rsidRPr="005B5363">
        <w:rPr>
          <w:bCs/>
          <w:color w:val="000000" w:themeColor="text1"/>
        </w:rPr>
        <w:t>ess</w:t>
      </w:r>
      <w:r>
        <w:rPr>
          <w:bCs/>
          <w:color w:val="000000" w:themeColor="text1"/>
        </w:rPr>
        <w:t>ion</w:t>
      </w:r>
      <w:r w:rsidRPr="005B5363">
        <w:rPr>
          <w:bCs/>
          <w:color w:val="000000" w:themeColor="text1"/>
        </w:rPr>
        <w:t xml:space="preserve">. Engelen et al. (2022) </w:t>
      </w:r>
      <w:r>
        <w:rPr>
          <w:bCs/>
          <w:color w:val="000000" w:themeColor="text1"/>
        </w:rPr>
        <w:t xml:space="preserve">(an expert opinion) </w:t>
      </w:r>
      <w:r w:rsidRPr="005B5363">
        <w:rPr>
          <w:bCs/>
          <w:color w:val="000000" w:themeColor="text1"/>
        </w:rPr>
        <w:t>mentioned that adrenal insufficiency could be treated with hormone replacement therapy. Regelmann et al</w:t>
      </w:r>
      <w:r>
        <w:rPr>
          <w:bCs/>
          <w:color w:val="000000" w:themeColor="text1"/>
        </w:rPr>
        <w:t>.</w:t>
      </w:r>
      <w:r w:rsidRPr="005B5363">
        <w:rPr>
          <w:bCs/>
          <w:color w:val="000000" w:themeColor="text1"/>
        </w:rPr>
        <w:t xml:space="preserve"> (2018) </w:t>
      </w:r>
      <w:r>
        <w:rPr>
          <w:bCs/>
          <w:color w:val="000000" w:themeColor="text1"/>
        </w:rPr>
        <w:t xml:space="preserve">(an expert opinion) </w:t>
      </w:r>
      <w:r w:rsidRPr="005B5363">
        <w:rPr>
          <w:bCs/>
          <w:color w:val="000000" w:themeColor="text1"/>
        </w:rPr>
        <w:t>indicated that early detection and treatment for adrenal insufficiency could prevent life-threatening adrenal crises.</w:t>
      </w:r>
      <w:r>
        <w:rPr>
          <w:bCs/>
          <w:color w:val="000000" w:themeColor="text1"/>
        </w:rPr>
        <w:t xml:space="preserve"> Detailed analysis is presented on the effectiveness of HSCT. Peters et al. (2004)</w:t>
      </w:r>
      <w:r w:rsidR="00C9361A">
        <w:rPr>
          <w:rStyle w:val="FootnoteReference"/>
          <w:bCs/>
          <w:color w:val="000000" w:themeColor="text1"/>
        </w:rPr>
        <w:footnoteReference w:id="28"/>
      </w:r>
      <w:r>
        <w:rPr>
          <w:bCs/>
          <w:color w:val="000000" w:themeColor="text1"/>
        </w:rPr>
        <w:t xml:space="preserve"> stated that b</w:t>
      </w:r>
      <w:r w:rsidRPr="006D6B3A">
        <w:rPr>
          <w:bCs/>
          <w:color w:val="000000" w:themeColor="text1"/>
        </w:rPr>
        <w:t>oys with early-stage cerebral X-ALD (childhood CALD) treated with HSCT have a clear survival and function advantage over boys not receiving HSCT who, therefore, experience the progressive changes associated with the natural history of the disease</w:t>
      </w:r>
      <w:r>
        <w:rPr>
          <w:bCs/>
          <w:color w:val="000000" w:themeColor="text1"/>
        </w:rPr>
        <w:t>.</w:t>
      </w:r>
    </w:p>
    <w:p w14:paraId="2C7D11C3" w14:textId="2E8CDAEE" w:rsidR="00E542C7" w:rsidRDefault="00E542C7" w:rsidP="00206581">
      <w:pPr>
        <w:widowControl w:val="0"/>
        <w:rPr>
          <w:noProof/>
          <w:color w:val="000000" w:themeColor="text1"/>
        </w:rPr>
      </w:pPr>
      <w:bookmarkStart w:id="28" w:name="_Hlk132300233"/>
      <w:r>
        <w:rPr>
          <w:noProof/>
          <w:color w:val="000000" w:themeColor="text1"/>
        </w:rPr>
        <w:t>The clinical management pathways were different between males and females. Eight</w:t>
      </w:r>
      <w:r w:rsidRPr="00663597">
        <w:rPr>
          <w:noProof/>
          <w:color w:val="000000" w:themeColor="text1"/>
        </w:rPr>
        <w:t xml:space="preserve"> studies reported the monitoring and surveillance guidelines for boys diagnosed with X-ALD. Seven studies proposed regular brain MRI (to monitor the development of cerebral A</w:t>
      </w:r>
      <w:r>
        <w:rPr>
          <w:noProof/>
          <w:color w:val="000000" w:themeColor="text1"/>
        </w:rPr>
        <w:t>L</w:t>
      </w:r>
      <w:r w:rsidRPr="00663597">
        <w:rPr>
          <w:noProof/>
          <w:color w:val="000000" w:themeColor="text1"/>
        </w:rPr>
        <w:t xml:space="preserve">D) for neurologically asymptomatic boys with X-ALD. Vogel et al. </w:t>
      </w:r>
      <w:r>
        <w:rPr>
          <w:noProof/>
          <w:color w:val="000000" w:themeColor="text1"/>
        </w:rPr>
        <w:fldChar w:fldCharType="begin"/>
      </w:r>
      <w:r w:rsidR="00A72828">
        <w:rPr>
          <w:noProof/>
          <w:color w:val="000000" w:themeColor="text1"/>
        </w:rPr>
        <w:instrText xml:space="preserve"> ADDIN EN.CITE &lt;EndNote&gt;&lt;Cite ExcludeAuth="1"&gt;&lt;Author&gt;Vogel&lt;/Author&gt;&lt;Year&gt;2015&lt;/Year&gt;&lt;RecNum&gt;10444&lt;/RecNum&gt;&lt;DisplayText&gt;(2015)&lt;/DisplayText&gt;&lt;record&gt;&lt;rec-number&gt;10444&lt;/rec-number&gt;&lt;foreign-keys&gt;&lt;key app="EN" db-id="5p0vxwpf9wzvtiews9dpt0acffet2dft2xxv" timestamp="1678787910" guid="58c9af5f-800c-49af-9029-20abb7b4d385"&gt;10444&lt;/key&gt;&lt;/foreign-keys&gt;&lt;ref-type name="Journal Article"&gt;17&lt;/ref-type&gt;&lt;contributors&gt;&lt;authors&gt;&lt;author&gt;Vogel, B. H.&lt;/author&gt;&lt;author&gt;Bradley, S. E.&lt;/author&gt;&lt;author&gt;Adams, D. J.&lt;/author&gt;&lt;author&gt;D&amp;apos;Aco, K.&lt;/author&gt;&lt;author&gt;Erbe, R. W.&lt;/author&gt;&lt;author&gt;Fong, C.&lt;/author&gt;&lt;author&gt;Iglesias, A.&lt;/author&gt;&lt;author&gt;Kronn, D.&lt;/author&gt;&lt;author&gt;Levy, P.&lt;/author&gt;&lt;author&gt;Morrissey, M.&lt;/author&gt;&lt;author&gt;Orsini, J.&lt;/author&gt;&lt;author&gt;Parton, P.&lt;/author&gt;&lt;author&gt;Pellegrino, J.&lt;/author&gt;&lt;author&gt;Saavedra-Matiz, C. A.&lt;/author&gt;&lt;author&gt;Shur, N.&lt;/author&gt;&lt;author&gt;Wasserstein, M.&lt;/author&gt;&lt;author&gt;Raymond, G. V.&lt;/author&gt;&lt;author&gt;Caggana, M.&lt;/author&gt;&lt;/authors&gt;&lt;/contributors&gt;&lt;titles&gt;&lt;title&gt;Newborn screening for X-linked adrenoleukodystrophy in New York State: Diagnostic protocol, surveillance protocol and treatment guidelines&lt;/title&gt;&lt;secondary-title&gt;Molecular Genetics and Metabolism&lt;/secondary-title&gt;&lt;/titles&gt;&lt;periodical&gt;&lt;full-title&gt;Molecular Genetics and Metabolism&lt;/full-title&gt;&lt;/periodical&gt;&lt;pages&gt;599-603&lt;/pages&gt;&lt;volume&gt;114&lt;/volume&gt;&lt;number&gt;4&lt;/number&gt;&lt;section&gt;599&lt;/section&gt;&lt;dates&gt;&lt;year&gt;2015&lt;/year&gt;&lt;/dates&gt;&lt;isbn&gt;10967192&lt;/isbn&gt;&lt;urls&gt;&lt;/urls&gt;&lt;electronic-resource-num&gt;10.1016/j.ymgme.2015.02.002&lt;/electronic-resource-num&gt;&lt;/record&gt;&lt;/Cite&gt;&lt;/EndNote&gt;</w:instrText>
      </w:r>
      <w:r>
        <w:rPr>
          <w:noProof/>
          <w:color w:val="000000" w:themeColor="text1"/>
        </w:rPr>
        <w:fldChar w:fldCharType="separate"/>
      </w:r>
      <w:r>
        <w:rPr>
          <w:noProof/>
          <w:color w:val="000000" w:themeColor="text1"/>
        </w:rPr>
        <w:t>(2015)</w:t>
      </w:r>
      <w:r>
        <w:rPr>
          <w:noProof/>
          <w:color w:val="000000" w:themeColor="text1"/>
        </w:rPr>
        <w:fldChar w:fldCharType="end"/>
      </w:r>
      <w:r>
        <w:rPr>
          <w:noProof/>
          <w:color w:val="000000" w:themeColor="text1"/>
        </w:rPr>
        <w:t xml:space="preserve"> </w:t>
      </w:r>
      <w:r w:rsidRPr="00663597">
        <w:rPr>
          <w:noProof/>
          <w:color w:val="000000" w:themeColor="text1"/>
        </w:rPr>
        <w:t>recommend</w:t>
      </w:r>
      <w:r>
        <w:rPr>
          <w:noProof/>
          <w:color w:val="000000" w:themeColor="text1"/>
        </w:rPr>
        <w:t xml:space="preserve">ed brain </w:t>
      </w:r>
      <w:r w:rsidRPr="00663597">
        <w:rPr>
          <w:noProof/>
          <w:color w:val="000000" w:themeColor="text1"/>
        </w:rPr>
        <w:t xml:space="preserve">MRI surveillance from the age of six months onwards. Two studies suggested that </w:t>
      </w:r>
      <w:r>
        <w:rPr>
          <w:noProof/>
          <w:color w:val="000000" w:themeColor="text1"/>
        </w:rPr>
        <w:t xml:space="preserve">brain </w:t>
      </w:r>
      <w:r w:rsidRPr="00663597">
        <w:rPr>
          <w:noProof/>
          <w:color w:val="000000" w:themeColor="text1"/>
        </w:rPr>
        <w:t xml:space="preserve">MRI examinations should </w:t>
      </w:r>
      <w:r>
        <w:rPr>
          <w:noProof/>
          <w:color w:val="000000" w:themeColor="text1"/>
        </w:rPr>
        <w:t xml:space="preserve">be </w:t>
      </w:r>
      <w:r w:rsidRPr="00663597">
        <w:rPr>
          <w:noProof/>
          <w:color w:val="000000" w:themeColor="text1"/>
        </w:rPr>
        <w:t>perform</w:t>
      </w:r>
      <w:r>
        <w:rPr>
          <w:noProof/>
          <w:color w:val="000000" w:themeColor="text1"/>
        </w:rPr>
        <w:t>ed</w:t>
      </w:r>
      <w:r w:rsidRPr="00663597">
        <w:rPr>
          <w:noProof/>
          <w:color w:val="000000" w:themeColor="text1"/>
        </w:rPr>
        <w:t xml:space="preserve"> under general anaesthesia until age seven (B</w:t>
      </w:r>
      <w:r w:rsidR="00C9361A">
        <w:rPr>
          <w:noProof/>
          <w:color w:val="000000" w:themeColor="text1"/>
        </w:rPr>
        <w:t>l</w:t>
      </w:r>
      <w:r w:rsidRPr="00663597">
        <w:rPr>
          <w:noProof/>
          <w:color w:val="000000" w:themeColor="text1"/>
        </w:rPr>
        <w:t>adowska et al. 2015)</w:t>
      </w:r>
      <w:r w:rsidR="009D5C0D">
        <w:rPr>
          <w:rStyle w:val="FootnoteReference"/>
          <w:noProof/>
          <w:color w:val="000000" w:themeColor="text1"/>
        </w:rPr>
        <w:footnoteReference w:id="29"/>
      </w:r>
      <w:r w:rsidRPr="00663597">
        <w:rPr>
          <w:noProof/>
          <w:color w:val="000000" w:themeColor="text1"/>
        </w:rPr>
        <w:t xml:space="preserve"> or until children can lie still for the MRI </w:t>
      </w:r>
      <w:r>
        <w:rPr>
          <w:noProof/>
          <w:color w:val="000000" w:themeColor="text1"/>
        </w:rPr>
        <w:fldChar w:fldCharType="begin"/>
      </w:r>
      <w:r w:rsidR="00A72828">
        <w:rPr>
          <w:noProof/>
          <w:color w:val="000000" w:themeColor="text1"/>
        </w:rPr>
        <w:instrText xml:space="preserve"> ADDIN EN.CITE &lt;EndNote&gt;&lt;Cite&gt;&lt;Author&gt;Mallack&lt;/Author&gt;&lt;Year&gt;2021&lt;/Year&gt;&lt;RecNum&gt;10449&lt;/RecNum&gt;&lt;DisplayText&gt;(Mallack et al., 2021)&lt;/DisplayText&gt;&lt;record&gt;&lt;rec-number&gt;10449&lt;/rec-number&gt;&lt;foreign-keys&gt;&lt;key app="EN" db-id="5p0vxwpf9wzvtiews9dpt0acffet2dft2xxv" timestamp="1678787914" guid="6a5cb6ac-98cc-4f0c-bd83-e4c15ad20e88"&gt;10449&lt;/key&gt;&lt;/foreign-keys&gt;&lt;ref-type name="Journal Article"&gt;17&lt;/ref-type&gt;&lt;contributors&gt;&lt;authors&gt;&lt;author&gt;Mallack, Eric J.&lt;/author&gt;&lt;author&gt;Turk, Bela R.&lt;/author&gt;&lt;author&gt;Yan, Helena&lt;/author&gt;&lt;author&gt;Price, Carrie&lt;/author&gt;&lt;author&gt;Demetres, Michelle&lt;/author&gt;&lt;author&gt;Moser, Ann B.&lt;/author&gt;&lt;author&gt;Becker, Catherine&lt;/author&gt;&lt;author&gt;Hollandsworth, Kim&lt;/author&gt;&lt;author&gt;Adang, Laura&lt;/author&gt;&lt;author&gt;Vanderver, Adeline&lt;/author&gt;&lt;author&gt;Van Haren, Keith&lt;/author&gt;&lt;author&gt;Ruzhnikov, Maura&lt;/author&gt;&lt;author&gt;Kurtzberg, Joanne&lt;/author&gt;&lt;author&gt;Maegawa, Gustavo&lt;/author&gt;&lt;author&gt;Orchard, Paul J.&lt;/author&gt;&lt;author&gt;Lund, Troy C.&lt;/author&gt;&lt;author&gt;Raymond, Gerald V.&lt;/author&gt;&lt;author&gt;Regelmann, Molly&lt;/author&gt;&lt;author&gt;Orsini, Joseph J.&lt;/author&gt;&lt;author&gt;Seeger, Elisa&lt;/author&gt;&lt;author&gt;Kemp, Stephan&lt;/author&gt;&lt;author&gt;Eichler, Florian&lt;/author&gt;&lt;author&gt;Fatemi, Ali&lt;/author&gt;&lt;/authors&gt;&lt;/contributors&gt;&lt;titles&gt;&lt;title&gt;MRI surveillance of boys with X</w:instrText>
      </w:r>
      <w:r w:rsidR="00A72828">
        <w:rPr>
          <w:rFonts w:ascii="Cambria Math" w:hAnsi="Cambria Math" w:cs="Cambria Math"/>
          <w:noProof/>
          <w:color w:val="000000" w:themeColor="text1"/>
        </w:rPr>
        <w:instrText>‐</w:instrText>
      </w:r>
      <w:r w:rsidR="00A72828">
        <w:rPr>
          <w:noProof/>
          <w:color w:val="000000" w:themeColor="text1"/>
        </w:rPr>
        <w:instrText>linked adrenoleukodystrophy identified by newborn screening: Meta</w:instrText>
      </w:r>
      <w:r w:rsidR="00A72828">
        <w:rPr>
          <w:rFonts w:ascii="Cambria Math" w:hAnsi="Cambria Math" w:cs="Cambria Math"/>
          <w:noProof/>
          <w:color w:val="000000" w:themeColor="text1"/>
        </w:rPr>
        <w:instrText>‐</w:instrText>
      </w:r>
      <w:r w:rsidR="00A72828">
        <w:rPr>
          <w:noProof/>
          <w:color w:val="000000" w:themeColor="text1"/>
        </w:rPr>
        <w:instrText>analysis and consensus guidelines&lt;/title&gt;&lt;secondary-title&gt;Journal of Inherited Metabolic Disease&lt;/secondary-title&gt;&lt;/titles&gt;&lt;periodical&gt;&lt;full-title&gt;Journal of Inherited Metabolic Disease&lt;/full-title&gt;&lt;/periodical&gt;&lt;pages&gt;728-739&lt;/pages&gt;&lt;volume&gt;44&lt;/volume&gt;&lt;number&gt;3&lt;/number&gt;&lt;section&gt;728&lt;/section&gt;&lt;dates&gt;&lt;year&gt;2021&lt;/year&gt;&lt;/dates&gt;&lt;isbn&gt;0141-8955&amp;#xD;1573-2665&lt;/isbn&gt;&lt;urls&gt;&lt;/urls&gt;&lt;electronic-resource-num&gt;10.1002/jimd.12356&lt;/electronic-resource-num&gt;&lt;/record&gt;&lt;/Cite&gt;&lt;/EndNote&gt;</w:instrText>
      </w:r>
      <w:r>
        <w:rPr>
          <w:noProof/>
          <w:color w:val="000000" w:themeColor="text1"/>
        </w:rPr>
        <w:fldChar w:fldCharType="separate"/>
      </w:r>
      <w:r>
        <w:rPr>
          <w:noProof/>
          <w:color w:val="000000" w:themeColor="text1"/>
        </w:rPr>
        <w:t>(Mallack et al., 2021)</w:t>
      </w:r>
      <w:r>
        <w:rPr>
          <w:noProof/>
          <w:color w:val="000000" w:themeColor="text1"/>
        </w:rPr>
        <w:fldChar w:fldCharType="end"/>
      </w:r>
      <w:r w:rsidR="009E3E80">
        <w:rPr>
          <w:rStyle w:val="FootnoteReference"/>
          <w:noProof/>
          <w:color w:val="000000" w:themeColor="text1"/>
        </w:rPr>
        <w:footnoteReference w:id="30"/>
      </w:r>
      <w:r>
        <w:rPr>
          <w:noProof/>
          <w:color w:val="000000" w:themeColor="text1"/>
        </w:rPr>
        <w:t xml:space="preserve">. </w:t>
      </w:r>
      <w:r w:rsidRPr="00663597">
        <w:rPr>
          <w:noProof/>
          <w:color w:val="000000" w:themeColor="text1"/>
        </w:rPr>
        <w:t>Four studies</w:t>
      </w:r>
      <w:r>
        <w:rPr>
          <w:noProof/>
          <w:color w:val="000000" w:themeColor="text1"/>
        </w:rPr>
        <w:t xml:space="preserve"> </w:t>
      </w:r>
      <w:r w:rsidRPr="00663597">
        <w:rPr>
          <w:noProof/>
          <w:color w:val="000000" w:themeColor="text1"/>
        </w:rPr>
        <w:t xml:space="preserve">indicated that tests for primary </w:t>
      </w:r>
      <w:r w:rsidRPr="00663597">
        <w:rPr>
          <w:noProof/>
          <w:color w:val="000000" w:themeColor="text1"/>
        </w:rPr>
        <w:lastRenderedPageBreak/>
        <w:t>adrenal insufficiency should be conducted f</w:t>
      </w:r>
      <w:r>
        <w:rPr>
          <w:noProof/>
          <w:color w:val="000000" w:themeColor="text1"/>
        </w:rPr>
        <w:t>or serum adrenocorticotropic hormone and cortisol from birth for males</w:t>
      </w:r>
      <w:r w:rsidRPr="00663597">
        <w:rPr>
          <w:noProof/>
          <w:color w:val="000000" w:themeColor="text1"/>
        </w:rPr>
        <w:t>.</w:t>
      </w:r>
    </w:p>
    <w:p w14:paraId="551F3650" w14:textId="6CB7AF2E" w:rsidR="00E542C7" w:rsidRPr="00AD4257" w:rsidRDefault="00E542C7" w:rsidP="00206581">
      <w:pPr>
        <w:widowControl w:val="0"/>
        <w:rPr>
          <w:bCs/>
          <w:color w:val="000000" w:themeColor="text1"/>
        </w:rPr>
      </w:pPr>
      <w:r w:rsidRPr="00626EEE">
        <w:rPr>
          <w:bCs/>
          <w:color w:val="000000" w:themeColor="text1"/>
        </w:rPr>
        <w:t>Four studies reported the surveillance guidelines for females with positive X-ALD genetic test at birth</w:t>
      </w:r>
      <w:r w:rsidR="00784835">
        <w:rPr>
          <w:bCs/>
          <w:color w:val="000000" w:themeColor="text1"/>
        </w:rPr>
        <w:t>,</w:t>
      </w:r>
      <w:r w:rsidRPr="00626EEE">
        <w:rPr>
          <w:bCs/>
          <w:color w:val="000000" w:themeColor="text1"/>
        </w:rPr>
        <w:t xml:space="preserve"> </w:t>
      </w:r>
      <w:r w:rsidR="00784835">
        <w:rPr>
          <w:bCs/>
          <w:color w:val="000000" w:themeColor="text1"/>
        </w:rPr>
        <w:t>and</w:t>
      </w:r>
      <w:r w:rsidR="00784835" w:rsidRPr="00626EEE">
        <w:rPr>
          <w:bCs/>
          <w:color w:val="000000" w:themeColor="text1"/>
        </w:rPr>
        <w:t xml:space="preserve"> </w:t>
      </w:r>
      <w:r w:rsidRPr="00AD4257">
        <w:rPr>
          <w:bCs/>
          <w:color w:val="000000" w:themeColor="text1"/>
        </w:rPr>
        <w:t>concluded that no routine screening for cerebral disease in female patients is required (Engelen et al. 2022, Kemper et al. 2017</w:t>
      </w:r>
      <w:r w:rsidR="00D872DE">
        <w:rPr>
          <w:rStyle w:val="FootnoteReference"/>
          <w:bCs/>
          <w:color w:val="000000" w:themeColor="text1"/>
        </w:rPr>
        <w:footnoteReference w:id="31"/>
      </w:r>
      <w:r w:rsidRPr="00AD4257">
        <w:rPr>
          <w:bCs/>
          <w:color w:val="000000" w:themeColor="text1"/>
        </w:rPr>
        <w:t>, Vogel et al. 2015, Zhu et al.</w:t>
      </w:r>
      <w:r w:rsidR="00D872DE">
        <w:rPr>
          <w:bCs/>
          <w:color w:val="000000" w:themeColor="text1"/>
        </w:rPr>
        <w:t xml:space="preserve"> </w:t>
      </w:r>
      <w:r w:rsidRPr="00AD4257">
        <w:rPr>
          <w:bCs/>
          <w:color w:val="000000" w:themeColor="text1"/>
        </w:rPr>
        <w:t>2020</w:t>
      </w:r>
      <w:r w:rsidR="00DB5E7E">
        <w:rPr>
          <w:rStyle w:val="FootnoteReference"/>
          <w:bCs/>
          <w:color w:val="000000" w:themeColor="text1"/>
        </w:rPr>
        <w:footnoteReference w:id="32"/>
      </w:r>
      <w:r w:rsidRPr="00AD4257">
        <w:rPr>
          <w:bCs/>
          <w:color w:val="000000" w:themeColor="text1"/>
        </w:rPr>
        <w:t>) as ALD in females is an adult-onset disorder (typically 30 years and later) without current treatment options.</w:t>
      </w:r>
    </w:p>
    <w:p w14:paraId="590E7A0C" w14:textId="3C979A37" w:rsidR="00482202" w:rsidRPr="00AD4257" w:rsidRDefault="00E542C7" w:rsidP="00206581">
      <w:pPr>
        <w:widowControl w:val="0"/>
        <w:rPr>
          <w:bCs/>
          <w:color w:val="000000" w:themeColor="text1"/>
        </w:rPr>
      </w:pPr>
      <w:bookmarkStart w:id="29" w:name="_Hlk132289963"/>
      <w:bookmarkStart w:id="30" w:name="_Hlk132272049"/>
      <w:bookmarkStart w:id="31" w:name="_Hlk132300257"/>
      <w:bookmarkEnd w:id="28"/>
      <w:r w:rsidRPr="00AD4257">
        <w:rPr>
          <w:bCs/>
          <w:color w:val="000000" w:themeColor="text1"/>
        </w:rPr>
        <w:t xml:space="preserve">The current clinical practice for cascade testing is to test eligible first-degree relatives of patients diagnosed with X-ALD. The clinical practice for cascade testing </w:t>
      </w:r>
      <w:r w:rsidR="002E3A9C">
        <w:rPr>
          <w:bCs/>
          <w:color w:val="000000" w:themeColor="text1"/>
        </w:rPr>
        <w:t>would be</w:t>
      </w:r>
      <w:r w:rsidR="002E3A9C" w:rsidRPr="00AD4257">
        <w:rPr>
          <w:bCs/>
          <w:color w:val="000000" w:themeColor="text1"/>
        </w:rPr>
        <w:t xml:space="preserve"> </w:t>
      </w:r>
      <w:r w:rsidRPr="00AD4257">
        <w:rPr>
          <w:bCs/>
          <w:color w:val="000000" w:themeColor="text1"/>
        </w:rPr>
        <w:t xml:space="preserve">to test eligible first-degree relatives of patients diagnosed positive at NBS with a risk of developing X-ALD. If NBS for X-ALD is listed as an additional service of the NBS program, cascade testing for relatives of genotype positive male babies may not increase initially while the male baby has not developed any symptoms, but it may increase after the onset of symptoms (depending on parents’ consents). </w:t>
      </w:r>
    </w:p>
    <w:p w14:paraId="2973780D" w14:textId="15D2AD91" w:rsidR="00E542C7" w:rsidRPr="00AD4257" w:rsidRDefault="00E542C7" w:rsidP="00206581">
      <w:pPr>
        <w:widowControl w:val="0"/>
        <w:rPr>
          <w:bCs/>
          <w:color w:val="000000" w:themeColor="text1"/>
        </w:rPr>
      </w:pPr>
      <w:r w:rsidRPr="00AD4257">
        <w:rPr>
          <w:bCs/>
          <w:color w:val="000000" w:themeColor="text1"/>
        </w:rPr>
        <w:t xml:space="preserve">If NBS for X-ALD is listed to include testing female babies, the cascade testing uptake will increase for relatives of genotype positive female babies at any time after the NBS program. </w:t>
      </w:r>
      <w:r w:rsidR="00482202" w:rsidRPr="00AD4257">
        <w:rPr>
          <w:bCs/>
          <w:color w:val="000000" w:themeColor="text1"/>
        </w:rPr>
        <w:t>G</w:t>
      </w:r>
      <w:r w:rsidRPr="00AD4257">
        <w:rPr>
          <w:bCs/>
          <w:color w:val="000000" w:themeColor="text1"/>
        </w:rPr>
        <w:t xml:space="preserve">enotype positive females do not present symptoms until later in life and their relative would not otherwise known the risk of developing X-ALD unless they choose to undertake a cascade test. </w:t>
      </w:r>
      <w:bookmarkEnd w:id="29"/>
      <w:bookmarkEnd w:id="30"/>
      <w:r w:rsidRPr="00AD4257">
        <w:rPr>
          <w:bCs/>
          <w:color w:val="000000" w:themeColor="text1"/>
        </w:rPr>
        <w:t>Detection of at-risk individuals through extended family testing compared with clinical detection was associated with improved survival and less neurologic involvement post HSCT based on MRI ratings for individuals with CCALD (Brosco et al. 2015</w:t>
      </w:r>
      <w:r w:rsidR="000C7CBC">
        <w:rPr>
          <w:rStyle w:val="FootnoteReference"/>
          <w:bCs/>
          <w:color w:val="000000" w:themeColor="text1"/>
        </w:rPr>
        <w:footnoteReference w:id="33"/>
      </w:r>
      <w:r w:rsidRPr="00AD4257">
        <w:rPr>
          <w:bCs/>
          <w:color w:val="000000" w:themeColor="text1"/>
        </w:rPr>
        <w:t>).</w:t>
      </w:r>
    </w:p>
    <w:p w14:paraId="4DD14E28" w14:textId="77777777" w:rsidR="00E542C7" w:rsidRDefault="00E542C7" w:rsidP="00206581">
      <w:pPr>
        <w:pStyle w:val="Heading3"/>
        <w:jc w:val="left"/>
      </w:pPr>
      <w:bookmarkStart w:id="32" w:name="_Toc133221394"/>
      <w:bookmarkEnd w:id="31"/>
      <w:r>
        <w:t>Effectiveness of HSCT</w:t>
      </w:r>
      <w:bookmarkEnd w:id="32"/>
    </w:p>
    <w:p w14:paraId="71B040A6" w14:textId="77777777" w:rsidR="00E542C7" w:rsidRDefault="00E542C7" w:rsidP="00206581">
      <w:pPr>
        <w:widowControl w:val="0"/>
      </w:pPr>
      <w:r>
        <w:t xml:space="preserve">Two studies were identified that compared HSCT with no HSCT for patients with CALD. Matsukawa (2020) included patients with CALD or AMN with cerebral/cerebellar involvement while Raymond (2019) included patients with childhood CALD only. Given the differences in patient populations, the results were not meta-analysed. </w:t>
      </w:r>
    </w:p>
    <w:p w14:paraId="71AF39AA" w14:textId="722F0695" w:rsidR="003C749C" w:rsidRPr="003C749C" w:rsidRDefault="00AD0907" w:rsidP="003C749C">
      <w:pPr>
        <w:widowControl w:val="0"/>
      </w:pPr>
      <w:r>
        <w:t xml:space="preserve">Table 6 </w:t>
      </w:r>
      <w:r w:rsidR="00E542C7">
        <w:t xml:space="preserve">shows that treatment with HSCT improved the survival of patients with CALD (and </w:t>
      </w:r>
      <w:r w:rsidR="00E542C7" w:rsidRPr="00044523">
        <w:t>AMN with cerebral/cerebellar involvement</w:t>
      </w:r>
      <w:r w:rsidR="00E542C7">
        <w:t xml:space="preserve">). </w:t>
      </w:r>
      <w:bookmarkStart w:id="33" w:name="_Ref132833320"/>
      <w:r w:rsidR="003C749C">
        <w:br w:type="page"/>
      </w:r>
    </w:p>
    <w:p w14:paraId="3A6305F0" w14:textId="627E9EC5" w:rsidR="00E542C7" w:rsidRDefault="00E542C7" w:rsidP="00B76655">
      <w:pPr>
        <w:pStyle w:val="Caption"/>
      </w:pPr>
      <w:r>
        <w:lastRenderedPageBreak/>
        <w:t xml:space="preserve">Table </w:t>
      </w:r>
      <w:r>
        <w:fldChar w:fldCharType="begin"/>
      </w:r>
      <w:r>
        <w:instrText>SEQ Table \* ARABIC</w:instrText>
      </w:r>
      <w:r>
        <w:fldChar w:fldCharType="separate"/>
      </w:r>
      <w:r w:rsidR="00253978">
        <w:rPr>
          <w:noProof/>
        </w:rPr>
        <w:t>6</w:t>
      </w:r>
      <w:r>
        <w:fldChar w:fldCharType="end"/>
      </w:r>
      <w:bookmarkEnd w:id="33"/>
      <w:r>
        <w:t xml:space="preserve"> </w:t>
      </w:r>
      <w:r w:rsidRPr="007D4418">
        <w:t>Results of OS across the included studies comparing HSCT and no HSCT</w:t>
      </w:r>
    </w:p>
    <w:tbl>
      <w:tblPr>
        <w:tblStyle w:val="TableGrid1"/>
        <w:tblW w:w="5000" w:type="pct"/>
        <w:tblCellMar>
          <w:left w:w="28" w:type="dxa"/>
          <w:right w:w="28" w:type="dxa"/>
        </w:tblCellMar>
        <w:tblLook w:val="04A0" w:firstRow="1" w:lastRow="0" w:firstColumn="1" w:lastColumn="0" w:noHBand="0" w:noVBand="1"/>
      </w:tblPr>
      <w:tblGrid>
        <w:gridCol w:w="2259"/>
        <w:gridCol w:w="1138"/>
        <w:gridCol w:w="1113"/>
        <w:gridCol w:w="1132"/>
        <w:gridCol w:w="1156"/>
        <w:gridCol w:w="1095"/>
        <w:gridCol w:w="1123"/>
      </w:tblGrid>
      <w:tr w:rsidR="00E542C7" w:rsidRPr="00CE28E3" w14:paraId="141893F4"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253" w:type="pct"/>
            <w:vMerge w:val="restart"/>
            <w:shd w:val="clear" w:color="auto" w:fill="auto"/>
            <w:vAlign w:val="center"/>
          </w:tcPr>
          <w:p w14:paraId="03E78CAD" w14:textId="77777777" w:rsidR="00E542C7" w:rsidRPr="00CE28E3" w:rsidRDefault="00E542C7" w:rsidP="00DF5FA4">
            <w:pPr>
              <w:pStyle w:val="In-tableHeading"/>
              <w:widowControl w:val="0"/>
              <w:jc w:val="center"/>
            </w:pPr>
            <w:r>
              <w:t>Outcome</w:t>
            </w:r>
          </w:p>
        </w:tc>
        <w:tc>
          <w:tcPr>
            <w:tcW w:w="1876" w:type="pct"/>
            <w:gridSpan w:val="3"/>
            <w:shd w:val="clear" w:color="auto" w:fill="auto"/>
            <w:vAlign w:val="center"/>
          </w:tcPr>
          <w:p w14:paraId="650C7D12" w14:textId="77777777" w:rsidR="00E542C7" w:rsidRPr="00CE28E3" w:rsidRDefault="00E542C7" w:rsidP="00DF5FA4">
            <w:pPr>
              <w:pStyle w:val="In-tableHeading"/>
              <w:widowControl w:val="0"/>
              <w:jc w:val="center"/>
            </w:pPr>
            <w:r>
              <w:t>HSCT</w:t>
            </w:r>
          </w:p>
        </w:tc>
        <w:tc>
          <w:tcPr>
            <w:tcW w:w="1871" w:type="pct"/>
            <w:gridSpan w:val="3"/>
            <w:vAlign w:val="center"/>
          </w:tcPr>
          <w:p w14:paraId="2B270C88" w14:textId="77777777" w:rsidR="00E542C7" w:rsidRPr="00CE28E3" w:rsidRDefault="00E542C7" w:rsidP="00DF5FA4">
            <w:pPr>
              <w:pStyle w:val="In-tableHeading"/>
              <w:widowControl w:val="0"/>
              <w:jc w:val="center"/>
            </w:pPr>
            <w:r>
              <w:t>No HSCT</w:t>
            </w:r>
          </w:p>
        </w:tc>
      </w:tr>
      <w:tr w:rsidR="00E542C7" w:rsidRPr="00CE28E3" w14:paraId="3D49D679"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253" w:type="pct"/>
            <w:vMerge/>
            <w:shd w:val="clear" w:color="auto" w:fill="auto"/>
            <w:vAlign w:val="center"/>
          </w:tcPr>
          <w:p w14:paraId="0DF0A341" w14:textId="77777777" w:rsidR="00E542C7" w:rsidRPr="008D5309" w:rsidRDefault="00E542C7" w:rsidP="00DF5FA4">
            <w:pPr>
              <w:pStyle w:val="In-tableHeading"/>
              <w:widowControl w:val="0"/>
              <w:jc w:val="center"/>
            </w:pPr>
          </w:p>
        </w:tc>
        <w:tc>
          <w:tcPr>
            <w:tcW w:w="631" w:type="pct"/>
            <w:shd w:val="clear" w:color="auto" w:fill="auto"/>
            <w:vAlign w:val="center"/>
          </w:tcPr>
          <w:p w14:paraId="63B39D26" w14:textId="77777777" w:rsidR="00E542C7" w:rsidRDefault="00E542C7" w:rsidP="00DF5FA4">
            <w:pPr>
              <w:pStyle w:val="In-tableHeading"/>
              <w:widowControl w:val="0"/>
              <w:jc w:val="center"/>
            </w:pPr>
            <w:r>
              <w:t>Matsukawa 2020</w:t>
            </w:r>
            <w:r>
              <w:br/>
              <w:t>N=12</w:t>
            </w:r>
            <w:r w:rsidRPr="00836482">
              <w:rPr>
                <w:vertAlign w:val="superscript"/>
              </w:rPr>
              <w:t xml:space="preserve"> a</w:t>
            </w:r>
          </w:p>
        </w:tc>
        <w:tc>
          <w:tcPr>
            <w:tcW w:w="1245" w:type="pct"/>
            <w:gridSpan w:val="2"/>
            <w:vAlign w:val="center"/>
          </w:tcPr>
          <w:p w14:paraId="7CA09EE8" w14:textId="77777777" w:rsidR="00E542C7" w:rsidRDefault="00E542C7" w:rsidP="00DF5FA4">
            <w:pPr>
              <w:pStyle w:val="In-tableHeading"/>
              <w:widowControl w:val="0"/>
              <w:jc w:val="center"/>
            </w:pPr>
            <w:r>
              <w:t>Raymond 2019</w:t>
            </w:r>
            <w:r>
              <w:br/>
              <w:t>N = 65</w:t>
            </w:r>
            <w:r w:rsidRPr="00836482">
              <w:rPr>
                <w:vertAlign w:val="superscript"/>
              </w:rPr>
              <w:t xml:space="preserve"> b</w:t>
            </w:r>
          </w:p>
        </w:tc>
        <w:tc>
          <w:tcPr>
            <w:tcW w:w="641" w:type="pct"/>
            <w:vAlign w:val="center"/>
          </w:tcPr>
          <w:p w14:paraId="38FD1DE5" w14:textId="77777777" w:rsidR="00E542C7" w:rsidRDefault="00E542C7" w:rsidP="00DF5FA4">
            <w:pPr>
              <w:pStyle w:val="In-tableHeading"/>
              <w:widowControl w:val="0"/>
              <w:jc w:val="center"/>
            </w:pPr>
            <w:r>
              <w:t>Matsukawa 2020</w:t>
            </w:r>
            <w:r>
              <w:br/>
              <w:t>N=8</w:t>
            </w:r>
          </w:p>
        </w:tc>
        <w:tc>
          <w:tcPr>
            <w:tcW w:w="1230" w:type="pct"/>
            <w:gridSpan w:val="2"/>
            <w:shd w:val="clear" w:color="auto" w:fill="auto"/>
            <w:vAlign w:val="center"/>
          </w:tcPr>
          <w:p w14:paraId="6170BE85" w14:textId="77777777" w:rsidR="00E542C7" w:rsidRDefault="00E542C7" w:rsidP="00DF5FA4">
            <w:pPr>
              <w:pStyle w:val="In-tableHeading"/>
              <w:widowControl w:val="0"/>
              <w:jc w:val="center"/>
            </w:pPr>
            <w:r>
              <w:t>Raymond 2019</w:t>
            </w:r>
            <w:r>
              <w:br/>
              <w:t>N=72</w:t>
            </w:r>
          </w:p>
        </w:tc>
      </w:tr>
      <w:tr w:rsidR="00E542C7" w:rsidRPr="00CE28E3" w14:paraId="5396CF37"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253" w:type="pct"/>
            <w:shd w:val="clear" w:color="auto" w:fill="auto"/>
            <w:vAlign w:val="center"/>
          </w:tcPr>
          <w:p w14:paraId="54B5B7D9" w14:textId="77777777" w:rsidR="00E542C7" w:rsidRPr="008D5309" w:rsidRDefault="00E542C7" w:rsidP="00DF5FA4">
            <w:pPr>
              <w:pStyle w:val="TableText"/>
              <w:keepNext/>
              <w:widowControl w:val="0"/>
              <w:spacing w:before="0" w:after="0"/>
            </w:pPr>
            <w:r>
              <w:t>KM analysis point</w:t>
            </w:r>
            <w:r w:rsidRPr="008D5309">
              <w:t xml:space="preserve"> (months)</w:t>
            </w:r>
            <w:r w:rsidRPr="00836482">
              <w:rPr>
                <w:vertAlign w:val="superscript"/>
              </w:rPr>
              <w:t xml:space="preserve"> c</w:t>
            </w:r>
          </w:p>
        </w:tc>
        <w:tc>
          <w:tcPr>
            <w:tcW w:w="631" w:type="pct"/>
            <w:shd w:val="clear" w:color="auto" w:fill="auto"/>
            <w:vAlign w:val="center"/>
          </w:tcPr>
          <w:p w14:paraId="5A5ADC24" w14:textId="77777777" w:rsidR="00E542C7" w:rsidRDefault="00E542C7" w:rsidP="00DF5FA4">
            <w:pPr>
              <w:pStyle w:val="TableText"/>
              <w:keepNext/>
              <w:widowControl w:val="0"/>
              <w:spacing w:before="0" w:after="0"/>
              <w:jc w:val="center"/>
            </w:pPr>
            <w:r>
              <w:t>69.1</w:t>
            </w:r>
          </w:p>
        </w:tc>
        <w:tc>
          <w:tcPr>
            <w:tcW w:w="617" w:type="pct"/>
            <w:vAlign w:val="center"/>
          </w:tcPr>
          <w:p w14:paraId="6ABC48E3" w14:textId="77777777" w:rsidR="00E542C7" w:rsidRPr="008D5309" w:rsidRDefault="00E542C7" w:rsidP="00DF5FA4">
            <w:pPr>
              <w:pStyle w:val="TableText"/>
              <w:keepNext/>
              <w:widowControl w:val="0"/>
              <w:spacing w:before="0" w:after="0"/>
              <w:jc w:val="center"/>
              <w:rPr>
                <w:b/>
                <w:bCs/>
              </w:rPr>
            </w:pPr>
            <w:r w:rsidRPr="008D5309">
              <w:rPr>
                <w:bCs/>
              </w:rPr>
              <w:t>24</w:t>
            </w:r>
          </w:p>
        </w:tc>
        <w:tc>
          <w:tcPr>
            <w:tcW w:w="628" w:type="pct"/>
            <w:shd w:val="clear" w:color="auto" w:fill="auto"/>
            <w:vAlign w:val="center"/>
          </w:tcPr>
          <w:p w14:paraId="54451750" w14:textId="77777777" w:rsidR="00E542C7" w:rsidRPr="008D5309" w:rsidRDefault="00E542C7" w:rsidP="00DF5FA4">
            <w:pPr>
              <w:pStyle w:val="TableText"/>
              <w:keepNext/>
              <w:widowControl w:val="0"/>
              <w:spacing w:before="0" w:after="0"/>
              <w:jc w:val="center"/>
              <w:rPr>
                <w:b/>
                <w:bCs/>
              </w:rPr>
            </w:pPr>
            <w:r w:rsidRPr="008D5309">
              <w:rPr>
                <w:bCs/>
              </w:rPr>
              <w:t>60</w:t>
            </w:r>
          </w:p>
        </w:tc>
        <w:tc>
          <w:tcPr>
            <w:tcW w:w="641" w:type="pct"/>
            <w:vAlign w:val="center"/>
          </w:tcPr>
          <w:p w14:paraId="799C32A6" w14:textId="77777777" w:rsidR="00E542C7" w:rsidRPr="00751D02" w:rsidRDefault="00E542C7" w:rsidP="00DF5FA4">
            <w:pPr>
              <w:pStyle w:val="TableText"/>
              <w:keepNext/>
              <w:widowControl w:val="0"/>
              <w:spacing w:before="0" w:after="0"/>
              <w:jc w:val="center"/>
            </w:pPr>
            <w:r w:rsidRPr="00751D02">
              <w:t>69</w:t>
            </w:r>
            <w:r>
              <w:t>.1</w:t>
            </w:r>
          </w:p>
        </w:tc>
        <w:tc>
          <w:tcPr>
            <w:tcW w:w="607" w:type="pct"/>
            <w:shd w:val="clear" w:color="auto" w:fill="auto"/>
            <w:vAlign w:val="center"/>
          </w:tcPr>
          <w:p w14:paraId="784FFB4B" w14:textId="77777777" w:rsidR="00E542C7" w:rsidRPr="008D5309" w:rsidRDefault="00E542C7" w:rsidP="00DF5FA4">
            <w:pPr>
              <w:pStyle w:val="TableText"/>
              <w:keepNext/>
              <w:widowControl w:val="0"/>
              <w:spacing w:before="0" w:after="0"/>
              <w:jc w:val="center"/>
              <w:rPr>
                <w:b/>
                <w:bCs/>
              </w:rPr>
            </w:pPr>
            <w:r w:rsidRPr="008D5309">
              <w:rPr>
                <w:bCs/>
              </w:rPr>
              <w:t>24</w:t>
            </w:r>
          </w:p>
        </w:tc>
        <w:tc>
          <w:tcPr>
            <w:tcW w:w="623" w:type="pct"/>
            <w:vAlign w:val="center"/>
          </w:tcPr>
          <w:p w14:paraId="2F686927" w14:textId="77777777" w:rsidR="00E542C7" w:rsidRPr="008D5309" w:rsidRDefault="00E542C7" w:rsidP="00DF5FA4">
            <w:pPr>
              <w:pStyle w:val="TableText"/>
              <w:keepNext/>
              <w:widowControl w:val="0"/>
              <w:spacing w:before="0" w:after="0"/>
              <w:jc w:val="center"/>
              <w:rPr>
                <w:b/>
              </w:rPr>
            </w:pPr>
            <w:r w:rsidRPr="008D5309">
              <w:t>60</w:t>
            </w:r>
          </w:p>
        </w:tc>
      </w:tr>
      <w:tr w:rsidR="00E542C7" w:rsidRPr="00CE28E3" w14:paraId="39D3257D" w14:textId="77777777" w:rsidTr="00DF5FA4">
        <w:trPr>
          <w:cnfStyle w:val="100000000000" w:firstRow="1" w:lastRow="0" w:firstColumn="0" w:lastColumn="0" w:oddVBand="0" w:evenVBand="0" w:oddHBand="0" w:evenHBand="0" w:firstRowFirstColumn="0" w:firstRowLastColumn="0" w:lastRowFirstColumn="0" w:lastRowLastColumn="0"/>
          <w:trHeight w:val="491"/>
          <w:tblHeader/>
        </w:trPr>
        <w:tc>
          <w:tcPr>
            <w:tcW w:w="1253" w:type="pct"/>
            <w:shd w:val="clear" w:color="auto" w:fill="auto"/>
            <w:vAlign w:val="center"/>
          </w:tcPr>
          <w:p w14:paraId="5B9846D9" w14:textId="77777777" w:rsidR="00E542C7" w:rsidRPr="008D5309" w:rsidRDefault="00E542C7" w:rsidP="00DF5FA4">
            <w:pPr>
              <w:pStyle w:val="TableText"/>
              <w:keepNext/>
              <w:widowControl w:val="0"/>
              <w:spacing w:before="0" w:after="0"/>
            </w:pPr>
            <w:r w:rsidRPr="008D5309">
              <w:t>Alive (%</w:t>
            </w:r>
            <w:r>
              <w:t>, 95% CI</w:t>
            </w:r>
            <w:r w:rsidRPr="008D5309">
              <w:t>)</w:t>
            </w:r>
          </w:p>
        </w:tc>
        <w:tc>
          <w:tcPr>
            <w:tcW w:w="631" w:type="pct"/>
            <w:shd w:val="clear" w:color="auto" w:fill="auto"/>
            <w:vAlign w:val="center"/>
          </w:tcPr>
          <w:p w14:paraId="7BE2D2D0" w14:textId="77777777" w:rsidR="00E542C7" w:rsidRPr="008D5309" w:rsidRDefault="00E542C7" w:rsidP="00DF5FA4">
            <w:pPr>
              <w:pStyle w:val="TableText"/>
              <w:keepNext/>
              <w:widowControl w:val="0"/>
              <w:spacing w:before="0" w:after="0"/>
              <w:jc w:val="center"/>
              <w:rPr>
                <w:b/>
                <w:bCs/>
              </w:rPr>
            </w:pPr>
            <w:r w:rsidRPr="008D5309">
              <w:rPr>
                <w:bCs/>
              </w:rPr>
              <w:t>100</w:t>
            </w:r>
            <w:r>
              <w:rPr>
                <w:bCs/>
              </w:rPr>
              <w:t xml:space="preserve"> (NA)</w:t>
            </w:r>
          </w:p>
        </w:tc>
        <w:tc>
          <w:tcPr>
            <w:tcW w:w="617" w:type="pct"/>
            <w:vAlign w:val="center"/>
          </w:tcPr>
          <w:p w14:paraId="47BE698D" w14:textId="77777777" w:rsidR="00E542C7" w:rsidRPr="008D5309" w:rsidRDefault="00E542C7" w:rsidP="00DF5FA4">
            <w:pPr>
              <w:pStyle w:val="TableText"/>
              <w:keepNext/>
              <w:widowControl w:val="0"/>
              <w:spacing w:before="0" w:after="0"/>
              <w:jc w:val="center"/>
              <w:rPr>
                <w:b/>
                <w:bCs/>
              </w:rPr>
            </w:pPr>
            <w:r>
              <w:rPr>
                <w:bCs/>
              </w:rPr>
              <w:t xml:space="preserve">82 </w:t>
            </w:r>
            <w:r>
              <w:rPr>
                <w:bCs/>
              </w:rPr>
              <w:br/>
              <w:t>(69.8, 89.1)</w:t>
            </w:r>
          </w:p>
        </w:tc>
        <w:tc>
          <w:tcPr>
            <w:tcW w:w="628" w:type="pct"/>
            <w:shd w:val="clear" w:color="auto" w:fill="auto"/>
            <w:vAlign w:val="center"/>
          </w:tcPr>
          <w:p w14:paraId="6EE426F4" w14:textId="77777777" w:rsidR="00E542C7" w:rsidRPr="008D5309" w:rsidRDefault="00E542C7" w:rsidP="00DF5FA4">
            <w:pPr>
              <w:pStyle w:val="TableText"/>
              <w:keepNext/>
              <w:widowControl w:val="0"/>
              <w:spacing w:before="0" w:after="0"/>
              <w:jc w:val="center"/>
              <w:rPr>
                <w:b/>
                <w:bCs/>
              </w:rPr>
            </w:pPr>
            <w:r>
              <w:rPr>
                <w:bCs/>
              </w:rPr>
              <w:t xml:space="preserve">74 </w:t>
            </w:r>
            <w:r>
              <w:rPr>
                <w:bCs/>
              </w:rPr>
              <w:br/>
              <w:t>(59.3, 83.6)</w:t>
            </w:r>
          </w:p>
        </w:tc>
        <w:tc>
          <w:tcPr>
            <w:tcW w:w="641" w:type="pct"/>
            <w:vAlign w:val="center"/>
          </w:tcPr>
          <w:p w14:paraId="41B74B96" w14:textId="77777777" w:rsidR="00E542C7" w:rsidRPr="008D5309" w:rsidRDefault="00E542C7" w:rsidP="00DF5FA4">
            <w:pPr>
              <w:pStyle w:val="TableText"/>
              <w:keepNext/>
              <w:widowControl w:val="0"/>
              <w:spacing w:before="0" w:after="0"/>
              <w:jc w:val="center"/>
              <w:rPr>
                <w:b/>
                <w:bCs/>
              </w:rPr>
            </w:pPr>
            <w:r w:rsidRPr="008D5309">
              <w:rPr>
                <w:bCs/>
              </w:rPr>
              <w:t>25</w:t>
            </w:r>
            <w:r>
              <w:rPr>
                <w:bCs/>
              </w:rPr>
              <w:t xml:space="preserve"> (NA)</w:t>
            </w:r>
          </w:p>
        </w:tc>
        <w:tc>
          <w:tcPr>
            <w:tcW w:w="607" w:type="pct"/>
            <w:shd w:val="clear" w:color="auto" w:fill="auto"/>
            <w:vAlign w:val="center"/>
          </w:tcPr>
          <w:p w14:paraId="2FDB9787" w14:textId="77777777" w:rsidR="00E542C7" w:rsidRPr="008D5309" w:rsidRDefault="00E542C7" w:rsidP="00DF5FA4">
            <w:pPr>
              <w:pStyle w:val="TableText"/>
              <w:keepNext/>
              <w:widowControl w:val="0"/>
              <w:spacing w:before="0" w:after="0"/>
              <w:jc w:val="center"/>
              <w:rPr>
                <w:b/>
                <w:bCs/>
              </w:rPr>
            </w:pPr>
            <w:r w:rsidRPr="008D5309">
              <w:rPr>
                <w:bCs/>
              </w:rPr>
              <w:t>74</w:t>
            </w:r>
            <w:r>
              <w:rPr>
                <w:bCs/>
              </w:rPr>
              <w:t xml:space="preserve"> </w:t>
            </w:r>
            <w:r>
              <w:rPr>
                <w:bCs/>
              </w:rPr>
              <w:br/>
              <w:t>(62.5, 83.0)</w:t>
            </w:r>
          </w:p>
        </w:tc>
        <w:tc>
          <w:tcPr>
            <w:tcW w:w="623" w:type="pct"/>
            <w:vAlign w:val="center"/>
          </w:tcPr>
          <w:p w14:paraId="1650EE50" w14:textId="77777777" w:rsidR="00E542C7" w:rsidRPr="008D5309" w:rsidRDefault="00E542C7" w:rsidP="00DF5FA4">
            <w:pPr>
              <w:pStyle w:val="TableText"/>
              <w:keepNext/>
              <w:widowControl w:val="0"/>
              <w:spacing w:before="0" w:after="0"/>
              <w:jc w:val="center"/>
              <w:rPr>
                <w:b/>
              </w:rPr>
            </w:pPr>
            <w:r w:rsidRPr="008D5309">
              <w:t>55</w:t>
            </w:r>
            <w:r>
              <w:t xml:space="preserve"> </w:t>
            </w:r>
            <w:r>
              <w:br/>
              <w:t>(4.2., 65.7)</w:t>
            </w:r>
          </w:p>
        </w:tc>
      </w:tr>
      <w:tr w:rsidR="00E542C7" w:rsidRPr="00CE28E3" w14:paraId="26A37995"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253" w:type="pct"/>
            <w:shd w:val="clear" w:color="auto" w:fill="auto"/>
            <w:vAlign w:val="center"/>
          </w:tcPr>
          <w:p w14:paraId="74520F9D" w14:textId="77777777" w:rsidR="00E542C7" w:rsidRPr="008D5309" w:rsidRDefault="00E542C7" w:rsidP="00DF5FA4">
            <w:pPr>
              <w:pStyle w:val="TableText"/>
              <w:keepNext/>
              <w:widowControl w:val="0"/>
              <w:spacing w:before="0" w:after="0"/>
            </w:pPr>
            <w:r w:rsidRPr="008D5309">
              <w:t>Median OS (months)</w:t>
            </w:r>
          </w:p>
        </w:tc>
        <w:tc>
          <w:tcPr>
            <w:tcW w:w="631" w:type="pct"/>
            <w:shd w:val="clear" w:color="auto" w:fill="auto"/>
            <w:vAlign w:val="center"/>
          </w:tcPr>
          <w:p w14:paraId="0B2DE6C2" w14:textId="77777777" w:rsidR="00E542C7" w:rsidRPr="00751D02" w:rsidRDefault="00E542C7" w:rsidP="00DF5FA4">
            <w:pPr>
              <w:pStyle w:val="TableText"/>
              <w:keepNext/>
              <w:widowControl w:val="0"/>
              <w:spacing w:before="0" w:after="0"/>
              <w:jc w:val="center"/>
              <w:rPr>
                <w:bCs/>
              </w:rPr>
            </w:pPr>
            <w:r w:rsidRPr="00751D02">
              <w:rPr>
                <w:bCs/>
              </w:rPr>
              <w:t>not reached</w:t>
            </w:r>
          </w:p>
        </w:tc>
        <w:tc>
          <w:tcPr>
            <w:tcW w:w="1245" w:type="pct"/>
            <w:gridSpan w:val="2"/>
            <w:vAlign w:val="center"/>
          </w:tcPr>
          <w:p w14:paraId="7AFA6987" w14:textId="77777777" w:rsidR="00E542C7" w:rsidRPr="00751D02" w:rsidRDefault="00E542C7" w:rsidP="00DF5FA4">
            <w:pPr>
              <w:pStyle w:val="TableText"/>
              <w:keepNext/>
              <w:widowControl w:val="0"/>
              <w:spacing w:before="0" w:after="0"/>
              <w:jc w:val="center"/>
              <w:rPr>
                <w:bCs/>
              </w:rPr>
            </w:pPr>
            <w:r w:rsidRPr="00751D02">
              <w:rPr>
                <w:bCs/>
              </w:rPr>
              <w:t>not reached</w:t>
            </w:r>
          </w:p>
        </w:tc>
        <w:tc>
          <w:tcPr>
            <w:tcW w:w="641" w:type="pct"/>
            <w:vAlign w:val="center"/>
          </w:tcPr>
          <w:p w14:paraId="73AF6410" w14:textId="7BFA8AC6" w:rsidR="00E542C7" w:rsidRPr="00CE28E3" w:rsidRDefault="00E542C7" w:rsidP="00DF5FA4">
            <w:pPr>
              <w:pStyle w:val="TableText"/>
              <w:keepNext/>
              <w:widowControl w:val="0"/>
              <w:spacing w:before="0" w:after="0"/>
              <w:jc w:val="center"/>
              <w:rPr>
                <w:b/>
              </w:rPr>
            </w:pPr>
            <w:r>
              <w:rPr>
                <w:bCs/>
              </w:rPr>
              <w:t>70.8</w:t>
            </w:r>
            <w:r>
              <w:rPr>
                <w:bCs/>
                <w:vertAlign w:val="superscript"/>
              </w:rPr>
              <w:t>d</w:t>
            </w:r>
          </w:p>
        </w:tc>
        <w:tc>
          <w:tcPr>
            <w:tcW w:w="1230" w:type="pct"/>
            <w:gridSpan w:val="2"/>
            <w:shd w:val="clear" w:color="auto" w:fill="auto"/>
            <w:vAlign w:val="center"/>
          </w:tcPr>
          <w:p w14:paraId="2A9EBC1D" w14:textId="77777777" w:rsidR="00E542C7" w:rsidRPr="00CE28E3" w:rsidRDefault="00E542C7" w:rsidP="00DF5FA4">
            <w:pPr>
              <w:pStyle w:val="TableText"/>
              <w:keepNext/>
              <w:widowControl w:val="0"/>
              <w:spacing w:before="0" w:after="0"/>
              <w:jc w:val="center"/>
              <w:rPr>
                <w:b/>
              </w:rPr>
            </w:pPr>
            <w:r>
              <w:t>92</w:t>
            </w:r>
          </w:p>
        </w:tc>
      </w:tr>
    </w:tbl>
    <w:p w14:paraId="687C02D2" w14:textId="7EAAD331" w:rsidR="00E542C7" w:rsidRDefault="00E542C7" w:rsidP="00C25359">
      <w:pPr>
        <w:pStyle w:val="TableFooter"/>
        <w:keepNext/>
        <w:spacing w:before="0" w:after="0"/>
        <w:jc w:val="left"/>
      </w:pPr>
      <w:r>
        <w:t>Source:</w:t>
      </w:r>
      <w:r w:rsidR="004A362C">
        <w:t xml:space="preserve"> DCAR Table 5. From</w:t>
      </w:r>
      <w:r>
        <w:t xml:space="preserve"> p6 and Figure 2, Matsukawa 2020; pp540-541 Raymond 2019.</w:t>
      </w:r>
      <w:r>
        <w:br/>
        <w:t>CI = confidence interval; HSCT = hematopoietic stem cell transplant; KM = Kaplan-Meier; MRI = magnetic resonance imaging; N = number of patients; NR = not reported; OS = overall survival.</w:t>
      </w:r>
      <w:r>
        <w:br/>
      </w:r>
      <w:r>
        <w:rPr>
          <w:vertAlign w:val="superscript"/>
        </w:rPr>
        <w:t>a</w:t>
      </w:r>
      <w:r>
        <w:t xml:space="preserve"> All patients received bone marrow transplants; ten from unrelated donors and two from related donors.</w:t>
      </w:r>
    </w:p>
    <w:p w14:paraId="78852D3E" w14:textId="77777777" w:rsidR="00E542C7" w:rsidRDefault="00E542C7" w:rsidP="00C25359">
      <w:pPr>
        <w:pStyle w:val="TableFooter"/>
        <w:keepNext/>
        <w:spacing w:before="0" w:after="0"/>
        <w:jc w:val="left"/>
      </w:pPr>
      <w:r w:rsidRPr="00836482">
        <w:rPr>
          <w:vertAlign w:val="superscript"/>
        </w:rPr>
        <w:t>b</w:t>
      </w:r>
      <w:r>
        <w:t xml:space="preserve"> Survival estimates stratified by donor type were not presented in the publication.</w:t>
      </w:r>
    </w:p>
    <w:p w14:paraId="2825A680" w14:textId="77777777" w:rsidR="00E542C7" w:rsidRDefault="00E542C7" w:rsidP="00C25359">
      <w:pPr>
        <w:pStyle w:val="TableFooter"/>
        <w:keepNext/>
        <w:spacing w:before="0" w:after="0"/>
        <w:jc w:val="left"/>
      </w:pPr>
      <w:r w:rsidRPr="00836482">
        <w:rPr>
          <w:vertAlign w:val="superscript"/>
        </w:rPr>
        <w:t>c</w:t>
      </w:r>
      <w:r>
        <w:t xml:space="preserve"> </w:t>
      </w:r>
      <w:r w:rsidRPr="00015661">
        <w:t>KM analysis in Matsukawa (2020) conducted from the earliest time of either the onset of cerebral/cerebellar/brainstem MRI lesions or the onset of clinical symptoms attributable to cerebral/ cerebellar/brainstem lesions. KM analysis in Raymond (2019) conducted from diagnosis.</w:t>
      </w:r>
    </w:p>
    <w:p w14:paraId="394F2CCE" w14:textId="3BC5C87A" w:rsidR="00737666" w:rsidRDefault="00E542C7">
      <w:pPr>
        <w:pStyle w:val="TableFooter"/>
        <w:keepNext/>
        <w:spacing w:before="0" w:after="0"/>
        <w:jc w:val="left"/>
      </w:pPr>
      <w:r w:rsidRPr="00836482">
        <w:rPr>
          <w:vertAlign w:val="superscript"/>
        </w:rPr>
        <w:t>d</w:t>
      </w:r>
      <w:r>
        <w:t xml:space="preserve"> Matsukawa (2020) reported that six of the eight patients who did not undergo HSCT died 69.1 months (median period; range 16.0–104.1months) after the onset of cerebral/ cerebellar/brainstem involvement but did not provide median OS. The Kaplan Meier analysis (Figure 2 of the publication) was digitised to estimate median OS of 70.8 months.</w:t>
      </w:r>
    </w:p>
    <w:p w14:paraId="5F35B9DE" w14:textId="023CBD8A" w:rsidR="00E542C7" w:rsidRPr="00F17D0D" w:rsidRDefault="00E542C7" w:rsidP="00206581">
      <w:pPr>
        <w:widowControl w:val="0"/>
        <w:spacing w:before="240"/>
        <w:rPr>
          <w:rFonts w:eastAsia="Calibri" w:cs="Times New Roman"/>
          <w:noProof/>
          <w:color w:val="000000" w:themeColor="text1"/>
        </w:rPr>
      </w:pPr>
      <w:r w:rsidRPr="00F17D0D">
        <w:rPr>
          <w:rFonts w:eastAsia="Calibri" w:cs="Times New Roman"/>
          <w:noProof/>
          <w:color w:val="000000" w:themeColor="text1"/>
        </w:rPr>
        <w:t xml:space="preserve">Nine studies were identified that compared ‘early’ and ‘late’ HSCT for patients with CALD, where ‘early’ and ‘late’ were based on clinical assessment of disease progression at the time of transplant </w:t>
      </w:r>
      <w:r w:rsidRPr="00F17D0D">
        <w:rPr>
          <w:rFonts w:eastAsia="Calibri" w:cs="Times New Roman"/>
          <w:noProof/>
          <w:color w:val="000000" w:themeColor="text1"/>
        </w:rPr>
        <w:fldChar w:fldCharType="begin">
          <w:fldData xml:space="preserve">PEVuZE5vdGU+PENpdGU+PEF1dGhvcj5CZWNrbWFubjwvQXV0aG9yPjxZZWFyPjIwMTg8L1llYXI+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</w:fldData>
        </w:fldChar>
      </w:r>
      <w:r w:rsidR="00A72828" w:rsidRPr="00F17D0D">
        <w:rPr>
          <w:rFonts w:eastAsia="Calibri" w:cs="Times New Roman"/>
          <w:noProof/>
          <w:color w:val="000000" w:themeColor="text1"/>
        </w:rPr>
        <w:instrText xml:space="preserve"> ADDIN EN.CITE </w:instrText>
      </w:r>
      <w:r w:rsidR="00A72828" w:rsidRPr="00F17D0D">
        <w:rPr>
          <w:rFonts w:eastAsia="Calibri" w:cs="Times New Roman"/>
          <w:noProof/>
          <w:color w:val="000000" w:themeColor="text1"/>
        </w:rPr>
        <w:fldChar w:fldCharType="begin">
          <w:fldData xml:space="preserve">PEVuZE5vdGU+PENpdGU+PEF1dGhvcj5CZWNrbWFubjwvQXV0aG9yPjxZZWFyPjIwMTg8L1llYXI+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</w:fldData>
        </w:fldChar>
      </w:r>
      <w:r w:rsidR="00A72828" w:rsidRPr="00F17D0D">
        <w:rPr>
          <w:rFonts w:eastAsia="Calibri" w:cs="Times New Roman"/>
          <w:noProof/>
          <w:color w:val="000000" w:themeColor="text1"/>
        </w:rPr>
        <w:instrText xml:space="preserve"> ADDIN EN.CITE.DATA </w:instrText>
      </w:r>
      <w:r w:rsidR="00A72828" w:rsidRPr="00F17D0D">
        <w:rPr>
          <w:rFonts w:eastAsia="Calibri" w:cs="Times New Roman"/>
          <w:noProof/>
          <w:color w:val="000000" w:themeColor="text1"/>
        </w:rPr>
      </w:r>
      <w:r w:rsidR="00A72828" w:rsidRPr="00F17D0D">
        <w:rPr>
          <w:rFonts w:eastAsia="Calibri" w:cs="Times New Roman"/>
          <w:noProof/>
          <w:color w:val="000000" w:themeColor="text1"/>
        </w:rPr>
        <w:fldChar w:fldCharType="end"/>
      </w:r>
      <w:r w:rsidRPr="00F17D0D">
        <w:rPr>
          <w:rFonts w:eastAsia="Calibri" w:cs="Times New Roman"/>
          <w:noProof/>
          <w:color w:val="000000" w:themeColor="text1"/>
        </w:rPr>
      </w:r>
      <w:r w:rsidRPr="00F17D0D">
        <w:rPr>
          <w:rFonts w:eastAsia="Calibri" w:cs="Times New Roman"/>
          <w:noProof/>
          <w:color w:val="000000" w:themeColor="text1"/>
        </w:rPr>
        <w:fldChar w:fldCharType="separate"/>
      </w:r>
      <w:r w:rsidRPr="00F17D0D">
        <w:rPr>
          <w:rFonts w:eastAsia="Calibri" w:cs="Times New Roman"/>
          <w:noProof/>
          <w:color w:val="000000" w:themeColor="text1"/>
        </w:rPr>
        <w:t>(Beckmann et al., 2018</w:t>
      </w:r>
      <w:r w:rsidR="00BF3FB6">
        <w:rPr>
          <w:rStyle w:val="FootnoteReference"/>
          <w:rFonts w:eastAsia="Calibri" w:cs="Times New Roman"/>
          <w:noProof/>
          <w:color w:val="000000" w:themeColor="text1"/>
        </w:rPr>
        <w:footnoteReference w:id="34"/>
      </w:r>
      <w:r w:rsidRPr="00F17D0D">
        <w:rPr>
          <w:rFonts w:eastAsia="Calibri" w:cs="Times New Roman"/>
          <w:noProof/>
          <w:color w:val="000000" w:themeColor="text1"/>
        </w:rPr>
        <w:t>, Bladowska et al., 2015, Chiesa et al., 2022, Kuhl et al., 2018</w:t>
      </w:r>
      <w:r w:rsidR="00321F9A">
        <w:rPr>
          <w:rStyle w:val="FootnoteReference"/>
          <w:rFonts w:eastAsia="Calibri" w:cs="Times New Roman"/>
          <w:noProof/>
          <w:color w:val="000000" w:themeColor="text1"/>
        </w:rPr>
        <w:footnoteReference w:id="35"/>
      </w:r>
      <w:r w:rsidRPr="00F17D0D">
        <w:rPr>
          <w:rFonts w:eastAsia="Calibri" w:cs="Times New Roman"/>
          <w:noProof/>
          <w:color w:val="000000" w:themeColor="text1"/>
        </w:rPr>
        <w:t>, Kuhl et al., 2017, Miller et al., 2011</w:t>
      </w:r>
      <w:r w:rsidR="00140CE5">
        <w:rPr>
          <w:rStyle w:val="FootnoteReference"/>
          <w:rFonts w:eastAsia="Calibri" w:cs="Times New Roman"/>
          <w:noProof/>
          <w:color w:val="000000" w:themeColor="text1"/>
        </w:rPr>
        <w:footnoteReference w:id="36"/>
      </w:r>
      <w:r w:rsidRPr="00F17D0D">
        <w:rPr>
          <w:rFonts w:eastAsia="Calibri" w:cs="Times New Roman"/>
          <w:noProof/>
          <w:color w:val="000000" w:themeColor="text1"/>
        </w:rPr>
        <w:t>, Waldh</w:t>
      </w:r>
      <w:r w:rsidR="00491D97">
        <w:rPr>
          <w:rFonts w:eastAsia="Calibri" w:cs="Times New Roman"/>
          <w:noProof/>
          <w:color w:val="000000" w:themeColor="text1"/>
        </w:rPr>
        <w:t>ü</w:t>
      </w:r>
      <w:r w:rsidRPr="00F17D0D">
        <w:rPr>
          <w:rFonts w:eastAsia="Calibri" w:cs="Times New Roman"/>
          <w:noProof/>
          <w:color w:val="000000" w:themeColor="text1"/>
        </w:rPr>
        <w:t>ter et al., 2019, Yalcin et al., 2021)</w:t>
      </w:r>
      <w:r w:rsidRPr="00F17D0D">
        <w:rPr>
          <w:rFonts w:eastAsia="Calibri" w:cs="Times New Roman"/>
          <w:noProof/>
          <w:color w:val="000000" w:themeColor="text1"/>
        </w:rPr>
        <w:fldChar w:fldCharType="end"/>
      </w:r>
      <w:r w:rsidRPr="00F17D0D">
        <w:rPr>
          <w:rFonts w:eastAsia="Calibri" w:cs="Times New Roman"/>
          <w:noProof/>
          <w:color w:val="000000" w:themeColor="text1"/>
        </w:rPr>
        <w:t xml:space="preserve">.The included studies used two different assessment methods (Loes score and extent of motor dysfunction) and a variety of thresholds to define ‘early’ and ‘late/advanced’ disease. The studies also considered different patient populations (children and adults) and conducted analyses at different timepoints. Given these differences, the results were not meta-analysed. </w:t>
      </w:r>
    </w:p>
    <w:p w14:paraId="2B2855BD" w14:textId="2B925724" w:rsidR="00E542C7" w:rsidRDefault="00482202" w:rsidP="00206581">
      <w:r>
        <w:fldChar w:fldCharType="begin"/>
      </w:r>
      <w:r>
        <w:instrText xml:space="preserve"> REF _Ref132833351 \h </w:instrText>
      </w:r>
      <w:r w:rsidR="005622B4">
        <w:instrText xml:space="preserve"> \* MERGEFORMAT </w:instrText>
      </w:r>
      <w:r>
        <w:fldChar w:fldCharType="separate"/>
      </w:r>
      <w:r w:rsidR="00253978">
        <w:t xml:space="preserve">Table </w:t>
      </w:r>
      <w:r w:rsidR="00253978">
        <w:rPr>
          <w:noProof/>
        </w:rPr>
        <w:t>7</w:t>
      </w:r>
      <w:r>
        <w:fldChar w:fldCharType="end"/>
      </w:r>
      <w:r>
        <w:t xml:space="preserve"> </w:t>
      </w:r>
      <w:r w:rsidR="00E542C7">
        <w:t>indicates that ‘early’ treatment with HSCT, across a range of assessment methods and thresholds improved the survival of patients with CALD compared to those treated with ‘late/advanced’ HSCT. Kaplan-Meier estimates from studies were consistent with those presented by Chiesa et al (2022) (</w:t>
      </w:r>
      <w:r>
        <w:fldChar w:fldCharType="begin"/>
      </w:r>
      <w:r>
        <w:instrText xml:space="preserve"> REF _Ref132833377 \h </w:instrText>
      </w:r>
      <w:r w:rsidR="005622B4">
        <w:instrText xml:space="preserve"> \* MERGEFORMAT </w:instrText>
      </w:r>
      <w:r>
        <w:fldChar w:fldCharType="separate"/>
      </w:r>
      <w:r w:rsidR="00253978">
        <w:t xml:space="preserve">Figure </w:t>
      </w:r>
      <w:r w:rsidR="00253978">
        <w:rPr>
          <w:noProof/>
        </w:rPr>
        <w:t>2</w:t>
      </w:r>
      <w:r>
        <w:fldChar w:fldCharType="end"/>
      </w:r>
      <w:r w:rsidR="00E542C7">
        <w:t>).</w:t>
      </w:r>
      <w:r w:rsidR="00E542C7" w:rsidRPr="007C2A21">
        <w:t xml:space="preserve"> </w:t>
      </w:r>
    </w:p>
    <w:p w14:paraId="25A4CBBD" w14:textId="4BFFF55D" w:rsidR="00E542C7" w:rsidRDefault="00E542C7" w:rsidP="00B76655">
      <w:pPr>
        <w:pStyle w:val="Caption"/>
      </w:pPr>
      <w:bookmarkStart w:id="34" w:name="_Ref132833351"/>
      <w:r>
        <w:lastRenderedPageBreak/>
        <w:t xml:space="preserve">Table </w:t>
      </w:r>
      <w:r>
        <w:fldChar w:fldCharType="begin"/>
      </w:r>
      <w:r>
        <w:instrText>SEQ Table \* ARABIC</w:instrText>
      </w:r>
      <w:r>
        <w:fldChar w:fldCharType="separate"/>
      </w:r>
      <w:r w:rsidR="00253978">
        <w:rPr>
          <w:noProof/>
        </w:rPr>
        <w:t>7</w:t>
      </w:r>
      <w:r>
        <w:fldChar w:fldCharType="end"/>
      </w:r>
      <w:bookmarkEnd w:id="34"/>
      <w:r>
        <w:t xml:space="preserve"> </w:t>
      </w:r>
      <w:r w:rsidRPr="00023415">
        <w:t>Results of OS across the included studies comparing ‘early’ and ‘late’ HSCT.</w:t>
      </w:r>
    </w:p>
    <w:tbl>
      <w:tblPr>
        <w:tblStyle w:val="TableGrid1"/>
        <w:tblW w:w="5000" w:type="pct"/>
        <w:tblCellMar>
          <w:left w:w="28" w:type="dxa"/>
          <w:right w:w="28" w:type="dxa"/>
        </w:tblCellMar>
        <w:tblLook w:val="04A0" w:firstRow="1" w:lastRow="0" w:firstColumn="1" w:lastColumn="0" w:noHBand="0" w:noVBand="1"/>
      </w:tblPr>
      <w:tblGrid>
        <w:gridCol w:w="1958"/>
        <w:gridCol w:w="1013"/>
        <w:gridCol w:w="992"/>
        <w:gridCol w:w="1342"/>
        <w:gridCol w:w="1507"/>
        <w:gridCol w:w="1104"/>
        <w:gridCol w:w="1100"/>
      </w:tblGrid>
      <w:tr w:rsidR="00E542C7" w:rsidRPr="00CE28E3" w14:paraId="6F4246F9"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86" w:type="pct"/>
            <w:vMerge w:val="restart"/>
            <w:shd w:val="clear" w:color="auto" w:fill="auto"/>
            <w:vAlign w:val="center"/>
          </w:tcPr>
          <w:p w14:paraId="3E28EB20" w14:textId="77777777" w:rsidR="00E542C7" w:rsidRPr="008D5309" w:rsidRDefault="00E542C7" w:rsidP="00DF5FA4">
            <w:pPr>
              <w:pStyle w:val="In-tableHeading"/>
              <w:jc w:val="center"/>
            </w:pPr>
            <w:r>
              <w:t>Disease severity threshold/ Study</w:t>
            </w:r>
          </w:p>
        </w:tc>
        <w:tc>
          <w:tcPr>
            <w:tcW w:w="562" w:type="pct"/>
            <w:vMerge w:val="restart"/>
            <w:vAlign w:val="center"/>
          </w:tcPr>
          <w:p w14:paraId="42D0FFD2" w14:textId="77777777" w:rsidR="00E542C7" w:rsidRDefault="00E542C7" w:rsidP="00DF5FA4">
            <w:pPr>
              <w:pStyle w:val="In-tableHeading"/>
              <w:jc w:val="center"/>
            </w:pPr>
            <w:r>
              <w:t>Cohort</w:t>
            </w:r>
          </w:p>
        </w:tc>
        <w:tc>
          <w:tcPr>
            <w:tcW w:w="550" w:type="pct"/>
            <w:vMerge w:val="restart"/>
            <w:shd w:val="clear" w:color="auto" w:fill="auto"/>
            <w:vAlign w:val="center"/>
          </w:tcPr>
          <w:p w14:paraId="66F2E2EB" w14:textId="77777777" w:rsidR="00E542C7" w:rsidRDefault="00E542C7" w:rsidP="00DF5FA4">
            <w:pPr>
              <w:pStyle w:val="In-tableHeading"/>
              <w:jc w:val="center"/>
            </w:pPr>
            <w:r>
              <w:t>KM analysis point, years</w:t>
            </w:r>
          </w:p>
        </w:tc>
        <w:tc>
          <w:tcPr>
            <w:tcW w:w="1580" w:type="pct"/>
            <w:gridSpan w:val="2"/>
            <w:vAlign w:val="center"/>
          </w:tcPr>
          <w:p w14:paraId="0EF84417" w14:textId="77777777" w:rsidR="00E542C7" w:rsidRDefault="00E542C7" w:rsidP="00DF5FA4">
            <w:pPr>
              <w:pStyle w:val="In-tableHeading"/>
              <w:jc w:val="center"/>
            </w:pPr>
            <w:r>
              <w:t>OS, % (95% CI)</w:t>
            </w:r>
          </w:p>
        </w:tc>
        <w:tc>
          <w:tcPr>
            <w:tcW w:w="612" w:type="pct"/>
            <w:vMerge w:val="restart"/>
            <w:vAlign w:val="center"/>
          </w:tcPr>
          <w:p w14:paraId="6558DD5A" w14:textId="77777777" w:rsidR="00E542C7" w:rsidRDefault="00E542C7" w:rsidP="00DF5FA4">
            <w:pPr>
              <w:pStyle w:val="In-tableHeading"/>
              <w:jc w:val="center"/>
            </w:pPr>
            <w:r>
              <w:t>HR (95% CI)</w:t>
            </w:r>
          </w:p>
        </w:tc>
        <w:tc>
          <w:tcPr>
            <w:tcW w:w="610" w:type="pct"/>
            <w:vMerge w:val="restart"/>
            <w:shd w:val="clear" w:color="auto" w:fill="auto"/>
            <w:vAlign w:val="center"/>
          </w:tcPr>
          <w:p w14:paraId="1D30ABFA" w14:textId="77777777" w:rsidR="00E542C7" w:rsidRDefault="00E542C7" w:rsidP="00DF5FA4">
            <w:pPr>
              <w:pStyle w:val="In-tableHeading"/>
              <w:jc w:val="center"/>
            </w:pPr>
            <w:r>
              <w:t>p-value</w:t>
            </w:r>
          </w:p>
        </w:tc>
      </w:tr>
      <w:tr w:rsidR="00E542C7" w:rsidRPr="00CE28E3" w14:paraId="19159862"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86" w:type="pct"/>
            <w:vMerge/>
            <w:shd w:val="clear" w:color="auto" w:fill="auto"/>
            <w:vAlign w:val="center"/>
          </w:tcPr>
          <w:p w14:paraId="5CA99E4A" w14:textId="77777777" w:rsidR="00E542C7" w:rsidRPr="008D5309" w:rsidRDefault="00E542C7" w:rsidP="00DF5FA4">
            <w:pPr>
              <w:pStyle w:val="TableHeading"/>
            </w:pPr>
          </w:p>
        </w:tc>
        <w:tc>
          <w:tcPr>
            <w:tcW w:w="562" w:type="pct"/>
            <w:vMerge/>
            <w:vAlign w:val="center"/>
          </w:tcPr>
          <w:p w14:paraId="722A6302" w14:textId="77777777" w:rsidR="00E542C7" w:rsidRDefault="00E542C7" w:rsidP="00DF5FA4">
            <w:pPr>
              <w:pStyle w:val="TableHeading"/>
              <w:jc w:val="center"/>
            </w:pPr>
          </w:p>
        </w:tc>
        <w:tc>
          <w:tcPr>
            <w:tcW w:w="550" w:type="pct"/>
            <w:vMerge/>
            <w:shd w:val="clear" w:color="auto" w:fill="auto"/>
            <w:vAlign w:val="center"/>
          </w:tcPr>
          <w:p w14:paraId="5F2533AB" w14:textId="77777777" w:rsidR="00E542C7" w:rsidRDefault="00E542C7" w:rsidP="00DF5FA4">
            <w:pPr>
              <w:pStyle w:val="TableHeading"/>
              <w:jc w:val="center"/>
            </w:pPr>
          </w:p>
        </w:tc>
        <w:tc>
          <w:tcPr>
            <w:tcW w:w="744" w:type="pct"/>
            <w:vAlign w:val="center"/>
          </w:tcPr>
          <w:p w14:paraId="313C0F59" w14:textId="77777777" w:rsidR="00E542C7" w:rsidRDefault="00E542C7" w:rsidP="00DF5FA4">
            <w:pPr>
              <w:pStyle w:val="TableHeading"/>
              <w:jc w:val="center"/>
            </w:pPr>
            <w:r>
              <w:t>Early disease</w:t>
            </w:r>
          </w:p>
        </w:tc>
        <w:tc>
          <w:tcPr>
            <w:tcW w:w="836" w:type="pct"/>
            <w:vAlign w:val="center"/>
          </w:tcPr>
          <w:p w14:paraId="68259635" w14:textId="77777777" w:rsidR="00E542C7" w:rsidRDefault="00E542C7" w:rsidP="00DF5FA4">
            <w:pPr>
              <w:pStyle w:val="TableHeading"/>
              <w:jc w:val="center"/>
            </w:pPr>
            <w:r>
              <w:t>Late disease</w:t>
            </w:r>
          </w:p>
        </w:tc>
        <w:tc>
          <w:tcPr>
            <w:tcW w:w="612" w:type="pct"/>
            <w:vMerge/>
            <w:vAlign w:val="center"/>
          </w:tcPr>
          <w:p w14:paraId="05005709" w14:textId="77777777" w:rsidR="00E542C7" w:rsidRDefault="00E542C7" w:rsidP="00DF5FA4">
            <w:pPr>
              <w:pStyle w:val="TableHeading"/>
              <w:jc w:val="center"/>
            </w:pPr>
          </w:p>
        </w:tc>
        <w:tc>
          <w:tcPr>
            <w:tcW w:w="610" w:type="pct"/>
            <w:vMerge/>
            <w:shd w:val="clear" w:color="auto" w:fill="auto"/>
            <w:vAlign w:val="center"/>
          </w:tcPr>
          <w:p w14:paraId="79179755" w14:textId="77777777" w:rsidR="00E542C7" w:rsidRDefault="00E542C7" w:rsidP="00DF5FA4">
            <w:pPr>
              <w:pStyle w:val="TableHeading"/>
              <w:jc w:val="center"/>
            </w:pPr>
          </w:p>
        </w:tc>
      </w:tr>
      <w:tr w:rsidR="00E542C7" w:rsidRPr="00CE28E3" w14:paraId="12D7FDCC"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5000" w:type="pct"/>
            <w:gridSpan w:val="7"/>
            <w:shd w:val="clear" w:color="auto" w:fill="auto"/>
            <w:vAlign w:val="center"/>
          </w:tcPr>
          <w:p w14:paraId="6C83AEDB" w14:textId="77777777" w:rsidR="00E542C7" w:rsidRPr="00A759F1" w:rsidRDefault="00E542C7" w:rsidP="00DF5FA4">
            <w:pPr>
              <w:pStyle w:val="Tabletext0"/>
            </w:pPr>
            <w:r w:rsidRPr="00A759F1">
              <w:t>Loes &lt;9 vs Loes ≥9</w:t>
            </w:r>
          </w:p>
        </w:tc>
      </w:tr>
      <w:tr w:rsidR="00E542C7" w:rsidRPr="00CE28E3" w14:paraId="3EFD6B14"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86" w:type="pct"/>
            <w:shd w:val="clear" w:color="auto" w:fill="auto"/>
            <w:vAlign w:val="center"/>
          </w:tcPr>
          <w:p w14:paraId="033046DE" w14:textId="77777777" w:rsidR="00E542C7" w:rsidRPr="00A10A1F" w:rsidRDefault="00E542C7" w:rsidP="00DF5FA4">
            <w:pPr>
              <w:pStyle w:val="Tabletext0"/>
              <w:ind w:left="284"/>
              <w:rPr>
                <w:b/>
              </w:rPr>
            </w:pPr>
            <w:r w:rsidRPr="00A10A1F">
              <w:t>Kuhl (2018)</w:t>
            </w:r>
            <w:r w:rsidRPr="00836482">
              <w:rPr>
                <w:vertAlign w:val="superscript"/>
              </w:rPr>
              <w:t xml:space="preserve"> a</w:t>
            </w:r>
          </w:p>
        </w:tc>
        <w:tc>
          <w:tcPr>
            <w:tcW w:w="562" w:type="pct"/>
            <w:vAlign w:val="center"/>
          </w:tcPr>
          <w:p w14:paraId="6E1B5843" w14:textId="77777777" w:rsidR="00E542C7" w:rsidRPr="008D5309" w:rsidRDefault="00E542C7" w:rsidP="00DF5FA4">
            <w:pPr>
              <w:pStyle w:val="Tabletext0"/>
              <w:rPr>
                <w:b/>
              </w:rPr>
            </w:pPr>
            <w:r>
              <w:t>Children</w:t>
            </w:r>
          </w:p>
        </w:tc>
        <w:tc>
          <w:tcPr>
            <w:tcW w:w="550" w:type="pct"/>
            <w:shd w:val="clear" w:color="auto" w:fill="auto"/>
            <w:vAlign w:val="center"/>
          </w:tcPr>
          <w:p w14:paraId="2A15E33A" w14:textId="77777777" w:rsidR="00E542C7" w:rsidRPr="008D5309" w:rsidRDefault="00E542C7" w:rsidP="00DF5FA4">
            <w:pPr>
              <w:pStyle w:val="Tabletext0"/>
              <w:jc w:val="center"/>
              <w:rPr>
                <w:b/>
              </w:rPr>
            </w:pPr>
            <w:r>
              <w:t>10</w:t>
            </w:r>
          </w:p>
        </w:tc>
        <w:tc>
          <w:tcPr>
            <w:tcW w:w="744" w:type="pct"/>
            <w:vAlign w:val="center"/>
          </w:tcPr>
          <w:p w14:paraId="24BAED3B" w14:textId="77777777" w:rsidR="00E542C7" w:rsidRPr="008D5309" w:rsidRDefault="00E542C7" w:rsidP="00DF5FA4">
            <w:pPr>
              <w:pStyle w:val="Tabletext0"/>
              <w:jc w:val="center"/>
              <w:rPr>
                <w:b/>
              </w:rPr>
            </w:pPr>
            <w:r>
              <w:t>NR</w:t>
            </w:r>
          </w:p>
        </w:tc>
        <w:tc>
          <w:tcPr>
            <w:tcW w:w="836" w:type="pct"/>
            <w:shd w:val="clear" w:color="auto" w:fill="auto"/>
            <w:vAlign w:val="center"/>
          </w:tcPr>
          <w:p w14:paraId="322BBD03" w14:textId="77777777" w:rsidR="00E542C7" w:rsidRPr="008D5309" w:rsidRDefault="00E542C7" w:rsidP="00DF5FA4">
            <w:pPr>
              <w:pStyle w:val="Tabletext0"/>
              <w:jc w:val="center"/>
              <w:rPr>
                <w:b/>
              </w:rPr>
            </w:pPr>
            <w:r>
              <w:t>NR</w:t>
            </w:r>
          </w:p>
        </w:tc>
        <w:tc>
          <w:tcPr>
            <w:tcW w:w="612" w:type="pct"/>
            <w:vAlign w:val="center"/>
          </w:tcPr>
          <w:p w14:paraId="52FEE7FE" w14:textId="77777777" w:rsidR="00E542C7" w:rsidRPr="008D5309" w:rsidRDefault="00E542C7" w:rsidP="00DF5FA4">
            <w:pPr>
              <w:pStyle w:val="Tabletext0"/>
              <w:jc w:val="center"/>
              <w:rPr>
                <w:b/>
              </w:rPr>
            </w:pPr>
            <w:r>
              <w:t xml:space="preserve">0.48 </w:t>
            </w:r>
            <w:r>
              <w:br/>
              <w:t>(0.06-4.0)</w:t>
            </w:r>
          </w:p>
        </w:tc>
        <w:tc>
          <w:tcPr>
            <w:tcW w:w="610" w:type="pct"/>
            <w:shd w:val="clear" w:color="auto" w:fill="auto"/>
            <w:vAlign w:val="center"/>
          </w:tcPr>
          <w:p w14:paraId="1816D531" w14:textId="77777777" w:rsidR="00E542C7" w:rsidRPr="008D5309" w:rsidRDefault="00E542C7" w:rsidP="00DF5FA4">
            <w:pPr>
              <w:pStyle w:val="Tabletext0"/>
              <w:jc w:val="center"/>
              <w:rPr>
                <w:b/>
              </w:rPr>
            </w:pPr>
            <w:r>
              <w:t>0.484</w:t>
            </w:r>
          </w:p>
        </w:tc>
      </w:tr>
      <w:tr w:rsidR="00E542C7" w:rsidRPr="00CE28E3" w14:paraId="083B2269"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86" w:type="pct"/>
            <w:shd w:val="clear" w:color="auto" w:fill="auto"/>
            <w:vAlign w:val="center"/>
          </w:tcPr>
          <w:p w14:paraId="1B01B389" w14:textId="77777777" w:rsidR="00E542C7" w:rsidRPr="00A759F1" w:rsidRDefault="00E542C7" w:rsidP="00DF5FA4">
            <w:pPr>
              <w:pStyle w:val="Tabletext0"/>
              <w:ind w:left="284"/>
            </w:pPr>
            <w:r w:rsidRPr="00A10A1F">
              <w:t>Peters (2004)</w:t>
            </w:r>
            <w:r w:rsidRPr="00836482">
              <w:rPr>
                <w:vertAlign w:val="superscript"/>
              </w:rPr>
              <w:t xml:space="preserve"> </w:t>
            </w:r>
            <w:r>
              <w:rPr>
                <w:vertAlign w:val="superscript"/>
              </w:rPr>
              <w:t>b</w:t>
            </w:r>
          </w:p>
        </w:tc>
        <w:tc>
          <w:tcPr>
            <w:tcW w:w="562" w:type="pct"/>
            <w:vAlign w:val="center"/>
          </w:tcPr>
          <w:p w14:paraId="2B515D5F" w14:textId="77777777" w:rsidR="00E542C7" w:rsidRPr="008D5309" w:rsidRDefault="00E542C7" w:rsidP="00DF5FA4">
            <w:pPr>
              <w:pStyle w:val="Tabletext0"/>
              <w:rPr>
                <w:b/>
              </w:rPr>
            </w:pPr>
            <w:r>
              <w:t xml:space="preserve">Children </w:t>
            </w:r>
          </w:p>
        </w:tc>
        <w:tc>
          <w:tcPr>
            <w:tcW w:w="550" w:type="pct"/>
            <w:shd w:val="clear" w:color="auto" w:fill="auto"/>
            <w:vAlign w:val="center"/>
          </w:tcPr>
          <w:p w14:paraId="6B77CDBE" w14:textId="77777777" w:rsidR="00E542C7" w:rsidRPr="008D5309" w:rsidRDefault="00E542C7" w:rsidP="00DF5FA4">
            <w:pPr>
              <w:pStyle w:val="Tabletext0"/>
              <w:jc w:val="center"/>
              <w:rPr>
                <w:b/>
              </w:rPr>
            </w:pPr>
            <w:r>
              <w:t>5</w:t>
            </w:r>
          </w:p>
        </w:tc>
        <w:tc>
          <w:tcPr>
            <w:tcW w:w="744" w:type="pct"/>
            <w:vAlign w:val="center"/>
          </w:tcPr>
          <w:p w14:paraId="6E1CCFC2" w14:textId="77777777" w:rsidR="00E542C7" w:rsidRPr="008D5309" w:rsidRDefault="00E542C7" w:rsidP="00DF5FA4">
            <w:pPr>
              <w:pStyle w:val="Tabletext0"/>
              <w:jc w:val="center"/>
              <w:rPr>
                <w:b/>
              </w:rPr>
            </w:pPr>
            <w:r>
              <w:t>92 (81, 100)</w:t>
            </w:r>
          </w:p>
        </w:tc>
        <w:tc>
          <w:tcPr>
            <w:tcW w:w="836" w:type="pct"/>
            <w:shd w:val="clear" w:color="auto" w:fill="auto"/>
            <w:vAlign w:val="center"/>
          </w:tcPr>
          <w:p w14:paraId="625B284E" w14:textId="77777777" w:rsidR="00E542C7" w:rsidRPr="008D5309" w:rsidRDefault="00E542C7" w:rsidP="00DF5FA4">
            <w:pPr>
              <w:pStyle w:val="Tabletext0"/>
              <w:jc w:val="center"/>
              <w:rPr>
                <w:b/>
              </w:rPr>
            </w:pPr>
            <w:r>
              <w:t>45 (23, 67)</w:t>
            </w:r>
          </w:p>
        </w:tc>
        <w:tc>
          <w:tcPr>
            <w:tcW w:w="612" w:type="pct"/>
            <w:vAlign w:val="center"/>
          </w:tcPr>
          <w:p w14:paraId="5E2628A7" w14:textId="77777777" w:rsidR="00E542C7" w:rsidRPr="008D5309" w:rsidRDefault="00E542C7" w:rsidP="00DF5FA4">
            <w:pPr>
              <w:pStyle w:val="Tabletext0"/>
              <w:jc w:val="center"/>
              <w:rPr>
                <w:b/>
              </w:rPr>
            </w:pPr>
            <w:r>
              <w:t>NR</w:t>
            </w:r>
          </w:p>
        </w:tc>
        <w:tc>
          <w:tcPr>
            <w:tcW w:w="610" w:type="pct"/>
            <w:shd w:val="clear" w:color="auto" w:fill="auto"/>
            <w:vAlign w:val="center"/>
          </w:tcPr>
          <w:p w14:paraId="78F27338" w14:textId="77777777" w:rsidR="00E542C7" w:rsidRPr="008D5309" w:rsidRDefault="00E542C7" w:rsidP="00DF5FA4">
            <w:pPr>
              <w:pStyle w:val="Tabletext0"/>
              <w:jc w:val="center"/>
              <w:rPr>
                <w:b/>
              </w:rPr>
            </w:pPr>
            <w:r>
              <w:t>&lt; 0.01</w:t>
            </w:r>
          </w:p>
        </w:tc>
      </w:tr>
      <w:tr w:rsidR="00E542C7" w:rsidRPr="00CE28E3" w14:paraId="4E75710F"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86" w:type="pct"/>
            <w:shd w:val="clear" w:color="auto" w:fill="auto"/>
            <w:vAlign w:val="center"/>
          </w:tcPr>
          <w:p w14:paraId="5FA3BB62" w14:textId="77777777" w:rsidR="00E542C7" w:rsidRPr="00A759F1" w:rsidRDefault="00E542C7" w:rsidP="00DF5FA4">
            <w:pPr>
              <w:pStyle w:val="Tabletext0"/>
              <w:ind w:left="284"/>
            </w:pPr>
            <w:r w:rsidRPr="00A10A1F">
              <w:t>Yalcin (2021)</w:t>
            </w:r>
            <w:r w:rsidRPr="00836482">
              <w:rPr>
                <w:vertAlign w:val="superscript"/>
              </w:rPr>
              <w:t xml:space="preserve"> </w:t>
            </w:r>
            <w:r>
              <w:rPr>
                <w:vertAlign w:val="superscript"/>
              </w:rPr>
              <w:t>c</w:t>
            </w:r>
          </w:p>
        </w:tc>
        <w:tc>
          <w:tcPr>
            <w:tcW w:w="562" w:type="pct"/>
            <w:vAlign w:val="center"/>
          </w:tcPr>
          <w:p w14:paraId="27588302" w14:textId="77777777" w:rsidR="00E542C7" w:rsidRPr="008D5309" w:rsidRDefault="00E542C7" w:rsidP="00DF5FA4">
            <w:pPr>
              <w:pStyle w:val="Tabletext0"/>
              <w:rPr>
                <w:b/>
              </w:rPr>
            </w:pPr>
            <w:r>
              <w:t>Children</w:t>
            </w:r>
          </w:p>
        </w:tc>
        <w:tc>
          <w:tcPr>
            <w:tcW w:w="550" w:type="pct"/>
            <w:shd w:val="clear" w:color="auto" w:fill="auto"/>
            <w:vAlign w:val="center"/>
          </w:tcPr>
          <w:p w14:paraId="09A6A67E" w14:textId="77777777" w:rsidR="00E542C7" w:rsidRPr="008D5309" w:rsidRDefault="00E542C7" w:rsidP="00DF5FA4">
            <w:pPr>
              <w:pStyle w:val="Tabletext0"/>
              <w:jc w:val="center"/>
              <w:rPr>
                <w:b/>
              </w:rPr>
            </w:pPr>
            <w:r>
              <w:t>3</w:t>
            </w:r>
          </w:p>
        </w:tc>
        <w:tc>
          <w:tcPr>
            <w:tcW w:w="744" w:type="pct"/>
            <w:vAlign w:val="center"/>
          </w:tcPr>
          <w:p w14:paraId="594DDD2E" w14:textId="77777777" w:rsidR="00E542C7" w:rsidRPr="008D5309" w:rsidRDefault="00E542C7" w:rsidP="00DF5FA4">
            <w:pPr>
              <w:pStyle w:val="Tabletext0"/>
              <w:jc w:val="center"/>
              <w:rPr>
                <w:b/>
              </w:rPr>
            </w:pPr>
            <w:r>
              <w:t>93.3 (80.7, 100)</w:t>
            </w:r>
          </w:p>
        </w:tc>
        <w:tc>
          <w:tcPr>
            <w:tcW w:w="836" w:type="pct"/>
            <w:shd w:val="clear" w:color="auto" w:fill="auto"/>
            <w:vAlign w:val="center"/>
          </w:tcPr>
          <w:p w14:paraId="1B2B0A66" w14:textId="77777777" w:rsidR="00E542C7" w:rsidRPr="008D5309" w:rsidRDefault="00E542C7" w:rsidP="00DF5FA4">
            <w:pPr>
              <w:pStyle w:val="Tabletext0"/>
              <w:jc w:val="center"/>
              <w:rPr>
                <w:b/>
              </w:rPr>
            </w:pPr>
            <w:r>
              <w:t>40.0 (9.6, 70.4)</w:t>
            </w:r>
          </w:p>
        </w:tc>
        <w:tc>
          <w:tcPr>
            <w:tcW w:w="612" w:type="pct"/>
            <w:vAlign w:val="center"/>
          </w:tcPr>
          <w:p w14:paraId="5D3AB8FB" w14:textId="77777777" w:rsidR="00E542C7" w:rsidRPr="008D5309" w:rsidRDefault="00E542C7" w:rsidP="00DF5FA4">
            <w:pPr>
              <w:pStyle w:val="Tabletext0"/>
              <w:jc w:val="center"/>
              <w:rPr>
                <w:b/>
              </w:rPr>
            </w:pPr>
            <w:r>
              <w:t>NR</w:t>
            </w:r>
          </w:p>
        </w:tc>
        <w:tc>
          <w:tcPr>
            <w:tcW w:w="610" w:type="pct"/>
            <w:shd w:val="clear" w:color="auto" w:fill="auto"/>
            <w:vAlign w:val="center"/>
          </w:tcPr>
          <w:p w14:paraId="30D74B6D" w14:textId="77777777" w:rsidR="00E542C7" w:rsidRPr="008D5309" w:rsidRDefault="00E542C7" w:rsidP="00DF5FA4">
            <w:pPr>
              <w:pStyle w:val="Tabletext0"/>
              <w:jc w:val="center"/>
              <w:rPr>
                <w:b/>
              </w:rPr>
            </w:pPr>
            <w:r>
              <w:t>0.004</w:t>
            </w:r>
          </w:p>
        </w:tc>
      </w:tr>
      <w:tr w:rsidR="00E542C7" w:rsidRPr="00CE28E3" w14:paraId="4BC16CFC"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5000" w:type="pct"/>
            <w:gridSpan w:val="7"/>
            <w:shd w:val="clear" w:color="auto" w:fill="auto"/>
            <w:vAlign w:val="center"/>
          </w:tcPr>
          <w:p w14:paraId="0A7F2BD6" w14:textId="77777777" w:rsidR="00E542C7" w:rsidRPr="008D5309" w:rsidRDefault="00E542C7" w:rsidP="00DF5FA4">
            <w:pPr>
              <w:pStyle w:val="Tabletext0"/>
              <w:rPr>
                <w:b/>
                <w:bCs/>
              </w:rPr>
            </w:pPr>
            <w:r>
              <w:t>Loes ≤9 vs Loes &gt;9</w:t>
            </w:r>
          </w:p>
        </w:tc>
      </w:tr>
      <w:tr w:rsidR="00E542C7" w:rsidRPr="00CE28E3" w14:paraId="012CD1BC"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86" w:type="pct"/>
            <w:shd w:val="clear" w:color="auto" w:fill="auto"/>
            <w:vAlign w:val="center"/>
          </w:tcPr>
          <w:p w14:paraId="567EDAE2" w14:textId="77777777" w:rsidR="00E542C7" w:rsidRPr="00A10A1F" w:rsidRDefault="00E542C7" w:rsidP="00DF5FA4">
            <w:pPr>
              <w:pStyle w:val="Tabletext0"/>
              <w:ind w:left="284"/>
              <w:rPr>
                <w:b/>
              </w:rPr>
            </w:pPr>
            <w:r w:rsidRPr="00A10A1F">
              <w:t>Chiesa (2022)</w:t>
            </w:r>
            <w:r w:rsidRPr="00836482">
              <w:rPr>
                <w:vertAlign w:val="superscript"/>
              </w:rPr>
              <w:t xml:space="preserve"> </w:t>
            </w:r>
            <w:r>
              <w:rPr>
                <w:vertAlign w:val="superscript"/>
              </w:rPr>
              <w:t>d</w:t>
            </w:r>
          </w:p>
        </w:tc>
        <w:tc>
          <w:tcPr>
            <w:tcW w:w="562" w:type="pct"/>
            <w:vAlign w:val="center"/>
          </w:tcPr>
          <w:p w14:paraId="5B9FFA0C" w14:textId="77777777" w:rsidR="00E542C7" w:rsidRDefault="00E542C7" w:rsidP="00DF5FA4">
            <w:pPr>
              <w:pStyle w:val="Tabletext0"/>
              <w:rPr>
                <w:b/>
              </w:rPr>
            </w:pPr>
            <w:r>
              <w:t>Children</w:t>
            </w:r>
          </w:p>
        </w:tc>
        <w:tc>
          <w:tcPr>
            <w:tcW w:w="550" w:type="pct"/>
            <w:shd w:val="clear" w:color="auto" w:fill="auto"/>
            <w:vAlign w:val="center"/>
          </w:tcPr>
          <w:p w14:paraId="2348986B" w14:textId="77777777" w:rsidR="00E542C7" w:rsidRPr="008D5309" w:rsidRDefault="00E542C7" w:rsidP="00DF5FA4">
            <w:pPr>
              <w:pStyle w:val="Tabletext0"/>
              <w:jc w:val="center"/>
              <w:rPr>
                <w:b/>
              </w:rPr>
            </w:pPr>
            <w:r>
              <w:t>2</w:t>
            </w:r>
          </w:p>
        </w:tc>
        <w:tc>
          <w:tcPr>
            <w:tcW w:w="744" w:type="pct"/>
            <w:vAlign w:val="center"/>
          </w:tcPr>
          <w:p w14:paraId="330C1697" w14:textId="77777777" w:rsidR="00E542C7" w:rsidRPr="008D5309" w:rsidRDefault="00E542C7" w:rsidP="00DF5FA4">
            <w:pPr>
              <w:pStyle w:val="Tabletext0"/>
              <w:jc w:val="center"/>
              <w:rPr>
                <w:b/>
              </w:rPr>
            </w:pPr>
            <w:r>
              <w:t>81.9 (57.8, 93.0)</w:t>
            </w:r>
          </w:p>
        </w:tc>
        <w:tc>
          <w:tcPr>
            <w:tcW w:w="836" w:type="pct"/>
            <w:shd w:val="clear" w:color="auto" w:fill="auto"/>
            <w:vAlign w:val="center"/>
          </w:tcPr>
          <w:p w14:paraId="71CB70E6" w14:textId="77777777" w:rsidR="00E542C7" w:rsidRPr="008D5309" w:rsidRDefault="00E542C7" w:rsidP="00DF5FA4">
            <w:pPr>
              <w:pStyle w:val="Tabletext0"/>
              <w:jc w:val="center"/>
              <w:rPr>
                <w:b/>
              </w:rPr>
            </w:pPr>
            <w:r>
              <w:t>53.0 (23.3, 75.9)</w:t>
            </w:r>
          </w:p>
        </w:tc>
        <w:tc>
          <w:tcPr>
            <w:tcW w:w="612" w:type="pct"/>
            <w:vAlign w:val="center"/>
          </w:tcPr>
          <w:p w14:paraId="24B723CA" w14:textId="77777777" w:rsidR="00E542C7" w:rsidRPr="008D5309" w:rsidRDefault="00E542C7" w:rsidP="00DF5FA4">
            <w:pPr>
              <w:pStyle w:val="Tabletext0"/>
              <w:jc w:val="center"/>
              <w:rPr>
                <w:b/>
              </w:rPr>
            </w:pPr>
            <w:r>
              <w:t xml:space="preserve">0.207 </w:t>
            </w:r>
            <w:r>
              <w:br/>
              <w:t>(0.058, 0.743)</w:t>
            </w:r>
          </w:p>
        </w:tc>
        <w:tc>
          <w:tcPr>
            <w:tcW w:w="610" w:type="pct"/>
            <w:shd w:val="clear" w:color="auto" w:fill="auto"/>
            <w:vAlign w:val="center"/>
          </w:tcPr>
          <w:p w14:paraId="20E4B628" w14:textId="77777777" w:rsidR="00E542C7" w:rsidRPr="008D5309" w:rsidRDefault="00E542C7" w:rsidP="00DF5FA4">
            <w:pPr>
              <w:pStyle w:val="Tabletext0"/>
              <w:jc w:val="center"/>
              <w:rPr>
                <w:b/>
              </w:rPr>
            </w:pPr>
            <w:r>
              <w:t>0.008</w:t>
            </w:r>
          </w:p>
        </w:tc>
      </w:tr>
      <w:tr w:rsidR="00E542C7" w:rsidRPr="00CE28E3" w14:paraId="7B66DBED"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5000" w:type="pct"/>
            <w:gridSpan w:val="7"/>
            <w:shd w:val="clear" w:color="auto" w:fill="auto"/>
            <w:vAlign w:val="center"/>
          </w:tcPr>
          <w:p w14:paraId="2F76CB6D" w14:textId="77777777" w:rsidR="00E542C7" w:rsidRPr="008D5309" w:rsidRDefault="00E542C7" w:rsidP="00DF5FA4">
            <w:pPr>
              <w:pStyle w:val="Tabletext0"/>
              <w:rPr>
                <w:b/>
                <w:bCs/>
              </w:rPr>
            </w:pPr>
            <w:r>
              <w:t>Loes &lt;10 vs Loes ≥10</w:t>
            </w:r>
          </w:p>
        </w:tc>
      </w:tr>
      <w:tr w:rsidR="00E542C7" w:rsidRPr="00CE28E3" w14:paraId="50C8D0BA"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86" w:type="pct"/>
            <w:shd w:val="clear" w:color="auto" w:fill="auto"/>
            <w:vAlign w:val="center"/>
          </w:tcPr>
          <w:p w14:paraId="34101BCE" w14:textId="77777777" w:rsidR="00E542C7" w:rsidRPr="00A10A1F" w:rsidRDefault="00E542C7" w:rsidP="00DF5FA4">
            <w:pPr>
              <w:pStyle w:val="Tabletext0"/>
              <w:ind w:left="284"/>
              <w:rPr>
                <w:b/>
              </w:rPr>
            </w:pPr>
            <w:r w:rsidRPr="00A10A1F">
              <w:t>Miller (2011)</w:t>
            </w:r>
            <w:r w:rsidRPr="00836482">
              <w:rPr>
                <w:vertAlign w:val="superscript"/>
              </w:rPr>
              <w:t xml:space="preserve"> </w:t>
            </w:r>
            <w:r>
              <w:rPr>
                <w:vertAlign w:val="superscript"/>
              </w:rPr>
              <w:t>e</w:t>
            </w:r>
          </w:p>
        </w:tc>
        <w:tc>
          <w:tcPr>
            <w:tcW w:w="562" w:type="pct"/>
            <w:vAlign w:val="center"/>
          </w:tcPr>
          <w:p w14:paraId="69078414" w14:textId="77777777" w:rsidR="00E542C7" w:rsidRPr="008D5309" w:rsidRDefault="00E542C7" w:rsidP="00DF5FA4">
            <w:pPr>
              <w:pStyle w:val="Tabletext0"/>
              <w:rPr>
                <w:b/>
              </w:rPr>
            </w:pPr>
            <w:r>
              <w:t>Children</w:t>
            </w:r>
          </w:p>
        </w:tc>
        <w:tc>
          <w:tcPr>
            <w:tcW w:w="550" w:type="pct"/>
            <w:shd w:val="clear" w:color="auto" w:fill="auto"/>
            <w:vAlign w:val="center"/>
          </w:tcPr>
          <w:p w14:paraId="6062CFBA" w14:textId="77777777" w:rsidR="00E542C7" w:rsidRPr="008D5309" w:rsidRDefault="00E542C7" w:rsidP="00DF5FA4">
            <w:pPr>
              <w:pStyle w:val="Tabletext0"/>
              <w:jc w:val="center"/>
              <w:rPr>
                <w:b/>
              </w:rPr>
            </w:pPr>
            <w:r>
              <w:t>5</w:t>
            </w:r>
          </w:p>
        </w:tc>
        <w:tc>
          <w:tcPr>
            <w:tcW w:w="744" w:type="pct"/>
            <w:vAlign w:val="center"/>
          </w:tcPr>
          <w:p w14:paraId="49C7F1F4" w14:textId="77777777" w:rsidR="00E542C7" w:rsidRPr="008D5309" w:rsidRDefault="00E542C7" w:rsidP="00DF5FA4">
            <w:pPr>
              <w:pStyle w:val="Tabletext0"/>
              <w:jc w:val="center"/>
              <w:rPr>
                <w:b/>
              </w:rPr>
            </w:pPr>
            <w:r>
              <w:t>89 (70, 96)</w:t>
            </w:r>
          </w:p>
        </w:tc>
        <w:tc>
          <w:tcPr>
            <w:tcW w:w="836" w:type="pct"/>
            <w:shd w:val="clear" w:color="auto" w:fill="auto"/>
            <w:vAlign w:val="center"/>
          </w:tcPr>
          <w:p w14:paraId="169A0040" w14:textId="77777777" w:rsidR="00E542C7" w:rsidRPr="008D5309" w:rsidRDefault="00E542C7" w:rsidP="00DF5FA4">
            <w:pPr>
              <w:pStyle w:val="Tabletext0"/>
              <w:jc w:val="center"/>
              <w:rPr>
                <w:b/>
              </w:rPr>
            </w:pPr>
            <w:r>
              <w:t>60 (34, 78)</w:t>
            </w:r>
          </w:p>
        </w:tc>
        <w:tc>
          <w:tcPr>
            <w:tcW w:w="612" w:type="pct"/>
            <w:vAlign w:val="center"/>
          </w:tcPr>
          <w:p w14:paraId="2D084C3A" w14:textId="77777777" w:rsidR="00E542C7" w:rsidRPr="008D5309" w:rsidRDefault="00E542C7" w:rsidP="00DF5FA4">
            <w:pPr>
              <w:pStyle w:val="Tabletext0"/>
              <w:jc w:val="center"/>
              <w:rPr>
                <w:b/>
              </w:rPr>
            </w:pPr>
            <w:r>
              <w:t>NR</w:t>
            </w:r>
          </w:p>
        </w:tc>
        <w:tc>
          <w:tcPr>
            <w:tcW w:w="610" w:type="pct"/>
            <w:shd w:val="clear" w:color="auto" w:fill="auto"/>
            <w:vAlign w:val="center"/>
          </w:tcPr>
          <w:p w14:paraId="326110A8" w14:textId="77777777" w:rsidR="00E542C7" w:rsidRPr="008D5309" w:rsidRDefault="00E542C7" w:rsidP="00DF5FA4">
            <w:pPr>
              <w:pStyle w:val="Tabletext0"/>
              <w:jc w:val="center"/>
              <w:rPr>
                <w:b/>
              </w:rPr>
            </w:pPr>
            <w:r>
              <w:t>0.03</w:t>
            </w:r>
          </w:p>
        </w:tc>
      </w:tr>
      <w:tr w:rsidR="00E542C7" w:rsidRPr="00CE28E3" w14:paraId="62FAF9ED"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5000" w:type="pct"/>
            <w:gridSpan w:val="7"/>
            <w:shd w:val="clear" w:color="auto" w:fill="auto"/>
            <w:vAlign w:val="center"/>
          </w:tcPr>
          <w:p w14:paraId="42FC454A" w14:textId="77777777" w:rsidR="00E542C7" w:rsidRPr="008D5309" w:rsidRDefault="00E542C7" w:rsidP="00DF5FA4">
            <w:pPr>
              <w:pStyle w:val="Tabletext0"/>
              <w:rPr>
                <w:b/>
                <w:bCs/>
              </w:rPr>
            </w:pPr>
            <w:r>
              <w:t>EDSS &lt; 6 vs EDSS ≥ 6</w:t>
            </w:r>
          </w:p>
        </w:tc>
      </w:tr>
      <w:tr w:rsidR="00E542C7" w:rsidRPr="00CE28E3" w14:paraId="11EE96CD"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86" w:type="pct"/>
            <w:shd w:val="clear" w:color="auto" w:fill="auto"/>
            <w:vAlign w:val="center"/>
          </w:tcPr>
          <w:p w14:paraId="5152F554" w14:textId="77777777" w:rsidR="00E542C7" w:rsidRPr="00A759F1" w:rsidRDefault="00E542C7" w:rsidP="00DF5FA4">
            <w:pPr>
              <w:pStyle w:val="Tabletext0"/>
              <w:ind w:left="284"/>
            </w:pPr>
            <w:r w:rsidRPr="00A10A1F">
              <w:t>Kuhl (2017)</w:t>
            </w:r>
            <w:r w:rsidRPr="00836482">
              <w:rPr>
                <w:vertAlign w:val="superscript"/>
              </w:rPr>
              <w:t xml:space="preserve"> </w:t>
            </w:r>
            <w:r>
              <w:rPr>
                <w:vertAlign w:val="superscript"/>
              </w:rPr>
              <w:t>f</w:t>
            </w:r>
          </w:p>
        </w:tc>
        <w:tc>
          <w:tcPr>
            <w:tcW w:w="562" w:type="pct"/>
            <w:vAlign w:val="center"/>
          </w:tcPr>
          <w:p w14:paraId="769A777F" w14:textId="77777777" w:rsidR="00E542C7" w:rsidRPr="008D5309" w:rsidRDefault="00E542C7" w:rsidP="00DF5FA4">
            <w:pPr>
              <w:pStyle w:val="Tabletext0"/>
              <w:rPr>
                <w:b/>
              </w:rPr>
            </w:pPr>
            <w:r>
              <w:t>Adults</w:t>
            </w:r>
          </w:p>
        </w:tc>
        <w:tc>
          <w:tcPr>
            <w:tcW w:w="550" w:type="pct"/>
            <w:shd w:val="clear" w:color="auto" w:fill="auto"/>
            <w:vAlign w:val="center"/>
          </w:tcPr>
          <w:p w14:paraId="1EE73721" w14:textId="77777777" w:rsidR="00E542C7" w:rsidRPr="008D5309" w:rsidRDefault="00E542C7" w:rsidP="00DF5FA4">
            <w:pPr>
              <w:pStyle w:val="Tabletext0"/>
              <w:jc w:val="center"/>
              <w:rPr>
                <w:b/>
              </w:rPr>
            </w:pPr>
            <w:r>
              <w:t>NR</w:t>
            </w:r>
          </w:p>
        </w:tc>
        <w:tc>
          <w:tcPr>
            <w:tcW w:w="744" w:type="pct"/>
            <w:vAlign w:val="center"/>
          </w:tcPr>
          <w:p w14:paraId="273AA75C" w14:textId="7D42BDE9" w:rsidR="00E542C7" w:rsidRPr="008D5309" w:rsidRDefault="00E542C7" w:rsidP="00DF5FA4">
            <w:pPr>
              <w:pStyle w:val="Tabletext0"/>
              <w:jc w:val="center"/>
              <w:rPr>
                <w:b/>
              </w:rPr>
            </w:pPr>
            <w:r>
              <w:t>77.8 (</w:t>
            </w:r>
            <w:r w:rsidR="00B86DD7">
              <w:t xml:space="preserve">SD: </w:t>
            </w:r>
            <w:r>
              <w:t>13.9)</w:t>
            </w:r>
          </w:p>
        </w:tc>
        <w:tc>
          <w:tcPr>
            <w:tcW w:w="836" w:type="pct"/>
            <w:shd w:val="clear" w:color="auto" w:fill="auto"/>
            <w:vAlign w:val="center"/>
          </w:tcPr>
          <w:p w14:paraId="10333B02" w14:textId="52A94288" w:rsidR="00E542C7" w:rsidRPr="008D5309" w:rsidRDefault="00E542C7" w:rsidP="00DF5FA4">
            <w:pPr>
              <w:pStyle w:val="Tabletext0"/>
              <w:jc w:val="center"/>
              <w:rPr>
                <w:b/>
              </w:rPr>
            </w:pPr>
            <w:r>
              <w:t>20.0 (</w:t>
            </w:r>
            <w:r w:rsidR="00B86DD7">
              <w:t xml:space="preserve">SD: </w:t>
            </w:r>
            <w:r>
              <w:t>17.9)</w:t>
            </w:r>
          </w:p>
        </w:tc>
        <w:tc>
          <w:tcPr>
            <w:tcW w:w="612" w:type="pct"/>
            <w:vAlign w:val="center"/>
          </w:tcPr>
          <w:p w14:paraId="186B7340" w14:textId="77777777" w:rsidR="00E542C7" w:rsidRPr="008D5309" w:rsidRDefault="00E542C7" w:rsidP="00DF5FA4">
            <w:pPr>
              <w:pStyle w:val="Tabletext0"/>
              <w:jc w:val="center"/>
              <w:rPr>
                <w:b/>
              </w:rPr>
            </w:pPr>
            <w:r>
              <w:t>NR</w:t>
            </w:r>
          </w:p>
        </w:tc>
        <w:tc>
          <w:tcPr>
            <w:tcW w:w="610" w:type="pct"/>
            <w:shd w:val="clear" w:color="auto" w:fill="auto"/>
            <w:vAlign w:val="center"/>
          </w:tcPr>
          <w:p w14:paraId="6D312894" w14:textId="77777777" w:rsidR="00E542C7" w:rsidRPr="008D5309" w:rsidRDefault="00E542C7" w:rsidP="00DF5FA4">
            <w:pPr>
              <w:pStyle w:val="Tabletext0"/>
              <w:jc w:val="center"/>
              <w:rPr>
                <w:b/>
              </w:rPr>
            </w:pPr>
            <w:r>
              <w:t>0.048</w:t>
            </w:r>
          </w:p>
        </w:tc>
      </w:tr>
      <w:tr w:rsidR="00E542C7" w:rsidRPr="00CE28E3" w14:paraId="1E06B66C" w14:textId="77777777" w:rsidTr="00DF5FA4">
        <w:trPr>
          <w:cnfStyle w:val="100000000000" w:firstRow="1" w:lastRow="0" w:firstColumn="0" w:lastColumn="0" w:oddVBand="0" w:evenVBand="0" w:oddHBand="0" w:evenHBand="0" w:firstRowFirstColumn="0" w:firstRowLastColumn="0" w:lastRowFirstColumn="0" w:lastRowLastColumn="0"/>
          <w:tblHeader/>
        </w:trPr>
        <w:tc>
          <w:tcPr>
            <w:tcW w:w="1086" w:type="pct"/>
            <w:shd w:val="clear" w:color="auto" w:fill="auto"/>
            <w:vAlign w:val="center"/>
          </w:tcPr>
          <w:p w14:paraId="091BF2A5" w14:textId="77777777" w:rsidR="00E542C7" w:rsidRPr="00A759F1" w:rsidRDefault="00E542C7" w:rsidP="00DF5FA4">
            <w:pPr>
              <w:pStyle w:val="Tabletext0"/>
              <w:ind w:left="284"/>
            </w:pPr>
            <w:r w:rsidRPr="00A10A1F">
              <w:t>Waldh</w:t>
            </w:r>
            <w:r>
              <w:t>ü</w:t>
            </w:r>
            <w:r w:rsidRPr="00A10A1F">
              <w:t>ter (2019)</w:t>
            </w:r>
            <w:r w:rsidRPr="00836482">
              <w:rPr>
                <w:vertAlign w:val="superscript"/>
              </w:rPr>
              <w:t xml:space="preserve"> </w:t>
            </w:r>
            <w:r>
              <w:rPr>
                <w:vertAlign w:val="superscript"/>
              </w:rPr>
              <w:t>g</w:t>
            </w:r>
          </w:p>
        </w:tc>
        <w:tc>
          <w:tcPr>
            <w:tcW w:w="562" w:type="pct"/>
            <w:vAlign w:val="center"/>
          </w:tcPr>
          <w:p w14:paraId="103851F3" w14:textId="77777777" w:rsidR="00E542C7" w:rsidRPr="008D5309" w:rsidRDefault="00E542C7" w:rsidP="00DF5FA4">
            <w:pPr>
              <w:pStyle w:val="Tabletext0"/>
              <w:rPr>
                <w:b/>
              </w:rPr>
            </w:pPr>
            <w:r>
              <w:t>Adults</w:t>
            </w:r>
          </w:p>
        </w:tc>
        <w:tc>
          <w:tcPr>
            <w:tcW w:w="550" w:type="pct"/>
            <w:shd w:val="clear" w:color="auto" w:fill="auto"/>
            <w:vAlign w:val="center"/>
          </w:tcPr>
          <w:p w14:paraId="5BAC9EFB" w14:textId="77777777" w:rsidR="00E542C7" w:rsidRPr="008D5309" w:rsidRDefault="00E542C7" w:rsidP="00DF5FA4">
            <w:pPr>
              <w:pStyle w:val="Tabletext0"/>
              <w:jc w:val="center"/>
              <w:rPr>
                <w:b/>
              </w:rPr>
            </w:pPr>
            <w:r>
              <w:t>5</w:t>
            </w:r>
          </w:p>
        </w:tc>
        <w:tc>
          <w:tcPr>
            <w:tcW w:w="744" w:type="pct"/>
            <w:vAlign w:val="center"/>
          </w:tcPr>
          <w:p w14:paraId="085BFCDF" w14:textId="77777777" w:rsidR="00E542C7" w:rsidRPr="008D5309" w:rsidRDefault="00E542C7" w:rsidP="00DF5FA4">
            <w:pPr>
              <w:pStyle w:val="Tabletext0"/>
              <w:jc w:val="center"/>
              <w:rPr>
                <w:b/>
              </w:rPr>
            </w:pPr>
            <w:r>
              <w:t>NR</w:t>
            </w:r>
          </w:p>
        </w:tc>
        <w:tc>
          <w:tcPr>
            <w:tcW w:w="836" w:type="pct"/>
            <w:shd w:val="clear" w:color="auto" w:fill="auto"/>
            <w:vAlign w:val="center"/>
          </w:tcPr>
          <w:p w14:paraId="4C00A9E3" w14:textId="5FDA3C27" w:rsidR="00E542C7" w:rsidRPr="008D5309" w:rsidRDefault="00E542C7" w:rsidP="00DF5FA4">
            <w:pPr>
              <w:pStyle w:val="Tabletext0"/>
              <w:jc w:val="center"/>
              <w:rPr>
                <w:b/>
              </w:rPr>
            </w:pPr>
            <w:r>
              <w:t>50 (SD</w:t>
            </w:r>
            <w:r w:rsidR="00B86DD7">
              <w:t>:</w:t>
            </w:r>
            <w:r>
              <w:t xml:space="preserve"> 20)</w:t>
            </w:r>
          </w:p>
        </w:tc>
        <w:tc>
          <w:tcPr>
            <w:tcW w:w="612" w:type="pct"/>
            <w:vAlign w:val="center"/>
          </w:tcPr>
          <w:p w14:paraId="5082501E" w14:textId="77777777" w:rsidR="00E542C7" w:rsidRPr="008D5309" w:rsidRDefault="00E542C7" w:rsidP="00DF5FA4">
            <w:pPr>
              <w:pStyle w:val="Tabletext0"/>
              <w:jc w:val="center"/>
              <w:rPr>
                <w:b/>
              </w:rPr>
            </w:pPr>
            <w:r>
              <w:t>NR</w:t>
            </w:r>
          </w:p>
        </w:tc>
        <w:tc>
          <w:tcPr>
            <w:tcW w:w="610" w:type="pct"/>
            <w:shd w:val="clear" w:color="auto" w:fill="auto"/>
            <w:vAlign w:val="center"/>
          </w:tcPr>
          <w:p w14:paraId="324862E5" w14:textId="77777777" w:rsidR="00E542C7" w:rsidRPr="008D5309" w:rsidRDefault="00E542C7" w:rsidP="00DF5FA4">
            <w:pPr>
              <w:pStyle w:val="Tabletext0"/>
              <w:jc w:val="center"/>
              <w:rPr>
                <w:b/>
              </w:rPr>
            </w:pPr>
            <w:r>
              <w:t>n.s</w:t>
            </w:r>
          </w:p>
        </w:tc>
      </w:tr>
    </w:tbl>
    <w:p w14:paraId="02910ECD" w14:textId="150B0537" w:rsidR="00E542C7" w:rsidRDefault="00E542C7" w:rsidP="009349B9">
      <w:pPr>
        <w:pStyle w:val="TableFooter"/>
        <w:jc w:val="left"/>
      </w:pPr>
      <w:r>
        <w:t xml:space="preserve">Source: </w:t>
      </w:r>
      <w:r w:rsidR="004A362C">
        <w:t>DCAR Table 6. From</w:t>
      </w:r>
      <w:r>
        <w:t>Table 2, Kuhl (2018); p863, Peters (2004); p4, Yalcin (2021); Table 2, Chiesa (2022); p1973, Miller (2011); p957 Kuhl (2017); Table 4, Waldhüter (2019).</w:t>
      </w:r>
      <w:r>
        <w:br/>
        <w:t xml:space="preserve">BM = bone marrow; CI = confidence interval; EDSS = </w:t>
      </w:r>
      <w:r w:rsidRPr="00C329F1">
        <w:t>Expanded Disability Status Scale</w:t>
      </w:r>
      <w:r>
        <w:t>;</w:t>
      </w:r>
      <w:r w:rsidRPr="00C329F1">
        <w:t xml:space="preserve"> </w:t>
      </w:r>
      <w:r>
        <w:t>HR = hazard ratio; KM = Kaplan-Meier; MRD = matched related donor (includes bone marrow and peripheral blood); MUD = matched unrelated donor (included bone marrow and peripheral blood); NR = not reported; n.s = not significant; OS = overall survival; SD = standard deviation; UCB = umbilical cord blood; vs= versus.</w:t>
      </w:r>
    </w:p>
    <w:p w14:paraId="11F17F7B" w14:textId="77777777" w:rsidR="00E542C7" w:rsidRDefault="00E542C7" w:rsidP="00C25359">
      <w:pPr>
        <w:pStyle w:val="TableFooter"/>
        <w:jc w:val="left"/>
      </w:pPr>
      <w:r w:rsidRPr="00836482">
        <w:rPr>
          <w:vertAlign w:val="superscript"/>
        </w:rPr>
        <w:t>a</w:t>
      </w:r>
      <w:r>
        <w:t xml:space="preserve"> Donor source stratified by early/late disease was not presented. For the entire cohort (N=36) the donor sources were n (%): related BM = 9 (25), unrelated BM = 17 (47), unrelated peripheral blood stem cells = 9 (25); unrelated cord blood = 1 (3).</w:t>
      </w:r>
    </w:p>
    <w:p w14:paraId="78B43D37" w14:textId="77777777" w:rsidR="00E542C7" w:rsidRDefault="00E542C7" w:rsidP="00C25359">
      <w:pPr>
        <w:pStyle w:val="TableFooter"/>
        <w:jc w:val="left"/>
      </w:pPr>
      <w:r>
        <w:rPr>
          <w:vertAlign w:val="superscript"/>
        </w:rPr>
        <w:t>b</w:t>
      </w:r>
      <w:r>
        <w:t xml:space="preserve"> Donor source stratified by early/late disease was not presented. For the entire cohort (N=94) the donor sources were n (%): related BM = 42 (44.7), unrelated BM = 40 (42.5), unrelated UCB = 12 (12.8).</w:t>
      </w:r>
    </w:p>
    <w:p w14:paraId="359D6C47" w14:textId="77777777" w:rsidR="00E542C7" w:rsidRDefault="00E542C7" w:rsidP="00C25359">
      <w:pPr>
        <w:pStyle w:val="TableFooter"/>
        <w:jc w:val="left"/>
      </w:pPr>
      <w:r w:rsidRPr="00560808">
        <w:rPr>
          <w:vertAlign w:val="superscript"/>
        </w:rPr>
        <w:t>c</w:t>
      </w:r>
      <w:r>
        <w:t xml:space="preserve"> Donor source n (%); early disease: MRD = 2 (22.2), MUD = 7 (77.7); late disease: MRD = 1 (16.7), MUD = 5 (83.3).</w:t>
      </w:r>
    </w:p>
    <w:p w14:paraId="734FBF06" w14:textId="77777777" w:rsidR="00E542C7" w:rsidRDefault="00E542C7" w:rsidP="00C25359">
      <w:pPr>
        <w:pStyle w:val="TableFooter"/>
        <w:jc w:val="left"/>
      </w:pPr>
      <w:r w:rsidRPr="00836482">
        <w:rPr>
          <w:vertAlign w:val="superscript"/>
        </w:rPr>
        <w:t>d</w:t>
      </w:r>
      <w:r>
        <w:t xml:space="preserve"> Donor source n (%); early disease</w:t>
      </w:r>
      <w:r w:rsidRPr="00157662">
        <w:t>: MRD</w:t>
      </w:r>
      <w:r>
        <w:t xml:space="preserve"> + matched UCB</w:t>
      </w:r>
      <w:r w:rsidRPr="00157662">
        <w:t xml:space="preserve"> </w:t>
      </w:r>
      <w:r>
        <w:t>= 11 (</w:t>
      </w:r>
      <w:r w:rsidRPr="00157662">
        <w:t>28</w:t>
      </w:r>
      <w:r>
        <w:t>.2)</w:t>
      </w:r>
      <w:r w:rsidRPr="00157662">
        <w:t>, UR</w:t>
      </w:r>
      <w:r>
        <w:t>D =</w:t>
      </w:r>
      <w:r w:rsidRPr="00157662">
        <w:t xml:space="preserve"> </w:t>
      </w:r>
      <w:r>
        <w:t>14 (</w:t>
      </w:r>
      <w:r w:rsidRPr="00157662">
        <w:t>3</w:t>
      </w:r>
      <w:r>
        <w:t>5.9)</w:t>
      </w:r>
      <w:r w:rsidRPr="00157662">
        <w:t>,</w:t>
      </w:r>
      <w:r>
        <w:t xml:space="preserve"> unrelated</w:t>
      </w:r>
      <w:r w:rsidRPr="00157662">
        <w:t xml:space="preserve"> UCB </w:t>
      </w:r>
      <w:r>
        <w:t>= 14 (35.9); late disease</w:t>
      </w:r>
      <w:r w:rsidRPr="00157662">
        <w:t>: MRD</w:t>
      </w:r>
      <w:r>
        <w:t xml:space="preserve"> + matched UCB</w:t>
      </w:r>
      <w:r w:rsidRPr="00157662">
        <w:t xml:space="preserve"> </w:t>
      </w:r>
      <w:r>
        <w:t>= 1 (</w:t>
      </w:r>
      <w:r w:rsidRPr="00157662">
        <w:t>6</w:t>
      </w:r>
      <w:r>
        <w:t>.3)</w:t>
      </w:r>
      <w:r w:rsidRPr="00157662">
        <w:t xml:space="preserve">, UR </w:t>
      </w:r>
      <w:r>
        <w:t>= 4 (25.0), unrelated UCB = 6 (37.5)</w:t>
      </w:r>
      <w:r w:rsidRPr="00157662">
        <w:t>, haploidentical</w:t>
      </w:r>
      <w:r>
        <w:t xml:space="preserve"> =</w:t>
      </w:r>
      <w:r w:rsidRPr="00157662">
        <w:t xml:space="preserve"> </w:t>
      </w:r>
      <w:r>
        <w:t>5 (</w:t>
      </w:r>
      <w:r w:rsidRPr="00157662">
        <w:t>31</w:t>
      </w:r>
      <w:r>
        <w:t>.9).</w:t>
      </w:r>
    </w:p>
    <w:p w14:paraId="55604436" w14:textId="77777777" w:rsidR="00E542C7" w:rsidRDefault="00E542C7" w:rsidP="00C25359">
      <w:pPr>
        <w:pStyle w:val="TableFooter"/>
        <w:jc w:val="left"/>
      </w:pPr>
      <w:r w:rsidRPr="00836482">
        <w:rPr>
          <w:vertAlign w:val="superscript"/>
        </w:rPr>
        <w:t>e</w:t>
      </w:r>
      <w:r>
        <w:t xml:space="preserve"> Donor source stratified by early/late disease was not presented. For the entire cohort (N=60) the donor sources were n (%): related BM = 18 (30), unrelated BM = 10 (17), unrelated UCB 32 (53). The authors reported that no significant difference in survival was noted for HSCT graft source.</w:t>
      </w:r>
    </w:p>
    <w:p w14:paraId="6925AF58" w14:textId="77777777" w:rsidR="00E542C7" w:rsidRDefault="00E542C7" w:rsidP="00C25359">
      <w:pPr>
        <w:pStyle w:val="TableFooter"/>
      </w:pPr>
      <w:r w:rsidRPr="00836482">
        <w:rPr>
          <w:vertAlign w:val="superscript"/>
        </w:rPr>
        <w:t>f</w:t>
      </w:r>
      <w:r>
        <w:t xml:space="preserve"> </w:t>
      </w:r>
      <w:r w:rsidRPr="005C660A">
        <w:t>Donor source n (%); early disease: MRD = 1 (11.1), MUD = 7 (77.7), UCB = 1 (11.1); late disease: MRD = 2 (40.0), MUD = 2 (40.0), UCB = 1 (20.0).</w:t>
      </w:r>
      <w:r>
        <w:t xml:space="preserve"> </w:t>
      </w:r>
    </w:p>
    <w:p w14:paraId="5BF539A6" w14:textId="0D6D1DFA" w:rsidR="00E542C7" w:rsidRDefault="00E542C7" w:rsidP="00CD0301">
      <w:pPr>
        <w:pStyle w:val="TableFooter"/>
      </w:pPr>
      <w:r w:rsidRPr="00836482">
        <w:rPr>
          <w:vertAlign w:val="superscript"/>
        </w:rPr>
        <w:t>g</w:t>
      </w:r>
      <w:r>
        <w:t xml:space="preserve"> </w:t>
      </w:r>
      <w:r w:rsidRPr="005C660A">
        <w:t>Donor source n (%); early disease: MRD = 2 (22.2), MUD = 7 (77.7); late disease: MRD = 1 (16.7), MUD = 5 (83.3).</w:t>
      </w:r>
    </w:p>
    <w:p w14:paraId="69B182EC" w14:textId="77777777" w:rsidR="00E542C7" w:rsidRDefault="00E542C7" w:rsidP="009349B9">
      <w:pPr>
        <w:pStyle w:val="TableFooter"/>
        <w:keepNext/>
      </w:pPr>
      <w:r w:rsidRPr="001F4C13">
        <w:rPr>
          <w:noProof/>
        </w:rPr>
        <w:lastRenderedPageBreak/>
        <w:drawing>
          <wp:inline distT="0" distB="0" distL="0" distR="0" wp14:anchorId="3E5D5E47" wp14:editId="7D1990B1">
            <wp:extent cx="5220269" cy="4383383"/>
            <wp:effectExtent l="0" t="0" r="0" b="0"/>
            <wp:docPr id="1463847515" name="Picture 1463847515" descr="Kaplan-Meier analyses of overall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47515" name="Picture 1463847515" descr="Kaplan-Meier analyses of overall survival"/>
                    <pic:cNvPicPr/>
                  </pic:nvPicPr>
                  <pic:blipFill>
                    <a:blip r:embed="rId16"/>
                    <a:stretch>
                      <a:fillRect/>
                    </a:stretch>
                  </pic:blipFill>
                  <pic:spPr>
                    <a:xfrm>
                      <a:off x="0" y="0"/>
                      <a:ext cx="5250992" cy="4409181"/>
                    </a:xfrm>
                    <a:prstGeom prst="rect">
                      <a:avLst/>
                    </a:prstGeom>
                  </pic:spPr>
                </pic:pic>
              </a:graphicData>
            </a:graphic>
          </wp:inline>
        </w:drawing>
      </w:r>
    </w:p>
    <w:p w14:paraId="59F88DF8" w14:textId="138568F1" w:rsidR="00E542C7" w:rsidRDefault="00E542C7" w:rsidP="00B76655">
      <w:pPr>
        <w:pStyle w:val="Caption"/>
      </w:pPr>
      <w:bookmarkStart w:id="35" w:name="_Ref132833377"/>
      <w:r>
        <w:t xml:space="preserve">Figure </w:t>
      </w:r>
      <w:r>
        <w:fldChar w:fldCharType="begin"/>
      </w:r>
      <w:r>
        <w:instrText>SEQ Figure \* ARABIC</w:instrText>
      </w:r>
      <w:r>
        <w:fldChar w:fldCharType="separate"/>
      </w:r>
      <w:r w:rsidR="00253978">
        <w:rPr>
          <w:noProof/>
        </w:rPr>
        <w:t>2</w:t>
      </w:r>
      <w:r>
        <w:fldChar w:fldCharType="end"/>
      </w:r>
      <w:bookmarkEnd w:id="35"/>
      <w:r>
        <w:t xml:space="preserve"> </w:t>
      </w:r>
      <w:r w:rsidRPr="00FE2E5B">
        <w:t>Kaplan-Meier analyses of overall survival</w:t>
      </w:r>
    </w:p>
    <w:p w14:paraId="2F6B5510" w14:textId="1713FC47" w:rsidR="00E542C7" w:rsidRDefault="00E542C7" w:rsidP="009349B9">
      <w:pPr>
        <w:pStyle w:val="TableFooter"/>
      </w:pPr>
      <w:r>
        <w:t xml:space="preserve">Source: </w:t>
      </w:r>
      <w:r w:rsidR="004A362C">
        <w:t xml:space="preserve">DCAR Figure 2. From </w:t>
      </w:r>
      <w:r>
        <w:t xml:space="preserve">Figure 1A Chiesa </w:t>
      </w:r>
      <w:r w:rsidR="00057535">
        <w:t>(</w:t>
      </w:r>
      <w:r>
        <w:t>2022</w:t>
      </w:r>
      <w:r w:rsidR="00057535">
        <w:t>)</w:t>
      </w:r>
      <w:r>
        <w:t>.</w:t>
      </w:r>
    </w:p>
    <w:p w14:paraId="43AB04DA" w14:textId="77777777" w:rsidR="00E542C7" w:rsidRDefault="00E542C7" w:rsidP="009349B9">
      <w:pPr>
        <w:pStyle w:val="TableFooter"/>
      </w:pPr>
      <w:r>
        <w:t xml:space="preserve">AD = </w:t>
      </w:r>
      <w:r w:rsidRPr="00C329F1">
        <w:t>Loes &gt; 9 and NFS &gt;1</w:t>
      </w:r>
      <w:r>
        <w:t xml:space="preserve">; ED = </w:t>
      </w:r>
      <w:r w:rsidRPr="00C329F1">
        <w:t>Loes ≤ 9 and NFS ≤1</w:t>
      </w:r>
      <w:r>
        <w:t xml:space="preserve">; ED1 = Loes ≤ 4 and NFS ≤ 1; ED2 = </w:t>
      </w:r>
      <w:r w:rsidRPr="00950493">
        <w:t xml:space="preserve">Loes </w:t>
      </w:r>
      <w:r>
        <w:t>&gt;</w:t>
      </w:r>
      <w:r w:rsidRPr="00950493">
        <w:t>4</w:t>
      </w:r>
      <w:r>
        <w:t xml:space="preserve"> to </w:t>
      </w:r>
      <w:r w:rsidRPr="00950493">
        <w:t xml:space="preserve">9 and NFS </w:t>
      </w:r>
      <w:r>
        <w:t>≤</w:t>
      </w:r>
      <w:r w:rsidRPr="00950493">
        <w:t>1;</w:t>
      </w:r>
      <w:r>
        <w:t xml:space="preserve"> HSCT = hematopoietic stem cell transplant; NFS = </w:t>
      </w:r>
      <w:r w:rsidRPr="00950493">
        <w:t>neurological function score</w:t>
      </w:r>
      <w:r>
        <w:t>.</w:t>
      </w:r>
    </w:p>
    <w:p w14:paraId="12E60853" w14:textId="7AE855E2" w:rsidR="00E542C7" w:rsidRDefault="00E542C7" w:rsidP="00206581">
      <w:r w:rsidRPr="00622204">
        <w:t>Raymond et al. (2019) classified loss of communication, cortical blindness, tube feeding dependence, total incontinence, wheelchair dependence, and complete loss of voluntary movement as MFDs. These disabilities were deemed clinically significant functional deficits resulting from CALD.</w:t>
      </w:r>
    </w:p>
    <w:p w14:paraId="1DDA0590" w14:textId="008DF9C0" w:rsidR="00E542C7" w:rsidRDefault="00057535" w:rsidP="00206581">
      <w:r>
        <w:t>R</w:t>
      </w:r>
      <w:r w:rsidR="00E542C7">
        <w:t xml:space="preserve">esults for major functional disability (MFD) free survival and disease progression were consistent with the findings for overall survival. However, one study (Kuhl 2018, n = 36, moderate risk of bias) found that patients with early disease were more </w:t>
      </w:r>
      <w:r w:rsidR="00E542C7" w:rsidRPr="00085913">
        <w:t>likely to experience an event (defined as a gain in ALD-disability rating score, including MFD)</w:t>
      </w:r>
      <w:r w:rsidR="00E542C7">
        <w:t xml:space="preserve"> than patients with advanced disease.</w:t>
      </w:r>
    </w:p>
    <w:p w14:paraId="50141BA3" w14:textId="77777777" w:rsidR="00E542C7" w:rsidRPr="000B7226" w:rsidRDefault="00E542C7" w:rsidP="00206581">
      <w:pPr>
        <w:rPr>
          <w:b/>
          <w:bCs/>
        </w:rPr>
      </w:pPr>
      <w:r>
        <w:rPr>
          <w:b/>
          <w:bCs/>
        </w:rPr>
        <w:t xml:space="preserve">PICO set 2: </w:t>
      </w:r>
      <w:r w:rsidRPr="000B7226">
        <w:rPr>
          <w:b/>
          <w:bCs/>
        </w:rPr>
        <w:t>Cascade testing</w:t>
      </w:r>
    </w:p>
    <w:p w14:paraId="2EA7E8AC" w14:textId="1CF23CBC" w:rsidR="004F7A4C" w:rsidRDefault="00E542C7" w:rsidP="00206581">
      <w:r>
        <w:t xml:space="preserve">Two international NBS programs for X-ALD reported their follow up results of cascade testing. Baker et al. </w:t>
      </w:r>
      <w:r>
        <w:fldChar w:fldCharType="begin">
          <w:fldData xml:space="preserve">PEVuZE5vdGU+PENpdGUgRXhjbHVkZUF1dGg9IjEiPjxBdXRob3I+QmFrZXI8L0F1dGhvcj48WWVh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</w:fldData>
        </w:fldChar>
      </w:r>
      <w:r w:rsidR="00A72828">
        <w:instrText xml:space="preserve"> ADDIN EN.CITE </w:instrText>
      </w:r>
      <w:r w:rsidR="00A72828">
        <w:fldChar w:fldCharType="begin">
          <w:fldData xml:space="preserve">PEVuZE5vdGU+PENpdGUgRXhjbHVkZUF1dGg9IjEiPjxBdXRob3I+QmFrZXI8L0F1dGhvcj48WWVh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</w:fldData>
        </w:fldChar>
      </w:r>
      <w:r w:rsidR="00A72828">
        <w:instrText xml:space="preserve"> ADDIN EN.CITE.DATA </w:instrText>
      </w:r>
      <w:r w:rsidR="00A72828">
        <w:fldChar w:fldCharType="end"/>
      </w:r>
      <w:r>
        <w:fldChar w:fldCharType="separate"/>
      </w:r>
      <w:r>
        <w:rPr>
          <w:noProof/>
        </w:rPr>
        <w:t>(2022)</w:t>
      </w:r>
      <w:r>
        <w:fldChar w:fldCharType="end"/>
      </w:r>
      <w:r w:rsidR="006735BB">
        <w:rPr>
          <w:rStyle w:val="FootnoteReference"/>
        </w:rPr>
        <w:footnoteReference w:id="37"/>
      </w:r>
      <w:r>
        <w:t xml:space="preserve"> found 13 X-ALD positive patients through NBS</w:t>
      </w:r>
      <w:r w:rsidR="002E3A9C">
        <w:t xml:space="preserve">. All </w:t>
      </w:r>
      <w:r w:rsidR="00816B3A">
        <w:t xml:space="preserve">4 </w:t>
      </w:r>
      <w:r w:rsidR="002E3A9C">
        <w:t>males demonstrated maternal inheritance of the</w:t>
      </w:r>
      <w:r w:rsidR="00816B3A">
        <w:t>ir</w:t>
      </w:r>
      <w:r w:rsidR="002E3A9C">
        <w:t xml:space="preserve"> variant</w:t>
      </w:r>
      <w:r>
        <w:t xml:space="preserve">, </w:t>
      </w:r>
      <w:r w:rsidR="00E154B8">
        <w:t xml:space="preserve">of which </w:t>
      </w:r>
      <w:r w:rsidR="002E3A9C">
        <w:t>two</w:t>
      </w:r>
      <w:r>
        <w:t xml:space="preserve"> families </w:t>
      </w:r>
      <w:r w:rsidR="00816B3A">
        <w:t xml:space="preserve">had </w:t>
      </w:r>
      <w:r>
        <w:t>known X-ALD,</w:t>
      </w:r>
      <w:r w:rsidR="00FE3213">
        <w:t xml:space="preserve"> and</w:t>
      </w:r>
      <w:r w:rsidR="5556D950">
        <w:t xml:space="preserve"> </w:t>
      </w:r>
      <w:r w:rsidR="002E3A9C">
        <w:t>two did not</w:t>
      </w:r>
      <w:r w:rsidR="00816B3A">
        <w:t xml:space="preserve"> have a family history.</w:t>
      </w:r>
      <w:r>
        <w:t xml:space="preserve"> 26 newly identified at risk males </w:t>
      </w:r>
      <w:r w:rsidR="00816B3A">
        <w:t xml:space="preserve">were identified </w:t>
      </w:r>
      <w:r>
        <w:t>among 1</w:t>
      </w:r>
      <w:r w:rsidRPr="00C23CF6">
        <w:rPr>
          <w:vertAlign w:val="superscript"/>
        </w:rPr>
        <w:t>st</w:t>
      </w:r>
      <w:r>
        <w:t xml:space="preserve"> to 3</w:t>
      </w:r>
      <w:r w:rsidRPr="00C23CF6">
        <w:rPr>
          <w:vertAlign w:val="superscript"/>
        </w:rPr>
        <w:t>rd</w:t>
      </w:r>
      <w:r>
        <w:t xml:space="preserve"> degree relatives. One of 13 newborns family refused follow up, the rest of the newborn families were provided with cascade testing and genetic counselling. Long-term follow-up data were not </w:t>
      </w:r>
      <w:r>
        <w:lastRenderedPageBreak/>
        <w:t xml:space="preserve">provided. There were no discussions in terms of what type of cascade testing was provided and testing accuracy. </w:t>
      </w:r>
    </w:p>
    <w:p w14:paraId="2E750A24" w14:textId="479C0559" w:rsidR="00E542C7" w:rsidRDefault="00E542C7" w:rsidP="00206581">
      <w:r w:rsidRPr="00430C94">
        <w:t>Priestley et al</w:t>
      </w:r>
      <w:r>
        <w:t>.</w:t>
      </w:r>
      <w:r w:rsidRPr="00430C94">
        <w:t xml:space="preserve"> </w:t>
      </w:r>
      <w:r>
        <w:fldChar w:fldCharType="begin">
          <w:fldData xml:space="preserve">PEVuZE5vdGU+PENpdGUgRXhjbHVkZUF1dGg9IjEiPjxBdXRob3I+UHJpZXN0bGV5PC9BdXRob3I+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</w:fldData>
        </w:fldChar>
      </w:r>
      <w:r w:rsidR="00A72828">
        <w:instrText xml:space="preserve"> ADDIN EN.CITE </w:instrText>
      </w:r>
      <w:r w:rsidR="00A72828">
        <w:fldChar w:fldCharType="begin">
          <w:fldData xml:space="preserve">PEVuZE5vdGU+PENpdGUgRXhjbHVkZUF1dGg9IjEiPjxBdXRob3I+UHJpZXN0bGV5PC9BdXRob3I+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</w:fldData>
        </w:fldChar>
      </w:r>
      <w:r w:rsidR="00A72828">
        <w:instrText xml:space="preserve"> ADDIN EN.CITE.DATA </w:instrText>
      </w:r>
      <w:r w:rsidR="00A72828">
        <w:fldChar w:fldCharType="end"/>
      </w:r>
      <w:r>
        <w:fldChar w:fldCharType="separate"/>
      </w:r>
      <w:r>
        <w:rPr>
          <w:noProof/>
        </w:rPr>
        <w:t>(2022)</w:t>
      </w:r>
      <w:r>
        <w:fldChar w:fldCharType="end"/>
      </w:r>
      <w:r w:rsidR="00100DAF">
        <w:rPr>
          <w:rStyle w:val="FootnoteReference"/>
        </w:rPr>
        <w:footnoteReference w:id="38"/>
      </w:r>
      <w:r>
        <w:t xml:space="preserve"> reported 44 infants with  X-ALD, of which 34 infants’ family cascade testing results were available. Most of the cases were maternally inherited (28/34, 82%), </w:t>
      </w:r>
      <w:r w:rsidRPr="00430C94">
        <w:t>one pathogenic variant identified in a</w:t>
      </w:r>
      <w:r>
        <w:t xml:space="preserve"> </w:t>
      </w:r>
      <w:r w:rsidRPr="00430C94">
        <w:t>female patient was inherited from her asymptomatic father and three</w:t>
      </w:r>
      <w:r>
        <w:t xml:space="preserve"> </w:t>
      </w:r>
      <w:r w:rsidRPr="00430C94">
        <w:t>females carried de novo pathogenic variants.</w:t>
      </w:r>
      <w:r>
        <w:t xml:space="preserve"> </w:t>
      </w:r>
      <w:r w:rsidRPr="00430C94">
        <w:t>Additionally, for</w:t>
      </w:r>
      <w:r>
        <w:t xml:space="preserve"> </w:t>
      </w:r>
      <w:r w:rsidRPr="00430C94">
        <w:t>two female patients, maternal testing was negative, but paternal testing was not available</w:t>
      </w:r>
      <w:r>
        <w:t xml:space="preserve">. </w:t>
      </w:r>
    </w:p>
    <w:p w14:paraId="5B12DD52" w14:textId="0C3C1114" w:rsidR="00E542C7" w:rsidRDefault="00E542C7" w:rsidP="00206581">
      <w:r w:rsidRPr="004666A6">
        <w:t>A qualitative study by</w:t>
      </w:r>
      <w:r>
        <w:t xml:space="preserve"> Schwan et al. </w:t>
      </w:r>
      <w:r>
        <w:fldChar w:fldCharType="begin">
          <w:fldData xml:space="preserve">PEVuZE5vdGU+PENpdGUgRXhjbHVkZUF1dGg9IjEiPjxBdXRob3I+U2Nod2FuPC9BdXRob3I+PFll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</w:fldData>
        </w:fldChar>
      </w:r>
      <w:r w:rsidR="00A72828">
        <w:instrText xml:space="preserve"> ADDIN EN.CITE </w:instrText>
      </w:r>
      <w:r w:rsidR="00A72828">
        <w:fldChar w:fldCharType="begin">
          <w:fldData xml:space="preserve">PEVuZE5vdGU+PENpdGUgRXhjbHVkZUF1dGg9IjEiPjxBdXRob3I+U2Nod2FuPC9BdXRob3I+PFll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</w:fldData>
        </w:fldChar>
      </w:r>
      <w:r w:rsidR="00A72828">
        <w:instrText xml:space="preserve"> ADDIN EN.CITE.DATA </w:instrText>
      </w:r>
      <w:r w:rsidR="00A72828">
        <w:fldChar w:fldCharType="end"/>
      </w:r>
      <w:r>
        <w:fldChar w:fldCharType="separate"/>
      </w:r>
      <w:r>
        <w:rPr>
          <w:noProof/>
        </w:rPr>
        <w:t>(2019)</w:t>
      </w:r>
      <w:r>
        <w:fldChar w:fldCharType="end"/>
      </w:r>
      <w:r>
        <w:t xml:space="preserve"> interviewed 10 mothers of children who were screened positive  via NBS as being at risk of X-ALD. Key themes discussed during the interviews were stress, uncertainty, desire for more information about the disease, mental health support, and carrier testi</w:t>
      </w:r>
      <w:r w:rsidRPr="004666A6">
        <w:t xml:space="preserve">ng. </w:t>
      </w:r>
    </w:p>
    <w:p w14:paraId="7DC16F3F" w14:textId="077C9DA5" w:rsidR="00E542C7" w:rsidRDefault="00E542C7" w:rsidP="00206581">
      <w:r>
        <w:t xml:space="preserve">Four out of 10 mothers reported that their children being at risk of X-ALD had a negative impact on the relationship with their spouse. Two families reporting a negative impact found through cascade testing that the father also possessed the pathogenic </w:t>
      </w:r>
      <w:r>
        <w:rPr>
          <w:i/>
          <w:iCs/>
        </w:rPr>
        <w:t>ABDC1</w:t>
      </w:r>
      <w:r w:rsidRPr="00526648">
        <w:rPr>
          <w:i/>
          <w:iCs/>
        </w:rPr>
        <w:t xml:space="preserve"> </w:t>
      </w:r>
      <w:r w:rsidRPr="00526648">
        <w:t>variant</w:t>
      </w:r>
      <w:r>
        <w:t>, which raised concerns for the father’s and daughter’s health. Mental health challenges and concerns regarding future children were reported as contributing to the negative impact on family relationships. Three out of 10 mothers reported a positive impact, noting the diagnosis created stronger bonds within the family. Three mothers asked for information on financial resources for cascade testing and other services not covered by health insurance.</w:t>
      </w:r>
    </w:p>
    <w:p w14:paraId="2E4D9827" w14:textId="49C8E402" w:rsidR="00057535" w:rsidRDefault="00E542C7" w:rsidP="00206581">
      <w:r>
        <w:t xml:space="preserve">Some family members of female newborns screen positive via NBS as being at risk of X-ALD may have misunderstood the impact on their daughter’s long-term health given that there is no treatment for female newborns and their symptoms may develop later in life (this is discussed further in Section 5). From the interview conducted by </w:t>
      </w:r>
      <w:r w:rsidRPr="0038507F">
        <w:t xml:space="preserve">Schwan et al. </w:t>
      </w:r>
      <w:r w:rsidRPr="0038507F">
        <w:fldChar w:fldCharType="begin">
          <w:fldData xml:space="preserve">PEVuZE5vdGU+PENpdGUgRXhjbHVkZUF1dGg9IjEiPjxBdXRob3I+U2Nod2FuPC9BdXRob3I+PFll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</w:fldData>
        </w:fldChar>
      </w:r>
      <w:r w:rsidR="00A72828">
        <w:instrText xml:space="preserve"> ADDIN EN.CITE </w:instrText>
      </w:r>
      <w:r w:rsidR="00A72828">
        <w:fldChar w:fldCharType="begin">
          <w:fldData xml:space="preserve">PEVuZE5vdGU+PENpdGUgRXhjbHVkZUF1dGg9IjEiPjxBdXRob3I+U2Nod2FuPC9BdXRob3I+PFll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</w:fldData>
        </w:fldChar>
      </w:r>
      <w:r w:rsidR="00A72828">
        <w:instrText xml:space="preserve"> ADDIN EN.CITE.DATA </w:instrText>
      </w:r>
      <w:r w:rsidR="00A72828">
        <w:fldChar w:fldCharType="end"/>
      </w:r>
      <w:r w:rsidRPr="0038507F">
        <w:fldChar w:fldCharType="separate"/>
      </w:r>
      <w:r w:rsidRPr="0038507F">
        <w:rPr>
          <w:noProof/>
        </w:rPr>
        <w:t>(2019)</w:t>
      </w:r>
      <w:r w:rsidRPr="0038507F">
        <w:fldChar w:fldCharType="end"/>
      </w:r>
      <w:r>
        <w:t xml:space="preserve">, </w:t>
      </w:r>
      <w:r w:rsidRPr="00F305B4">
        <w:t>‘</w:t>
      </w:r>
      <w:r w:rsidRPr="004D22DB">
        <w:t xml:space="preserve">60% of mothers reported feeling moderately or very hopeful about their child’s future, and 70% reported a positive progression in their emotions about their child’s diagnosis, even though much sadness and uncertainty remained. </w:t>
      </w:r>
    </w:p>
    <w:p w14:paraId="00D5C9A3" w14:textId="2196B940" w:rsidR="00E542C7" w:rsidRDefault="00E542C7" w:rsidP="00206581">
      <w:r w:rsidRPr="004D22DB">
        <w:t>Differences in emotional progression were noted in mothers of sons versus daughters, with the former generally reporting more hopefulness and acceptance of their son’s result and possible ALD diagnosis when compared to mothers of daughters. This discrepancy may be explained by mothers’ misunderstanding of their daughter’s NBS result. Two of the three mothers with daughters expressed concern that their child may become severely disabled or die in childhood</w:t>
      </w:r>
      <w:r>
        <w:t xml:space="preserve"> despite receiving genetic counselling</w:t>
      </w:r>
      <w:r w:rsidRPr="004D22DB">
        <w:t>, even though females generally develop only the milder symptoms of myelopathy in adulthood</w:t>
      </w:r>
      <w:r>
        <w:t>.’</w:t>
      </w:r>
    </w:p>
    <w:p w14:paraId="24A52E89" w14:textId="77777777" w:rsidR="00E542C7" w:rsidRPr="006D6B3A" w:rsidRDefault="00E542C7" w:rsidP="00206581">
      <w:pPr>
        <w:keepNext/>
        <w:keepLines/>
        <w:tabs>
          <w:tab w:val="left" w:pos="851"/>
        </w:tabs>
        <w:spacing w:before="360" w:after="200" w:line="240" w:lineRule="auto"/>
        <w:outlineLvl w:val="2"/>
        <w:rPr>
          <w:rFonts w:ascii="Franklin Gothic Medium" w:eastAsiaTheme="majorEastAsia" w:hAnsi="Franklin Gothic Medium" w:cstheme="majorBidi"/>
          <w:sz w:val="24"/>
          <w:szCs w:val="24"/>
        </w:rPr>
      </w:pPr>
      <w:bookmarkStart w:id="36" w:name="_Toc133221395"/>
      <w:r w:rsidRPr="006D6B3A">
        <w:rPr>
          <w:rFonts w:ascii="Franklin Gothic Medium" w:eastAsiaTheme="majorEastAsia" w:hAnsi="Franklin Gothic Medium" w:cstheme="majorBidi"/>
          <w:sz w:val="24"/>
          <w:szCs w:val="24"/>
        </w:rPr>
        <w:t>Clinical claim</w:t>
      </w:r>
      <w:bookmarkEnd w:id="36"/>
      <w:r w:rsidRPr="006D6B3A">
        <w:rPr>
          <w:rFonts w:ascii="Franklin Gothic Medium" w:eastAsiaTheme="majorEastAsia" w:hAnsi="Franklin Gothic Medium" w:cstheme="majorBidi"/>
          <w:sz w:val="24"/>
          <w:szCs w:val="24"/>
        </w:rPr>
        <w:t xml:space="preserve"> </w:t>
      </w:r>
    </w:p>
    <w:p w14:paraId="63E7C157" w14:textId="09813A19" w:rsidR="00057535" w:rsidRDefault="00E542C7" w:rsidP="00206581">
      <w:pPr>
        <w:rPr>
          <w:rFonts w:eastAsia="Calibri" w:cs="Times New Roman"/>
          <w:noProof/>
          <w:color w:val="000000" w:themeColor="text1"/>
        </w:rPr>
      </w:pPr>
      <w:r w:rsidRPr="00C57A54">
        <w:t>The use of NBS for X-ALD result</w:t>
      </w:r>
      <w:r w:rsidR="00F74604">
        <w:t>ed</w:t>
      </w:r>
      <w:r w:rsidRPr="00C57A54">
        <w:t xml:space="preserve"> in superior effectiveness compared with no screening for Australian newborns. There was</w:t>
      </w:r>
      <w:r w:rsidRPr="00BD19AA">
        <w:t xml:space="preserve"> no </w:t>
      </w:r>
      <w:r>
        <w:t>evidence supporting that implementing</w:t>
      </w:r>
      <w:r w:rsidRPr="00BD19AA">
        <w:t xml:space="preserve"> NBS for X-ALD would affect the current clinical management</w:t>
      </w:r>
      <w:r>
        <w:t xml:space="preserve"> of X-ALD-related diseases, such as CALD. The lack of data and research </w:t>
      </w:r>
      <w:r w:rsidR="00F74604">
        <w:t>wa</w:t>
      </w:r>
      <w:r>
        <w:t xml:space="preserve">s an expected shortfall for all NBS and rare diseases such as X-ALD. However, studies from expert opinion and guidelines suggest </w:t>
      </w:r>
      <w:r w:rsidRPr="001F3E6D">
        <w:t>that NBS for X-ALD would lead to earlier diagnosis of X-ALD and earlier ongoing monitoring and treatment</w:t>
      </w:r>
      <w:r>
        <w:t xml:space="preserve">. </w:t>
      </w:r>
      <w:r w:rsidRPr="006D6B3A">
        <w:rPr>
          <w:rFonts w:eastAsia="Calibri" w:cs="Times New Roman"/>
          <w:noProof/>
          <w:color w:val="000000" w:themeColor="text1"/>
        </w:rPr>
        <w:t xml:space="preserve">Early monitoring may lead to earlier treatment before patients become </w:t>
      </w:r>
      <w:r w:rsidRPr="006D6B3A">
        <w:t>symptomatic and potentially untreatable</w:t>
      </w:r>
      <w:r w:rsidRPr="006D6B3A">
        <w:rPr>
          <w:rFonts w:eastAsia="Calibri" w:cs="Times New Roman"/>
          <w:noProof/>
          <w:color w:val="000000" w:themeColor="text1"/>
        </w:rPr>
        <w:t xml:space="preserve">, reducing mortality and morbidity rates. </w:t>
      </w:r>
    </w:p>
    <w:p w14:paraId="51525ED7" w14:textId="2C070730" w:rsidR="00E542C7" w:rsidRDefault="00E542C7" w:rsidP="00206581">
      <w:r w:rsidRPr="001F3E6D">
        <w:lastRenderedPageBreak/>
        <w:t>Studies identified through this assessment concluded</w:t>
      </w:r>
      <w:r>
        <w:t xml:space="preserve"> that </w:t>
      </w:r>
      <w:r w:rsidRPr="005B5363">
        <w:rPr>
          <w:bCs/>
          <w:color w:val="000000" w:themeColor="text1"/>
        </w:rPr>
        <w:t xml:space="preserve">HSCT could halt the progression of </w:t>
      </w:r>
      <w:r>
        <w:rPr>
          <w:bCs/>
          <w:color w:val="000000" w:themeColor="text1"/>
        </w:rPr>
        <w:t>C</w:t>
      </w:r>
      <w:r w:rsidRPr="005B5363">
        <w:rPr>
          <w:bCs/>
          <w:color w:val="000000" w:themeColor="text1"/>
        </w:rPr>
        <w:t xml:space="preserve">ALD, with superior outcomes obtained when HSCT </w:t>
      </w:r>
      <w:r w:rsidR="0092015C">
        <w:rPr>
          <w:bCs/>
          <w:color w:val="000000" w:themeColor="text1"/>
        </w:rPr>
        <w:t>wa</w:t>
      </w:r>
      <w:r w:rsidRPr="005B5363">
        <w:rPr>
          <w:bCs/>
          <w:color w:val="000000" w:themeColor="text1"/>
        </w:rPr>
        <w:t xml:space="preserve">s performed early in disease </w:t>
      </w:r>
      <w:r>
        <w:rPr>
          <w:bCs/>
          <w:color w:val="000000" w:themeColor="text1"/>
        </w:rPr>
        <w:t>progression</w:t>
      </w:r>
      <w:r w:rsidRPr="005B5363">
        <w:rPr>
          <w:bCs/>
          <w:color w:val="000000" w:themeColor="text1"/>
        </w:rPr>
        <w:t>.</w:t>
      </w:r>
      <w:r w:rsidRPr="00362D47">
        <w:t xml:space="preserve"> </w:t>
      </w:r>
      <w:r>
        <w:t>Early treatment for HSCT improve</w:t>
      </w:r>
      <w:r w:rsidR="00A71AC2">
        <w:t>d</w:t>
      </w:r>
      <w:r>
        <w:t xml:space="preserve"> the overall survival, MFD-free survival for patients with CALD, and ha</w:t>
      </w:r>
      <w:r w:rsidR="00A71AC2">
        <w:t>d</w:t>
      </w:r>
      <w:r>
        <w:t xml:space="preserve"> a positive impact on disease progression</w:t>
      </w:r>
      <w:r w:rsidR="00A71AC2">
        <w:t>.</w:t>
      </w:r>
      <w:r>
        <w:t xml:space="preserve"> (MFDs are classified l</w:t>
      </w:r>
      <w:r w:rsidRPr="002A36A1">
        <w:t>oss of communication, cortical blindness, tube feeding dependence, total incontinence, wheelchair dependence, and complete loss of voluntary movement</w:t>
      </w:r>
      <w:r>
        <w:t>. These disabilities were deemed clinically significant functional</w:t>
      </w:r>
      <w:r w:rsidRPr="002A36A1">
        <w:t xml:space="preserve"> deficits </w:t>
      </w:r>
      <w:r>
        <w:t>r</w:t>
      </w:r>
      <w:r w:rsidRPr="002A36A1">
        <w:t>esult</w:t>
      </w:r>
      <w:r>
        <w:t>ing</w:t>
      </w:r>
      <w:r w:rsidRPr="002A36A1">
        <w:t xml:space="preserve"> from CALD</w:t>
      </w:r>
      <w:r>
        <w:t xml:space="preserve"> (Raymond et al. 2019)</w:t>
      </w:r>
      <w:r w:rsidR="001A5D63">
        <w:t>)</w:t>
      </w:r>
      <w:r>
        <w:t>.</w:t>
      </w:r>
      <w:r w:rsidRPr="002A36A1">
        <w:t xml:space="preserve"> </w:t>
      </w:r>
    </w:p>
    <w:p w14:paraId="600D42BC" w14:textId="6664BAE3" w:rsidR="00E542C7" w:rsidRPr="006D6B3A" w:rsidRDefault="00E542C7" w:rsidP="00206581">
      <w:r>
        <w:t xml:space="preserve">Guidelines suggest ongoing monitoring for only male patients with X-ALD and not for females. </w:t>
      </w:r>
      <w:r w:rsidRPr="006D6B3A">
        <w:t xml:space="preserve">Boys with early-stage cerebral X-ALD (childhood CALD) treated with HSCT have a clear survival and function advantage over boys not receiving HSCT who, therefore, experience the progressive changes associated with the natural history of the </w:t>
      </w:r>
      <w:r w:rsidRPr="001F3E6D">
        <w:t>disease. (</w:t>
      </w:r>
      <w:r w:rsidRPr="006D6B3A">
        <w:t>Peters et al. 2004)</w:t>
      </w:r>
      <w:r>
        <w:t>.</w:t>
      </w:r>
    </w:p>
    <w:p w14:paraId="034E996E" w14:textId="2C4029A9" w:rsidR="00D02565" w:rsidRDefault="00E5693E" w:rsidP="00D02565">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37" w:name="_Toc133221396"/>
      <w:r>
        <w:rPr>
          <w:rFonts w:ascii="Franklin Gothic Medium" w:eastAsiaTheme="majorEastAsia" w:hAnsi="Franklin Gothic Medium" w:cstheme="majorBidi"/>
          <w:color w:val="000000" w:themeColor="text1"/>
          <w:sz w:val="32"/>
          <w:szCs w:val="26"/>
        </w:rPr>
        <w:t>1</w:t>
      </w:r>
      <w:r w:rsidR="009653B7">
        <w:rPr>
          <w:rFonts w:ascii="Franklin Gothic Medium" w:eastAsiaTheme="majorEastAsia" w:hAnsi="Franklin Gothic Medium" w:cstheme="majorBidi"/>
          <w:color w:val="000000" w:themeColor="text1"/>
          <w:sz w:val="32"/>
          <w:szCs w:val="26"/>
        </w:rPr>
        <w:t>3</w:t>
      </w:r>
      <w:r>
        <w:rPr>
          <w:rFonts w:ascii="Franklin Gothic Medium" w:eastAsiaTheme="majorEastAsia" w:hAnsi="Franklin Gothic Medium" w:cstheme="majorBidi"/>
          <w:color w:val="000000" w:themeColor="text1"/>
          <w:sz w:val="32"/>
          <w:szCs w:val="26"/>
        </w:rPr>
        <w:t xml:space="preserve">. </w:t>
      </w:r>
      <w:r w:rsidR="00D02565" w:rsidRPr="00D02565">
        <w:rPr>
          <w:rFonts w:ascii="Franklin Gothic Medium" w:eastAsiaTheme="majorEastAsia" w:hAnsi="Franklin Gothic Medium" w:cstheme="majorBidi"/>
          <w:color w:val="000000" w:themeColor="text1"/>
          <w:sz w:val="32"/>
          <w:szCs w:val="26"/>
        </w:rPr>
        <w:t>Economic evaluation</w:t>
      </w:r>
      <w:bookmarkEnd w:id="37"/>
    </w:p>
    <w:p w14:paraId="7F3EE058" w14:textId="77777777" w:rsidR="00E62C96" w:rsidRDefault="00E62C96" w:rsidP="00E62C96">
      <w:pPr>
        <w:keepNext/>
        <w:keepLines/>
        <w:tabs>
          <w:tab w:val="left" w:pos="851"/>
        </w:tabs>
        <w:spacing w:before="360" w:after="200" w:line="240" w:lineRule="auto"/>
        <w:jc w:val="both"/>
        <w:outlineLvl w:val="2"/>
        <w:rPr>
          <w:rFonts w:ascii="Franklin Gothic Medium" w:eastAsiaTheme="majorEastAsia" w:hAnsi="Franklin Gothic Medium" w:cstheme="majorBidi"/>
          <w:sz w:val="24"/>
          <w:szCs w:val="24"/>
        </w:rPr>
      </w:pPr>
      <w:bookmarkStart w:id="38" w:name="_Toc130283317"/>
      <w:bookmarkStart w:id="39" w:name="_Toc133221397"/>
      <w:r w:rsidRPr="00D02565">
        <w:rPr>
          <w:rFonts w:ascii="Franklin Gothic Medium" w:eastAsiaTheme="majorEastAsia" w:hAnsi="Franklin Gothic Medium" w:cstheme="majorBidi"/>
          <w:sz w:val="24"/>
          <w:szCs w:val="24"/>
        </w:rPr>
        <w:t xml:space="preserve">PICO </w:t>
      </w:r>
      <w:r>
        <w:rPr>
          <w:rFonts w:ascii="Franklin Gothic Medium" w:eastAsiaTheme="majorEastAsia" w:hAnsi="Franklin Gothic Medium" w:cstheme="majorBidi"/>
          <w:sz w:val="24"/>
          <w:szCs w:val="24"/>
        </w:rPr>
        <w:t xml:space="preserve">set </w:t>
      </w:r>
      <w:r w:rsidRPr="00D02565">
        <w:rPr>
          <w:rFonts w:ascii="Franklin Gothic Medium" w:eastAsiaTheme="majorEastAsia" w:hAnsi="Franklin Gothic Medium" w:cstheme="majorBidi"/>
          <w:sz w:val="24"/>
          <w:szCs w:val="24"/>
        </w:rPr>
        <w:t>1</w:t>
      </w:r>
      <w:bookmarkEnd w:id="38"/>
      <w:bookmarkEnd w:id="39"/>
    </w:p>
    <w:p w14:paraId="4C0A076C" w14:textId="53EC144D" w:rsidR="00E62C96" w:rsidRPr="00D02565" w:rsidRDefault="00E62C96" w:rsidP="00E62C96">
      <w:r w:rsidRPr="00D02565">
        <w:t xml:space="preserve">The clinical evidence presented suggests that adding X-ALD to the NBS program was superior to the current practice of no screening in Australia. Based on this clinical conclusion, the type of economic evaluation used was a cost-effectiveness analysis and a cost-utility analysis. The outcomes considered were incremental cost per positive diagnosis and QALYs. </w:t>
      </w:r>
      <w:r w:rsidRPr="005A7383">
        <w:fldChar w:fldCharType="begin"/>
      </w:r>
      <w:r w:rsidRPr="005A7383">
        <w:instrText xml:space="preserve"> REF _Ref69725820 \h </w:instrText>
      </w:r>
      <w:r>
        <w:instrText xml:space="preserve"> \* MERGEFORMAT </w:instrText>
      </w:r>
      <w:r w:rsidRPr="005A7383">
        <w:fldChar w:fldCharType="separate"/>
      </w:r>
      <w:r w:rsidR="00253978" w:rsidRPr="00253978">
        <w:t>Table 8</w:t>
      </w:r>
      <w:r w:rsidRPr="005A7383">
        <w:fldChar w:fldCharType="end"/>
      </w:r>
      <w:r w:rsidRPr="00D02565">
        <w:t xml:space="preserve"> summarises the key components of the economic evaluation for PICO </w:t>
      </w:r>
      <w:r w:rsidR="00253046">
        <w:t xml:space="preserve">set </w:t>
      </w:r>
      <w:r w:rsidRPr="00D02565">
        <w:t>1.</w:t>
      </w:r>
    </w:p>
    <w:p w14:paraId="37CB8E01" w14:textId="673BD78C" w:rsidR="00E62C96" w:rsidRPr="00D02565" w:rsidRDefault="00E62C96" w:rsidP="00E62C96">
      <w:pPr>
        <w:keepNext/>
        <w:tabs>
          <w:tab w:val="left" w:pos="1134"/>
        </w:tabs>
        <w:spacing w:before="360" w:after="120" w:line="240" w:lineRule="auto"/>
        <w:ind w:left="1134" w:hanging="1134"/>
        <w:rPr>
          <w:rFonts w:ascii="Arial Narrow" w:eastAsia="Times New Roman" w:hAnsi="Arial Narrow" w:cs="Times New Roman"/>
          <w:b/>
          <w:bCs/>
          <w:sz w:val="20"/>
          <w:szCs w:val="20"/>
        </w:rPr>
      </w:pPr>
      <w:bookmarkStart w:id="40" w:name="_Ref69725820"/>
      <w:r w:rsidRPr="00D02565">
        <w:rPr>
          <w:rFonts w:ascii="Arial Narrow" w:eastAsia="Times New Roman" w:hAnsi="Arial Narrow" w:cs="Times New Roman"/>
          <w:b/>
          <w:bCs/>
          <w:sz w:val="20"/>
          <w:szCs w:val="20"/>
        </w:rPr>
        <w:t>Table </w:t>
      </w:r>
      <w:r w:rsidRPr="00D02565">
        <w:rPr>
          <w:rFonts w:ascii="Arial Narrow" w:eastAsia="Times New Roman" w:hAnsi="Arial Narrow" w:cs="Times New Roman"/>
          <w:b/>
          <w:bCs/>
          <w:noProof/>
          <w:sz w:val="20"/>
          <w:szCs w:val="20"/>
        </w:rPr>
        <w:fldChar w:fldCharType="begin"/>
      </w:r>
      <w:r w:rsidRPr="00D02565">
        <w:rPr>
          <w:rFonts w:ascii="Arial Narrow" w:eastAsia="Times New Roman" w:hAnsi="Arial Narrow" w:cs="Times New Roman"/>
          <w:b/>
          <w:bCs/>
          <w:noProof/>
          <w:sz w:val="20"/>
          <w:szCs w:val="20"/>
        </w:rPr>
        <w:instrText xml:space="preserve"> SEQ Table \* ARABIC </w:instrText>
      </w:r>
      <w:r w:rsidRPr="00D02565">
        <w:rPr>
          <w:rFonts w:ascii="Arial Narrow" w:eastAsia="Times New Roman" w:hAnsi="Arial Narrow" w:cs="Times New Roman"/>
          <w:b/>
          <w:bCs/>
          <w:noProof/>
          <w:sz w:val="20"/>
          <w:szCs w:val="20"/>
        </w:rPr>
        <w:fldChar w:fldCharType="separate"/>
      </w:r>
      <w:r w:rsidR="00253978">
        <w:rPr>
          <w:rFonts w:ascii="Arial Narrow" w:eastAsia="Times New Roman" w:hAnsi="Arial Narrow" w:cs="Times New Roman"/>
          <w:b/>
          <w:bCs/>
          <w:noProof/>
          <w:sz w:val="20"/>
          <w:szCs w:val="20"/>
        </w:rPr>
        <w:t>8</w:t>
      </w:r>
      <w:r w:rsidRPr="00D02565">
        <w:rPr>
          <w:rFonts w:ascii="Arial Narrow" w:eastAsia="Times New Roman" w:hAnsi="Arial Narrow" w:cs="Times New Roman"/>
          <w:b/>
          <w:bCs/>
          <w:noProof/>
          <w:sz w:val="20"/>
          <w:szCs w:val="20"/>
        </w:rPr>
        <w:fldChar w:fldCharType="end"/>
      </w:r>
      <w:bookmarkEnd w:id="40"/>
      <w:r w:rsidRPr="00D02565">
        <w:rPr>
          <w:rFonts w:ascii="Arial Narrow" w:eastAsia="Times New Roman" w:hAnsi="Arial Narrow" w:cs="Times New Roman"/>
          <w:b/>
          <w:bCs/>
          <w:sz w:val="20"/>
          <w:szCs w:val="20"/>
        </w:rPr>
        <w:tab/>
        <w:t xml:space="preserve">Summary of the economic evaluation (PICO </w:t>
      </w:r>
      <w:r>
        <w:rPr>
          <w:rFonts w:ascii="Arial Narrow" w:eastAsia="Times New Roman" w:hAnsi="Arial Narrow" w:cs="Times New Roman"/>
          <w:b/>
          <w:bCs/>
          <w:sz w:val="20"/>
          <w:szCs w:val="20"/>
        </w:rPr>
        <w:t xml:space="preserve">set </w:t>
      </w:r>
      <w:r w:rsidRPr="00D02565">
        <w:rPr>
          <w:rFonts w:ascii="Arial Narrow" w:eastAsia="Times New Roman" w:hAnsi="Arial Narrow" w:cs="Times New Roman"/>
          <w:b/>
          <w:bCs/>
          <w:sz w:val="20"/>
          <w:szCs w:val="20"/>
        </w:rPr>
        <w:t>1)</w:t>
      </w:r>
    </w:p>
    <w:tbl>
      <w:tblPr>
        <w:tblStyle w:val="TableGrid1"/>
        <w:tblW w:w="5000" w:type="pct"/>
        <w:tblLook w:val="04A0" w:firstRow="1" w:lastRow="0" w:firstColumn="1" w:lastColumn="0" w:noHBand="0" w:noVBand="1"/>
      </w:tblPr>
      <w:tblGrid>
        <w:gridCol w:w="1626"/>
        <w:gridCol w:w="7390"/>
      </w:tblGrid>
      <w:tr w:rsidR="00E62C96" w:rsidRPr="00D02565" w14:paraId="5D59978C" w14:textId="77777777" w:rsidTr="00C25359">
        <w:trPr>
          <w:cnfStyle w:val="100000000000" w:firstRow="1" w:lastRow="0" w:firstColumn="0" w:lastColumn="0" w:oddVBand="0" w:evenVBand="0" w:oddHBand="0" w:evenHBand="0" w:firstRowFirstColumn="0" w:firstRowLastColumn="0" w:lastRowFirstColumn="0" w:lastRowLastColumn="0"/>
          <w:tblHeader/>
        </w:trPr>
        <w:tc>
          <w:tcPr>
            <w:tcW w:w="902" w:type="pct"/>
          </w:tcPr>
          <w:p w14:paraId="1713990D" w14:textId="77777777" w:rsidR="00E62C96" w:rsidRPr="00D02565" w:rsidRDefault="00E62C96" w:rsidP="006D6B3A">
            <w:pPr>
              <w:keepNext/>
              <w:spacing w:after="60"/>
              <w:jc w:val="center"/>
              <w:rPr>
                <w:rFonts w:ascii="Arial Narrow" w:hAnsi="Arial Narrow"/>
                <w:b/>
              </w:rPr>
            </w:pPr>
            <w:bookmarkStart w:id="41" w:name="Title_Table5"/>
            <w:bookmarkStart w:id="42" w:name="_Hlk68276446"/>
            <w:bookmarkEnd w:id="41"/>
            <w:r w:rsidRPr="00D02565">
              <w:rPr>
                <w:rFonts w:ascii="Arial Narrow" w:hAnsi="Arial Narrow"/>
                <w:b/>
              </w:rPr>
              <w:t>Component</w:t>
            </w:r>
          </w:p>
        </w:tc>
        <w:tc>
          <w:tcPr>
            <w:tcW w:w="4098" w:type="pct"/>
          </w:tcPr>
          <w:p w14:paraId="65E355A5" w14:textId="77777777" w:rsidR="00E62C96" w:rsidRPr="00D02565" w:rsidRDefault="00E62C96" w:rsidP="006D6B3A">
            <w:pPr>
              <w:keepNext/>
              <w:spacing w:after="60"/>
              <w:jc w:val="center"/>
              <w:rPr>
                <w:rFonts w:ascii="Arial Narrow" w:hAnsi="Arial Narrow"/>
                <w:b/>
              </w:rPr>
            </w:pPr>
            <w:r w:rsidRPr="00D02565">
              <w:rPr>
                <w:rFonts w:ascii="Arial Narrow" w:hAnsi="Arial Narrow"/>
                <w:b/>
              </w:rPr>
              <w:t>Description</w:t>
            </w:r>
          </w:p>
        </w:tc>
      </w:tr>
      <w:tr w:rsidR="00E62C96" w:rsidRPr="00D02565" w14:paraId="27522198" w14:textId="77777777" w:rsidTr="00C25359">
        <w:tc>
          <w:tcPr>
            <w:tcW w:w="902" w:type="pct"/>
          </w:tcPr>
          <w:p w14:paraId="5117B252" w14:textId="77777777" w:rsidR="00E62C96" w:rsidRPr="00D02565" w:rsidRDefault="00E62C96" w:rsidP="00B24FF3">
            <w:pPr>
              <w:pStyle w:val="Tabletext0"/>
            </w:pPr>
            <w:r w:rsidRPr="00D02565">
              <w:t>Perspective</w:t>
            </w:r>
          </w:p>
        </w:tc>
        <w:tc>
          <w:tcPr>
            <w:tcW w:w="4098" w:type="pct"/>
          </w:tcPr>
          <w:p w14:paraId="1520D32D" w14:textId="77777777" w:rsidR="00E62C96" w:rsidRPr="00D02565" w:rsidRDefault="00E62C96" w:rsidP="00C25359">
            <w:pPr>
              <w:keepNext/>
              <w:spacing w:before="40"/>
              <w:rPr>
                <w:rFonts w:ascii="Arial Narrow" w:hAnsi="Arial Narrow"/>
              </w:rPr>
            </w:pPr>
            <w:r w:rsidRPr="00D02565">
              <w:rPr>
                <w:rFonts w:ascii="Arial Narrow" w:hAnsi="Arial Narrow" w:cs="Courier New"/>
              </w:rPr>
              <w:t>Australian health care system perspective</w:t>
            </w:r>
          </w:p>
        </w:tc>
      </w:tr>
      <w:tr w:rsidR="00E62C96" w:rsidRPr="00D02565" w14:paraId="19F63773" w14:textId="77777777" w:rsidTr="00C25359">
        <w:trPr>
          <w:tblHeader/>
        </w:trPr>
        <w:tc>
          <w:tcPr>
            <w:tcW w:w="902" w:type="pct"/>
          </w:tcPr>
          <w:p w14:paraId="14DF7932" w14:textId="77777777" w:rsidR="00E62C96" w:rsidRPr="00D02565" w:rsidRDefault="00E62C96" w:rsidP="00B24FF3">
            <w:pPr>
              <w:pStyle w:val="Tabletext0"/>
            </w:pPr>
            <w:r w:rsidRPr="00D02565">
              <w:t>Population</w:t>
            </w:r>
          </w:p>
        </w:tc>
        <w:tc>
          <w:tcPr>
            <w:tcW w:w="4098" w:type="pct"/>
          </w:tcPr>
          <w:p w14:paraId="5C3936BF" w14:textId="77777777" w:rsidR="00E62C96" w:rsidRPr="00D02565" w:rsidRDefault="00E62C96" w:rsidP="00C25359">
            <w:pPr>
              <w:keepNext/>
              <w:spacing w:before="40"/>
              <w:rPr>
                <w:rFonts w:ascii="Arial Narrow" w:hAnsi="Arial Narrow"/>
              </w:rPr>
            </w:pPr>
            <w:r w:rsidRPr="00D02565">
              <w:rPr>
                <w:rFonts w:ascii="Arial Narrow" w:hAnsi="Arial Narrow"/>
              </w:rPr>
              <w:t>All newborns in Australia</w:t>
            </w:r>
          </w:p>
        </w:tc>
      </w:tr>
      <w:tr w:rsidR="00E62C96" w:rsidRPr="00D02565" w14:paraId="011DB6ED" w14:textId="77777777" w:rsidTr="00C25359">
        <w:tc>
          <w:tcPr>
            <w:tcW w:w="902" w:type="pct"/>
          </w:tcPr>
          <w:p w14:paraId="15B9E623" w14:textId="77777777" w:rsidR="00E62C96" w:rsidRPr="00D02565" w:rsidRDefault="00E62C96" w:rsidP="00B24FF3">
            <w:pPr>
              <w:pStyle w:val="Tabletext0"/>
            </w:pPr>
            <w:r w:rsidRPr="00D02565">
              <w:t>Prior testing</w:t>
            </w:r>
          </w:p>
        </w:tc>
        <w:tc>
          <w:tcPr>
            <w:tcW w:w="4098" w:type="pct"/>
          </w:tcPr>
          <w:p w14:paraId="17BE7867" w14:textId="77777777" w:rsidR="00E62C96" w:rsidRPr="00D02565" w:rsidRDefault="00E62C96" w:rsidP="00C25359">
            <w:pPr>
              <w:keepNext/>
              <w:spacing w:before="40"/>
              <w:rPr>
                <w:rFonts w:ascii="Arial Narrow" w:hAnsi="Arial Narrow"/>
              </w:rPr>
            </w:pPr>
            <w:r w:rsidRPr="00D02565">
              <w:rPr>
                <w:rFonts w:ascii="Arial Narrow" w:hAnsi="Arial Narrow" w:cs="Courier New"/>
              </w:rPr>
              <w:t>None</w:t>
            </w:r>
          </w:p>
        </w:tc>
      </w:tr>
      <w:tr w:rsidR="00E62C96" w:rsidRPr="00D02565" w14:paraId="2DB73ADE" w14:textId="77777777" w:rsidTr="00C25359">
        <w:tc>
          <w:tcPr>
            <w:tcW w:w="902" w:type="pct"/>
          </w:tcPr>
          <w:p w14:paraId="6BFF5BB7" w14:textId="77777777" w:rsidR="00E62C96" w:rsidRPr="00D02565" w:rsidRDefault="00E62C96" w:rsidP="00B24FF3">
            <w:pPr>
              <w:pStyle w:val="Tabletext0"/>
            </w:pPr>
            <w:r w:rsidRPr="00D02565">
              <w:t>Comparator</w:t>
            </w:r>
          </w:p>
        </w:tc>
        <w:tc>
          <w:tcPr>
            <w:tcW w:w="4098" w:type="pct"/>
          </w:tcPr>
          <w:p w14:paraId="3E6E6F79" w14:textId="77777777" w:rsidR="00E62C96" w:rsidRPr="00D02565" w:rsidRDefault="00E62C96" w:rsidP="00C25359">
            <w:pPr>
              <w:keepNext/>
              <w:spacing w:before="40"/>
              <w:rPr>
                <w:rFonts w:ascii="Arial Narrow" w:hAnsi="Arial Narrow"/>
              </w:rPr>
            </w:pPr>
            <w:r w:rsidRPr="00D02565">
              <w:rPr>
                <w:rFonts w:ascii="Arial Narrow" w:hAnsi="Arial Narrow" w:cs="Courier New"/>
              </w:rPr>
              <w:t>Current strategy (no screening test) (NBS for X-ALD is not currently available in Australia)</w:t>
            </w:r>
          </w:p>
        </w:tc>
      </w:tr>
      <w:tr w:rsidR="00E62C96" w:rsidRPr="00D02565" w14:paraId="0529CFA7" w14:textId="77777777" w:rsidTr="00C25359">
        <w:tc>
          <w:tcPr>
            <w:tcW w:w="902" w:type="pct"/>
          </w:tcPr>
          <w:p w14:paraId="695A1C2E" w14:textId="77777777" w:rsidR="00E62C96" w:rsidRPr="00D02565" w:rsidRDefault="00E62C96" w:rsidP="00B24FF3">
            <w:pPr>
              <w:pStyle w:val="Tabletext0"/>
            </w:pPr>
            <w:r w:rsidRPr="00D02565">
              <w:t>Type of analysis</w:t>
            </w:r>
          </w:p>
        </w:tc>
        <w:tc>
          <w:tcPr>
            <w:tcW w:w="4098" w:type="pct"/>
            <w:tcBorders>
              <w:bottom w:val="single" w:sz="4" w:space="0" w:color="000000" w:themeColor="text1"/>
            </w:tcBorders>
          </w:tcPr>
          <w:p w14:paraId="40F80021" w14:textId="77777777" w:rsidR="00E62C96" w:rsidRPr="00D02565" w:rsidRDefault="00E62C96" w:rsidP="00C25359">
            <w:pPr>
              <w:keepNext/>
              <w:spacing w:before="40"/>
              <w:rPr>
                <w:rFonts w:ascii="Arial Narrow" w:hAnsi="Arial Narrow"/>
              </w:rPr>
            </w:pPr>
            <w:r w:rsidRPr="00D02565">
              <w:rPr>
                <w:rFonts w:ascii="Arial Narrow" w:hAnsi="Arial Narrow" w:cs="Courier New"/>
              </w:rPr>
              <w:t>Cost-utility analysis</w:t>
            </w:r>
          </w:p>
        </w:tc>
      </w:tr>
      <w:tr w:rsidR="00E62C96" w:rsidRPr="00D02565" w14:paraId="2F2BD115" w14:textId="77777777" w:rsidTr="00C25359">
        <w:tc>
          <w:tcPr>
            <w:tcW w:w="902" w:type="pct"/>
          </w:tcPr>
          <w:p w14:paraId="300FEF18" w14:textId="77777777" w:rsidR="00E62C96" w:rsidRPr="00D02565" w:rsidRDefault="00E62C96" w:rsidP="00B24FF3">
            <w:pPr>
              <w:pStyle w:val="Tabletext0"/>
            </w:pPr>
            <w:r w:rsidRPr="00D02565">
              <w:t>Outcomes</w:t>
            </w:r>
          </w:p>
        </w:tc>
        <w:tc>
          <w:tcPr>
            <w:tcW w:w="40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432C0" w14:textId="77777777" w:rsidR="00E62C96" w:rsidRPr="00D02565" w:rsidRDefault="00E62C96" w:rsidP="00C25359">
            <w:pPr>
              <w:keepNext/>
              <w:spacing w:before="40"/>
              <w:rPr>
                <w:rFonts w:ascii="Arial Narrow" w:hAnsi="Arial Narrow"/>
              </w:rPr>
            </w:pPr>
            <w:r w:rsidRPr="00D02565">
              <w:rPr>
                <w:rFonts w:ascii="Arial Narrow" w:hAnsi="Arial Narrow" w:cs="Courier New"/>
              </w:rPr>
              <w:t xml:space="preserve">Cost per positive diagnosis, cost per QALY </w:t>
            </w:r>
          </w:p>
        </w:tc>
      </w:tr>
      <w:tr w:rsidR="00E62C96" w:rsidRPr="00D02565" w14:paraId="6B10E1B7" w14:textId="77777777" w:rsidTr="00C25359">
        <w:tc>
          <w:tcPr>
            <w:tcW w:w="902" w:type="pct"/>
          </w:tcPr>
          <w:p w14:paraId="3F00EAAC" w14:textId="77777777" w:rsidR="00E62C96" w:rsidRPr="00D02565" w:rsidRDefault="00E62C96" w:rsidP="00B24FF3">
            <w:pPr>
              <w:pStyle w:val="Tabletext0"/>
            </w:pPr>
            <w:r w:rsidRPr="00D02565">
              <w:t>Time horizon</w:t>
            </w:r>
          </w:p>
        </w:tc>
        <w:tc>
          <w:tcPr>
            <w:tcW w:w="40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78C5F" w14:textId="77777777" w:rsidR="00E62C96" w:rsidRPr="00D02565" w:rsidRDefault="00E62C96" w:rsidP="00C25359">
            <w:pPr>
              <w:keepNext/>
              <w:spacing w:before="40"/>
              <w:rPr>
                <w:rFonts w:ascii="Arial Narrow" w:hAnsi="Arial Narrow"/>
              </w:rPr>
            </w:pPr>
            <w:r w:rsidRPr="00D02565">
              <w:rPr>
                <w:rFonts w:ascii="Arial Narrow" w:hAnsi="Arial Narrow" w:cs="Courier New"/>
              </w:rPr>
              <w:t xml:space="preserve">Lifetime in the model base case </w:t>
            </w:r>
          </w:p>
        </w:tc>
      </w:tr>
      <w:tr w:rsidR="00E62C96" w:rsidRPr="00D02565" w14:paraId="46D8BA59" w14:textId="77777777" w:rsidTr="00C25359">
        <w:tc>
          <w:tcPr>
            <w:tcW w:w="902" w:type="pct"/>
          </w:tcPr>
          <w:p w14:paraId="01B01515" w14:textId="77777777" w:rsidR="00E62C96" w:rsidRPr="00D02565" w:rsidRDefault="00E62C96" w:rsidP="00B24FF3">
            <w:pPr>
              <w:pStyle w:val="Tabletext0"/>
            </w:pPr>
            <w:r w:rsidRPr="00D02565">
              <w:t>Computational method</w:t>
            </w:r>
          </w:p>
        </w:tc>
        <w:tc>
          <w:tcPr>
            <w:tcW w:w="4098" w:type="pct"/>
            <w:tcBorders>
              <w:top w:val="single" w:sz="4" w:space="0" w:color="000000" w:themeColor="text1"/>
            </w:tcBorders>
          </w:tcPr>
          <w:p w14:paraId="5B2573CF" w14:textId="77777777" w:rsidR="00E62C96" w:rsidRPr="00D02565" w:rsidRDefault="00E62C96" w:rsidP="00C25359">
            <w:pPr>
              <w:keepNext/>
              <w:spacing w:before="40"/>
              <w:rPr>
                <w:rFonts w:ascii="Arial Narrow" w:hAnsi="Arial Narrow"/>
              </w:rPr>
            </w:pPr>
            <w:r w:rsidRPr="00D02565">
              <w:rPr>
                <w:rFonts w:ascii="Arial Narrow" w:hAnsi="Arial Narrow" w:cs="Courier New"/>
              </w:rPr>
              <w:t>Model-based economic evaluation: combining a decision tree and an individual-level state-transition model (microsimulation).</w:t>
            </w:r>
          </w:p>
        </w:tc>
      </w:tr>
      <w:tr w:rsidR="00E62C96" w:rsidRPr="00D02565" w14:paraId="76AF055B" w14:textId="77777777" w:rsidTr="00C25359">
        <w:tc>
          <w:tcPr>
            <w:tcW w:w="902" w:type="pct"/>
            <w:vMerge w:val="restart"/>
          </w:tcPr>
          <w:p w14:paraId="0371B344" w14:textId="77777777" w:rsidR="00E62C96" w:rsidRPr="00D02565" w:rsidRDefault="00E62C96" w:rsidP="00B24FF3">
            <w:pPr>
              <w:pStyle w:val="Tabletext0"/>
            </w:pPr>
            <w:r w:rsidRPr="00D02565">
              <w:t>Generation of the base case</w:t>
            </w:r>
          </w:p>
        </w:tc>
        <w:tc>
          <w:tcPr>
            <w:tcW w:w="4098" w:type="pct"/>
          </w:tcPr>
          <w:p w14:paraId="3BF6DD65"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 xml:space="preserve">Proposed strategies (Strategy I, II, III, IV) versus </w:t>
            </w:r>
            <w:r>
              <w:rPr>
                <w:rFonts w:ascii="Arial Narrow" w:hAnsi="Arial Narrow" w:cs="Courier New"/>
              </w:rPr>
              <w:t>no screening</w:t>
            </w:r>
          </w:p>
          <w:p w14:paraId="08982D2F"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Modelled stepped economic evaluation.</w:t>
            </w:r>
          </w:p>
          <w:p w14:paraId="510A0E1C" w14:textId="77777777" w:rsidR="00E62C96" w:rsidRPr="00D02565" w:rsidRDefault="00E62C96" w:rsidP="00C25359">
            <w:pPr>
              <w:keepNext/>
              <w:spacing w:before="0" w:after="0"/>
              <w:rPr>
                <w:rFonts w:ascii="Arial Narrow" w:hAnsi="Arial Narrow"/>
              </w:rPr>
            </w:pPr>
            <w:r w:rsidRPr="00D02565">
              <w:rPr>
                <w:rFonts w:ascii="Arial Narrow" w:hAnsi="Arial Narrow"/>
                <w:u w:val="single"/>
              </w:rPr>
              <w:t>Step 1:</w:t>
            </w:r>
            <w:r w:rsidRPr="00D02565">
              <w:rPr>
                <w:rFonts w:ascii="Arial Narrow" w:hAnsi="Arial Narrow"/>
              </w:rPr>
              <w:t xml:space="preserve"> Decision-trees reflecting NBS to identify newborns at risk of developing X-ALD (positive diagnosis). Costs incurred included </w:t>
            </w:r>
            <w:r>
              <w:rPr>
                <w:rFonts w:ascii="Arial Narrow" w:hAnsi="Arial Narrow"/>
              </w:rPr>
              <w:t>screening</w:t>
            </w:r>
            <w:r w:rsidRPr="00D02565">
              <w:rPr>
                <w:rFonts w:ascii="Arial Narrow" w:hAnsi="Arial Narrow"/>
              </w:rPr>
              <w:t xml:space="preserve"> costs only. Estimation of the incremental cost per positive diagnosis.</w:t>
            </w:r>
            <w:r>
              <w:rPr>
                <w:rFonts w:ascii="Arial Narrow" w:hAnsi="Arial Narrow"/>
              </w:rPr>
              <w:t xml:space="preserve"> (Note 1)</w:t>
            </w:r>
          </w:p>
          <w:p w14:paraId="09CC1E31" w14:textId="77777777" w:rsidR="00E62C96" w:rsidRPr="00D02565" w:rsidRDefault="00E62C96" w:rsidP="00C25359">
            <w:pPr>
              <w:keepNext/>
              <w:spacing w:before="40"/>
              <w:rPr>
                <w:rFonts w:ascii="Arial Narrow" w:hAnsi="Arial Narrow"/>
              </w:rPr>
            </w:pPr>
            <w:r w:rsidRPr="00D02565">
              <w:rPr>
                <w:rFonts w:ascii="Arial Narrow" w:hAnsi="Arial Narrow"/>
                <w:u w:val="single"/>
              </w:rPr>
              <w:t>Step 2:</w:t>
            </w:r>
            <w:r w:rsidRPr="00D02565">
              <w:rPr>
                <w:rFonts w:ascii="Arial Narrow" w:hAnsi="Arial Narrow"/>
              </w:rPr>
              <w:t xml:space="preserve"> Modelled state transitions between 5 health states: asymptomatic, symptomatic pre-HSCT, HSCT, post-HSCT and death. Costs incurred included pre-symptomatic monitoring, treatment costs for AI and AMN, HSCT and treatment for complications. Baseline utilities were based on population norms. Disutilities incurred included symptomatic HSCT, HSCT, complications from HSCT, and post-HSCT.</w:t>
            </w:r>
          </w:p>
        </w:tc>
      </w:tr>
      <w:tr w:rsidR="00E62C96" w:rsidRPr="00D02565" w14:paraId="0D6A2325" w14:textId="77777777" w:rsidTr="00C25359">
        <w:tc>
          <w:tcPr>
            <w:tcW w:w="902" w:type="pct"/>
            <w:vMerge/>
          </w:tcPr>
          <w:p w14:paraId="336D5FCE" w14:textId="77777777" w:rsidR="00E62C96" w:rsidRPr="00D02565" w:rsidRDefault="00E62C96" w:rsidP="00B24FF3">
            <w:pPr>
              <w:pStyle w:val="Tabletext0"/>
            </w:pPr>
          </w:p>
        </w:tc>
        <w:tc>
          <w:tcPr>
            <w:tcW w:w="4098" w:type="pct"/>
          </w:tcPr>
          <w:p w14:paraId="06014379"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Scenario analyses: Incorporation of an X-Counter test</w:t>
            </w:r>
          </w:p>
          <w:p w14:paraId="79862011"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 xml:space="preserve">Proposed strategies (Strategy Ia, IIa, IIIa, IVa and IVb) versus </w:t>
            </w:r>
            <w:r>
              <w:rPr>
                <w:rFonts w:ascii="Arial Narrow" w:hAnsi="Arial Narrow" w:cs="Courier New"/>
              </w:rPr>
              <w:t>no screening</w:t>
            </w:r>
          </w:p>
          <w:p w14:paraId="29892556"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Modelled stepped economic evaluation as per above.</w:t>
            </w:r>
          </w:p>
        </w:tc>
      </w:tr>
      <w:tr w:rsidR="00E62C96" w:rsidRPr="00D02565" w14:paraId="2309CC69" w14:textId="77777777" w:rsidTr="00C25359">
        <w:tc>
          <w:tcPr>
            <w:tcW w:w="902" w:type="pct"/>
          </w:tcPr>
          <w:p w14:paraId="3BD3002F" w14:textId="77777777" w:rsidR="00E62C96" w:rsidRPr="00D02565" w:rsidRDefault="00E62C96" w:rsidP="00B24FF3">
            <w:pPr>
              <w:pStyle w:val="Tabletext0"/>
            </w:pPr>
            <w:r w:rsidRPr="00D02565">
              <w:t>Health states</w:t>
            </w:r>
          </w:p>
        </w:tc>
        <w:tc>
          <w:tcPr>
            <w:tcW w:w="4098" w:type="pct"/>
          </w:tcPr>
          <w:p w14:paraId="28BAD854" w14:textId="77777777" w:rsidR="00E62C96" w:rsidRPr="00D02565" w:rsidRDefault="00E62C96" w:rsidP="00C25359">
            <w:pPr>
              <w:keepNext/>
              <w:spacing w:before="40"/>
              <w:rPr>
                <w:rFonts w:ascii="Arial Narrow" w:hAnsi="Arial Narrow"/>
              </w:rPr>
            </w:pPr>
            <w:r w:rsidRPr="00D02565">
              <w:rPr>
                <w:rFonts w:ascii="Arial Narrow" w:hAnsi="Arial Narrow"/>
              </w:rPr>
              <w:t>Asymptomatic, symptomatic pre-HSCT, HSCT, symptomatic post-HSCT, death</w:t>
            </w:r>
          </w:p>
        </w:tc>
      </w:tr>
      <w:tr w:rsidR="00E62C96" w:rsidRPr="00D02565" w14:paraId="3BB601BF" w14:textId="77777777" w:rsidTr="00C25359">
        <w:tc>
          <w:tcPr>
            <w:tcW w:w="902" w:type="pct"/>
          </w:tcPr>
          <w:p w14:paraId="49F38CF8" w14:textId="77777777" w:rsidR="00E62C96" w:rsidRPr="00D02565" w:rsidRDefault="00E62C96" w:rsidP="00B24FF3">
            <w:pPr>
              <w:pStyle w:val="Tabletext0"/>
            </w:pPr>
            <w:r w:rsidRPr="00D02565">
              <w:t>Cycle length</w:t>
            </w:r>
          </w:p>
        </w:tc>
        <w:tc>
          <w:tcPr>
            <w:tcW w:w="4098" w:type="pct"/>
          </w:tcPr>
          <w:p w14:paraId="1F73E21C" w14:textId="77777777" w:rsidR="00E62C96" w:rsidRPr="00D02565" w:rsidRDefault="00E62C96" w:rsidP="00C25359">
            <w:pPr>
              <w:keepNext/>
              <w:spacing w:before="40"/>
              <w:rPr>
                <w:rFonts w:ascii="Arial Narrow" w:hAnsi="Arial Narrow"/>
              </w:rPr>
            </w:pPr>
            <w:r w:rsidRPr="00D02565">
              <w:rPr>
                <w:rFonts w:ascii="Arial Narrow" w:hAnsi="Arial Narrow" w:cs="Courier New"/>
              </w:rPr>
              <w:t>One year</w:t>
            </w:r>
          </w:p>
        </w:tc>
      </w:tr>
      <w:tr w:rsidR="00E62C96" w:rsidRPr="00D02565" w14:paraId="0073160C" w14:textId="77777777" w:rsidTr="00C25359">
        <w:tc>
          <w:tcPr>
            <w:tcW w:w="902" w:type="pct"/>
          </w:tcPr>
          <w:p w14:paraId="506DD15B" w14:textId="77777777" w:rsidR="00E62C96" w:rsidRPr="00D02565" w:rsidRDefault="00E62C96" w:rsidP="00B24FF3">
            <w:pPr>
              <w:pStyle w:val="Tabletext0"/>
            </w:pPr>
            <w:r w:rsidRPr="00D02565">
              <w:lastRenderedPageBreak/>
              <w:t>Transition probabilities</w:t>
            </w:r>
          </w:p>
        </w:tc>
        <w:tc>
          <w:tcPr>
            <w:tcW w:w="4098" w:type="pct"/>
          </w:tcPr>
          <w:p w14:paraId="20056927" w14:textId="77777777" w:rsidR="00E62C96" w:rsidRPr="00D02565" w:rsidRDefault="00E62C96" w:rsidP="00C25359">
            <w:pPr>
              <w:keepNext/>
              <w:spacing w:before="0" w:after="0"/>
              <w:rPr>
                <w:rFonts w:ascii="Arial Narrow" w:hAnsi="Arial Narrow"/>
              </w:rPr>
            </w:pPr>
            <w:r w:rsidRPr="00D02565">
              <w:rPr>
                <w:rFonts w:ascii="Arial Narrow" w:hAnsi="Arial Narrow"/>
              </w:rPr>
              <w:t xml:space="preserve">Prevalence of ALD at birth </w:t>
            </w:r>
            <w:r w:rsidRPr="00D02565">
              <w:rPr>
                <w:rFonts w:ascii="Arial Narrow" w:hAnsi="Arial Narrow"/>
              </w:rPr>
              <w:fldChar w:fldCharType="begin"/>
            </w:r>
            <w:r>
              <w:rPr>
                <w:rFonts w:ascii="Arial Narrow" w:hAnsi="Arial Narrow"/>
              </w:rPr>
              <w:instrText xml:space="preserve"> ADDIN EN.CITE &lt;EndNote&gt;&lt;Cite&gt;&lt;Author&gt;Matteson&lt;/Author&gt;&lt;Year&gt;2021&lt;/Year&gt;&lt;RecNum&gt;10432&lt;/RecNum&gt;&lt;DisplayText&gt;(Matteson et al., 2021)&lt;/DisplayText&gt;&lt;record&gt;&lt;rec-number&gt;10432&lt;/rec-number&gt;&lt;foreign-keys&gt;&lt;key app="EN" db-id="tsrzaf52df25wce2a0sp9wpk5vs9rszppzxw" timestamp="1677208322" guid="7f7be1ff-2420-45a9-b9cb-bdda97ac9907"&gt;10432&lt;/key&gt;&lt;/foreign-keys&gt;&lt;ref-type name="Journal Article"&gt;17&lt;/ref-type&gt;&lt;contributors&gt;&lt;authors&gt;&lt;author&gt;Matteson, Jamie&lt;/author&gt;&lt;author&gt;Sciortino, Stanley&lt;/author&gt;&lt;author&gt;Feuchtbaum, Lisa&lt;/author&gt;&lt;author&gt;Bishop, Tracey&lt;/author&gt;&lt;author&gt;Olney, Richard S.&lt;/author&gt;&lt;author&gt;Tang, Hao&lt;/author&gt;&lt;/authors&gt;&lt;/contributors&gt;&lt;titles&gt;&lt;title&gt;Adrenoleukodystrophy Newborn Screening in California Since 2016: Programmatic Outcomes and Follow-Up&lt;/title&gt;&lt;secondary-title&gt;International Journal of Neonatal Screening&lt;/secondary-title&gt;&lt;/titles&gt;&lt;periodical&gt;&lt;full-title&gt;International Journal of Neonatal Screening&lt;/full-title&gt;&lt;/periodical&gt;&lt;volume&gt;7&lt;/volume&gt;&lt;number&gt;2&lt;/number&gt;&lt;section&gt;22&lt;/section&gt;&lt;dates&gt;&lt;year&gt;2021&lt;/year&gt;&lt;/dates&gt;&lt;isbn&gt;2409-515X&lt;/isbn&gt;&lt;urls&gt;&lt;/urls&gt;&lt;electronic-resource-num&gt;10.3390/ijns7020022&lt;/electronic-resource-num&gt;&lt;/record&gt;&lt;/Cite&gt;&lt;/EndNote&gt;</w:instrText>
            </w:r>
            <w:r w:rsidRPr="00D02565">
              <w:rPr>
                <w:rFonts w:ascii="Arial Narrow" w:hAnsi="Arial Narrow"/>
              </w:rPr>
              <w:fldChar w:fldCharType="separate"/>
            </w:r>
            <w:r w:rsidRPr="00D02565">
              <w:rPr>
                <w:rFonts w:ascii="Arial Narrow" w:hAnsi="Arial Narrow"/>
                <w:noProof/>
              </w:rPr>
              <w:t>(Matteson et al., 2021)</w:t>
            </w:r>
            <w:r w:rsidRPr="00D02565">
              <w:rPr>
                <w:rFonts w:ascii="Arial Narrow" w:hAnsi="Arial Narrow"/>
              </w:rPr>
              <w:fldChar w:fldCharType="end"/>
            </w:r>
          </w:p>
          <w:p w14:paraId="0A9FAF86" w14:textId="77777777" w:rsidR="00E62C96" w:rsidRPr="00D02565" w:rsidRDefault="00E62C96" w:rsidP="00C25359">
            <w:pPr>
              <w:spacing w:before="0" w:after="0"/>
              <w:rPr>
                <w:rFonts w:ascii="Arial Narrow" w:hAnsi="Arial Narrow"/>
              </w:rPr>
            </w:pPr>
            <w:r w:rsidRPr="00D02565">
              <w:rPr>
                <w:rFonts w:ascii="Arial Narrow" w:hAnsi="Arial Narrow"/>
              </w:rPr>
              <w:t xml:space="preserve">Test accuracy of NBS screening tests (FIA-MS/MS, HPLC-MS/MS) based on </w:t>
            </w:r>
            <w:r w:rsidRPr="00D02565">
              <w:rPr>
                <w:rFonts w:ascii="Arial Narrow" w:hAnsi="Arial Narrow"/>
              </w:rPr>
              <w:fldChar w:fldCharType="begin">
                <w:fldData xml:space="preserve">PEVuZE5vdGU+PENpdGU+PEF1dGhvcj5OYXRhcmFqYW48L0F1dGhvcj48WWVhcj4yMDE4PC9ZZWFy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</w:fldData>
              </w:fldChar>
            </w:r>
            <w:r>
              <w:rPr>
                <w:rFonts w:ascii="Arial Narrow" w:hAnsi="Arial Narrow"/>
              </w:rPr>
              <w:instrText xml:space="preserve"> ADDIN EN.CITE </w:instrText>
            </w:r>
            <w:r>
              <w:rPr>
                <w:rFonts w:ascii="Arial Narrow" w:hAnsi="Arial Narrow"/>
              </w:rPr>
              <w:fldChar w:fldCharType="begin">
                <w:fldData xml:space="preserve">PEVuZE5vdGU+PENpdGU+PEF1dGhvcj5OYXRhcmFqYW48L0F1dGhvcj48WWVhcj4yMDE4PC9ZZWFy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</w:fldData>
              </w:fldChar>
            </w:r>
            <w:r>
              <w:rPr>
                <w:rFonts w:ascii="Arial Narrow" w:hAnsi="Arial Narrow"/>
              </w:rPr>
              <w:instrText xml:space="preserve"> ADDIN EN.CITE.DATA </w:instrText>
            </w:r>
            <w:r>
              <w:rPr>
                <w:rFonts w:ascii="Arial Narrow" w:hAnsi="Arial Narrow"/>
              </w:rPr>
            </w:r>
            <w:r>
              <w:rPr>
                <w:rFonts w:ascii="Arial Narrow" w:hAnsi="Arial Narrow"/>
              </w:rPr>
              <w:fldChar w:fldCharType="end"/>
            </w:r>
            <w:r w:rsidRPr="00D02565">
              <w:rPr>
                <w:rFonts w:ascii="Arial Narrow" w:hAnsi="Arial Narrow"/>
              </w:rPr>
            </w:r>
            <w:r w:rsidRPr="00D02565">
              <w:rPr>
                <w:rFonts w:ascii="Arial Narrow" w:hAnsi="Arial Narrow"/>
              </w:rPr>
              <w:fldChar w:fldCharType="separate"/>
            </w:r>
            <w:r w:rsidRPr="00D02565">
              <w:rPr>
                <w:rFonts w:ascii="Arial Narrow" w:hAnsi="Arial Narrow"/>
                <w:noProof/>
              </w:rPr>
              <w:t>(Natarajan et al., 2018)</w:t>
            </w:r>
            <w:r w:rsidRPr="00D02565">
              <w:rPr>
                <w:rFonts w:ascii="Arial Narrow" w:hAnsi="Arial Narrow"/>
              </w:rPr>
              <w:fldChar w:fldCharType="end"/>
            </w:r>
            <w:r w:rsidRPr="00D02565">
              <w:rPr>
                <w:rFonts w:ascii="Arial Narrow" w:hAnsi="Arial Narrow"/>
              </w:rPr>
              <w:t xml:space="preserve">, </w:t>
            </w:r>
            <w:r w:rsidRPr="00D02565">
              <w:rPr>
                <w:rFonts w:ascii="Arial Narrow" w:hAnsi="Arial Narrow"/>
              </w:rPr>
              <w:fldChar w:fldCharType="begin">
                <w:fldData xml:space="preserve">PEVuZE5vdGU+PENpdGU+PEF1dGhvcj5OYXRhcmFqYW48L0F1dGhvcj48WWVhcj4yMDE5PC9ZZWFy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=
</w:fldData>
              </w:fldChar>
            </w:r>
            <w:r>
              <w:rPr>
                <w:rFonts w:ascii="Arial Narrow" w:hAnsi="Arial Narrow"/>
              </w:rPr>
              <w:instrText xml:space="preserve"> ADDIN EN.CITE </w:instrText>
            </w:r>
            <w:r>
              <w:rPr>
                <w:rFonts w:ascii="Arial Narrow" w:hAnsi="Arial Narrow"/>
              </w:rPr>
              <w:fldChar w:fldCharType="begin">
                <w:fldData xml:space="preserve">PEVuZE5vdGU+PENpdGU+PEF1dGhvcj5OYXRhcmFqYW48L0F1dGhvcj48WWVhcj4yMDE5PC9ZZWFy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=
</w:fldData>
              </w:fldChar>
            </w:r>
            <w:r>
              <w:rPr>
                <w:rFonts w:ascii="Arial Narrow" w:hAnsi="Arial Narrow"/>
              </w:rPr>
              <w:instrText xml:space="preserve"> ADDIN EN.CITE.DATA </w:instrText>
            </w:r>
            <w:r>
              <w:rPr>
                <w:rFonts w:ascii="Arial Narrow" w:hAnsi="Arial Narrow"/>
              </w:rPr>
            </w:r>
            <w:r>
              <w:rPr>
                <w:rFonts w:ascii="Arial Narrow" w:hAnsi="Arial Narrow"/>
              </w:rPr>
              <w:fldChar w:fldCharType="end"/>
            </w:r>
            <w:r w:rsidRPr="00D02565">
              <w:rPr>
                <w:rFonts w:ascii="Arial Narrow" w:hAnsi="Arial Narrow"/>
              </w:rPr>
            </w:r>
            <w:r w:rsidRPr="00D02565">
              <w:rPr>
                <w:rFonts w:ascii="Arial Narrow" w:hAnsi="Arial Narrow"/>
              </w:rPr>
              <w:fldChar w:fldCharType="separate"/>
            </w:r>
            <w:r w:rsidRPr="00D02565">
              <w:rPr>
                <w:rFonts w:ascii="Arial Narrow" w:hAnsi="Arial Narrow"/>
                <w:noProof/>
              </w:rPr>
              <w:t>(Natarajan et al., 2019)</w:t>
            </w:r>
            <w:r w:rsidRPr="00D02565">
              <w:rPr>
                <w:rFonts w:ascii="Arial Narrow" w:hAnsi="Arial Narrow"/>
              </w:rPr>
              <w:fldChar w:fldCharType="end"/>
            </w:r>
            <w:r w:rsidRPr="00D02565">
              <w:rPr>
                <w:rFonts w:ascii="Arial Narrow" w:hAnsi="Arial Narrow"/>
              </w:rPr>
              <w:t>.</w:t>
            </w:r>
          </w:p>
          <w:p w14:paraId="2B1D5D8E" w14:textId="77777777" w:rsidR="00E62C96" w:rsidRPr="00D02565" w:rsidRDefault="00E62C96" w:rsidP="00C25359">
            <w:pPr>
              <w:spacing w:before="0" w:after="0"/>
              <w:rPr>
                <w:rFonts w:ascii="Arial Narrow" w:hAnsi="Arial Narrow"/>
              </w:rPr>
            </w:pPr>
            <w:r w:rsidRPr="00D02565">
              <w:rPr>
                <w:rFonts w:ascii="Arial Narrow" w:hAnsi="Arial Narrow"/>
              </w:rPr>
              <w:t xml:space="preserve">Test accuracy of </w:t>
            </w:r>
            <w:r w:rsidRPr="00D02565">
              <w:rPr>
                <w:rFonts w:ascii="Arial Narrow" w:hAnsi="Arial Narrow"/>
                <w:i/>
              </w:rPr>
              <w:t>ABCD1</w:t>
            </w:r>
            <w:r w:rsidRPr="00D02565">
              <w:rPr>
                <w:rFonts w:ascii="Arial Narrow" w:hAnsi="Arial Narrow"/>
              </w:rPr>
              <w:t xml:space="preserve"> genetic tests was assumed to be 100% (sensitivity/specificity).</w:t>
            </w:r>
          </w:p>
          <w:p w14:paraId="209ADB11" w14:textId="77777777" w:rsidR="00E62C96" w:rsidRPr="00D02565" w:rsidRDefault="00E62C96" w:rsidP="00C25359">
            <w:pPr>
              <w:spacing w:before="0" w:after="0"/>
              <w:rPr>
                <w:rFonts w:ascii="Arial Narrow" w:hAnsi="Arial Narrow"/>
              </w:rPr>
            </w:pPr>
            <w:r w:rsidRPr="00D02565">
              <w:rPr>
                <w:rFonts w:ascii="Arial Narrow" w:hAnsi="Arial Narrow"/>
              </w:rPr>
              <w:t xml:space="preserve">Probability of developing CALD and AMN, by age and gender </w:t>
            </w:r>
            <w:r w:rsidRPr="00D02565">
              <w:rPr>
                <w:rFonts w:ascii="Arial Narrow" w:hAnsi="Arial Narrow"/>
              </w:rPr>
              <w:fldChar w:fldCharType="begin"/>
            </w:r>
            <w:r>
              <w:rPr>
                <w:rFonts w:ascii="Arial Narrow" w:hAnsi="Arial Narrow"/>
              </w:rPr>
              <w:instrText xml:space="preserve"> ADDIN EN.CITE &lt;EndNote&gt;&lt;Cite&gt;&lt;Author&gt;Turk&lt;/Author&gt;&lt;Year&gt;2020&lt;/Year&gt;&lt;RecNum&gt;10427&lt;/RecNum&gt;&lt;DisplayText&gt;(Turk et al., 2020)&lt;/DisplayText&gt;&lt;record&gt;&lt;rec-number&gt;10427&lt;/rec-number&gt;&lt;foreign-keys&gt;&lt;key app="EN" db-id="tsrzaf52df25wce2a0sp9wpk5vs9rszppzxw" timestamp="1677208312" guid="59993e49-2644-414c-afad-77d4bcc5d877"&gt;10427&lt;/key&gt;&lt;/foreign-keys&gt;&lt;ref-type name="Journal Article"&gt;17&lt;/ref-type&gt;&lt;contributors&gt;&lt;authors&gt;&lt;author&gt;Turk, Bela R.&lt;/author&gt;&lt;author&gt;Theda, Christiane&lt;/author&gt;&lt;author&gt;Fatemi, Ali&lt;/author&gt;&lt;author&gt;Moser, Ann B.&lt;/author&gt;&lt;/authors&gt;&lt;/contributors&gt;&lt;titles&gt;&lt;title&gt;X</w:instrText>
            </w:r>
            <w:r>
              <w:rPr>
                <w:rFonts w:ascii="Cambria Math" w:hAnsi="Cambria Math" w:cs="Cambria Math"/>
              </w:rPr>
              <w:instrText>‐</w:instrText>
            </w:r>
            <w:r>
              <w:rPr>
                <w:rFonts w:ascii="Arial Narrow" w:hAnsi="Arial Narrow"/>
              </w:rPr>
              <w:instrText>linked adrenoleukodystrophy: Pathology, pathophysiology, diagnostic testing, newborn screening and therapies&lt;/title&gt;&lt;secondary-title&gt;International Journal of Developmental Neuroscience&lt;/secondary-title&gt;&lt;/titles&gt;&lt;periodical&gt;&lt;full-title&gt;International Journal of Developmental Neuroscience&lt;/full-title&gt;&lt;/periodical&gt;&lt;pages&gt;52-72&lt;/pages&gt;&lt;volume&gt;80&lt;/volume&gt;&lt;number&gt;1&lt;/number&gt;&lt;section&gt;52&lt;/section&gt;&lt;dates&gt;&lt;year&gt;2020&lt;/year&gt;&lt;/dates&gt;&lt;isbn&gt;0736-5748&amp;#xD;1873-474X&lt;/isbn&gt;&lt;urls&gt;&lt;/urls&gt;&lt;electronic-resource-num&gt;10.1002/jdn.10003&lt;/electronic-resource-num&gt;&lt;/record&gt;&lt;/Cite&gt;&lt;/EndNote&gt;</w:instrText>
            </w:r>
            <w:r w:rsidRPr="00D02565">
              <w:rPr>
                <w:rFonts w:ascii="Arial Narrow" w:hAnsi="Arial Narrow"/>
              </w:rPr>
              <w:fldChar w:fldCharType="separate"/>
            </w:r>
            <w:r w:rsidRPr="00D02565">
              <w:rPr>
                <w:rFonts w:ascii="Arial Narrow" w:hAnsi="Arial Narrow"/>
                <w:noProof/>
              </w:rPr>
              <w:t>(Turk et al., 2020)</w:t>
            </w:r>
            <w:r w:rsidRPr="00D02565">
              <w:rPr>
                <w:rFonts w:ascii="Arial Narrow" w:hAnsi="Arial Narrow"/>
              </w:rPr>
              <w:fldChar w:fldCharType="end"/>
            </w:r>
            <w:r w:rsidRPr="00D02565">
              <w:rPr>
                <w:rFonts w:ascii="Arial Narrow" w:hAnsi="Arial Narrow"/>
              </w:rPr>
              <w:t>.</w:t>
            </w:r>
          </w:p>
          <w:p w14:paraId="6FD2E3C7" w14:textId="44A128FF" w:rsidR="00E62C96" w:rsidRPr="00D02565" w:rsidRDefault="00E62C96" w:rsidP="00C25359">
            <w:pPr>
              <w:spacing w:before="0" w:after="0"/>
              <w:rPr>
                <w:rFonts w:ascii="Arial Narrow" w:hAnsi="Arial Narrow"/>
              </w:rPr>
            </w:pPr>
            <w:r w:rsidRPr="00D02565">
              <w:rPr>
                <w:rFonts w:ascii="Arial Narrow" w:hAnsi="Arial Narrow"/>
              </w:rPr>
              <w:t xml:space="preserve">Probability of developing AI by age and gender </w:t>
            </w:r>
            <w:r w:rsidRPr="00D02565">
              <w:rPr>
                <w:rFonts w:ascii="Arial Narrow" w:hAnsi="Arial Narrow"/>
              </w:rPr>
              <w:fldChar w:fldCharType="begin"/>
            </w:r>
            <w:r>
              <w:rPr>
                <w:rFonts w:ascii="Arial Narrow" w:hAnsi="Arial Narrow"/>
              </w:rPr>
              <w:instrText xml:space="preserve"> ADDIN EN.CITE &lt;EndNote&gt;&lt;Cite&gt;&lt;Author&gt;Huffnagel&lt;/Author&gt;&lt;Year&gt;2019&lt;/Year&gt;&lt;RecNum&gt;10436&lt;/RecNum&gt;&lt;DisplayText&gt;(Huffnagel et al., 2019)&lt;/DisplayText&gt;&lt;record&gt;&lt;rec-number&gt;10436&lt;/rec-number&gt;&lt;foreign-keys&gt;&lt;key app="EN" db-id="tsrzaf52df25wce2a0sp9wpk5vs9rszppzxw" timestamp="1677208333" guid="ae411a10-1ccd-49c7-a2da-72589bcdeb8f"&gt;10436&lt;/key&gt;&lt;/foreign-keys&gt;&lt;ref-type name="Journal Article"&gt;17&lt;/ref-type&gt;&lt;contributors&gt;&lt;authors&gt;&lt;author&gt;Huffnagel, Irene C.&lt;/author&gt;&lt;author&gt;Laheji, Fiza K.&lt;/author&gt;&lt;author&gt;Aziz-Bose, Razina&lt;/author&gt;&lt;author&gt;Tritos, Nicholas A.&lt;/author&gt;&lt;author&gt;Marino, Rose&lt;/author&gt;&lt;author&gt;Linthorst, Gabor E.&lt;/author&gt;&lt;author&gt;Kemp, Stephan&lt;/author&gt;&lt;author&gt;Engelen, Marc&lt;/author&gt;&lt;author&gt;Eichler, Florian&lt;/author&gt;&lt;/authors&gt;&lt;/contributors&gt;&lt;titles&gt;&lt;title&gt;The Natural History of Adrenal Insufficiency in X-Linked Adrenoleukodystrophy: An International Collaboration&lt;/title&gt;&lt;secondary-title&gt;The Journal of Clinical Endocrinology &amp;amp; Metabolism&lt;/secondary-title&gt;&lt;/titles&gt;&lt;periodical&gt;&lt;full-title&gt;The Journal of Clinical Endocrinology &amp;amp; Metabolism&lt;/full-title&gt;&lt;/periodical&gt;&lt;pages&gt;118-126&lt;/pages&gt;&lt;volume&gt;104&lt;/volume&gt;&lt;number&gt;1&lt;/number&gt;&lt;section&gt;118&lt;/section&gt;&lt;dates&gt;&lt;year&gt;2019&lt;/year&gt;&lt;/dates&gt;&lt;isbn&gt;0021-972X&amp;#xD;1945-7197&lt;/isbn&gt;&lt;urls&gt;&lt;/urls&gt;&lt;electronic-resource-num&gt;10.1210/jc.2018-01307&lt;/electronic-resource-num&gt;&lt;/record&gt;&lt;/Cite&gt;&lt;/EndNote&gt;</w:instrText>
            </w:r>
            <w:r w:rsidRPr="00D02565">
              <w:rPr>
                <w:rFonts w:ascii="Arial Narrow" w:hAnsi="Arial Narrow"/>
              </w:rPr>
              <w:fldChar w:fldCharType="separate"/>
            </w:r>
            <w:r w:rsidRPr="00D02565">
              <w:rPr>
                <w:rFonts w:ascii="Arial Narrow" w:hAnsi="Arial Narrow"/>
                <w:noProof/>
              </w:rPr>
              <w:t>(Huffnagel et al., 2019)</w:t>
            </w:r>
            <w:r w:rsidRPr="00D02565">
              <w:rPr>
                <w:rFonts w:ascii="Arial Narrow" w:hAnsi="Arial Narrow"/>
              </w:rPr>
              <w:fldChar w:fldCharType="end"/>
            </w:r>
            <w:r w:rsidRPr="00D02565">
              <w:rPr>
                <w:rFonts w:ascii="Arial Narrow" w:hAnsi="Arial Narrow"/>
              </w:rPr>
              <w:t>.</w:t>
            </w:r>
          </w:p>
          <w:p w14:paraId="087949E0" w14:textId="77777777" w:rsidR="00E62C96" w:rsidRPr="00D02565" w:rsidRDefault="00E62C96" w:rsidP="00C25359">
            <w:pPr>
              <w:spacing w:before="0" w:after="0"/>
              <w:rPr>
                <w:rFonts w:ascii="Arial Narrow" w:hAnsi="Arial Narrow"/>
              </w:rPr>
            </w:pPr>
            <w:r w:rsidRPr="00D02565">
              <w:rPr>
                <w:rFonts w:ascii="Arial Narrow" w:hAnsi="Arial Narrow"/>
              </w:rPr>
              <w:t xml:space="preserve">Probability of death (no HSCT, HSCT) </w:t>
            </w:r>
            <w:r w:rsidRPr="00D02565">
              <w:rPr>
                <w:rFonts w:ascii="Arial Narrow" w:hAnsi="Arial Narrow"/>
              </w:rPr>
              <w:fldChar w:fldCharType="begin"/>
            </w:r>
            <w:r>
              <w:rPr>
                <w:rFonts w:ascii="Arial Narrow" w:hAnsi="Arial Narrow"/>
              </w:rPr>
              <w:instrText xml:space="preserve"> ADDIN EN.CITE &lt;EndNote&gt;&lt;Cite&gt;&lt;Author&gt;Raymond&lt;/Author&gt;&lt;Year&gt;2019&lt;/Year&gt;&lt;RecNum&gt;10424&lt;/RecNum&gt;&lt;DisplayText&gt;(Raymond et al., 2019)&lt;/DisplayText&gt;&lt;record&gt;&lt;rec-number&gt;10424&lt;/rec-number&gt;&lt;foreign-keys&gt;&lt;key app="EN" db-id="tsrzaf52df25wce2a0sp9wpk5vs9rszppzxw" timestamp="1677208310" guid="3268f8ac-a7d0-41f0-afe8-eed256d14f97"&gt;10424&lt;/key&gt;&lt;/foreign-keys&gt;&lt;ref-type name="Journal Article"&gt;17&lt;/ref-type&gt;&lt;contributors&gt;&lt;authors&gt;&lt;author&gt;Raymond, Gerald V.&lt;/author&gt;&lt;author&gt;Aubourg, Patrick&lt;/author&gt;&lt;author&gt;Paker, Asif&lt;/author&gt;&lt;author&gt;Escolar, Maria&lt;/author&gt;&lt;author&gt;Fischer, Alain&lt;/author&gt;&lt;author&gt;Blanche, Stephane&lt;/author&gt;&lt;author&gt;Baruchel, André&lt;/author&gt;&lt;author&gt;Dalle, Jean-Hugues&lt;/author&gt;&lt;author&gt;Michel, Gérard&lt;/author&gt;&lt;author&gt;Prasad, Vinod&lt;/author&gt;&lt;author&gt;Miller, Weston&lt;/author&gt;&lt;author&gt;Paadre, Susan&lt;/author&gt;&lt;author&gt;Balser, John&lt;/author&gt;&lt;author&gt;Kurtzberg, Joanne&lt;/author&gt;&lt;author&gt;Nascene, David R.&lt;/author&gt;&lt;author&gt;Orchard, Paul J.&lt;/author&gt;&lt;author&gt;Lund, Troy&lt;/author&gt;&lt;/authors&gt;&lt;/contributors&gt;&lt;titles&gt;&lt;title&gt;Survival and Functional Outcomes in Boys with Cerebral Adrenoleukodystrophy with and without Hematopoietic Stem Cell Transplantation&lt;/title&gt;&lt;secondary-title&gt;Biology of Blood and Marrow Transplantation&lt;/secondary-title&gt;&lt;/titles&gt;&lt;periodical&gt;&lt;full-title&gt;Biology of Blood and Marrow Transplantation&lt;/full-title&gt;&lt;/periodical&gt;&lt;pages&gt;538-548&lt;/pages&gt;&lt;volume&gt;25&lt;/volume&gt;&lt;number&gt;3&lt;/number&gt;&lt;section&gt;538&lt;/section&gt;&lt;dates&gt;&lt;year&gt;2019&lt;/year&gt;&lt;/dates&gt;&lt;isbn&gt;10838791&lt;/isbn&gt;&lt;urls&gt;&lt;/urls&gt;&lt;electronic-resource-num&gt;10.1016/j.bbmt.2018.09.036&lt;/electronic-resource-num&gt;&lt;/record&gt;&lt;/Cite&gt;&lt;/EndNote&gt;</w:instrText>
            </w:r>
            <w:r w:rsidRPr="00D02565">
              <w:rPr>
                <w:rFonts w:ascii="Arial Narrow" w:hAnsi="Arial Narrow"/>
              </w:rPr>
              <w:fldChar w:fldCharType="separate"/>
            </w:r>
            <w:r w:rsidRPr="00D02565">
              <w:rPr>
                <w:rFonts w:ascii="Arial Narrow" w:hAnsi="Arial Narrow"/>
                <w:noProof/>
              </w:rPr>
              <w:t>(Raymond et al., 2019)</w:t>
            </w:r>
            <w:r w:rsidRPr="00D02565">
              <w:rPr>
                <w:rFonts w:ascii="Arial Narrow" w:hAnsi="Arial Narrow"/>
              </w:rPr>
              <w:fldChar w:fldCharType="end"/>
            </w:r>
            <w:r w:rsidRPr="00D02565">
              <w:rPr>
                <w:rFonts w:ascii="Arial Narrow" w:hAnsi="Arial Narrow"/>
              </w:rPr>
              <w:t xml:space="preserve"> </w:t>
            </w:r>
            <w:r w:rsidRPr="00D02565">
              <w:rPr>
                <w:rFonts w:ascii="Arial Narrow" w:hAnsi="Arial Narrow"/>
              </w:rPr>
              <w:fldChar w:fldCharType="begin"/>
            </w:r>
            <w:r>
              <w:rPr>
                <w:rFonts w:ascii="Arial Narrow" w:hAnsi="Arial Narrow"/>
              </w:rPr>
              <w:instrText xml:space="preserve"> ADDIN EN.CITE &lt;EndNote&gt;&lt;Cite&gt;&lt;Author&gt;Chiesa&lt;/Author&gt;&lt;Year&gt;2022&lt;/Year&gt;&lt;RecNum&gt;10449&lt;/RecNum&gt;&lt;DisplayText&gt;(Chiesa et al., 2022)&lt;/DisplayText&gt;&lt;record&gt;&lt;rec-number&gt;10449&lt;/rec-number&gt;&lt;foreign-keys&gt;&lt;key app="EN" db-id="tsrzaf52df25wce2a0sp9wpk5vs9rszppzxw" timestamp="1677208351" guid="a73e61c0-a097-46a3-b374-20f4721a584c"&gt;10449&lt;/key&gt;&lt;/foreign-keys&gt;&lt;ref-type name="Journal Article"&gt;17&lt;/ref-type&gt;&lt;contributors&gt;&lt;authors&gt;&lt;author&gt;Chiesa, Robert&lt;/author&gt;&lt;author&gt;Boelens, Jaap Jan&lt;/author&gt;&lt;author&gt;Duncan, Christine N.&lt;/author&gt;&lt;author&gt;Kühl, Jörn-Sven&lt;/author&gt;&lt;author&gt;Sevin, Caroline&lt;/author&gt;&lt;author&gt;Kapoor, Neena&lt;/author&gt;&lt;author&gt;Prasad, Vinod K.&lt;/author&gt;&lt;author&gt;Lindemans, Caroline A.&lt;/author&gt;&lt;author&gt;Jones, Simon A.&lt;/author&gt;&lt;author&gt;Amartino, Hernan M.&lt;/author&gt;&lt;author&gt;Algeri, Mattia&lt;/author&gt;&lt;author&gt;Bunin, Nancy&lt;/author&gt;&lt;author&gt;Diaz-de-Heredia, Cristina&lt;/author&gt;&lt;author&gt;Loes, Daniel J.&lt;/author&gt;&lt;author&gt;Shamir, Esther&lt;/author&gt;&lt;author&gt;Timm, Alison&lt;/author&gt;&lt;author&gt;McNeil, Elizabeth&lt;/author&gt;&lt;author&gt;Dietz, Andrew C.&lt;/author&gt;&lt;author&gt;Orchard, Paul J.&lt;/author&gt;&lt;/authors&gt;&lt;/contributors&gt;&lt;titles&gt;&lt;title&gt;Variables affecting outcomes after allogeneic hematopoietic stem cell transplant for cerebral adrenoleukodystrophy&lt;/title&gt;&lt;secondary-title&gt;Blood Advances&lt;/secondary-title&gt;&lt;/titles&gt;&lt;periodical&gt;&lt;full-title&gt;Blood Advances&lt;/full-title&gt;&lt;/periodical&gt;&lt;pages&gt;1512-1524&lt;/pages&gt;&lt;volume&gt;6&lt;/volume&gt;&lt;number&gt;5&lt;/number&gt;&lt;section&gt;1512&lt;/section&gt;&lt;dates&gt;&lt;year&gt;2022&lt;/year&gt;&lt;/dates&gt;&lt;isbn&gt;2473-9529&amp;#xD;2473-9537&lt;/isbn&gt;&lt;urls&gt;&lt;/urls&gt;&lt;electronic-resource-num&gt;10.1182/bloodadvances.2021005294&lt;/electronic-resource-num&gt;&lt;/record&gt;&lt;/Cite&gt;&lt;/EndNote&gt;</w:instrText>
            </w:r>
            <w:r w:rsidRPr="00D02565">
              <w:rPr>
                <w:rFonts w:ascii="Arial Narrow" w:hAnsi="Arial Narrow"/>
              </w:rPr>
              <w:fldChar w:fldCharType="separate"/>
            </w:r>
            <w:r w:rsidRPr="00D02565">
              <w:rPr>
                <w:rFonts w:ascii="Arial Narrow" w:hAnsi="Arial Narrow"/>
                <w:noProof/>
              </w:rPr>
              <w:t>(Chiesa et al., 2022)</w:t>
            </w:r>
            <w:r w:rsidRPr="00D02565">
              <w:rPr>
                <w:rFonts w:ascii="Arial Narrow" w:hAnsi="Arial Narrow"/>
              </w:rPr>
              <w:fldChar w:fldCharType="end"/>
            </w:r>
            <w:r w:rsidRPr="00D02565">
              <w:rPr>
                <w:rFonts w:ascii="Arial Narrow" w:hAnsi="Arial Narrow"/>
              </w:rPr>
              <w:t>.</w:t>
            </w:r>
          </w:p>
          <w:p w14:paraId="3013BE2A" w14:textId="34A4BE82" w:rsidR="00E62C96" w:rsidRPr="00D02565" w:rsidRDefault="00E62C96" w:rsidP="00C25359">
            <w:pPr>
              <w:keepNext/>
              <w:spacing w:before="40"/>
              <w:rPr>
                <w:rFonts w:ascii="Arial Narrow" w:hAnsi="Arial Narrow"/>
              </w:rPr>
            </w:pPr>
            <w:r w:rsidRPr="00D02565">
              <w:rPr>
                <w:rFonts w:ascii="Arial Narrow" w:hAnsi="Arial Narrow"/>
              </w:rPr>
              <w:t>Probability of death, no X-ALD, asymptomatic and no CALD, and post-HSCT</w:t>
            </w:r>
            <w:r w:rsidR="0017236A">
              <w:rPr>
                <w:rFonts w:ascii="Arial Narrow" w:hAnsi="Arial Narrow"/>
              </w:rPr>
              <w:t xml:space="preserve"> (</w:t>
            </w:r>
            <w:r w:rsidR="0017236A" w:rsidRPr="0017236A">
              <w:rPr>
                <w:rFonts w:ascii="Arial Narrow" w:hAnsi="Arial Narrow"/>
              </w:rPr>
              <w:t>ABS National Life Tables 2022</w:t>
            </w:r>
            <w:r w:rsidR="0017236A">
              <w:rPr>
                <w:rFonts w:ascii="Arial Narrow" w:hAnsi="Arial Narrow"/>
              </w:rPr>
              <w:t>)</w:t>
            </w:r>
          </w:p>
        </w:tc>
      </w:tr>
      <w:tr w:rsidR="00E62C96" w:rsidRPr="00D02565" w14:paraId="6F750FB5" w14:textId="77777777" w:rsidTr="00C25359">
        <w:tc>
          <w:tcPr>
            <w:tcW w:w="902" w:type="pct"/>
          </w:tcPr>
          <w:p w14:paraId="5A217418" w14:textId="77777777" w:rsidR="00E62C96" w:rsidRPr="00D02565" w:rsidRDefault="00E62C96" w:rsidP="00B24FF3">
            <w:pPr>
              <w:pStyle w:val="Tabletext0"/>
            </w:pPr>
            <w:r w:rsidRPr="00D02565">
              <w:t>Utilities</w:t>
            </w:r>
          </w:p>
        </w:tc>
        <w:tc>
          <w:tcPr>
            <w:tcW w:w="4098" w:type="pct"/>
          </w:tcPr>
          <w:p w14:paraId="506F9D3A" w14:textId="77777777" w:rsidR="00E62C96" w:rsidRPr="00D02565" w:rsidRDefault="00E62C96" w:rsidP="00C25359">
            <w:pPr>
              <w:keepNext/>
              <w:spacing w:before="0" w:after="0"/>
              <w:rPr>
                <w:rFonts w:ascii="Arial Narrow" w:hAnsi="Arial Narrow"/>
              </w:rPr>
            </w:pPr>
            <w:r w:rsidRPr="00D02565">
              <w:rPr>
                <w:rFonts w:ascii="Arial Narrow" w:hAnsi="Arial Narrow"/>
              </w:rPr>
              <w:t xml:space="preserve">Asymptomatic, by age </w:t>
            </w:r>
            <w:r w:rsidRPr="00D02565">
              <w:rPr>
                <w:rFonts w:ascii="Arial Narrow" w:hAnsi="Arial Narrow"/>
              </w:rPr>
              <w:fldChar w:fldCharType="begin">
                <w:fldData xml:space="preserve">PEVuZE5vdGU+PENpdGU+PEF1dGhvcj5NY0NhZmZyZXk8L0F1dGhvcj48WWVhcj4yMDE2PC9ZZWFy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</w:fldData>
              </w:fldChar>
            </w:r>
            <w:r>
              <w:rPr>
                <w:rFonts w:ascii="Arial Narrow" w:hAnsi="Arial Narrow"/>
              </w:rPr>
              <w:instrText xml:space="preserve"> ADDIN EN.CITE </w:instrText>
            </w:r>
            <w:r>
              <w:rPr>
                <w:rFonts w:ascii="Arial Narrow" w:hAnsi="Arial Narrow"/>
              </w:rPr>
              <w:fldChar w:fldCharType="begin">
                <w:fldData xml:space="preserve">PEVuZE5vdGU+PENpdGU+PEF1dGhvcj5NY0NhZmZyZXk8L0F1dGhvcj48WWVhcj4yMDE2PC9ZZWFy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</w:fldData>
              </w:fldChar>
            </w:r>
            <w:r>
              <w:rPr>
                <w:rFonts w:ascii="Arial Narrow" w:hAnsi="Arial Narrow"/>
              </w:rPr>
              <w:instrText xml:space="preserve"> ADDIN EN.CITE.DATA </w:instrText>
            </w:r>
            <w:r>
              <w:rPr>
                <w:rFonts w:ascii="Arial Narrow" w:hAnsi="Arial Narrow"/>
              </w:rPr>
            </w:r>
            <w:r>
              <w:rPr>
                <w:rFonts w:ascii="Arial Narrow" w:hAnsi="Arial Narrow"/>
              </w:rPr>
              <w:fldChar w:fldCharType="end"/>
            </w:r>
            <w:r w:rsidRPr="00D02565">
              <w:rPr>
                <w:rFonts w:ascii="Arial Narrow" w:hAnsi="Arial Narrow"/>
              </w:rPr>
            </w:r>
            <w:r w:rsidRPr="00D02565">
              <w:rPr>
                <w:rFonts w:ascii="Arial Narrow" w:hAnsi="Arial Narrow"/>
              </w:rPr>
              <w:fldChar w:fldCharType="separate"/>
            </w:r>
            <w:r w:rsidRPr="00D02565">
              <w:rPr>
                <w:rFonts w:ascii="Arial Narrow" w:hAnsi="Arial Narrow"/>
                <w:noProof/>
              </w:rPr>
              <w:t>(McCaffrey et al., 2016)</w:t>
            </w:r>
            <w:r w:rsidRPr="00D02565">
              <w:rPr>
                <w:rFonts w:ascii="Arial Narrow" w:hAnsi="Arial Narrow"/>
              </w:rPr>
              <w:fldChar w:fldCharType="end"/>
            </w:r>
          </w:p>
          <w:p w14:paraId="64EF9D93" w14:textId="77777777" w:rsidR="00E62C96" w:rsidRPr="00D02565" w:rsidRDefault="00E62C96" w:rsidP="00C25359">
            <w:pPr>
              <w:keepNext/>
              <w:spacing w:before="0" w:after="0"/>
              <w:rPr>
                <w:rFonts w:ascii="Arial Narrow" w:hAnsi="Arial Narrow"/>
              </w:rPr>
            </w:pPr>
            <w:r w:rsidRPr="00D02565">
              <w:rPr>
                <w:rFonts w:ascii="Arial Narrow" w:hAnsi="Arial Narrow"/>
              </w:rPr>
              <w:t xml:space="preserve">Utility decrement associated with ALD, by disease severity </w:t>
            </w:r>
            <w:r w:rsidRPr="00D02565">
              <w:rPr>
                <w:rFonts w:ascii="Arial Narrow" w:hAnsi="Arial Narrow"/>
              </w:rPr>
              <w:fldChar w:fldCharType="begin">
                <w:fldData xml:space="preserve">PEVuZE5vdGU+PENpdGU+PEF1dGhvcj5CZXNzZXk8L0F1dGhvcj48WWVhcj4yMDE4PC9ZZWFyPjxS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</w:fldData>
              </w:fldChar>
            </w:r>
            <w:r>
              <w:rPr>
                <w:rFonts w:ascii="Arial Narrow" w:hAnsi="Arial Narrow"/>
              </w:rPr>
              <w:instrText xml:space="preserve"> ADDIN EN.CITE </w:instrText>
            </w:r>
            <w:r>
              <w:rPr>
                <w:rFonts w:ascii="Arial Narrow" w:hAnsi="Arial Narrow"/>
              </w:rPr>
              <w:fldChar w:fldCharType="begin">
                <w:fldData xml:space="preserve">PEVuZE5vdGU+PENpdGU+PEF1dGhvcj5CZXNzZXk8L0F1dGhvcj48WWVhcj4yMDE4PC9ZZWFyPjxS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</w:fldData>
              </w:fldChar>
            </w:r>
            <w:r>
              <w:rPr>
                <w:rFonts w:ascii="Arial Narrow" w:hAnsi="Arial Narrow"/>
              </w:rPr>
              <w:instrText xml:space="preserve"> ADDIN EN.CITE.DATA </w:instrText>
            </w:r>
            <w:r>
              <w:rPr>
                <w:rFonts w:ascii="Arial Narrow" w:hAnsi="Arial Narrow"/>
              </w:rPr>
            </w:r>
            <w:r>
              <w:rPr>
                <w:rFonts w:ascii="Arial Narrow" w:hAnsi="Arial Narrow"/>
              </w:rPr>
              <w:fldChar w:fldCharType="end"/>
            </w:r>
            <w:r w:rsidRPr="00D02565">
              <w:rPr>
                <w:rFonts w:ascii="Arial Narrow" w:hAnsi="Arial Narrow"/>
              </w:rPr>
            </w:r>
            <w:r w:rsidRPr="00D02565">
              <w:rPr>
                <w:rFonts w:ascii="Arial Narrow" w:hAnsi="Arial Narrow"/>
              </w:rPr>
              <w:fldChar w:fldCharType="separate"/>
            </w:r>
            <w:r w:rsidRPr="00D02565">
              <w:rPr>
                <w:rFonts w:ascii="Arial Narrow" w:hAnsi="Arial Narrow"/>
                <w:noProof/>
              </w:rPr>
              <w:t>(Bessey et al., 2018)</w:t>
            </w:r>
            <w:r w:rsidRPr="00D02565">
              <w:rPr>
                <w:rFonts w:ascii="Arial Narrow" w:hAnsi="Arial Narrow"/>
              </w:rPr>
              <w:fldChar w:fldCharType="end"/>
            </w:r>
          </w:p>
          <w:p w14:paraId="577CF2A2" w14:textId="77777777" w:rsidR="00E62C96" w:rsidRPr="00D02565" w:rsidRDefault="00E62C96" w:rsidP="00C25359">
            <w:pPr>
              <w:keepNext/>
              <w:spacing w:before="40"/>
              <w:rPr>
                <w:rFonts w:ascii="Arial Narrow" w:hAnsi="Arial Narrow"/>
                <w:color w:val="258221"/>
              </w:rPr>
            </w:pPr>
            <w:r w:rsidRPr="00D02565">
              <w:rPr>
                <w:rFonts w:ascii="Arial Narrow" w:hAnsi="Arial Narrow"/>
              </w:rPr>
              <w:t xml:space="preserve">Utility decrements associated with HSCT, acute GVHD and chronic GVHD </w:t>
            </w:r>
            <w:r w:rsidRPr="00D02565">
              <w:rPr>
                <w:rFonts w:ascii="Arial Narrow" w:hAnsi="Arial Narrow"/>
              </w:rPr>
              <w:fldChar w:fldCharType="begin">
                <w:fldData xml:space="preserve">PEVuZE5vdGU+PENpdGU+PEF1dGhvcj5NYXR6YTwvQXV0aG9yPjxZZWFyPjIwMjA8L1llYXI+PFJl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</w:fldData>
              </w:fldChar>
            </w:r>
            <w:r>
              <w:rPr>
                <w:rFonts w:ascii="Arial Narrow" w:hAnsi="Arial Narrow"/>
              </w:rPr>
              <w:instrText xml:space="preserve"> ADDIN EN.CITE </w:instrText>
            </w:r>
            <w:r>
              <w:rPr>
                <w:rFonts w:ascii="Arial Narrow" w:hAnsi="Arial Narrow"/>
              </w:rPr>
              <w:fldChar w:fldCharType="begin">
                <w:fldData xml:space="preserve">PEVuZE5vdGU+PENpdGU+PEF1dGhvcj5NYXR6YTwvQXV0aG9yPjxZZWFyPjIwMjA8L1llYXI+PFJl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</w:fldData>
              </w:fldChar>
            </w:r>
            <w:r>
              <w:rPr>
                <w:rFonts w:ascii="Arial Narrow" w:hAnsi="Arial Narrow"/>
              </w:rPr>
              <w:instrText xml:space="preserve"> ADDIN EN.CITE.DATA </w:instrText>
            </w:r>
            <w:r>
              <w:rPr>
                <w:rFonts w:ascii="Arial Narrow" w:hAnsi="Arial Narrow"/>
              </w:rPr>
            </w:r>
            <w:r>
              <w:rPr>
                <w:rFonts w:ascii="Arial Narrow" w:hAnsi="Arial Narrow"/>
              </w:rPr>
              <w:fldChar w:fldCharType="end"/>
            </w:r>
            <w:r w:rsidRPr="00D02565">
              <w:rPr>
                <w:rFonts w:ascii="Arial Narrow" w:hAnsi="Arial Narrow"/>
              </w:rPr>
            </w:r>
            <w:r w:rsidRPr="00D02565">
              <w:rPr>
                <w:rFonts w:ascii="Arial Narrow" w:hAnsi="Arial Narrow"/>
              </w:rPr>
              <w:fldChar w:fldCharType="separate"/>
            </w:r>
            <w:r w:rsidRPr="00D02565">
              <w:rPr>
                <w:rFonts w:ascii="Arial Narrow" w:hAnsi="Arial Narrow"/>
                <w:noProof/>
              </w:rPr>
              <w:t>(Matza et al., 2020)</w:t>
            </w:r>
            <w:r w:rsidRPr="00D02565">
              <w:rPr>
                <w:rFonts w:ascii="Arial Narrow" w:hAnsi="Arial Narrow"/>
              </w:rPr>
              <w:fldChar w:fldCharType="end"/>
            </w:r>
          </w:p>
        </w:tc>
      </w:tr>
      <w:tr w:rsidR="00E62C96" w:rsidRPr="00D02565" w14:paraId="6CAF9696" w14:textId="77777777" w:rsidTr="00C25359">
        <w:tc>
          <w:tcPr>
            <w:tcW w:w="902" w:type="pct"/>
          </w:tcPr>
          <w:p w14:paraId="78E8914E" w14:textId="77777777" w:rsidR="00E62C96" w:rsidRPr="00D02565" w:rsidRDefault="00E62C96" w:rsidP="00B24FF3">
            <w:pPr>
              <w:pStyle w:val="Tabletext0"/>
            </w:pPr>
            <w:r w:rsidRPr="00D02565">
              <w:t>Discount rate</w:t>
            </w:r>
          </w:p>
        </w:tc>
        <w:tc>
          <w:tcPr>
            <w:tcW w:w="4098" w:type="pct"/>
          </w:tcPr>
          <w:p w14:paraId="0D1B5599" w14:textId="77777777" w:rsidR="00E62C96" w:rsidRPr="00D02565" w:rsidRDefault="00E62C96" w:rsidP="00C25359">
            <w:pPr>
              <w:keepNext/>
              <w:spacing w:before="40"/>
              <w:rPr>
                <w:rFonts w:ascii="Arial Narrow" w:hAnsi="Arial Narrow"/>
              </w:rPr>
            </w:pPr>
            <w:r w:rsidRPr="00D02565">
              <w:rPr>
                <w:rFonts w:ascii="Arial Narrow" w:hAnsi="Arial Narrow" w:cs="Courier New"/>
              </w:rPr>
              <w:t>5% for both costs and outcomes</w:t>
            </w:r>
          </w:p>
        </w:tc>
      </w:tr>
      <w:tr w:rsidR="00E62C96" w:rsidRPr="00D02565" w14:paraId="01415575" w14:textId="77777777" w:rsidTr="00C25359">
        <w:tc>
          <w:tcPr>
            <w:tcW w:w="902" w:type="pct"/>
          </w:tcPr>
          <w:p w14:paraId="2730E7B0" w14:textId="77777777" w:rsidR="00E62C96" w:rsidRPr="00D02565" w:rsidRDefault="00E62C96" w:rsidP="00B24FF3">
            <w:pPr>
              <w:pStyle w:val="Tabletext0"/>
            </w:pPr>
            <w:r w:rsidRPr="00D02565">
              <w:t>Software</w:t>
            </w:r>
          </w:p>
        </w:tc>
        <w:tc>
          <w:tcPr>
            <w:tcW w:w="4098" w:type="pct"/>
          </w:tcPr>
          <w:p w14:paraId="1A3513B2" w14:textId="77777777" w:rsidR="00E62C96" w:rsidRPr="00D02565" w:rsidRDefault="00E62C96" w:rsidP="00C25359">
            <w:pPr>
              <w:keepNext/>
              <w:spacing w:before="40"/>
              <w:rPr>
                <w:rFonts w:ascii="Arial Narrow" w:hAnsi="Arial Narrow"/>
              </w:rPr>
            </w:pPr>
            <w:r w:rsidRPr="00D02565">
              <w:rPr>
                <w:rFonts w:ascii="Arial Narrow" w:hAnsi="Arial Narrow" w:cs="Courier New"/>
              </w:rPr>
              <w:t>TreeAge Pro 2023</w:t>
            </w:r>
          </w:p>
        </w:tc>
      </w:tr>
    </w:tbl>
    <w:bookmarkEnd w:id="42"/>
    <w:p w14:paraId="4278090D" w14:textId="77777777" w:rsidR="00E62C96" w:rsidRDefault="00E62C96" w:rsidP="006D6B3A">
      <w:pPr>
        <w:tabs>
          <w:tab w:val="left" w:pos="284"/>
        </w:tabs>
        <w:spacing w:before="40" w:after="0" w:line="240" w:lineRule="auto"/>
        <w:rPr>
          <w:rFonts w:ascii="Arial Narrow" w:eastAsia="Times New Roman" w:hAnsi="Arial Narrow" w:cs="Arial"/>
          <w:snapToGrid w:val="0"/>
          <w:sz w:val="18"/>
          <w:lang w:eastAsia="en-AU"/>
        </w:rPr>
      </w:pPr>
      <w:r w:rsidRPr="00D02565">
        <w:rPr>
          <w:rFonts w:ascii="Arial Narrow" w:eastAsia="Times New Roman" w:hAnsi="Arial Narrow" w:cs="Arial"/>
          <w:snapToGrid w:val="0"/>
          <w:sz w:val="18"/>
          <w:lang w:eastAsia="en-AU"/>
        </w:rPr>
        <w:t>AI = adrenal insufficiency; ALD = adrenoleukodystrophy; AMN = adrenomyeloneuropathy; CALD = cerebral adrenoleukodystrophy; FIA=Flow-injection analysis; HPLC=high performance liquid chromatography; HSCT= haematopoietic stem cell transplantation; MS/MS=tandem mass spectrometry; NBS = Newborn Bloodspot Screening program; PICO = Population, Intervention, Comparison, Outcomes; QALY = quality-adjusted life years; X-ALD=X-linked adrenoleukodystrophy.</w:t>
      </w:r>
    </w:p>
    <w:p w14:paraId="11FFFD43" w14:textId="56D2A2C7" w:rsidR="00E62C96" w:rsidRPr="00D02565" w:rsidRDefault="00E62C96" w:rsidP="006D6B3A">
      <w:pPr>
        <w:pStyle w:val="TableFigureFooter"/>
        <w:spacing w:before="0"/>
      </w:pPr>
      <w:r>
        <w:t>Note 1: The positive diagnoses from Strategies I and Ia were not genetically confirmed.</w:t>
      </w:r>
      <w:r w:rsidR="004A362C">
        <w:br/>
        <w:t>Source: DCAR Table 7.</w:t>
      </w:r>
      <w:r>
        <w:t xml:space="preserve"> </w:t>
      </w:r>
    </w:p>
    <w:p w14:paraId="0EA1CCC9" w14:textId="5F68B388" w:rsidR="001021D8" w:rsidRDefault="009D2A8F" w:rsidP="00E62C96">
      <w:r>
        <w:t xml:space="preserve">Key assumptions </w:t>
      </w:r>
      <w:r w:rsidR="001021D8">
        <w:t xml:space="preserve">used in the economic model for </w:t>
      </w:r>
      <w:r w:rsidR="00253046">
        <w:t>NBS</w:t>
      </w:r>
      <w:r w:rsidR="001021D8">
        <w:t xml:space="preserve"> are described in </w:t>
      </w:r>
      <w:r w:rsidR="00393F98">
        <w:fldChar w:fldCharType="begin"/>
      </w:r>
      <w:r w:rsidR="00393F98">
        <w:instrText>REF _Ref130039116  \* MERGEFORMAT</w:instrText>
      </w:r>
      <w:r w:rsidR="00393F98">
        <w:fldChar w:fldCharType="separate"/>
      </w:r>
      <w:r w:rsidR="00253978" w:rsidRPr="00253978">
        <w:t>Table 9</w:t>
      </w:r>
      <w:r w:rsidR="00393F98">
        <w:fldChar w:fldCharType="end"/>
      </w:r>
      <w:r w:rsidR="001021D8">
        <w:t>.</w:t>
      </w:r>
    </w:p>
    <w:p w14:paraId="6F51E202" w14:textId="14967424" w:rsidR="001021D8" w:rsidRPr="00705AFB" w:rsidRDefault="001021D8" w:rsidP="001021D8">
      <w:pPr>
        <w:keepNext/>
        <w:spacing w:before="360" w:after="120" w:line="240" w:lineRule="auto"/>
        <w:rPr>
          <w:rFonts w:ascii="Arial Narrow" w:eastAsia="Times New Roman" w:hAnsi="Arial Narrow" w:cs="Times New Roman"/>
          <w:b/>
          <w:bCs/>
          <w:sz w:val="20"/>
          <w:szCs w:val="20"/>
        </w:rPr>
      </w:pPr>
      <w:bookmarkStart w:id="43" w:name="_Ref130039116"/>
      <w:r w:rsidRPr="00705AFB">
        <w:rPr>
          <w:rFonts w:ascii="Arial Narrow" w:eastAsia="Times New Roman" w:hAnsi="Arial Narrow" w:cs="Times New Roman"/>
          <w:b/>
          <w:bCs/>
          <w:sz w:val="20"/>
          <w:szCs w:val="20"/>
        </w:rPr>
        <w:t xml:space="preserve">Table </w:t>
      </w:r>
      <w:r w:rsidRPr="00705AFB">
        <w:rPr>
          <w:rFonts w:ascii="Arial Narrow" w:eastAsia="Times New Roman" w:hAnsi="Arial Narrow" w:cs="Times New Roman"/>
          <w:b/>
          <w:bCs/>
          <w:sz w:val="20"/>
          <w:szCs w:val="20"/>
        </w:rPr>
        <w:fldChar w:fldCharType="begin"/>
      </w:r>
      <w:r w:rsidRPr="00705AFB">
        <w:rPr>
          <w:rFonts w:ascii="Arial Narrow" w:eastAsia="Times New Roman" w:hAnsi="Arial Narrow" w:cs="Times New Roman"/>
          <w:b/>
          <w:bCs/>
          <w:sz w:val="20"/>
          <w:szCs w:val="20"/>
        </w:rPr>
        <w:instrText xml:space="preserve"> SEQ Table \* ARABIC </w:instrText>
      </w:r>
      <w:r w:rsidRPr="00705AFB">
        <w:rPr>
          <w:rFonts w:ascii="Arial Narrow" w:eastAsia="Times New Roman" w:hAnsi="Arial Narrow" w:cs="Times New Roman"/>
          <w:b/>
          <w:bCs/>
          <w:sz w:val="20"/>
          <w:szCs w:val="20"/>
        </w:rPr>
        <w:fldChar w:fldCharType="separate"/>
      </w:r>
      <w:r w:rsidR="00253978">
        <w:rPr>
          <w:rFonts w:ascii="Arial Narrow" w:eastAsia="Times New Roman" w:hAnsi="Arial Narrow" w:cs="Times New Roman"/>
          <w:b/>
          <w:bCs/>
          <w:noProof/>
          <w:sz w:val="20"/>
          <w:szCs w:val="20"/>
        </w:rPr>
        <w:t>9</w:t>
      </w:r>
      <w:r w:rsidRPr="00705AFB">
        <w:rPr>
          <w:rFonts w:ascii="Arial Narrow" w:eastAsia="Times New Roman" w:hAnsi="Arial Narrow" w:cs="Times New Roman"/>
          <w:b/>
          <w:bCs/>
          <w:noProof/>
          <w:sz w:val="20"/>
          <w:szCs w:val="20"/>
        </w:rPr>
        <w:fldChar w:fldCharType="end"/>
      </w:r>
      <w:bookmarkEnd w:id="43"/>
      <w:r w:rsidRPr="00705AFB">
        <w:rPr>
          <w:rFonts w:ascii="Arial Narrow" w:eastAsia="Times New Roman" w:hAnsi="Arial Narrow" w:cs="Times New Roman"/>
          <w:b/>
          <w:bCs/>
          <w:sz w:val="20"/>
          <w:szCs w:val="20"/>
        </w:rPr>
        <w:tab/>
        <w:t xml:space="preserve">Summary of assumptions used in the model (PICO </w:t>
      </w:r>
      <w:r>
        <w:rPr>
          <w:rFonts w:ascii="Arial Narrow" w:eastAsia="Times New Roman" w:hAnsi="Arial Narrow" w:cs="Times New Roman"/>
          <w:b/>
          <w:bCs/>
          <w:sz w:val="20"/>
          <w:szCs w:val="20"/>
        </w:rPr>
        <w:t xml:space="preserve">set </w:t>
      </w:r>
      <w:r w:rsidRPr="00705AFB">
        <w:rPr>
          <w:rFonts w:ascii="Arial Narrow" w:eastAsia="Times New Roman" w:hAnsi="Arial Narrow" w:cs="Times New Roman"/>
          <w:b/>
          <w:bCs/>
          <w:sz w:val="20"/>
          <w:szCs w:val="20"/>
        </w:rPr>
        <w:t>1)</w:t>
      </w:r>
    </w:p>
    <w:tbl>
      <w:tblPr>
        <w:tblStyle w:val="TableGrid"/>
        <w:tblW w:w="0" w:type="auto"/>
        <w:tblLook w:val="04A0" w:firstRow="1" w:lastRow="0" w:firstColumn="1" w:lastColumn="0" w:noHBand="0" w:noVBand="1"/>
      </w:tblPr>
      <w:tblGrid>
        <w:gridCol w:w="765"/>
        <w:gridCol w:w="8251"/>
      </w:tblGrid>
      <w:tr w:rsidR="001163A4" w:rsidRPr="00705AFB" w14:paraId="22D490C7" w14:textId="77777777">
        <w:trPr>
          <w:trHeight w:val="139"/>
          <w:tblHeader/>
        </w:trPr>
        <w:tc>
          <w:tcPr>
            <w:tcW w:w="0" w:type="auto"/>
            <w:tcBorders>
              <w:bottom w:val="single" w:sz="4" w:space="0" w:color="auto"/>
            </w:tcBorders>
            <w:noWrap/>
            <w:hideMark/>
          </w:tcPr>
          <w:p w14:paraId="4DF2F148" w14:textId="77777777" w:rsidR="001163A4" w:rsidRPr="00705AFB" w:rsidRDefault="001163A4" w:rsidP="004358B3">
            <w:pPr>
              <w:spacing w:before="0"/>
              <w:jc w:val="center"/>
              <w:rPr>
                <w:rFonts w:ascii="Arial Narrow" w:hAnsi="Arial Narrow"/>
                <w:b/>
                <w:bCs/>
                <w:sz w:val="20"/>
              </w:rPr>
            </w:pPr>
          </w:p>
        </w:tc>
        <w:tc>
          <w:tcPr>
            <w:tcW w:w="0" w:type="auto"/>
            <w:noWrap/>
            <w:hideMark/>
          </w:tcPr>
          <w:p w14:paraId="5DABCC96" w14:textId="6F849FCA" w:rsidR="001163A4" w:rsidRPr="00705AFB" w:rsidRDefault="001163A4" w:rsidP="004358B3">
            <w:pPr>
              <w:spacing w:before="0"/>
              <w:jc w:val="center"/>
              <w:rPr>
                <w:rFonts w:ascii="Arial Narrow" w:hAnsi="Arial Narrow"/>
                <w:b/>
                <w:bCs/>
                <w:sz w:val="20"/>
              </w:rPr>
            </w:pPr>
            <w:r w:rsidRPr="00705AFB">
              <w:rPr>
                <w:rFonts w:ascii="Arial Narrow" w:hAnsi="Arial Narrow"/>
                <w:b/>
                <w:bCs/>
                <w:sz w:val="20"/>
              </w:rPr>
              <w:t>Assumptions</w:t>
            </w:r>
          </w:p>
        </w:tc>
      </w:tr>
      <w:tr w:rsidR="001163A4" w:rsidRPr="00705AFB" w14:paraId="22387D0F" w14:textId="77777777">
        <w:trPr>
          <w:trHeight w:val="243"/>
        </w:trPr>
        <w:tc>
          <w:tcPr>
            <w:tcW w:w="0" w:type="auto"/>
            <w:vMerge w:val="restart"/>
            <w:noWrap/>
            <w:hideMark/>
          </w:tcPr>
          <w:p w14:paraId="6C92C724" w14:textId="7396A1C1" w:rsidR="001163A4" w:rsidRPr="00705AFB" w:rsidRDefault="001163A4" w:rsidP="004358B3">
            <w:pPr>
              <w:spacing w:before="0"/>
              <w:rPr>
                <w:rFonts w:ascii="Arial Narrow" w:hAnsi="Arial Narrow"/>
                <w:sz w:val="20"/>
              </w:rPr>
            </w:pPr>
            <w:r w:rsidRPr="00705AFB">
              <w:rPr>
                <w:rFonts w:ascii="Arial Narrow" w:hAnsi="Arial Narrow"/>
                <w:sz w:val="20"/>
              </w:rPr>
              <w:t>Population</w:t>
            </w:r>
          </w:p>
        </w:tc>
        <w:tc>
          <w:tcPr>
            <w:tcW w:w="0" w:type="auto"/>
            <w:hideMark/>
          </w:tcPr>
          <w:p w14:paraId="03139B46" w14:textId="548E279E" w:rsidR="001163A4" w:rsidRPr="00705AFB" w:rsidRDefault="001163A4" w:rsidP="004358B3">
            <w:pPr>
              <w:spacing w:before="0"/>
              <w:rPr>
                <w:rFonts w:ascii="Arial Narrow" w:hAnsi="Arial Narrow"/>
                <w:sz w:val="20"/>
              </w:rPr>
            </w:pPr>
            <w:r w:rsidRPr="00705AFB">
              <w:rPr>
                <w:rFonts w:ascii="Arial Narrow" w:hAnsi="Arial Narrow"/>
                <w:sz w:val="20"/>
              </w:rPr>
              <w:t>The "birth prevalence" of X-ALD (i.e., the incidence of X-ALD at birth for all newborns from Matteson 2021</w:t>
            </w:r>
            <w:r w:rsidRPr="00705AFB">
              <w:rPr>
                <w:rFonts w:ascii="Arial Narrow" w:hAnsi="Arial Narrow"/>
                <w:sz w:val="20"/>
              </w:rPr>
              <w:fldChar w:fldCharType="begin"/>
            </w:r>
            <w:r>
              <w:rPr>
                <w:rFonts w:ascii="Arial Narrow" w:hAnsi="Arial Narrow"/>
                <w:sz w:val="20"/>
              </w:rPr>
              <w:instrText xml:space="preserve"> ADDIN EN.CITE &lt;EndNote&gt;&lt;Cite&gt;&lt;Author&gt;Matteson&lt;/Author&gt;&lt;Year&gt;2021&lt;/Year&gt;&lt;RecNum&gt;10455&lt;/RecNum&gt;&lt;DisplayText&gt;(Matteson et al., 2021)&lt;/DisplayText&gt;&lt;record&gt;&lt;rec-number&gt;10455&lt;/rec-number&gt;&lt;foreign-keys&gt;&lt;key app="EN" db-id="5p0vxwpf9wzvtiews9dpt0acffet2dft2xxv" timestamp="1678787923" guid="7f7be1ff-2420-45a9-b9cb-bdda97ac9907"&gt;10455&lt;/key&gt;&lt;/foreign-keys&gt;&lt;ref-type name="Journal Article"&gt;17&lt;/ref-type&gt;&lt;contributors&gt;&lt;authors&gt;&lt;author&gt;Matteson, Jamie&lt;/author&gt;&lt;author&gt;Sciortino, Stanley&lt;/author&gt;&lt;author&gt;Feuchtbaum, Lisa&lt;/author&gt;&lt;author&gt;Bishop, Tracey&lt;/author&gt;&lt;author&gt;Olney, Richard S.&lt;/author&gt;&lt;author&gt;Tang, Hao&lt;/author&gt;&lt;/authors&gt;&lt;/contributors&gt;&lt;titles&gt;&lt;title&gt;Adrenoleukodystrophy Newborn Screening in California Since 2016: Programmatic Outcomes and Follow-Up&lt;/title&gt;&lt;secondary-title&gt;International Journal of Neonatal Screening&lt;/secondary-title&gt;&lt;/titles&gt;&lt;periodical&gt;&lt;full-title&gt;Int J Neonatal Screen&lt;/full-title&gt;&lt;abbr-1&gt;International journal of neonatal screening&lt;/abbr-1&gt;&lt;/periodical&gt;&lt;volume&gt;7&lt;/volume&gt;&lt;number&gt;2&lt;/number&gt;&lt;section&gt;22&lt;/section&gt;&lt;dates&gt;&lt;year&gt;2021&lt;/year&gt;&lt;/dates&gt;&lt;isbn&gt;2409-515X&lt;/isbn&gt;&lt;urls&gt;&lt;/urls&gt;&lt;electronic-resource-num&gt;10.3390/ijns7020022&lt;/electronic-resource-num&gt;&lt;/record&gt;&lt;/Cite&gt;&lt;/EndNote&gt;</w:instrText>
            </w:r>
            <w:r w:rsidR="00393F98">
              <w:rPr>
                <w:rFonts w:ascii="Arial Narrow" w:hAnsi="Arial Narrow"/>
                <w:sz w:val="20"/>
              </w:rPr>
              <w:fldChar w:fldCharType="separate"/>
            </w:r>
            <w:r w:rsidRPr="00705AFB">
              <w:rPr>
                <w:rFonts w:ascii="Arial Narrow" w:hAnsi="Arial Narrow"/>
                <w:sz w:val="20"/>
              </w:rPr>
              <w:fldChar w:fldCharType="end"/>
            </w:r>
            <w:r w:rsidRPr="00705AFB">
              <w:rPr>
                <w:rFonts w:ascii="Arial Narrow" w:hAnsi="Arial Narrow"/>
                <w:sz w:val="20"/>
              </w:rPr>
              <w:t xml:space="preserve"> is the same as the prevalence of X-ALD in the population in Australia.</w:t>
            </w:r>
          </w:p>
        </w:tc>
      </w:tr>
      <w:tr w:rsidR="001163A4" w:rsidRPr="00705AFB" w14:paraId="778B8BDF" w14:textId="77777777">
        <w:trPr>
          <w:trHeight w:val="149"/>
        </w:trPr>
        <w:tc>
          <w:tcPr>
            <w:tcW w:w="0" w:type="auto"/>
            <w:vMerge/>
            <w:noWrap/>
            <w:hideMark/>
          </w:tcPr>
          <w:p w14:paraId="0F7F7F58" w14:textId="77777777" w:rsidR="001163A4" w:rsidRPr="00705AFB" w:rsidRDefault="001163A4" w:rsidP="004358B3">
            <w:pPr>
              <w:spacing w:before="0"/>
              <w:rPr>
                <w:rFonts w:ascii="Arial Narrow" w:hAnsi="Arial Narrow"/>
                <w:sz w:val="20"/>
              </w:rPr>
            </w:pPr>
          </w:p>
        </w:tc>
        <w:tc>
          <w:tcPr>
            <w:tcW w:w="0" w:type="auto"/>
            <w:hideMark/>
          </w:tcPr>
          <w:p w14:paraId="0243A131" w14:textId="6CBFA73B" w:rsidR="001163A4" w:rsidRPr="00705AFB" w:rsidRDefault="001163A4" w:rsidP="004358B3">
            <w:pPr>
              <w:spacing w:before="0"/>
              <w:rPr>
                <w:rFonts w:ascii="Arial Narrow" w:hAnsi="Arial Narrow"/>
                <w:sz w:val="20"/>
              </w:rPr>
            </w:pPr>
            <w:r w:rsidRPr="00705AFB">
              <w:rPr>
                <w:rFonts w:ascii="Arial Narrow" w:hAnsi="Arial Narrow"/>
                <w:sz w:val="20"/>
              </w:rPr>
              <w:t xml:space="preserve">The "birth prevalence" of X-ALD </w:t>
            </w:r>
            <w:r>
              <w:rPr>
                <w:rFonts w:ascii="Arial Narrow" w:hAnsi="Arial Narrow"/>
                <w:sz w:val="20"/>
              </w:rPr>
              <w:t>will</w:t>
            </w:r>
            <w:r w:rsidRPr="00705AFB">
              <w:rPr>
                <w:rFonts w:ascii="Arial Narrow" w:hAnsi="Arial Narrow"/>
                <w:sz w:val="20"/>
              </w:rPr>
              <w:t xml:space="preserve"> not change over time (throughout the model duration).</w:t>
            </w:r>
          </w:p>
        </w:tc>
      </w:tr>
      <w:tr w:rsidR="001163A4" w:rsidRPr="00705AFB" w14:paraId="76A7BEE2" w14:textId="77777777">
        <w:trPr>
          <w:trHeight w:val="181"/>
        </w:trPr>
        <w:tc>
          <w:tcPr>
            <w:tcW w:w="0" w:type="auto"/>
            <w:vMerge/>
            <w:noWrap/>
            <w:hideMark/>
          </w:tcPr>
          <w:p w14:paraId="6284D6BD" w14:textId="77777777" w:rsidR="001163A4" w:rsidRPr="00705AFB" w:rsidRDefault="001163A4" w:rsidP="004358B3">
            <w:pPr>
              <w:spacing w:before="0"/>
              <w:rPr>
                <w:rFonts w:ascii="Arial Narrow" w:hAnsi="Arial Narrow"/>
                <w:sz w:val="20"/>
              </w:rPr>
            </w:pPr>
          </w:p>
        </w:tc>
        <w:tc>
          <w:tcPr>
            <w:tcW w:w="0" w:type="auto"/>
            <w:hideMark/>
          </w:tcPr>
          <w:p w14:paraId="732BE972" w14:textId="6F3BC1C0" w:rsidR="001163A4" w:rsidRPr="00705AFB" w:rsidRDefault="001163A4" w:rsidP="004358B3">
            <w:pPr>
              <w:spacing w:before="0"/>
              <w:rPr>
                <w:rFonts w:ascii="Arial Narrow" w:hAnsi="Arial Narrow"/>
                <w:sz w:val="20"/>
              </w:rPr>
            </w:pPr>
            <w:r w:rsidRPr="00705AFB">
              <w:rPr>
                <w:rFonts w:ascii="Arial Narrow" w:hAnsi="Arial Narrow"/>
                <w:sz w:val="20"/>
              </w:rPr>
              <w:t xml:space="preserve">The proportion of males among newborns </w:t>
            </w:r>
            <w:r>
              <w:rPr>
                <w:rFonts w:ascii="Arial Narrow" w:hAnsi="Arial Narrow"/>
                <w:sz w:val="20"/>
              </w:rPr>
              <w:t>will</w:t>
            </w:r>
            <w:r w:rsidRPr="00705AFB">
              <w:rPr>
                <w:rFonts w:ascii="Arial Narrow" w:hAnsi="Arial Narrow"/>
                <w:sz w:val="20"/>
              </w:rPr>
              <w:t xml:space="preserve"> remain the same over time.</w:t>
            </w:r>
          </w:p>
        </w:tc>
      </w:tr>
      <w:tr w:rsidR="001163A4" w:rsidRPr="00705AFB" w14:paraId="257A0C1E" w14:textId="77777777">
        <w:trPr>
          <w:trHeight w:val="85"/>
        </w:trPr>
        <w:tc>
          <w:tcPr>
            <w:tcW w:w="0" w:type="auto"/>
            <w:tcBorders>
              <w:bottom w:val="single" w:sz="4" w:space="0" w:color="auto"/>
            </w:tcBorders>
            <w:noWrap/>
            <w:hideMark/>
          </w:tcPr>
          <w:p w14:paraId="0638A2C2" w14:textId="41F79725" w:rsidR="001163A4" w:rsidRPr="00705AFB" w:rsidRDefault="001163A4" w:rsidP="004358B3">
            <w:pPr>
              <w:spacing w:before="0"/>
              <w:rPr>
                <w:rFonts w:ascii="Arial Narrow" w:hAnsi="Arial Narrow"/>
                <w:sz w:val="20"/>
              </w:rPr>
            </w:pPr>
            <w:r w:rsidRPr="00705AFB">
              <w:rPr>
                <w:rFonts w:ascii="Arial Narrow" w:hAnsi="Arial Narrow"/>
                <w:sz w:val="20"/>
              </w:rPr>
              <w:t>Structure</w:t>
            </w:r>
          </w:p>
        </w:tc>
        <w:tc>
          <w:tcPr>
            <w:tcW w:w="0" w:type="auto"/>
            <w:hideMark/>
          </w:tcPr>
          <w:p w14:paraId="33DC4CC6" w14:textId="79993950" w:rsidR="001163A4" w:rsidRPr="00705AFB" w:rsidRDefault="001163A4" w:rsidP="004358B3">
            <w:pPr>
              <w:spacing w:before="0"/>
              <w:rPr>
                <w:rFonts w:ascii="Arial Narrow" w:hAnsi="Arial Narrow"/>
                <w:sz w:val="20"/>
              </w:rPr>
            </w:pPr>
            <w:r w:rsidRPr="00705AFB">
              <w:rPr>
                <w:rFonts w:ascii="Arial Narrow" w:hAnsi="Arial Narrow"/>
                <w:sz w:val="20"/>
              </w:rPr>
              <w:t>The development of CALD, AI or AMN are mutually independent events.</w:t>
            </w:r>
          </w:p>
        </w:tc>
      </w:tr>
      <w:tr w:rsidR="001163A4" w:rsidRPr="00705AFB" w14:paraId="542A41D9" w14:textId="77777777">
        <w:trPr>
          <w:trHeight w:val="132"/>
        </w:trPr>
        <w:tc>
          <w:tcPr>
            <w:tcW w:w="0" w:type="auto"/>
            <w:vMerge w:val="restart"/>
            <w:noWrap/>
            <w:hideMark/>
          </w:tcPr>
          <w:p w14:paraId="72C90ED4" w14:textId="7D08CD08" w:rsidR="001163A4" w:rsidRPr="00705AFB" w:rsidRDefault="001163A4" w:rsidP="004358B3">
            <w:pPr>
              <w:spacing w:before="0"/>
              <w:rPr>
                <w:rFonts w:ascii="Arial Narrow" w:hAnsi="Arial Narrow"/>
                <w:sz w:val="20"/>
              </w:rPr>
            </w:pPr>
            <w:r w:rsidRPr="00705AFB">
              <w:rPr>
                <w:rFonts w:ascii="Arial Narrow" w:hAnsi="Arial Narrow"/>
                <w:sz w:val="20"/>
              </w:rPr>
              <w:t>Parameters</w:t>
            </w:r>
          </w:p>
        </w:tc>
        <w:tc>
          <w:tcPr>
            <w:tcW w:w="0" w:type="auto"/>
            <w:hideMark/>
          </w:tcPr>
          <w:p w14:paraId="7B24F725" w14:textId="33E4FCF5" w:rsidR="001163A4" w:rsidRPr="00705AFB" w:rsidRDefault="001163A4" w:rsidP="004358B3">
            <w:pPr>
              <w:spacing w:before="0"/>
              <w:rPr>
                <w:rFonts w:ascii="Arial Narrow" w:hAnsi="Arial Narrow"/>
                <w:sz w:val="20"/>
              </w:rPr>
            </w:pPr>
            <w:r w:rsidRPr="00705AFB">
              <w:rPr>
                <w:rFonts w:ascii="Arial Narrow" w:hAnsi="Arial Narrow"/>
                <w:sz w:val="20"/>
              </w:rPr>
              <w:t>There is no difference in the uptake of NBS under the current or proposed policy.</w:t>
            </w:r>
          </w:p>
        </w:tc>
      </w:tr>
      <w:tr w:rsidR="001163A4" w:rsidRPr="00705AFB" w14:paraId="1362E1E4" w14:textId="77777777">
        <w:trPr>
          <w:trHeight w:val="70"/>
        </w:trPr>
        <w:tc>
          <w:tcPr>
            <w:tcW w:w="0" w:type="auto"/>
            <w:vMerge/>
            <w:noWrap/>
            <w:hideMark/>
          </w:tcPr>
          <w:p w14:paraId="1EE8DAEF" w14:textId="77777777" w:rsidR="001163A4" w:rsidRPr="00705AFB" w:rsidRDefault="001163A4" w:rsidP="004358B3">
            <w:pPr>
              <w:spacing w:before="0"/>
              <w:rPr>
                <w:rFonts w:ascii="Arial Narrow" w:hAnsi="Arial Narrow"/>
                <w:sz w:val="20"/>
              </w:rPr>
            </w:pPr>
          </w:p>
        </w:tc>
        <w:tc>
          <w:tcPr>
            <w:tcW w:w="0" w:type="auto"/>
            <w:hideMark/>
          </w:tcPr>
          <w:p w14:paraId="7DB13C4A" w14:textId="2FEFD5C6" w:rsidR="001163A4" w:rsidRPr="00705AFB" w:rsidRDefault="001163A4" w:rsidP="004358B3">
            <w:pPr>
              <w:spacing w:before="0"/>
              <w:rPr>
                <w:rFonts w:ascii="Arial Narrow" w:hAnsi="Arial Narrow"/>
                <w:sz w:val="20"/>
              </w:rPr>
            </w:pPr>
            <w:r w:rsidRPr="00705AFB">
              <w:rPr>
                <w:rFonts w:ascii="Arial Narrow" w:hAnsi="Arial Narrow"/>
                <w:sz w:val="20"/>
              </w:rPr>
              <w:t>There is no difference in the uptake of NBS for X-ALD across screening strategies.</w:t>
            </w:r>
          </w:p>
        </w:tc>
      </w:tr>
      <w:tr w:rsidR="001163A4" w:rsidRPr="00705AFB" w14:paraId="652841AD" w14:textId="77777777">
        <w:trPr>
          <w:trHeight w:val="81"/>
        </w:trPr>
        <w:tc>
          <w:tcPr>
            <w:tcW w:w="0" w:type="auto"/>
            <w:vMerge/>
            <w:noWrap/>
            <w:hideMark/>
          </w:tcPr>
          <w:p w14:paraId="2D2D0C3B" w14:textId="77777777" w:rsidR="001163A4" w:rsidRPr="00705AFB" w:rsidRDefault="001163A4" w:rsidP="004358B3">
            <w:pPr>
              <w:spacing w:before="0"/>
              <w:rPr>
                <w:rFonts w:ascii="Arial Narrow" w:hAnsi="Arial Narrow"/>
                <w:sz w:val="20"/>
              </w:rPr>
            </w:pPr>
          </w:p>
        </w:tc>
        <w:tc>
          <w:tcPr>
            <w:tcW w:w="0" w:type="auto"/>
            <w:hideMark/>
          </w:tcPr>
          <w:p w14:paraId="072658C5" w14:textId="4C492569" w:rsidR="001163A4" w:rsidRPr="00705AFB" w:rsidRDefault="001163A4" w:rsidP="004358B3">
            <w:pPr>
              <w:spacing w:before="0"/>
              <w:rPr>
                <w:rFonts w:ascii="Arial Narrow" w:hAnsi="Arial Narrow"/>
                <w:sz w:val="20"/>
              </w:rPr>
            </w:pPr>
            <w:r w:rsidRPr="00705AFB">
              <w:rPr>
                <w:rFonts w:ascii="Arial Narrow" w:hAnsi="Arial Narrow"/>
                <w:sz w:val="20"/>
              </w:rPr>
              <w:t>There is no loss to follow-up after diagnosis of X-ALD (biochemical or genetic).</w:t>
            </w:r>
          </w:p>
        </w:tc>
      </w:tr>
      <w:tr w:rsidR="001163A4" w:rsidRPr="00705AFB" w14:paraId="028555D5" w14:textId="77777777">
        <w:trPr>
          <w:trHeight w:val="114"/>
        </w:trPr>
        <w:tc>
          <w:tcPr>
            <w:tcW w:w="0" w:type="auto"/>
            <w:vMerge/>
            <w:noWrap/>
            <w:hideMark/>
          </w:tcPr>
          <w:p w14:paraId="6D614A42" w14:textId="77777777" w:rsidR="001163A4" w:rsidRPr="00705AFB" w:rsidRDefault="001163A4" w:rsidP="004358B3">
            <w:pPr>
              <w:spacing w:before="0"/>
              <w:rPr>
                <w:rFonts w:ascii="Arial Narrow" w:hAnsi="Arial Narrow"/>
                <w:i/>
                <w:iCs/>
                <w:sz w:val="20"/>
              </w:rPr>
            </w:pPr>
          </w:p>
        </w:tc>
        <w:tc>
          <w:tcPr>
            <w:tcW w:w="0" w:type="auto"/>
            <w:hideMark/>
          </w:tcPr>
          <w:p w14:paraId="5DDD013C" w14:textId="5E152CB7" w:rsidR="001163A4" w:rsidRPr="00705AFB" w:rsidRDefault="001163A4" w:rsidP="004358B3">
            <w:pPr>
              <w:spacing w:before="0"/>
              <w:rPr>
                <w:rFonts w:ascii="Arial Narrow" w:hAnsi="Arial Narrow"/>
                <w:sz w:val="20"/>
              </w:rPr>
            </w:pPr>
            <w:r w:rsidRPr="00705AFB">
              <w:rPr>
                <w:rFonts w:ascii="Arial Narrow" w:hAnsi="Arial Narrow"/>
                <w:i/>
                <w:iCs/>
                <w:sz w:val="20"/>
              </w:rPr>
              <w:t>ABCD1</w:t>
            </w:r>
            <w:r w:rsidRPr="00705AFB">
              <w:rPr>
                <w:rFonts w:ascii="Arial Narrow" w:hAnsi="Arial Narrow"/>
                <w:sz w:val="20"/>
              </w:rPr>
              <w:t xml:space="preserve"> genetic test is assumed to have 100% sensitivity and 100% specificity</w:t>
            </w:r>
            <w:r>
              <w:rPr>
                <w:rFonts w:ascii="Arial Narrow" w:hAnsi="Arial Narrow"/>
                <w:sz w:val="20"/>
              </w:rPr>
              <w:t xml:space="preserve"> </w:t>
            </w:r>
            <w:r w:rsidRPr="006A5645">
              <w:rPr>
                <w:rFonts w:ascii="Arial Narrow" w:hAnsi="Arial Narrow"/>
                <w:i/>
                <w:iCs/>
                <w:color w:val="0070C0"/>
                <w:sz w:val="20"/>
              </w:rPr>
              <w:t xml:space="preserve">(compared to </w:t>
            </w:r>
            <w:r w:rsidRPr="00D330AB">
              <w:rPr>
                <w:rFonts w:ascii="Arial Narrow" w:hAnsi="Arial Narrow"/>
                <w:i/>
                <w:iCs/>
                <w:color w:val="0070C0"/>
                <w:sz w:val="20"/>
              </w:rPr>
              <w:t>FIA-MS/MS</w:t>
            </w:r>
            <w:r w:rsidRPr="00071D3A">
              <w:rPr>
                <w:rFonts w:ascii="Arial Narrow" w:hAnsi="Arial Narrow"/>
                <w:i/>
                <w:iCs/>
                <w:color w:val="0070C0"/>
                <w:sz w:val="20"/>
              </w:rPr>
              <w:t xml:space="preserve"> </w:t>
            </w:r>
            <w:r w:rsidRPr="006A5645">
              <w:rPr>
                <w:rFonts w:ascii="Arial Narrow" w:hAnsi="Arial Narrow"/>
                <w:i/>
                <w:iCs/>
                <w:color w:val="0070C0"/>
                <w:sz w:val="20"/>
              </w:rPr>
              <w:t xml:space="preserve">100% sensitivity and 78.33% specificity, and </w:t>
            </w:r>
            <w:r w:rsidRPr="00FB2915">
              <w:rPr>
                <w:rFonts w:ascii="Arial Narrow" w:hAnsi="Arial Narrow"/>
                <w:i/>
                <w:iCs/>
                <w:color w:val="0070C0"/>
                <w:sz w:val="20"/>
              </w:rPr>
              <w:t>HPLC-MS/MS</w:t>
            </w:r>
            <w:r w:rsidRPr="00071D3A">
              <w:rPr>
                <w:rFonts w:ascii="Arial Narrow" w:hAnsi="Arial Narrow"/>
                <w:i/>
                <w:iCs/>
                <w:color w:val="0070C0"/>
                <w:sz w:val="20"/>
              </w:rPr>
              <w:t xml:space="preserve"> </w:t>
            </w:r>
            <w:r w:rsidRPr="006A5645">
              <w:rPr>
                <w:rFonts w:ascii="Arial Narrow" w:hAnsi="Arial Narrow"/>
                <w:i/>
                <w:iCs/>
                <w:color w:val="0070C0"/>
                <w:sz w:val="20"/>
              </w:rPr>
              <w:t>100% sensitivity and 100% specificity)</w:t>
            </w:r>
            <w:r w:rsidRPr="00705AFB">
              <w:rPr>
                <w:rFonts w:ascii="Arial Narrow" w:hAnsi="Arial Narrow"/>
                <w:sz w:val="20"/>
              </w:rPr>
              <w:t>.</w:t>
            </w:r>
          </w:p>
        </w:tc>
      </w:tr>
      <w:tr w:rsidR="001163A4" w:rsidRPr="00705AFB" w14:paraId="2F4E7B9D" w14:textId="77777777">
        <w:trPr>
          <w:trHeight w:val="94"/>
        </w:trPr>
        <w:tc>
          <w:tcPr>
            <w:tcW w:w="0" w:type="auto"/>
            <w:vMerge/>
            <w:noWrap/>
            <w:hideMark/>
          </w:tcPr>
          <w:p w14:paraId="70439EC1" w14:textId="77777777" w:rsidR="001163A4" w:rsidRPr="00705AFB" w:rsidRDefault="001163A4" w:rsidP="004358B3">
            <w:pPr>
              <w:spacing w:before="0"/>
              <w:rPr>
                <w:rFonts w:ascii="Arial Narrow" w:hAnsi="Arial Narrow"/>
                <w:sz w:val="20"/>
              </w:rPr>
            </w:pPr>
          </w:p>
        </w:tc>
        <w:tc>
          <w:tcPr>
            <w:tcW w:w="0" w:type="auto"/>
            <w:hideMark/>
          </w:tcPr>
          <w:p w14:paraId="70BD756B" w14:textId="5412CCB2" w:rsidR="001163A4" w:rsidRPr="00705AFB" w:rsidRDefault="001163A4" w:rsidP="004358B3">
            <w:pPr>
              <w:spacing w:before="0"/>
              <w:rPr>
                <w:rFonts w:ascii="Arial Narrow" w:hAnsi="Arial Narrow"/>
                <w:sz w:val="20"/>
              </w:rPr>
            </w:pPr>
            <w:r w:rsidRPr="00705AFB">
              <w:rPr>
                <w:rFonts w:ascii="Arial Narrow" w:hAnsi="Arial Narrow"/>
                <w:sz w:val="20"/>
              </w:rPr>
              <w:t>Females do not develop CALD or AI.</w:t>
            </w:r>
          </w:p>
        </w:tc>
      </w:tr>
      <w:tr w:rsidR="001163A4" w:rsidRPr="00705AFB" w14:paraId="304222C5" w14:textId="77777777">
        <w:trPr>
          <w:trHeight w:val="70"/>
        </w:trPr>
        <w:tc>
          <w:tcPr>
            <w:tcW w:w="0" w:type="auto"/>
            <w:vMerge/>
            <w:noWrap/>
            <w:hideMark/>
          </w:tcPr>
          <w:p w14:paraId="5B26B06F" w14:textId="77777777" w:rsidR="001163A4" w:rsidRPr="00705AFB" w:rsidRDefault="001163A4" w:rsidP="004358B3">
            <w:pPr>
              <w:spacing w:before="0"/>
              <w:rPr>
                <w:rFonts w:ascii="Arial Narrow" w:hAnsi="Arial Narrow"/>
                <w:sz w:val="20"/>
              </w:rPr>
            </w:pPr>
          </w:p>
        </w:tc>
        <w:tc>
          <w:tcPr>
            <w:tcW w:w="0" w:type="auto"/>
            <w:hideMark/>
          </w:tcPr>
          <w:p w14:paraId="368BE7A3" w14:textId="35DF860F" w:rsidR="001163A4" w:rsidRPr="00705AFB" w:rsidRDefault="001163A4" w:rsidP="004358B3">
            <w:pPr>
              <w:spacing w:before="0"/>
              <w:rPr>
                <w:rFonts w:ascii="Arial Narrow" w:hAnsi="Arial Narrow"/>
                <w:sz w:val="20"/>
              </w:rPr>
            </w:pPr>
            <w:r w:rsidRPr="00705AFB">
              <w:rPr>
                <w:rFonts w:ascii="Arial Narrow" w:hAnsi="Arial Narrow"/>
                <w:sz w:val="20"/>
              </w:rPr>
              <w:t>Complications from HSCT last one cycle.</w:t>
            </w:r>
          </w:p>
        </w:tc>
      </w:tr>
      <w:tr w:rsidR="001163A4" w:rsidRPr="00705AFB" w14:paraId="7225B653" w14:textId="77777777">
        <w:trPr>
          <w:trHeight w:val="70"/>
        </w:trPr>
        <w:tc>
          <w:tcPr>
            <w:tcW w:w="0" w:type="auto"/>
            <w:vMerge/>
            <w:tcBorders>
              <w:bottom w:val="single" w:sz="4" w:space="0" w:color="auto"/>
            </w:tcBorders>
            <w:noWrap/>
          </w:tcPr>
          <w:p w14:paraId="3DCB3092" w14:textId="77777777" w:rsidR="001163A4" w:rsidRDefault="001163A4" w:rsidP="006B5627">
            <w:pPr>
              <w:spacing w:before="0"/>
              <w:rPr>
                <w:rFonts w:ascii="Arial Narrow" w:hAnsi="Arial Narrow"/>
                <w:i/>
                <w:iCs/>
                <w:color w:val="0070C0"/>
                <w:sz w:val="20"/>
              </w:rPr>
            </w:pPr>
          </w:p>
        </w:tc>
        <w:tc>
          <w:tcPr>
            <w:tcW w:w="0" w:type="auto"/>
          </w:tcPr>
          <w:p w14:paraId="3B958540" w14:textId="35B36234" w:rsidR="001163A4" w:rsidRPr="00705AFB" w:rsidRDefault="001163A4" w:rsidP="006B5627">
            <w:pPr>
              <w:spacing w:before="0"/>
              <w:rPr>
                <w:rFonts w:ascii="Arial Narrow" w:hAnsi="Arial Narrow"/>
                <w:sz w:val="20"/>
              </w:rPr>
            </w:pPr>
            <w:r>
              <w:rPr>
                <w:rFonts w:ascii="Arial Narrow" w:hAnsi="Arial Narrow"/>
                <w:i/>
                <w:iCs/>
                <w:color w:val="0070C0"/>
                <w:sz w:val="20"/>
              </w:rPr>
              <w:t>Change in management is assumed in terms of the percentage of patients meeting the criteria for early HSCT from 50% to 85%</w:t>
            </w:r>
          </w:p>
        </w:tc>
      </w:tr>
      <w:tr w:rsidR="001163A4" w:rsidRPr="00705AFB" w14:paraId="474D3C96" w14:textId="77777777">
        <w:trPr>
          <w:trHeight w:val="104"/>
        </w:trPr>
        <w:tc>
          <w:tcPr>
            <w:tcW w:w="0" w:type="auto"/>
            <w:vMerge w:val="restart"/>
            <w:noWrap/>
            <w:hideMark/>
          </w:tcPr>
          <w:p w14:paraId="31A0C1B4" w14:textId="233DEC2A" w:rsidR="001163A4" w:rsidRPr="00705AFB" w:rsidRDefault="001163A4" w:rsidP="004358B3">
            <w:pPr>
              <w:spacing w:before="0"/>
              <w:rPr>
                <w:rFonts w:ascii="Arial Narrow" w:hAnsi="Arial Narrow"/>
                <w:sz w:val="20"/>
              </w:rPr>
            </w:pPr>
            <w:r w:rsidRPr="00705AFB">
              <w:rPr>
                <w:rFonts w:ascii="Arial Narrow" w:hAnsi="Arial Narrow"/>
                <w:sz w:val="20"/>
              </w:rPr>
              <w:t>Utilities</w:t>
            </w:r>
          </w:p>
        </w:tc>
        <w:tc>
          <w:tcPr>
            <w:tcW w:w="0" w:type="auto"/>
            <w:noWrap/>
            <w:hideMark/>
          </w:tcPr>
          <w:p w14:paraId="5717CE2B" w14:textId="5CF156EE" w:rsidR="001163A4" w:rsidRPr="00705AFB" w:rsidRDefault="001163A4" w:rsidP="004358B3">
            <w:pPr>
              <w:spacing w:before="0"/>
              <w:rPr>
                <w:rFonts w:ascii="Arial Narrow" w:hAnsi="Arial Narrow"/>
                <w:sz w:val="20"/>
              </w:rPr>
            </w:pPr>
            <w:r w:rsidRPr="00705AFB">
              <w:rPr>
                <w:rFonts w:ascii="Arial Narrow" w:hAnsi="Arial Narrow"/>
                <w:sz w:val="20"/>
              </w:rPr>
              <w:t>No disutilities are associated with false positive or false negative test results.</w:t>
            </w:r>
          </w:p>
        </w:tc>
      </w:tr>
      <w:tr w:rsidR="001163A4" w:rsidRPr="00705AFB" w14:paraId="71A93AD4" w14:textId="77777777">
        <w:trPr>
          <w:trHeight w:val="104"/>
        </w:trPr>
        <w:tc>
          <w:tcPr>
            <w:tcW w:w="0" w:type="auto"/>
            <w:vMerge/>
            <w:noWrap/>
          </w:tcPr>
          <w:p w14:paraId="45DC0F7B" w14:textId="77777777" w:rsidR="001163A4" w:rsidRPr="00CC624A" w:rsidRDefault="001163A4" w:rsidP="00F9072A">
            <w:pPr>
              <w:spacing w:before="0"/>
              <w:rPr>
                <w:rFonts w:ascii="Arial Narrow" w:hAnsi="Arial Narrow"/>
                <w:i/>
                <w:color w:val="0070C0"/>
                <w:sz w:val="20"/>
              </w:rPr>
            </w:pPr>
          </w:p>
        </w:tc>
        <w:tc>
          <w:tcPr>
            <w:tcW w:w="0" w:type="auto"/>
            <w:noWrap/>
          </w:tcPr>
          <w:p w14:paraId="42FD9E8C" w14:textId="0D31AD8F" w:rsidR="001163A4" w:rsidRPr="005B2927" w:rsidRDefault="001163A4" w:rsidP="00F9072A">
            <w:pPr>
              <w:spacing w:before="0"/>
              <w:rPr>
                <w:rFonts w:ascii="Arial Narrow" w:hAnsi="Arial Narrow"/>
                <w:i/>
                <w:color w:val="0070C0"/>
                <w:sz w:val="20"/>
              </w:rPr>
            </w:pPr>
            <w:r w:rsidRPr="00CC624A">
              <w:rPr>
                <w:rFonts w:ascii="Arial Narrow" w:hAnsi="Arial Narrow"/>
                <w:i/>
                <w:color w:val="0070C0"/>
                <w:sz w:val="20"/>
              </w:rPr>
              <w:t>The utility decrements associated with various functional levels as assessed by the ALD-Disability Rating Scale in the UK Bessey 2018 study were applicable to Australia.  </w:t>
            </w:r>
          </w:p>
          <w:p w14:paraId="16B83CCD" w14:textId="77777777" w:rsidR="001163A4" w:rsidRPr="00B54B0A" w:rsidRDefault="001163A4" w:rsidP="00F9072A">
            <w:pPr>
              <w:spacing w:before="0"/>
              <w:rPr>
                <w:rFonts w:ascii="Arial Narrow" w:hAnsi="Arial Narrow"/>
                <w:i/>
                <w:color w:val="0070C0"/>
                <w:sz w:val="20"/>
              </w:rPr>
            </w:pPr>
            <w:r w:rsidRPr="00810440">
              <w:rPr>
                <w:rFonts w:ascii="Arial Narrow" w:hAnsi="Arial Narrow"/>
                <w:i/>
                <w:color w:val="0070C0"/>
                <w:sz w:val="20"/>
              </w:rPr>
              <w:t>The utility decrement assoc</w:t>
            </w:r>
            <w:r w:rsidRPr="00B54B0A">
              <w:rPr>
                <w:rFonts w:ascii="Arial Narrow" w:hAnsi="Arial Narrow"/>
                <w:i/>
                <w:color w:val="0070C0"/>
                <w:sz w:val="20"/>
              </w:rPr>
              <w:t>iated with HSCT was assumed to be the same as the utility difference between allogeneic HSCT and gene therapy.</w:t>
            </w:r>
          </w:p>
          <w:p w14:paraId="35013314" w14:textId="77777777" w:rsidR="001163A4" w:rsidRPr="00BF1107" w:rsidRDefault="001163A4" w:rsidP="00F9072A">
            <w:pPr>
              <w:spacing w:before="0"/>
              <w:rPr>
                <w:rFonts w:ascii="Arial Narrow" w:hAnsi="Arial Narrow"/>
                <w:i/>
                <w:color w:val="0070C0"/>
                <w:sz w:val="20"/>
              </w:rPr>
            </w:pPr>
            <w:r w:rsidRPr="001E0808">
              <w:rPr>
                <w:rFonts w:ascii="Arial Narrow" w:hAnsi="Arial Narrow"/>
                <w:i/>
                <w:color w:val="0070C0"/>
                <w:sz w:val="20"/>
              </w:rPr>
              <w:t>It was assumed that disease stabilised (progression halted) after HSCT.</w:t>
            </w:r>
          </w:p>
          <w:p w14:paraId="361F811E" w14:textId="0A115F5C" w:rsidR="001163A4" w:rsidRPr="00487808" w:rsidRDefault="001163A4" w:rsidP="004358B3">
            <w:pPr>
              <w:spacing w:before="0"/>
              <w:rPr>
                <w:rFonts w:ascii="Arial Narrow" w:hAnsi="Arial Narrow"/>
                <w:i/>
                <w:iCs/>
                <w:color w:val="0070C0"/>
                <w:sz w:val="20"/>
              </w:rPr>
            </w:pPr>
            <w:r w:rsidRPr="00090423">
              <w:rPr>
                <w:rFonts w:ascii="Arial Narrow" w:hAnsi="Arial Narrow"/>
                <w:i/>
                <w:color w:val="0070C0"/>
                <w:sz w:val="20"/>
              </w:rPr>
              <w:t>The utility decrements associated with acute and chronic GvHD post-HSCT for transfusion-dependent β-thalassemia were the same as that for CALD.</w:t>
            </w:r>
          </w:p>
        </w:tc>
      </w:tr>
    </w:tbl>
    <w:p w14:paraId="791A0EB8" w14:textId="45A8C480" w:rsidR="001021D8" w:rsidRDefault="001021D8" w:rsidP="001021D8">
      <w:pPr>
        <w:tabs>
          <w:tab w:val="left" w:pos="284"/>
        </w:tabs>
        <w:spacing w:after="360" w:line="240" w:lineRule="auto"/>
        <w:contextualSpacing/>
        <w:rPr>
          <w:rFonts w:ascii="Arial Narrow" w:eastAsia="Times New Roman" w:hAnsi="Arial Narrow" w:cs="Arial"/>
          <w:snapToGrid w:val="0"/>
          <w:sz w:val="18"/>
          <w:lang w:eastAsia="en-AU"/>
        </w:rPr>
      </w:pPr>
      <w:r w:rsidRPr="00705AFB">
        <w:rPr>
          <w:rFonts w:ascii="Arial Narrow" w:eastAsia="Times New Roman" w:hAnsi="Arial Narrow" w:cs="Arial"/>
          <w:snapToGrid w:val="0"/>
          <w:sz w:val="18"/>
          <w:lang w:eastAsia="en-AU"/>
        </w:rPr>
        <w:t>AI = adrenal insufficiency; AMN = adrenomyeloneuropathy; CALD = cerebral adrenoleukodystrophy</w:t>
      </w:r>
      <w:r w:rsidRPr="00E917D9">
        <w:rPr>
          <w:rFonts w:ascii="Arial Narrow" w:eastAsia="Times New Roman" w:hAnsi="Arial Narrow" w:cs="Arial"/>
          <w:snapToGrid w:val="0"/>
          <w:color w:val="0070C0"/>
          <w:sz w:val="18"/>
          <w:lang w:eastAsia="en-AU"/>
        </w:rPr>
        <w:t xml:space="preserve">; </w:t>
      </w:r>
      <w:r w:rsidR="007930CF" w:rsidRPr="00532EE6">
        <w:rPr>
          <w:rFonts w:ascii="Arial Narrow" w:eastAsia="Times New Roman" w:hAnsi="Arial Narrow" w:cs="Arial"/>
          <w:i/>
          <w:snapToGrid w:val="0"/>
          <w:color w:val="0070C0"/>
          <w:sz w:val="18"/>
          <w:szCs w:val="18"/>
          <w:lang w:eastAsia="en-AU"/>
        </w:rPr>
        <w:t>GvHD = graft versus host disease;</w:t>
      </w:r>
      <w:r w:rsidR="007930CF" w:rsidRPr="00E917D9">
        <w:rPr>
          <w:rFonts w:ascii="Arial Narrow" w:eastAsia="Times New Roman" w:hAnsi="Arial Narrow" w:cs="Arial"/>
          <w:snapToGrid w:val="0"/>
          <w:color w:val="0070C0"/>
          <w:sz w:val="18"/>
          <w:lang w:eastAsia="en-AU"/>
        </w:rPr>
        <w:t> </w:t>
      </w:r>
      <w:r w:rsidRPr="00705AFB">
        <w:rPr>
          <w:rFonts w:ascii="Arial Narrow" w:eastAsia="Times New Roman" w:hAnsi="Arial Narrow" w:cs="Arial"/>
          <w:snapToGrid w:val="0"/>
          <w:sz w:val="18"/>
          <w:lang w:eastAsia="en-AU"/>
        </w:rPr>
        <w:t>HSCT= haematopoietic stem cell transplantation; NBS = Newborn Bloodspot Screening; X-ALD = X-linked adrenoleukodystrophy.</w:t>
      </w:r>
    </w:p>
    <w:p w14:paraId="79A4AE20" w14:textId="348AFFCD" w:rsidR="001021D8" w:rsidRPr="009653B7" w:rsidRDefault="001021D8" w:rsidP="009653B7">
      <w:pPr>
        <w:tabs>
          <w:tab w:val="left" w:pos="284"/>
        </w:tabs>
        <w:spacing w:after="240" w:line="240" w:lineRule="auto"/>
        <w:rPr>
          <w:rFonts w:ascii="Arial Narrow" w:eastAsia="Times New Roman" w:hAnsi="Arial Narrow" w:cs="Arial"/>
          <w:snapToGrid w:val="0"/>
          <w:sz w:val="18"/>
          <w:lang w:eastAsia="en-AU"/>
        </w:rPr>
      </w:pPr>
      <w:r>
        <w:rPr>
          <w:rFonts w:ascii="Arial Narrow" w:eastAsia="Times New Roman" w:hAnsi="Arial Narrow" w:cs="Arial"/>
          <w:snapToGrid w:val="0"/>
          <w:sz w:val="18"/>
          <w:lang w:eastAsia="en-AU"/>
        </w:rPr>
        <w:t>Source: DCAR Table 52</w:t>
      </w:r>
      <w:r w:rsidR="00487808">
        <w:rPr>
          <w:rFonts w:ascii="Arial Narrow" w:eastAsia="Times New Roman" w:hAnsi="Arial Narrow" w:cs="Arial"/>
          <w:snapToGrid w:val="0"/>
          <w:sz w:val="18"/>
          <w:lang w:eastAsia="en-AU"/>
        </w:rPr>
        <w:t>. ESC’s additions are shown in blue italics.</w:t>
      </w:r>
    </w:p>
    <w:p w14:paraId="24A3A17F" w14:textId="61E2BA90" w:rsidR="00E62C96" w:rsidRDefault="00E62C96" w:rsidP="00E62C96">
      <w:r>
        <w:t>Under the base case, t</w:t>
      </w:r>
      <w:r w:rsidRPr="00D02565">
        <w:t>he least costly screening strategy was Strategy I ($</w:t>
      </w:r>
      <w:r>
        <w:t>7.64</w:t>
      </w:r>
      <w:r w:rsidRPr="00D02565">
        <w:t xml:space="preserve"> per individual), which did not involve </w:t>
      </w:r>
      <w:r w:rsidRPr="00D02565">
        <w:rPr>
          <w:i/>
          <w:iCs/>
        </w:rPr>
        <w:t>ABCD1</w:t>
      </w:r>
      <w:r w:rsidRPr="00D02565">
        <w:t xml:space="preserve"> genetic testing (</w:t>
      </w:r>
      <w:r w:rsidRPr="00D02565">
        <w:fldChar w:fldCharType="begin"/>
      </w:r>
      <w:r w:rsidRPr="00D02565">
        <w:instrText xml:space="preserve"> REF _Ref130240120 \h  \* MERGEFORMAT </w:instrText>
      </w:r>
      <w:r w:rsidRPr="00D02565">
        <w:fldChar w:fldCharType="separate"/>
      </w:r>
      <w:r w:rsidR="00253978" w:rsidRPr="00D02565">
        <w:t>Table </w:t>
      </w:r>
      <w:r w:rsidR="00253978">
        <w:t>10</w:t>
      </w:r>
      <w:r w:rsidRPr="00D02565">
        <w:fldChar w:fldCharType="end"/>
      </w:r>
      <w:r w:rsidRPr="00D02565">
        <w:t>). This was followed by Strategy IV ($7.</w:t>
      </w:r>
      <w:r>
        <w:t>70</w:t>
      </w:r>
      <w:r w:rsidRPr="00D02565">
        <w:t xml:space="preserve"> </w:t>
      </w:r>
      <w:r w:rsidRPr="00D02565">
        <w:lastRenderedPageBreak/>
        <w:t xml:space="preserve">per individual), which involved </w:t>
      </w:r>
      <w:r>
        <w:t>screening</w:t>
      </w:r>
      <w:r w:rsidRPr="00D02565">
        <w:t xml:space="preserve"> individuals with FIA-MS/MS, HPLC-MS/MS, and finally </w:t>
      </w:r>
      <w:r w:rsidRPr="00D02565">
        <w:rPr>
          <w:i/>
          <w:iCs/>
        </w:rPr>
        <w:t>ABCD1</w:t>
      </w:r>
      <w:r w:rsidRPr="00D02565">
        <w:t xml:space="preserve"> genetic testing. This is because it involved the fewest individuals receiving </w:t>
      </w:r>
      <w:r w:rsidRPr="00D02565">
        <w:rPr>
          <w:i/>
          <w:iCs/>
        </w:rPr>
        <w:t>ABCD1</w:t>
      </w:r>
      <w:r w:rsidRPr="00D02565">
        <w:t xml:space="preserve"> genetic testing, which was the most expensive test ($</w:t>
      </w:r>
      <w:r>
        <w:t>673.20</w:t>
      </w:r>
      <w:r w:rsidRPr="00D02565">
        <w:t xml:space="preserve"> per test). Strategy II had the highest costs ($</w:t>
      </w:r>
      <w:r>
        <w:t>149.60</w:t>
      </w:r>
      <w:r w:rsidRPr="00D02565">
        <w:t xml:space="preserve"> per individual). This was because it involved the most individuals receiving </w:t>
      </w:r>
      <w:r w:rsidRPr="00D02565">
        <w:rPr>
          <w:i/>
          <w:iCs/>
        </w:rPr>
        <w:t>ABCD1</w:t>
      </w:r>
      <w:r w:rsidRPr="00D02565">
        <w:t xml:space="preserve"> genetic testing.</w:t>
      </w:r>
      <w:r>
        <w:t xml:space="preserve"> </w:t>
      </w:r>
    </w:p>
    <w:p w14:paraId="34775AC8" w14:textId="24AB86D8" w:rsidR="00E62C96" w:rsidRDefault="00E62C96" w:rsidP="00E62C96">
      <w:r>
        <w:t>As is the case for all rare disease/screening both within Australia and internationally, t</w:t>
      </w:r>
      <w:r w:rsidRPr="00D02565">
        <w:t xml:space="preserve">he cost per positive diagnosis was </w:t>
      </w:r>
      <w:r>
        <w:t>high</w:t>
      </w:r>
      <w:r w:rsidRPr="00D02565">
        <w:t xml:space="preserve"> across all of the strategies, reflecting the low rate of diagnoses per individual screened. Strategy I had the lowest cost per positive diagnosis ($</w:t>
      </w:r>
      <w:r>
        <w:t>83,027.85</w:t>
      </w:r>
      <w:r w:rsidRPr="00D02565">
        <w:t xml:space="preserve"> per positive diagnosis), closely followed by Strategy IV ($</w:t>
      </w:r>
      <w:r>
        <w:t>83,701.05</w:t>
      </w:r>
      <w:r w:rsidRPr="00D02565">
        <w:t xml:space="preserve"> per positive diagnosis). These results largely reflect</w:t>
      </w:r>
      <w:r w:rsidR="00F024CA">
        <w:t>ed</w:t>
      </w:r>
      <w:r w:rsidRPr="00D02565">
        <w:t xml:space="preserve"> the testing costs per individual, as there was little variation in terms of the number of individuals receiving a positive diagnosis. Strategy I dominated the other strategies (less costly, more or similar number of diagnoses).</w:t>
      </w:r>
    </w:p>
    <w:p w14:paraId="61E275BC" w14:textId="5FE16052" w:rsidR="00E62C96" w:rsidRDefault="00E62C96" w:rsidP="00E62C96">
      <w:r>
        <w:t>When considering comparative cost-effectiveness across all four strategies</w:t>
      </w:r>
      <w:r w:rsidR="003A0691">
        <w:t xml:space="preserve"> not including an X-counter test</w:t>
      </w:r>
      <w:r>
        <w:t>, Strategy IV was the most cost-effective, followed closely by Strategy I (incremental cost $8,077 and $8,315 per additional QALY gained respectively).</w:t>
      </w:r>
      <w:r w:rsidR="003A0691">
        <w:t xml:space="preserve"> </w:t>
      </w:r>
      <w:r w:rsidR="00EA7634">
        <w:t>The</w:t>
      </w:r>
      <w:r w:rsidR="00CD0D85">
        <w:t>se strategies were found to have more positive diagnoses</w:t>
      </w:r>
      <w:r w:rsidR="007E4E29">
        <w:t xml:space="preserve"> than strategies including an X-counter</w:t>
      </w:r>
      <w:r w:rsidR="00CD0D85">
        <w:t xml:space="preserve">, </w:t>
      </w:r>
      <w:r w:rsidR="00AA6B7F">
        <w:t>although</w:t>
      </w:r>
      <w:r w:rsidR="00CD0D85">
        <w:t xml:space="preserve"> this include</w:t>
      </w:r>
      <w:r w:rsidR="00B571D6">
        <w:t>d</w:t>
      </w:r>
      <w:r w:rsidR="00CD0D85">
        <w:t xml:space="preserve"> </w:t>
      </w:r>
      <w:r w:rsidR="00CE69F7">
        <w:t>positive diagnos</w:t>
      </w:r>
      <w:r w:rsidR="007160B3">
        <w:t>e</w:t>
      </w:r>
      <w:r w:rsidR="00CE69F7">
        <w:t xml:space="preserve">s in </w:t>
      </w:r>
      <w:r w:rsidR="00EC404E">
        <w:t xml:space="preserve">(heterozygote) </w:t>
      </w:r>
      <w:r w:rsidR="00CE69F7">
        <w:t>female</w:t>
      </w:r>
      <w:r w:rsidR="00AA6B7F">
        <w:t xml:space="preserve"> newborns </w:t>
      </w:r>
      <w:r w:rsidR="007E4E29">
        <w:t>where</w:t>
      </w:r>
      <w:r w:rsidR="00AA6B7F">
        <w:t xml:space="preserve"> </w:t>
      </w:r>
      <w:r w:rsidR="00EC404E">
        <w:t xml:space="preserve">ALD in </w:t>
      </w:r>
      <w:r w:rsidR="00170015">
        <w:t xml:space="preserve">females </w:t>
      </w:r>
      <w:r w:rsidR="007E4E29">
        <w:rPr>
          <w:bCs/>
          <w:color w:val="000000" w:themeColor="text1"/>
        </w:rPr>
        <w:t>is</w:t>
      </w:r>
      <w:r w:rsidR="000A3512" w:rsidRPr="00AD4257">
        <w:rPr>
          <w:bCs/>
          <w:color w:val="000000" w:themeColor="text1"/>
        </w:rPr>
        <w:t xml:space="preserve"> an adult-onset disorder</w:t>
      </w:r>
      <w:r w:rsidR="007160B3">
        <w:t xml:space="preserve">. </w:t>
      </w:r>
    </w:p>
    <w:p w14:paraId="47CB8749" w14:textId="77777777" w:rsidR="00E62C96" w:rsidRPr="00D00483" w:rsidRDefault="00E62C96" w:rsidP="00E62C96">
      <w:r w:rsidRPr="00D00483">
        <w:t>Under scenario analyses where an X-counter test was incorporated, the least costly screening strategy was Strategy IVb ($</w:t>
      </w:r>
      <w:r>
        <w:t>7.68</w:t>
      </w:r>
      <w:r w:rsidRPr="00D00483">
        <w:t xml:space="preserve"> per individual), with the X-counter test positioned after the second-tier test of HPLC-MS/MS. This was followed by Strategy IIIa ($1</w:t>
      </w:r>
      <w:r>
        <w:t>0.47</w:t>
      </w:r>
      <w:r w:rsidRPr="00D00483">
        <w:t xml:space="preserve"> per individual), where the X-counter test was positioned after HPLC-MS/MS but before the </w:t>
      </w:r>
      <w:r w:rsidRPr="00D00483">
        <w:rPr>
          <w:i/>
          <w:iCs/>
        </w:rPr>
        <w:t xml:space="preserve">ABCD1 </w:t>
      </w:r>
      <w:r w:rsidRPr="00D00483">
        <w:t>genetic testing. When considering comparative cost-effectiveness across all four strategies, Strategy IVb was the most cost-effective, followed closely by Strategy IVa (incremental cost $7,676 and $30,631 per additional QALY gained respectively).</w:t>
      </w:r>
    </w:p>
    <w:p w14:paraId="6611DB20" w14:textId="77777777" w:rsidR="00E62C96" w:rsidRPr="00D00483" w:rsidRDefault="00E62C96" w:rsidP="00E62C96">
      <w:r w:rsidRPr="00D00483">
        <w:t>Overall, considering all nine strategies, Strategy IVb was the most cost-effective, followed closely by Strategy IV.</w:t>
      </w:r>
    </w:p>
    <w:p w14:paraId="6BFE6602" w14:textId="57D20D7A" w:rsidR="00E62C96" w:rsidRDefault="00E62C96" w:rsidP="000E5A17">
      <w:r w:rsidRPr="00D02565">
        <w:t xml:space="preserve">Disaggregated diagnosis results are </w:t>
      </w:r>
      <w:r w:rsidRPr="005A7383">
        <w:t>presented in</w:t>
      </w:r>
      <w:r w:rsidR="00393F98">
        <w:fldChar w:fldCharType="begin"/>
      </w:r>
      <w:r w:rsidR="00393F98">
        <w:instrText xml:space="preserve"> REF _Ref143593471  \* MERGEF</w:instrText>
      </w:r>
      <w:r w:rsidR="00393F98">
        <w:instrText xml:space="preserve">ORMAT </w:instrText>
      </w:r>
      <w:r w:rsidR="00393F98">
        <w:fldChar w:fldCharType="separate"/>
      </w:r>
      <w:r w:rsidR="00253978" w:rsidRPr="00253978">
        <w:t>Table 12</w:t>
      </w:r>
      <w:r w:rsidR="00393F98">
        <w:fldChar w:fldCharType="end"/>
      </w:r>
      <w:r w:rsidRPr="005A7383">
        <w:t>. None</w:t>
      </w:r>
      <w:r w:rsidRPr="00D02565">
        <w:t xml:space="preserve"> of the strategies </w:t>
      </w:r>
      <w:r>
        <w:t>gave</w:t>
      </w:r>
      <w:r w:rsidRPr="00D02565">
        <w:t xml:space="preserve"> false positive or false negative</w:t>
      </w:r>
      <w:r>
        <w:t xml:space="preserve"> results</w:t>
      </w:r>
      <w:r w:rsidRPr="00D02565">
        <w:t>, which reflect</w:t>
      </w:r>
      <w:r w:rsidR="00A97CC5">
        <w:t>ed</w:t>
      </w:r>
      <w:r w:rsidRPr="00D02565">
        <w:t xml:space="preserve"> the assumptions that both HPLC-MS/MS and </w:t>
      </w:r>
      <w:r w:rsidRPr="00D02565">
        <w:rPr>
          <w:i/>
        </w:rPr>
        <w:t>ABCD1</w:t>
      </w:r>
      <w:r w:rsidRPr="00D02565">
        <w:t xml:space="preserve"> genetic testing ha</w:t>
      </w:r>
      <w:r w:rsidR="00A97CC5">
        <w:t>d</w:t>
      </w:r>
      <w:r w:rsidRPr="00D02565">
        <w:t xml:space="preserve"> 100% testing accuracy. However, Strateg</w:t>
      </w:r>
      <w:r>
        <w:t>ies</w:t>
      </w:r>
      <w:r w:rsidRPr="00D02565">
        <w:t xml:space="preserve"> II and IIa resulted in variants of uncertain significance</w:t>
      </w:r>
      <w:r>
        <w:t xml:space="preserve"> (VUSs) being detected</w:t>
      </w:r>
      <w:r w:rsidRPr="00D02565">
        <w:t xml:space="preserve">, as more patients who were true negative received </w:t>
      </w:r>
      <w:r w:rsidRPr="00D02565">
        <w:rPr>
          <w:i/>
          <w:iCs/>
        </w:rPr>
        <w:t>ABCD1</w:t>
      </w:r>
      <w:r w:rsidRPr="00D02565">
        <w:t xml:space="preserve"> genetic testing. </w:t>
      </w:r>
    </w:p>
    <w:p w14:paraId="26E40016" w14:textId="03BD1DA8" w:rsidR="00B1278D" w:rsidRDefault="00B1278D" w:rsidP="00B1278D">
      <w:r>
        <w:t xml:space="preserve">One-way </w:t>
      </w:r>
      <w:r w:rsidRPr="00DC04EC">
        <w:t xml:space="preserve">sensitivity analyses </w:t>
      </w:r>
      <w:r>
        <w:t xml:space="preserve">were conducted on a range of variables. Across almost all one-way sensitivity analyses, the ICER of Strategy IV remained the lowest, with Strategy I the second lowest. When </w:t>
      </w:r>
      <w:r w:rsidR="00A97CC5">
        <w:t xml:space="preserve">the </w:t>
      </w:r>
      <w:r>
        <w:t xml:space="preserve">X-counter test was included in strategies, the ICER of Strategy IVb was the lowest. </w:t>
      </w:r>
      <w:r>
        <w:fldChar w:fldCharType="begin"/>
      </w:r>
      <w:r>
        <w:instrText xml:space="preserve"> REF _Ref132884033 \h </w:instrText>
      </w:r>
      <w:r>
        <w:fldChar w:fldCharType="separate"/>
      </w:r>
      <w:r w:rsidR="00253978" w:rsidRPr="00CE28E3">
        <w:t>Table</w:t>
      </w:r>
      <w:r w:rsidR="00253978">
        <w:t> </w:t>
      </w:r>
      <w:r w:rsidR="00253978">
        <w:rPr>
          <w:noProof/>
        </w:rPr>
        <w:t>13</w:t>
      </w:r>
      <w:r>
        <w:fldChar w:fldCharType="end"/>
      </w:r>
      <w:r>
        <w:t xml:space="preserve"> presents the variation of the cost per positive diagnosis across the strategies and across a range of variables. T</w:t>
      </w:r>
      <w:r w:rsidRPr="000013C4">
        <w:t xml:space="preserve">he </w:t>
      </w:r>
      <w:r>
        <w:t>cost per positive diagnosis was lowest for Strateg</w:t>
      </w:r>
      <w:r w:rsidRPr="000013C4">
        <w:t>y I, with Strategy I</w:t>
      </w:r>
      <w:r>
        <w:t>V</w:t>
      </w:r>
      <w:r w:rsidRPr="000013C4">
        <w:t xml:space="preserve"> the second lowest. When </w:t>
      </w:r>
      <w:r w:rsidR="00385326">
        <w:t xml:space="preserve">the </w:t>
      </w:r>
      <w:r w:rsidRPr="000013C4">
        <w:t xml:space="preserve">X-counter test was included in strategies, the </w:t>
      </w:r>
      <w:r>
        <w:t>cost per positive diagnosis of S</w:t>
      </w:r>
      <w:r w:rsidRPr="000013C4">
        <w:t>trategy I</w:t>
      </w:r>
      <w:r>
        <w:t xml:space="preserve"> remained </w:t>
      </w:r>
      <w:r w:rsidRPr="000013C4">
        <w:t xml:space="preserve">the lowest. </w:t>
      </w:r>
      <w:r>
        <w:t xml:space="preserve">The cost per positive diagnosis was higher in any strategies that included FIA-MS/MS (paying for unnecessary subsequent tests for false positive results). </w:t>
      </w:r>
    </w:p>
    <w:p w14:paraId="1BD82AFA" w14:textId="77777777" w:rsidR="00E62C96" w:rsidRPr="00D02565" w:rsidRDefault="00E62C96" w:rsidP="00E62C96">
      <w:pPr>
        <w:sectPr w:rsidR="00E62C96" w:rsidRPr="00D02565" w:rsidSect="00BC6897">
          <w:footerReference w:type="even" r:id="rId17"/>
          <w:footerReference w:type="default" r:id="rId18"/>
          <w:footerReference w:type="first" r:id="rId19"/>
          <w:pgSz w:w="11906" w:h="16838"/>
          <w:pgMar w:top="1440" w:right="1440" w:bottom="1440" w:left="1440" w:header="708" w:footer="708" w:gutter="0"/>
          <w:cols w:space="708"/>
          <w:docGrid w:linePitch="360"/>
        </w:sectPr>
      </w:pPr>
    </w:p>
    <w:p w14:paraId="4EF56A1F" w14:textId="2BFADF4A" w:rsidR="00E62C96" w:rsidRPr="00D02565" w:rsidRDefault="00E62C96" w:rsidP="00B76655">
      <w:pPr>
        <w:pStyle w:val="Caption"/>
      </w:pPr>
      <w:bookmarkStart w:id="44" w:name="_Ref130240120"/>
      <w:r w:rsidRPr="00D02565">
        <w:lastRenderedPageBreak/>
        <w:t>Table </w:t>
      </w:r>
      <w:r w:rsidRPr="00D02565">
        <w:fldChar w:fldCharType="begin"/>
      </w:r>
      <w:r w:rsidRPr="00D02565">
        <w:instrText>SEQ Table \* ARABIC</w:instrText>
      </w:r>
      <w:r w:rsidRPr="00D02565">
        <w:fldChar w:fldCharType="separate"/>
      </w:r>
      <w:r w:rsidR="00253978">
        <w:rPr>
          <w:noProof/>
        </w:rPr>
        <w:t>10</w:t>
      </w:r>
      <w:r w:rsidRPr="00D02565">
        <w:fldChar w:fldCharType="end"/>
      </w:r>
      <w:bookmarkEnd w:id="44"/>
      <w:r w:rsidRPr="00D02565">
        <w:tab/>
        <w:t>Economic evaluation results by screening strategy (PICO</w:t>
      </w:r>
      <w:r>
        <w:t xml:space="preserve"> set</w:t>
      </w:r>
      <w:r w:rsidRPr="00D02565">
        <w:t xml:space="preserve"> 1)</w:t>
      </w:r>
      <w:r w:rsidR="00383875">
        <w:t xml:space="preserve"> </w:t>
      </w:r>
      <w:r w:rsidR="000814D1">
        <w:t>–</w:t>
      </w:r>
      <w:r w:rsidR="00383875">
        <w:t xml:space="preserve"> DCAR</w:t>
      </w:r>
    </w:p>
    <w:tbl>
      <w:tblPr>
        <w:tblStyle w:val="TableGrid1"/>
        <w:tblW w:w="4978" w:type="pct"/>
        <w:tblLayout w:type="fixed"/>
        <w:tblCellMar>
          <w:top w:w="15" w:type="dxa"/>
          <w:bottom w:w="15" w:type="dxa"/>
        </w:tblCellMar>
        <w:tblLook w:val="04A0" w:firstRow="1" w:lastRow="0" w:firstColumn="1" w:lastColumn="0" w:noHBand="0" w:noVBand="1"/>
      </w:tblPr>
      <w:tblGrid>
        <w:gridCol w:w="2551"/>
        <w:gridCol w:w="1134"/>
        <w:gridCol w:w="1134"/>
        <w:gridCol w:w="1134"/>
        <w:gridCol w:w="1134"/>
        <w:gridCol w:w="1134"/>
        <w:gridCol w:w="1134"/>
        <w:gridCol w:w="1133"/>
        <w:gridCol w:w="1133"/>
        <w:gridCol w:w="1133"/>
        <w:gridCol w:w="1133"/>
      </w:tblGrid>
      <w:tr w:rsidR="00EF478E" w:rsidRPr="00D02565" w14:paraId="55AC2D3F" w14:textId="77777777">
        <w:trPr>
          <w:cnfStyle w:val="100000000000" w:firstRow="1" w:lastRow="0" w:firstColumn="0" w:lastColumn="0" w:oddVBand="0" w:evenVBand="0" w:oddHBand="0" w:evenHBand="0" w:firstRowFirstColumn="0" w:firstRowLastColumn="0" w:lastRowFirstColumn="0" w:lastRowLastColumn="0"/>
          <w:trHeight w:val="55"/>
        </w:trPr>
        <w:tc>
          <w:tcPr>
            <w:tcW w:w="918" w:type="pct"/>
            <w:tcBorders>
              <w:top w:val="single" w:sz="4" w:space="0" w:color="auto"/>
              <w:left w:val="single" w:sz="4" w:space="0" w:color="auto"/>
              <w:bottom w:val="single" w:sz="4" w:space="0" w:color="auto"/>
              <w:right w:val="nil"/>
            </w:tcBorders>
            <w:shd w:val="clear" w:color="auto" w:fill="auto"/>
            <w:noWrap/>
            <w:hideMark/>
          </w:tcPr>
          <w:p w14:paraId="40196402" w14:textId="77777777" w:rsidR="00EF478E" w:rsidRPr="00D02565" w:rsidRDefault="00EF478E" w:rsidP="00C25359">
            <w:pPr>
              <w:keepNext/>
              <w:spacing w:before="0" w:after="0"/>
              <w:rPr>
                <w:rFonts w:ascii="Arial Narrow" w:hAnsi="Arial Narrow"/>
                <w:b/>
              </w:rPr>
            </w:pPr>
            <w:r w:rsidRPr="00D02565">
              <w:rPr>
                <w:rFonts w:ascii="Arial Narrow" w:hAnsi="Arial Narrow"/>
                <w:b/>
              </w:rPr>
              <w:t>Screening Strategy</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E8761" w14:textId="77777777" w:rsidR="00EF478E" w:rsidRPr="00D02565" w:rsidRDefault="00EF478E" w:rsidP="00C25359">
            <w:pPr>
              <w:keepNext/>
              <w:spacing w:before="0" w:after="0"/>
              <w:jc w:val="center"/>
              <w:rPr>
                <w:rFonts w:ascii="Arial Narrow" w:hAnsi="Arial Narrow"/>
                <w:b/>
              </w:rPr>
            </w:pPr>
            <w:r w:rsidRPr="00D02565">
              <w:rPr>
                <w:rFonts w:ascii="Arial Narrow" w:hAnsi="Arial Narrow"/>
                <w:b/>
              </w:rPr>
              <w:t>I</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C683C" w14:textId="77777777" w:rsidR="00EF478E" w:rsidRPr="00D02565" w:rsidRDefault="00EF478E" w:rsidP="00C25359">
            <w:pPr>
              <w:keepNext/>
              <w:spacing w:before="0" w:after="0"/>
              <w:jc w:val="center"/>
              <w:rPr>
                <w:rFonts w:ascii="Arial Narrow" w:hAnsi="Arial Narrow"/>
                <w:b/>
              </w:rPr>
            </w:pPr>
            <w:r w:rsidRPr="00D02565">
              <w:rPr>
                <w:rFonts w:ascii="Arial Narrow" w:hAnsi="Arial Narrow"/>
                <w:b/>
              </w:rPr>
              <w:t>Ia</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79107" w14:textId="77777777" w:rsidR="00EF478E" w:rsidRPr="00EF478E" w:rsidRDefault="00EF478E" w:rsidP="00C25359">
            <w:pPr>
              <w:keepNext/>
              <w:spacing w:before="0" w:after="0"/>
              <w:jc w:val="center"/>
              <w:rPr>
                <w:rFonts w:ascii="Arial Narrow" w:hAnsi="Arial Narrow"/>
                <w:b/>
              </w:rPr>
            </w:pPr>
            <w:r w:rsidRPr="00EF478E">
              <w:rPr>
                <w:rFonts w:ascii="Arial Narrow" w:hAnsi="Arial Narrow"/>
                <w:b/>
              </w:rPr>
              <w:t>II</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37B1A" w14:textId="77777777" w:rsidR="00EF478E" w:rsidRPr="00D02565" w:rsidRDefault="00EF478E" w:rsidP="00C25359">
            <w:pPr>
              <w:keepNext/>
              <w:spacing w:before="0" w:after="0"/>
              <w:jc w:val="center"/>
              <w:rPr>
                <w:rFonts w:ascii="Arial Narrow" w:hAnsi="Arial Narrow"/>
                <w:b/>
              </w:rPr>
            </w:pPr>
            <w:r w:rsidRPr="00D02565">
              <w:rPr>
                <w:rFonts w:ascii="Arial Narrow" w:hAnsi="Arial Narrow"/>
                <w:b/>
              </w:rPr>
              <w:t>IIa</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6922E" w14:textId="77777777" w:rsidR="00EF478E" w:rsidRPr="00D02565" w:rsidRDefault="00EF478E" w:rsidP="00C25359">
            <w:pPr>
              <w:keepNext/>
              <w:spacing w:before="0" w:after="0"/>
              <w:jc w:val="center"/>
              <w:rPr>
                <w:rFonts w:ascii="Arial Narrow" w:hAnsi="Arial Narrow"/>
                <w:b/>
              </w:rPr>
            </w:pPr>
            <w:r w:rsidRPr="00D02565">
              <w:rPr>
                <w:rFonts w:ascii="Arial Narrow" w:hAnsi="Arial Narrow"/>
                <w:b/>
              </w:rPr>
              <w:t>III</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29A65" w14:textId="77777777" w:rsidR="00EF478E" w:rsidRPr="00D02565" w:rsidRDefault="00EF478E" w:rsidP="00C25359">
            <w:pPr>
              <w:keepNext/>
              <w:spacing w:before="0" w:after="0"/>
              <w:jc w:val="center"/>
              <w:rPr>
                <w:rFonts w:ascii="Arial Narrow" w:hAnsi="Arial Narrow"/>
                <w:b/>
              </w:rPr>
            </w:pPr>
            <w:r w:rsidRPr="00D02565">
              <w:rPr>
                <w:rFonts w:ascii="Arial Narrow" w:hAnsi="Arial Narrow"/>
                <w:b/>
              </w:rPr>
              <w:t>IIIa</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9EA8F" w14:textId="77777777" w:rsidR="00EF478E" w:rsidRPr="00D02565" w:rsidRDefault="00EF478E" w:rsidP="00C25359">
            <w:pPr>
              <w:keepNext/>
              <w:spacing w:before="0" w:after="0"/>
              <w:jc w:val="center"/>
              <w:rPr>
                <w:rFonts w:ascii="Arial Narrow" w:hAnsi="Arial Narrow"/>
                <w:b/>
              </w:rPr>
            </w:pPr>
            <w:r w:rsidRPr="00D02565">
              <w:rPr>
                <w:rFonts w:ascii="Arial Narrow" w:hAnsi="Arial Narrow"/>
                <w:b/>
              </w:rPr>
              <w:t>IV</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84FEF" w14:textId="77777777" w:rsidR="00EF478E" w:rsidRPr="00D02565" w:rsidRDefault="00EF478E" w:rsidP="00C25359">
            <w:pPr>
              <w:keepNext/>
              <w:spacing w:before="0" w:after="0"/>
              <w:jc w:val="center"/>
              <w:rPr>
                <w:rFonts w:ascii="Arial Narrow" w:hAnsi="Arial Narrow"/>
                <w:b/>
              </w:rPr>
            </w:pPr>
            <w:r w:rsidRPr="00D02565">
              <w:rPr>
                <w:rFonts w:ascii="Arial Narrow" w:hAnsi="Arial Narrow"/>
                <w:b/>
              </w:rPr>
              <w:t>IVa</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F5172" w14:textId="77777777" w:rsidR="00EF478E" w:rsidRPr="00D02565" w:rsidRDefault="00EF478E" w:rsidP="00C25359">
            <w:pPr>
              <w:keepNext/>
              <w:spacing w:before="0" w:after="0"/>
              <w:jc w:val="center"/>
              <w:rPr>
                <w:rFonts w:ascii="Arial Narrow" w:hAnsi="Arial Narrow"/>
                <w:b/>
              </w:rPr>
            </w:pPr>
            <w:r w:rsidRPr="00D02565">
              <w:rPr>
                <w:rFonts w:ascii="Arial Narrow" w:hAnsi="Arial Narrow"/>
                <w:b/>
              </w:rPr>
              <w:t>IVb</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55D48982" w14:textId="77777777" w:rsidR="00EF478E" w:rsidRPr="00D02565" w:rsidRDefault="00EF478E" w:rsidP="00C25359">
            <w:pPr>
              <w:keepNext/>
              <w:spacing w:before="0" w:after="0"/>
              <w:jc w:val="center"/>
              <w:rPr>
                <w:rFonts w:ascii="Arial Narrow" w:hAnsi="Arial Narrow"/>
                <w:b/>
              </w:rPr>
            </w:pPr>
            <w:r w:rsidRPr="003C54EF">
              <w:rPr>
                <w:rFonts w:ascii="Arial Narrow" w:hAnsi="Arial Narrow"/>
                <w:b/>
                <w:sz w:val="22"/>
              </w:rPr>
              <w:t>Current</w:t>
            </w:r>
          </w:p>
        </w:tc>
      </w:tr>
      <w:tr w:rsidR="00EF478E" w:rsidRPr="00D02565" w14:paraId="080DB2E9" w14:textId="77777777">
        <w:trPr>
          <w:trHeight w:val="55"/>
        </w:trPr>
        <w:tc>
          <w:tcPr>
            <w:tcW w:w="918" w:type="pct"/>
            <w:tcBorders>
              <w:top w:val="single" w:sz="4" w:space="0" w:color="auto"/>
              <w:left w:val="single" w:sz="4" w:space="0" w:color="auto"/>
              <w:bottom w:val="single" w:sz="4" w:space="0" w:color="auto"/>
            </w:tcBorders>
            <w:shd w:val="clear" w:color="auto" w:fill="auto"/>
            <w:noWrap/>
            <w:vAlign w:val="center"/>
          </w:tcPr>
          <w:p w14:paraId="73736905" w14:textId="77777777" w:rsidR="00EF478E" w:rsidRPr="00D02565" w:rsidRDefault="00EF478E" w:rsidP="00C25359">
            <w:pPr>
              <w:keepNext/>
              <w:spacing w:before="0" w:after="0"/>
              <w:rPr>
                <w:rFonts w:ascii="Arial Narrow" w:hAnsi="Arial Narrow"/>
                <w:b/>
              </w:rPr>
            </w:pPr>
            <w:r w:rsidRPr="00D02565">
              <w:rPr>
                <w:rFonts w:ascii="Arial Narrow" w:hAnsi="Arial Narrow"/>
                <w:b/>
              </w:rPr>
              <w:t>Step 1:</w:t>
            </w:r>
          </w:p>
        </w:tc>
        <w:tc>
          <w:tcPr>
            <w:tcW w:w="408" w:type="pct"/>
            <w:tcBorders>
              <w:top w:val="single" w:sz="4" w:space="0" w:color="auto"/>
              <w:bottom w:val="single" w:sz="4" w:space="0" w:color="auto"/>
            </w:tcBorders>
            <w:shd w:val="clear" w:color="auto" w:fill="auto"/>
            <w:noWrap/>
            <w:vAlign w:val="center"/>
          </w:tcPr>
          <w:p w14:paraId="2D90C70D" w14:textId="77777777" w:rsidR="00EF478E" w:rsidRPr="00D02565" w:rsidRDefault="00EF478E" w:rsidP="00C25359">
            <w:pPr>
              <w:keepNext/>
              <w:spacing w:before="0" w:after="0"/>
              <w:jc w:val="right"/>
              <w:rPr>
                <w:rFonts w:ascii="Arial Narrow" w:hAnsi="Arial Narrow"/>
                <w:b/>
              </w:rPr>
            </w:pPr>
          </w:p>
        </w:tc>
        <w:tc>
          <w:tcPr>
            <w:tcW w:w="408" w:type="pct"/>
            <w:tcBorders>
              <w:top w:val="single" w:sz="4" w:space="0" w:color="auto"/>
              <w:bottom w:val="single" w:sz="4" w:space="0" w:color="auto"/>
            </w:tcBorders>
            <w:shd w:val="clear" w:color="auto" w:fill="auto"/>
            <w:noWrap/>
            <w:vAlign w:val="center"/>
          </w:tcPr>
          <w:p w14:paraId="2630F64C" w14:textId="77777777" w:rsidR="00EF478E" w:rsidRPr="00D02565" w:rsidRDefault="00EF478E" w:rsidP="00C25359">
            <w:pPr>
              <w:keepNext/>
              <w:spacing w:before="0" w:after="0"/>
              <w:jc w:val="right"/>
              <w:rPr>
                <w:rFonts w:ascii="Arial Narrow" w:hAnsi="Arial Narrow"/>
                <w:b/>
              </w:rPr>
            </w:pPr>
          </w:p>
        </w:tc>
        <w:tc>
          <w:tcPr>
            <w:tcW w:w="408" w:type="pct"/>
            <w:tcBorders>
              <w:top w:val="single" w:sz="4" w:space="0" w:color="auto"/>
              <w:bottom w:val="single" w:sz="4" w:space="0" w:color="auto"/>
            </w:tcBorders>
            <w:shd w:val="clear" w:color="auto" w:fill="auto"/>
            <w:noWrap/>
            <w:vAlign w:val="center"/>
          </w:tcPr>
          <w:p w14:paraId="3F657A68" w14:textId="77777777" w:rsidR="00EF478E" w:rsidRPr="00EF478E" w:rsidRDefault="00EF478E" w:rsidP="00C25359">
            <w:pPr>
              <w:keepNext/>
              <w:spacing w:before="0" w:after="0"/>
              <w:jc w:val="right"/>
              <w:rPr>
                <w:rFonts w:ascii="Arial Narrow" w:hAnsi="Arial Narrow"/>
                <w:b/>
              </w:rPr>
            </w:pPr>
          </w:p>
        </w:tc>
        <w:tc>
          <w:tcPr>
            <w:tcW w:w="408" w:type="pct"/>
            <w:tcBorders>
              <w:top w:val="single" w:sz="4" w:space="0" w:color="auto"/>
              <w:bottom w:val="single" w:sz="4" w:space="0" w:color="auto"/>
            </w:tcBorders>
            <w:shd w:val="clear" w:color="auto" w:fill="auto"/>
            <w:noWrap/>
            <w:vAlign w:val="center"/>
          </w:tcPr>
          <w:p w14:paraId="3315B57C" w14:textId="77777777" w:rsidR="00EF478E" w:rsidRPr="00EF478E" w:rsidRDefault="00EF478E" w:rsidP="00C25359">
            <w:pPr>
              <w:keepNext/>
              <w:spacing w:before="0" w:after="0"/>
              <w:jc w:val="right"/>
              <w:rPr>
                <w:rFonts w:ascii="Arial Narrow" w:hAnsi="Arial Narrow"/>
                <w:b/>
                <w:i/>
                <w:color w:val="0070C0"/>
              </w:rPr>
            </w:pPr>
          </w:p>
        </w:tc>
        <w:tc>
          <w:tcPr>
            <w:tcW w:w="408" w:type="pct"/>
            <w:tcBorders>
              <w:top w:val="single" w:sz="4" w:space="0" w:color="auto"/>
              <w:bottom w:val="single" w:sz="4" w:space="0" w:color="auto"/>
            </w:tcBorders>
            <w:shd w:val="clear" w:color="auto" w:fill="auto"/>
            <w:noWrap/>
            <w:vAlign w:val="center"/>
          </w:tcPr>
          <w:p w14:paraId="62E01762" w14:textId="77777777" w:rsidR="00EF478E" w:rsidRPr="00D02565" w:rsidRDefault="00EF478E" w:rsidP="00C25359">
            <w:pPr>
              <w:keepNext/>
              <w:spacing w:before="0" w:after="0"/>
              <w:jc w:val="right"/>
              <w:rPr>
                <w:rFonts w:ascii="Arial Narrow" w:hAnsi="Arial Narrow"/>
                <w:b/>
              </w:rPr>
            </w:pPr>
          </w:p>
        </w:tc>
        <w:tc>
          <w:tcPr>
            <w:tcW w:w="408" w:type="pct"/>
            <w:tcBorders>
              <w:top w:val="single" w:sz="4" w:space="0" w:color="auto"/>
              <w:bottom w:val="single" w:sz="4" w:space="0" w:color="auto"/>
            </w:tcBorders>
            <w:shd w:val="clear" w:color="auto" w:fill="auto"/>
            <w:noWrap/>
            <w:vAlign w:val="center"/>
          </w:tcPr>
          <w:p w14:paraId="49EDF36D" w14:textId="77777777" w:rsidR="00EF478E" w:rsidRPr="00D02565" w:rsidRDefault="00EF478E" w:rsidP="00C25359">
            <w:pPr>
              <w:keepNext/>
              <w:spacing w:before="0" w:after="0"/>
              <w:jc w:val="right"/>
              <w:rPr>
                <w:rFonts w:ascii="Arial Narrow" w:hAnsi="Arial Narrow"/>
                <w:b/>
              </w:rPr>
            </w:pPr>
          </w:p>
        </w:tc>
        <w:tc>
          <w:tcPr>
            <w:tcW w:w="408" w:type="pct"/>
            <w:tcBorders>
              <w:top w:val="single" w:sz="4" w:space="0" w:color="auto"/>
              <w:bottom w:val="single" w:sz="4" w:space="0" w:color="auto"/>
            </w:tcBorders>
            <w:shd w:val="clear" w:color="auto" w:fill="auto"/>
            <w:noWrap/>
            <w:vAlign w:val="center"/>
          </w:tcPr>
          <w:p w14:paraId="48A07ADB" w14:textId="77777777" w:rsidR="00EF478E" w:rsidRPr="00D02565" w:rsidRDefault="00EF478E" w:rsidP="00C25359">
            <w:pPr>
              <w:keepNext/>
              <w:spacing w:before="0" w:after="0"/>
              <w:jc w:val="right"/>
              <w:rPr>
                <w:rFonts w:ascii="Arial Narrow" w:hAnsi="Arial Narrow"/>
                <w:b/>
              </w:rPr>
            </w:pPr>
          </w:p>
        </w:tc>
        <w:tc>
          <w:tcPr>
            <w:tcW w:w="408" w:type="pct"/>
            <w:tcBorders>
              <w:top w:val="single" w:sz="4" w:space="0" w:color="auto"/>
              <w:bottom w:val="single" w:sz="4" w:space="0" w:color="auto"/>
            </w:tcBorders>
            <w:shd w:val="clear" w:color="auto" w:fill="auto"/>
            <w:noWrap/>
            <w:vAlign w:val="center"/>
          </w:tcPr>
          <w:p w14:paraId="4F9610BA" w14:textId="77777777" w:rsidR="00EF478E" w:rsidRPr="00D02565" w:rsidRDefault="00EF478E" w:rsidP="00C25359">
            <w:pPr>
              <w:keepNext/>
              <w:spacing w:before="0" w:after="0"/>
              <w:jc w:val="right"/>
              <w:rPr>
                <w:rFonts w:ascii="Arial Narrow" w:hAnsi="Arial Narrow"/>
                <w:b/>
              </w:rPr>
            </w:pPr>
          </w:p>
        </w:tc>
        <w:tc>
          <w:tcPr>
            <w:tcW w:w="408" w:type="pct"/>
            <w:tcBorders>
              <w:top w:val="single" w:sz="4" w:space="0" w:color="auto"/>
              <w:bottom w:val="single" w:sz="4" w:space="0" w:color="auto"/>
            </w:tcBorders>
            <w:shd w:val="clear" w:color="auto" w:fill="auto"/>
            <w:noWrap/>
            <w:vAlign w:val="center"/>
          </w:tcPr>
          <w:p w14:paraId="4B0CA25C" w14:textId="77777777" w:rsidR="00EF478E" w:rsidRPr="00D02565" w:rsidRDefault="00EF478E" w:rsidP="00C25359">
            <w:pPr>
              <w:keepNext/>
              <w:spacing w:before="0" w:after="0"/>
              <w:jc w:val="right"/>
              <w:rPr>
                <w:rFonts w:ascii="Arial Narrow" w:hAnsi="Arial Narrow"/>
                <w:b/>
              </w:rPr>
            </w:pPr>
          </w:p>
        </w:tc>
        <w:tc>
          <w:tcPr>
            <w:tcW w:w="408" w:type="pct"/>
            <w:tcBorders>
              <w:top w:val="single" w:sz="4" w:space="0" w:color="auto"/>
              <w:bottom w:val="single" w:sz="4" w:space="0" w:color="auto"/>
              <w:right w:val="single" w:sz="4" w:space="0" w:color="auto"/>
            </w:tcBorders>
            <w:shd w:val="clear" w:color="auto" w:fill="auto"/>
            <w:noWrap/>
            <w:vAlign w:val="center"/>
          </w:tcPr>
          <w:p w14:paraId="3EBD87C0" w14:textId="77777777" w:rsidR="00EF478E" w:rsidRPr="00D02565" w:rsidRDefault="00EF478E" w:rsidP="00C25359">
            <w:pPr>
              <w:keepNext/>
              <w:spacing w:before="0" w:after="0"/>
              <w:jc w:val="right"/>
              <w:rPr>
                <w:rFonts w:ascii="Arial Narrow" w:hAnsi="Arial Narrow"/>
                <w:b/>
              </w:rPr>
            </w:pPr>
          </w:p>
        </w:tc>
      </w:tr>
      <w:tr w:rsidR="00EF478E" w:rsidRPr="00D02565" w14:paraId="6F2D293E" w14:textId="77777777">
        <w:trPr>
          <w:trHeight w:val="55"/>
        </w:trPr>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C4DA3" w14:textId="77777777" w:rsidR="00EF478E" w:rsidRPr="00D02565" w:rsidRDefault="00EF478E" w:rsidP="00C25359">
            <w:pPr>
              <w:keepNext/>
              <w:spacing w:before="0" w:after="0"/>
              <w:rPr>
                <w:rFonts w:ascii="Arial Narrow" w:hAnsi="Arial Narrow"/>
              </w:rPr>
            </w:pPr>
            <w:r w:rsidRPr="00D02565">
              <w:rPr>
                <w:rFonts w:ascii="Arial Narrow" w:hAnsi="Arial Narrow"/>
              </w:rPr>
              <w:t>Diagnostic cost</w:t>
            </w:r>
            <w:r>
              <w:rPr>
                <w:rFonts w:ascii="Arial Narrow" w:hAnsi="Arial Narrow"/>
              </w:rPr>
              <w:t xml:space="preserve"> ($)</w:t>
            </w:r>
          </w:p>
        </w:tc>
        <w:tc>
          <w:tcPr>
            <w:tcW w:w="408" w:type="pct"/>
            <w:tcBorders>
              <w:top w:val="single" w:sz="4" w:space="0" w:color="auto"/>
              <w:bottom w:val="single" w:sz="4" w:space="0" w:color="auto"/>
              <w:right w:val="single" w:sz="4" w:space="0" w:color="auto"/>
            </w:tcBorders>
            <w:noWrap/>
            <w:hideMark/>
          </w:tcPr>
          <w:p w14:paraId="61FB5D0D" w14:textId="77777777" w:rsidR="00EF478E" w:rsidRPr="00D02565" w:rsidRDefault="00EF478E" w:rsidP="006D6B3A">
            <w:pPr>
              <w:keepNext/>
              <w:spacing w:before="0" w:after="0"/>
              <w:jc w:val="center"/>
              <w:rPr>
                <w:rFonts w:ascii="Arial Narrow" w:hAnsi="Arial Narrow"/>
              </w:rPr>
            </w:pPr>
            <w:r w:rsidRPr="00291710">
              <w:rPr>
                <w:rFonts w:ascii="Arial Narrow" w:hAnsi="Arial Narrow"/>
              </w:rPr>
              <w:t xml:space="preserve">7.64 </w:t>
            </w:r>
          </w:p>
        </w:tc>
        <w:tc>
          <w:tcPr>
            <w:tcW w:w="408" w:type="pct"/>
            <w:tcBorders>
              <w:top w:val="single" w:sz="4" w:space="0" w:color="auto"/>
              <w:left w:val="single" w:sz="4" w:space="0" w:color="auto"/>
              <w:bottom w:val="single" w:sz="4" w:space="0" w:color="auto"/>
              <w:right w:val="single" w:sz="4" w:space="0" w:color="auto"/>
            </w:tcBorders>
            <w:noWrap/>
            <w:hideMark/>
          </w:tcPr>
          <w:p w14:paraId="032D98B6" w14:textId="77777777" w:rsidR="00EF478E" w:rsidRPr="00D02565" w:rsidRDefault="00EF478E" w:rsidP="006D6B3A">
            <w:pPr>
              <w:keepNext/>
              <w:spacing w:before="0" w:after="0"/>
              <w:jc w:val="center"/>
              <w:rPr>
                <w:rFonts w:ascii="Arial Narrow" w:hAnsi="Arial Narrow"/>
              </w:rPr>
            </w:pPr>
            <w:r w:rsidRPr="00291710">
              <w:rPr>
                <w:rFonts w:ascii="Arial Narrow" w:hAnsi="Arial Narrow"/>
              </w:rPr>
              <w:t>27.9</w:t>
            </w:r>
            <w:r>
              <w:rPr>
                <w:rFonts w:ascii="Arial Narrow" w:hAnsi="Arial Narrow"/>
              </w:rPr>
              <w:t>6</w:t>
            </w:r>
            <w:r w:rsidRPr="00291710">
              <w:rPr>
                <w:rFonts w:ascii="Arial Narrow" w:hAnsi="Arial Narrow"/>
              </w:rPr>
              <w:t xml:space="preserve"> </w:t>
            </w:r>
          </w:p>
        </w:tc>
        <w:tc>
          <w:tcPr>
            <w:tcW w:w="408" w:type="pct"/>
            <w:tcBorders>
              <w:top w:val="single" w:sz="4" w:space="0" w:color="auto"/>
              <w:left w:val="single" w:sz="4" w:space="0" w:color="auto"/>
              <w:bottom w:val="single" w:sz="4" w:space="0" w:color="auto"/>
              <w:right w:val="single" w:sz="4" w:space="0" w:color="auto"/>
            </w:tcBorders>
            <w:noWrap/>
            <w:hideMark/>
          </w:tcPr>
          <w:p w14:paraId="0748418E" w14:textId="77777777" w:rsidR="00EF478E" w:rsidRPr="00EF478E" w:rsidRDefault="00EF478E" w:rsidP="006D6B3A">
            <w:pPr>
              <w:keepNext/>
              <w:spacing w:before="0" w:after="0"/>
              <w:jc w:val="center"/>
              <w:rPr>
                <w:rFonts w:ascii="Arial Narrow" w:hAnsi="Arial Narrow"/>
              </w:rPr>
            </w:pPr>
            <w:r w:rsidRPr="00EF478E">
              <w:rPr>
                <w:rFonts w:ascii="Arial Narrow" w:hAnsi="Arial Narrow"/>
              </w:rPr>
              <w:t xml:space="preserve">149.60 </w:t>
            </w:r>
          </w:p>
        </w:tc>
        <w:tc>
          <w:tcPr>
            <w:tcW w:w="408" w:type="pct"/>
            <w:tcBorders>
              <w:top w:val="single" w:sz="4" w:space="0" w:color="auto"/>
              <w:left w:val="single" w:sz="4" w:space="0" w:color="auto"/>
              <w:bottom w:val="single" w:sz="4" w:space="0" w:color="auto"/>
              <w:right w:val="single" w:sz="4" w:space="0" w:color="auto"/>
            </w:tcBorders>
            <w:noWrap/>
            <w:hideMark/>
          </w:tcPr>
          <w:p w14:paraId="7A07AA58" w14:textId="77777777" w:rsidR="00EF478E" w:rsidRPr="00D02565" w:rsidRDefault="00EF478E" w:rsidP="006D6B3A">
            <w:pPr>
              <w:keepNext/>
              <w:spacing w:before="0" w:after="0"/>
              <w:jc w:val="center"/>
              <w:rPr>
                <w:rFonts w:ascii="Arial Narrow" w:hAnsi="Arial Narrow"/>
              </w:rPr>
            </w:pPr>
            <w:r w:rsidRPr="00291710">
              <w:rPr>
                <w:rFonts w:ascii="Arial Narrow" w:hAnsi="Arial Narrow"/>
              </w:rPr>
              <w:t>100.</w:t>
            </w:r>
            <w:r>
              <w:rPr>
                <w:rFonts w:ascii="Arial Narrow" w:hAnsi="Arial Narrow"/>
              </w:rPr>
              <w:t>7</w:t>
            </w:r>
            <w:r w:rsidRPr="00291710">
              <w:rPr>
                <w:rFonts w:ascii="Arial Narrow" w:hAnsi="Arial Narrow"/>
              </w:rPr>
              <w:t xml:space="preserve">5 </w:t>
            </w:r>
          </w:p>
        </w:tc>
        <w:tc>
          <w:tcPr>
            <w:tcW w:w="408" w:type="pct"/>
            <w:tcBorders>
              <w:top w:val="single" w:sz="4" w:space="0" w:color="auto"/>
              <w:left w:val="single" w:sz="4" w:space="0" w:color="auto"/>
              <w:bottom w:val="single" w:sz="4" w:space="0" w:color="auto"/>
              <w:right w:val="single" w:sz="4" w:space="0" w:color="auto"/>
            </w:tcBorders>
            <w:noWrap/>
            <w:hideMark/>
          </w:tcPr>
          <w:p w14:paraId="131EE6ED" w14:textId="77777777" w:rsidR="00EF478E" w:rsidRPr="00D02565" w:rsidRDefault="00EF478E" w:rsidP="006D6B3A">
            <w:pPr>
              <w:keepNext/>
              <w:spacing w:before="0" w:after="0"/>
              <w:jc w:val="center"/>
              <w:rPr>
                <w:rFonts w:ascii="Arial Narrow" w:hAnsi="Arial Narrow"/>
              </w:rPr>
            </w:pPr>
            <w:r w:rsidRPr="00291710">
              <w:rPr>
                <w:rFonts w:ascii="Arial Narrow" w:hAnsi="Arial Narrow"/>
              </w:rPr>
              <w:t>10.4</w:t>
            </w:r>
            <w:r>
              <w:rPr>
                <w:rFonts w:ascii="Arial Narrow" w:hAnsi="Arial Narrow"/>
              </w:rPr>
              <w:t>8</w:t>
            </w:r>
            <w:r w:rsidRPr="00291710">
              <w:rPr>
                <w:rFonts w:ascii="Arial Narrow" w:hAnsi="Arial Narrow"/>
              </w:rPr>
              <w:t xml:space="preserve"> </w:t>
            </w:r>
          </w:p>
        </w:tc>
        <w:tc>
          <w:tcPr>
            <w:tcW w:w="408" w:type="pct"/>
            <w:tcBorders>
              <w:top w:val="single" w:sz="4" w:space="0" w:color="auto"/>
              <w:left w:val="single" w:sz="4" w:space="0" w:color="auto"/>
              <w:bottom w:val="single" w:sz="4" w:space="0" w:color="auto"/>
              <w:right w:val="single" w:sz="4" w:space="0" w:color="auto"/>
            </w:tcBorders>
            <w:noWrap/>
            <w:hideMark/>
          </w:tcPr>
          <w:p w14:paraId="238DCB1F" w14:textId="77777777" w:rsidR="00EF478E" w:rsidRPr="00D02565" w:rsidRDefault="00EF478E" w:rsidP="006D6B3A">
            <w:pPr>
              <w:keepNext/>
              <w:spacing w:before="0" w:after="0"/>
              <w:jc w:val="center"/>
              <w:rPr>
                <w:rFonts w:ascii="Arial Narrow" w:hAnsi="Arial Narrow"/>
              </w:rPr>
            </w:pPr>
            <w:r w:rsidRPr="00291710">
              <w:rPr>
                <w:rFonts w:ascii="Arial Narrow" w:hAnsi="Arial Narrow"/>
              </w:rPr>
              <w:t xml:space="preserve">10.47 </w:t>
            </w:r>
          </w:p>
        </w:tc>
        <w:tc>
          <w:tcPr>
            <w:tcW w:w="408" w:type="pct"/>
            <w:tcBorders>
              <w:top w:val="single" w:sz="4" w:space="0" w:color="auto"/>
              <w:left w:val="single" w:sz="4" w:space="0" w:color="auto"/>
              <w:bottom w:val="single" w:sz="4" w:space="0" w:color="auto"/>
              <w:right w:val="single" w:sz="4" w:space="0" w:color="auto"/>
            </w:tcBorders>
            <w:noWrap/>
            <w:hideMark/>
          </w:tcPr>
          <w:p w14:paraId="11B62082" w14:textId="77777777" w:rsidR="00EF478E" w:rsidRPr="00D02565" w:rsidRDefault="00EF478E" w:rsidP="006D6B3A">
            <w:pPr>
              <w:keepNext/>
              <w:spacing w:before="0" w:after="0"/>
              <w:jc w:val="center"/>
              <w:rPr>
                <w:rFonts w:ascii="Arial Narrow" w:hAnsi="Arial Narrow"/>
              </w:rPr>
            </w:pPr>
            <w:r w:rsidRPr="00291710">
              <w:rPr>
                <w:rFonts w:ascii="Arial Narrow" w:hAnsi="Arial Narrow"/>
              </w:rPr>
              <w:t>7.7</w:t>
            </w:r>
            <w:r>
              <w:rPr>
                <w:rFonts w:ascii="Arial Narrow" w:hAnsi="Arial Narrow"/>
              </w:rPr>
              <w:t>0</w:t>
            </w:r>
            <w:r w:rsidRPr="00291710">
              <w:rPr>
                <w:rFonts w:ascii="Arial Narrow" w:hAnsi="Arial Narrow"/>
              </w:rPr>
              <w:t xml:space="preserve"> </w:t>
            </w:r>
          </w:p>
        </w:tc>
        <w:tc>
          <w:tcPr>
            <w:tcW w:w="408" w:type="pct"/>
            <w:tcBorders>
              <w:top w:val="single" w:sz="4" w:space="0" w:color="auto"/>
              <w:left w:val="single" w:sz="4" w:space="0" w:color="auto"/>
              <w:bottom w:val="single" w:sz="4" w:space="0" w:color="auto"/>
              <w:right w:val="single" w:sz="4" w:space="0" w:color="auto"/>
            </w:tcBorders>
            <w:noWrap/>
            <w:hideMark/>
          </w:tcPr>
          <w:p w14:paraId="1309D034" w14:textId="77777777" w:rsidR="00EF478E" w:rsidRPr="00D02565" w:rsidRDefault="00EF478E" w:rsidP="006D6B3A">
            <w:pPr>
              <w:keepNext/>
              <w:spacing w:before="0" w:after="0"/>
              <w:jc w:val="center"/>
              <w:rPr>
                <w:rFonts w:ascii="Arial Narrow" w:hAnsi="Arial Narrow"/>
              </w:rPr>
            </w:pPr>
            <w:r w:rsidRPr="00291710">
              <w:rPr>
                <w:rFonts w:ascii="Arial Narrow" w:hAnsi="Arial Narrow"/>
              </w:rPr>
              <w:t>28.0</w:t>
            </w:r>
            <w:r>
              <w:rPr>
                <w:rFonts w:ascii="Arial Narrow" w:hAnsi="Arial Narrow"/>
              </w:rPr>
              <w:t>1</w:t>
            </w:r>
            <w:r w:rsidRPr="00291710">
              <w:rPr>
                <w:rFonts w:ascii="Arial Narrow" w:hAnsi="Arial Narrow"/>
              </w:rPr>
              <w:t xml:space="preserve"> </w:t>
            </w:r>
          </w:p>
        </w:tc>
        <w:tc>
          <w:tcPr>
            <w:tcW w:w="408" w:type="pct"/>
            <w:tcBorders>
              <w:top w:val="single" w:sz="4" w:space="0" w:color="auto"/>
              <w:left w:val="single" w:sz="4" w:space="0" w:color="auto"/>
              <w:bottom w:val="single" w:sz="4" w:space="0" w:color="auto"/>
              <w:right w:val="single" w:sz="4" w:space="0" w:color="auto"/>
            </w:tcBorders>
            <w:shd w:val="clear" w:color="auto" w:fill="auto"/>
            <w:noWrap/>
            <w:hideMark/>
          </w:tcPr>
          <w:p w14:paraId="7A851E79" w14:textId="77777777" w:rsidR="00EF478E" w:rsidRPr="00D02565" w:rsidRDefault="00EF478E" w:rsidP="006D6B3A">
            <w:pPr>
              <w:keepNext/>
              <w:spacing w:before="0" w:after="0"/>
              <w:jc w:val="center"/>
              <w:rPr>
                <w:rFonts w:ascii="Arial Narrow" w:hAnsi="Arial Narrow"/>
              </w:rPr>
            </w:pPr>
            <w:r w:rsidRPr="00291710">
              <w:rPr>
                <w:rFonts w:ascii="Arial Narrow" w:hAnsi="Arial Narrow"/>
              </w:rPr>
              <w:t>7.6</w:t>
            </w:r>
            <w:r>
              <w:rPr>
                <w:rFonts w:ascii="Arial Narrow" w:hAnsi="Arial Narrow"/>
              </w:rPr>
              <w:t>8</w:t>
            </w:r>
            <w:r w:rsidRPr="00291710">
              <w:rPr>
                <w:rFonts w:ascii="Arial Narrow" w:hAnsi="Arial Narrow"/>
              </w:rPr>
              <w:t xml:space="preserve">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5FEF0203" w14:textId="77777777" w:rsidR="00EF478E" w:rsidRPr="00D02565" w:rsidRDefault="00EF478E" w:rsidP="006D6B3A">
            <w:pPr>
              <w:keepNext/>
              <w:spacing w:before="0" w:after="0"/>
              <w:jc w:val="center"/>
              <w:rPr>
                <w:rFonts w:ascii="Arial Narrow" w:hAnsi="Arial Narrow"/>
              </w:rPr>
            </w:pPr>
            <w:r w:rsidRPr="00D02565">
              <w:rPr>
                <w:rFonts w:ascii="Arial Narrow" w:hAnsi="Arial Narrow"/>
                <w:bCs/>
              </w:rPr>
              <w:t>-</w:t>
            </w:r>
          </w:p>
        </w:tc>
      </w:tr>
      <w:tr w:rsidR="00EF478E" w:rsidRPr="00D02565" w14:paraId="09BB3A47" w14:textId="77777777">
        <w:trPr>
          <w:trHeight w:val="55"/>
        </w:trPr>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80882" w14:textId="77777777" w:rsidR="00EF478E" w:rsidRPr="00D02565" w:rsidRDefault="00EF478E" w:rsidP="00C25359">
            <w:pPr>
              <w:keepNext/>
              <w:spacing w:before="0" w:after="0"/>
              <w:rPr>
                <w:rFonts w:ascii="Arial Narrow" w:hAnsi="Arial Narrow"/>
              </w:rPr>
            </w:pPr>
            <w:r w:rsidRPr="00D02565">
              <w:rPr>
                <w:rFonts w:ascii="Arial Narrow" w:hAnsi="Arial Narrow"/>
                <w:bCs/>
              </w:rPr>
              <w:t>Positive diagnoses</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B368C" w14:textId="77777777" w:rsidR="00EF478E" w:rsidRPr="00D02565" w:rsidRDefault="00EF478E" w:rsidP="006D6B3A">
            <w:pPr>
              <w:keepNext/>
              <w:spacing w:before="0" w:after="0"/>
              <w:jc w:val="center"/>
              <w:rPr>
                <w:rFonts w:ascii="Arial Narrow" w:hAnsi="Arial Narrow"/>
              </w:rPr>
            </w:pPr>
            <w:r w:rsidRPr="00D02565">
              <w:rPr>
                <w:rFonts w:ascii="Arial Narrow" w:hAnsi="Arial Narrow"/>
              </w:rPr>
              <w:t>0.000</w:t>
            </w:r>
            <w:r>
              <w:rPr>
                <w:rFonts w:ascii="Arial Narrow" w:hAnsi="Arial Narrow"/>
              </w:rPr>
              <w:t>092</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87219" w14:textId="77777777" w:rsidR="00EF478E" w:rsidRPr="00D02565" w:rsidRDefault="00EF478E" w:rsidP="006D6B3A">
            <w:pPr>
              <w:keepNext/>
              <w:spacing w:before="0" w:after="0"/>
              <w:jc w:val="center"/>
              <w:rPr>
                <w:rFonts w:ascii="Arial Narrow" w:hAnsi="Arial Narrow"/>
              </w:rPr>
            </w:pPr>
            <w:r w:rsidRPr="00D02565">
              <w:rPr>
                <w:rFonts w:ascii="Arial Narrow" w:hAnsi="Arial Narrow"/>
              </w:rPr>
              <w:t>0.0000</w:t>
            </w:r>
            <w:r>
              <w:rPr>
                <w:rFonts w:ascii="Arial Narrow" w:hAnsi="Arial Narrow"/>
              </w:rPr>
              <w:t>64</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E0FBC" w14:textId="77777777" w:rsidR="00EF478E" w:rsidRPr="00EF478E" w:rsidRDefault="00EF478E" w:rsidP="006D6B3A">
            <w:pPr>
              <w:keepNext/>
              <w:spacing w:before="0" w:after="0"/>
              <w:jc w:val="center"/>
              <w:rPr>
                <w:rFonts w:ascii="Arial Narrow" w:hAnsi="Arial Narrow"/>
              </w:rPr>
            </w:pPr>
            <w:r w:rsidRPr="00EF478E">
              <w:rPr>
                <w:rFonts w:ascii="Arial Narrow" w:hAnsi="Arial Narrow"/>
              </w:rPr>
              <w:t>0.000092</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734B" w14:textId="77777777" w:rsidR="00EF478E" w:rsidRPr="00D02565" w:rsidRDefault="00EF478E" w:rsidP="006D6B3A">
            <w:pPr>
              <w:keepNext/>
              <w:spacing w:before="0" w:after="0"/>
              <w:jc w:val="center"/>
              <w:rPr>
                <w:rFonts w:ascii="Arial Narrow" w:hAnsi="Arial Narrow"/>
              </w:rPr>
            </w:pPr>
            <w:r w:rsidRPr="00D02565">
              <w:rPr>
                <w:rFonts w:ascii="Arial Narrow" w:hAnsi="Arial Narrow"/>
              </w:rPr>
              <w:t>0.0000</w:t>
            </w:r>
            <w:r>
              <w:rPr>
                <w:rFonts w:ascii="Arial Narrow" w:hAnsi="Arial Narrow"/>
              </w:rPr>
              <w:t>64</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9CF7A" w14:textId="77777777" w:rsidR="00EF478E" w:rsidRPr="00D02565" w:rsidRDefault="00EF478E" w:rsidP="006D6B3A">
            <w:pPr>
              <w:keepNext/>
              <w:spacing w:before="0" w:after="0"/>
              <w:jc w:val="center"/>
              <w:rPr>
                <w:rFonts w:ascii="Arial Narrow" w:hAnsi="Arial Narrow"/>
              </w:rPr>
            </w:pPr>
            <w:r w:rsidRPr="00D02565">
              <w:rPr>
                <w:rFonts w:ascii="Arial Narrow" w:hAnsi="Arial Narrow"/>
              </w:rPr>
              <w:t>0.000</w:t>
            </w:r>
            <w:r>
              <w:rPr>
                <w:rFonts w:ascii="Arial Narrow" w:hAnsi="Arial Narrow"/>
              </w:rPr>
              <w:t>092</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93CE1" w14:textId="77777777" w:rsidR="00EF478E" w:rsidRPr="00D02565" w:rsidRDefault="00EF478E" w:rsidP="006D6B3A">
            <w:pPr>
              <w:keepNext/>
              <w:spacing w:before="0" w:after="0"/>
              <w:jc w:val="center"/>
              <w:rPr>
                <w:rFonts w:ascii="Arial Narrow" w:hAnsi="Arial Narrow"/>
              </w:rPr>
            </w:pPr>
            <w:r w:rsidRPr="00D02565">
              <w:rPr>
                <w:rFonts w:ascii="Arial Narrow" w:hAnsi="Arial Narrow"/>
              </w:rPr>
              <w:t>0.0000</w:t>
            </w:r>
            <w:r>
              <w:rPr>
                <w:rFonts w:ascii="Arial Narrow" w:hAnsi="Arial Narrow"/>
              </w:rPr>
              <w:t>64</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18178" w14:textId="77777777" w:rsidR="00EF478E" w:rsidRPr="00D02565" w:rsidRDefault="00EF478E" w:rsidP="006D6B3A">
            <w:pPr>
              <w:keepNext/>
              <w:spacing w:before="0" w:after="0"/>
              <w:jc w:val="center"/>
              <w:rPr>
                <w:rFonts w:ascii="Arial Narrow" w:hAnsi="Arial Narrow"/>
              </w:rPr>
            </w:pPr>
            <w:r w:rsidRPr="00D02565">
              <w:rPr>
                <w:rFonts w:ascii="Arial Narrow" w:hAnsi="Arial Narrow"/>
              </w:rPr>
              <w:t>0.000</w:t>
            </w:r>
            <w:r>
              <w:rPr>
                <w:rFonts w:ascii="Arial Narrow" w:hAnsi="Arial Narrow"/>
              </w:rPr>
              <w:t>092</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0AA7D" w14:textId="77777777" w:rsidR="00EF478E" w:rsidRPr="00D02565" w:rsidRDefault="00EF478E" w:rsidP="006D6B3A">
            <w:pPr>
              <w:keepNext/>
              <w:spacing w:before="0" w:after="0"/>
              <w:jc w:val="center"/>
              <w:rPr>
                <w:rFonts w:ascii="Arial Narrow" w:hAnsi="Arial Narrow"/>
              </w:rPr>
            </w:pPr>
            <w:r w:rsidRPr="00D02565">
              <w:rPr>
                <w:rFonts w:ascii="Arial Narrow" w:hAnsi="Arial Narrow"/>
              </w:rPr>
              <w:t>0.0000</w:t>
            </w:r>
            <w:r>
              <w:rPr>
                <w:rFonts w:ascii="Arial Narrow" w:hAnsi="Arial Narrow"/>
              </w:rPr>
              <w:t>64</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96BB5" w14:textId="77777777" w:rsidR="00EF478E" w:rsidRPr="00D02565" w:rsidRDefault="00EF478E" w:rsidP="006D6B3A">
            <w:pPr>
              <w:keepNext/>
              <w:spacing w:before="0" w:after="0"/>
              <w:jc w:val="center"/>
              <w:rPr>
                <w:rFonts w:ascii="Arial Narrow" w:hAnsi="Arial Narrow"/>
              </w:rPr>
            </w:pPr>
            <w:r w:rsidRPr="00D02565">
              <w:rPr>
                <w:rFonts w:ascii="Arial Narrow" w:hAnsi="Arial Narrow"/>
              </w:rPr>
              <w:t>0.0000</w:t>
            </w:r>
            <w:r>
              <w:rPr>
                <w:rFonts w:ascii="Arial Narrow" w:hAnsi="Arial Narrow"/>
              </w:rPr>
              <w:t>48</w:t>
            </w:r>
          </w:p>
        </w:tc>
        <w:tc>
          <w:tcPr>
            <w:tcW w:w="408" w:type="pct"/>
            <w:tcBorders>
              <w:top w:val="single" w:sz="4" w:space="0" w:color="auto"/>
              <w:left w:val="nil"/>
              <w:bottom w:val="single" w:sz="4" w:space="0" w:color="auto"/>
              <w:right w:val="single" w:sz="4" w:space="0" w:color="auto"/>
            </w:tcBorders>
            <w:noWrap/>
            <w:vAlign w:val="center"/>
            <w:hideMark/>
          </w:tcPr>
          <w:p w14:paraId="3A05C09E" w14:textId="77777777" w:rsidR="00EF478E" w:rsidRPr="00D02565" w:rsidRDefault="00EF478E" w:rsidP="006D6B3A">
            <w:pPr>
              <w:keepNext/>
              <w:spacing w:before="0" w:after="0"/>
              <w:jc w:val="center"/>
              <w:rPr>
                <w:rFonts w:ascii="Arial Narrow" w:hAnsi="Arial Narrow"/>
              </w:rPr>
            </w:pPr>
            <w:r w:rsidRPr="00D02565">
              <w:rPr>
                <w:rFonts w:ascii="Arial Narrow" w:hAnsi="Arial Narrow"/>
                <w:bCs/>
              </w:rPr>
              <w:t>-</w:t>
            </w:r>
          </w:p>
        </w:tc>
      </w:tr>
      <w:tr w:rsidR="00EF478E" w:rsidRPr="00D02565" w14:paraId="774E7BBD" w14:textId="77777777">
        <w:trPr>
          <w:trHeight w:val="168"/>
        </w:trPr>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59E4F" w14:textId="77777777" w:rsidR="00EF478E" w:rsidRPr="00D02565" w:rsidRDefault="00EF478E" w:rsidP="00C25359">
            <w:pPr>
              <w:keepNext/>
              <w:spacing w:before="0" w:after="0"/>
              <w:rPr>
                <w:rFonts w:ascii="Arial Narrow" w:hAnsi="Arial Narrow"/>
              </w:rPr>
            </w:pPr>
            <w:r w:rsidRPr="00D02565">
              <w:rPr>
                <w:rFonts w:ascii="Arial Narrow" w:hAnsi="Arial Narrow"/>
                <w:bCs/>
              </w:rPr>
              <w:t xml:space="preserve">Cost </w:t>
            </w:r>
            <w:r>
              <w:rPr>
                <w:rFonts w:ascii="Arial Narrow" w:hAnsi="Arial Narrow"/>
                <w:bCs/>
              </w:rPr>
              <w:t xml:space="preserve">($) </w:t>
            </w:r>
            <w:r w:rsidRPr="00D02565">
              <w:rPr>
                <w:rFonts w:ascii="Arial Narrow" w:hAnsi="Arial Narrow"/>
                <w:bCs/>
              </w:rPr>
              <w:t>per positive diagnosis</w:t>
            </w:r>
          </w:p>
        </w:tc>
        <w:tc>
          <w:tcPr>
            <w:tcW w:w="408" w:type="pct"/>
            <w:tcBorders>
              <w:top w:val="single" w:sz="4" w:space="0" w:color="auto"/>
              <w:bottom w:val="single" w:sz="4" w:space="0" w:color="auto"/>
              <w:right w:val="single" w:sz="4" w:space="0" w:color="auto"/>
            </w:tcBorders>
            <w:noWrap/>
            <w:hideMark/>
          </w:tcPr>
          <w:p w14:paraId="4836F9D7" w14:textId="77777777" w:rsidR="00EF478E" w:rsidRPr="00B20044" w:rsidRDefault="00EF478E" w:rsidP="00EF478E">
            <w:pPr>
              <w:keepNext/>
              <w:spacing w:before="0" w:after="0"/>
              <w:jc w:val="center"/>
              <w:rPr>
                <w:rFonts w:ascii="Arial Narrow" w:hAnsi="Arial Narrow"/>
                <w:bCs/>
              </w:rPr>
            </w:pPr>
            <w:r w:rsidRPr="00B20044">
              <w:rPr>
                <w:rFonts w:ascii="Arial Narrow" w:hAnsi="Arial Narrow"/>
                <w:bCs/>
              </w:rPr>
              <w:t>83,028</w:t>
            </w:r>
          </w:p>
        </w:tc>
        <w:tc>
          <w:tcPr>
            <w:tcW w:w="408" w:type="pct"/>
            <w:tcBorders>
              <w:top w:val="single" w:sz="4" w:space="0" w:color="auto"/>
              <w:left w:val="single" w:sz="4" w:space="0" w:color="auto"/>
              <w:bottom w:val="single" w:sz="4" w:space="0" w:color="auto"/>
              <w:right w:val="single" w:sz="4" w:space="0" w:color="auto"/>
            </w:tcBorders>
            <w:noWrap/>
            <w:hideMark/>
          </w:tcPr>
          <w:p w14:paraId="001B8F57" w14:textId="77777777" w:rsidR="00EF478E" w:rsidRPr="00B20044" w:rsidRDefault="00EF478E" w:rsidP="00EF478E">
            <w:pPr>
              <w:keepNext/>
              <w:spacing w:before="0" w:after="0"/>
              <w:jc w:val="center"/>
              <w:rPr>
                <w:rFonts w:ascii="Arial Narrow" w:hAnsi="Arial Narrow"/>
                <w:bCs/>
              </w:rPr>
            </w:pPr>
            <w:r w:rsidRPr="00B20044">
              <w:rPr>
                <w:rFonts w:ascii="Arial Narrow" w:hAnsi="Arial Narrow"/>
                <w:bCs/>
              </w:rPr>
              <w:t>436,919</w:t>
            </w:r>
          </w:p>
        </w:tc>
        <w:tc>
          <w:tcPr>
            <w:tcW w:w="408" w:type="pct"/>
            <w:tcBorders>
              <w:top w:val="single" w:sz="4" w:space="0" w:color="auto"/>
              <w:left w:val="single" w:sz="4" w:space="0" w:color="auto"/>
              <w:bottom w:val="single" w:sz="4" w:space="0" w:color="auto"/>
              <w:right w:val="single" w:sz="4" w:space="0" w:color="auto"/>
            </w:tcBorders>
            <w:noWrap/>
            <w:hideMark/>
          </w:tcPr>
          <w:p w14:paraId="3C56B51A" w14:textId="77777777" w:rsidR="00EF478E" w:rsidRPr="00EF478E" w:rsidRDefault="00EF478E" w:rsidP="00EF478E">
            <w:pPr>
              <w:keepNext/>
              <w:spacing w:before="0" w:after="0"/>
              <w:jc w:val="center"/>
              <w:rPr>
                <w:rFonts w:ascii="Arial Narrow" w:hAnsi="Arial Narrow"/>
              </w:rPr>
            </w:pPr>
            <w:r w:rsidRPr="00EF478E">
              <w:rPr>
                <w:rFonts w:ascii="Arial Narrow" w:hAnsi="Arial Narrow"/>
              </w:rPr>
              <w:t>1,626,093</w:t>
            </w:r>
          </w:p>
        </w:tc>
        <w:tc>
          <w:tcPr>
            <w:tcW w:w="408" w:type="pct"/>
            <w:tcBorders>
              <w:top w:val="single" w:sz="4" w:space="0" w:color="auto"/>
              <w:left w:val="single" w:sz="4" w:space="0" w:color="auto"/>
              <w:bottom w:val="single" w:sz="4" w:space="0" w:color="auto"/>
              <w:right w:val="single" w:sz="4" w:space="0" w:color="auto"/>
            </w:tcBorders>
            <w:noWrap/>
            <w:hideMark/>
          </w:tcPr>
          <w:p w14:paraId="656E7EA3" w14:textId="77777777" w:rsidR="00EF478E" w:rsidRPr="00B20044" w:rsidRDefault="00EF478E" w:rsidP="00EF478E">
            <w:pPr>
              <w:keepNext/>
              <w:spacing w:before="0" w:after="0"/>
              <w:jc w:val="center"/>
              <w:rPr>
                <w:rFonts w:ascii="Arial Narrow" w:hAnsi="Arial Narrow"/>
                <w:bCs/>
              </w:rPr>
            </w:pPr>
            <w:r w:rsidRPr="00B20044">
              <w:rPr>
                <w:rFonts w:ascii="Arial Narrow" w:hAnsi="Arial Narrow"/>
                <w:bCs/>
              </w:rPr>
              <w:t>1,574,244</w:t>
            </w:r>
          </w:p>
        </w:tc>
        <w:tc>
          <w:tcPr>
            <w:tcW w:w="408" w:type="pct"/>
            <w:tcBorders>
              <w:top w:val="single" w:sz="4" w:space="0" w:color="auto"/>
              <w:left w:val="single" w:sz="4" w:space="0" w:color="auto"/>
              <w:bottom w:val="single" w:sz="4" w:space="0" w:color="auto"/>
              <w:right w:val="single" w:sz="4" w:space="0" w:color="auto"/>
            </w:tcBorders>
            <w:noWrap/>
            <w:hideMark/>
          </w:tcPr>
          <w:p w14:paraId="5AFD136C" w14:textId="77777777" w:rsidR="00EF478E" w:rsidRPr="00B20044" w:rsidRDefault="00EF478E" w:rsidP="00EF478E">
            <w:pPr>
              <w:keepNext/>
              <w:spacing w:before="0" w:after="0"/>
              <w:jc w:val="center"/>
              <w:rPr>
                <w:rFonts w:ascii="Arial Narrow" w:hAnsi="Arial Narrow"/>
                <w:bCs/>
              </w:rPr>
            </w:pPr>
            <w:r w:rsidRPr="00B20044">
              <w:rPr>
                <w:rFonts w:ascii="Arial Narrow" w:hAnsi="Arial Narrow"/>
                <w:bCs/>
              </w:rPr>
              <w:t>113,863</w:t>
            </w:r>
          </w:p>
        </w:tc>
        <w:tc>
          <w:tcPr>
            <w:tcW w:w="408" w:type="pct"/>
            <w:tcBorders>
              <w:top w:val="single" w:sz="4" w:space="0" w:color="auto"/>
              <w:left w:val="single" w:sz="4" w:space="0" w:color="auto"/>
              <w:bottom w:val="single" w:sz="4" w:space="0" w:color="auto"/>
              <w:right w:val="single" w:sz="4" w:space="0" w:color="auto"/>
            </w:tcBorders>
            <w:noWrap/>
            <w:hideMark/>
          </w:tcPr>
          <w:p w14:paraId="39DEF8C4" w14:textId="77777777" w:rsidR="00EF478E" w:rsidRPr="00B20044" w:rsidRDefault="00EF478E" w:rsidP="00EF478E">
            <w:pPr>
              <w:keepNext/>
              <w:spacing w:before="0" w:after="0"/>
              <w:jc w:val="center"/>
              <w:rPr>
                <w:rFonts w:ascii="Arial Narrow" w:hAnsi="Arial Narrow"/>
                <w:bCs/>
              </w:rPr>
            </w:pPr>
            <w:r w:rsidRPr="00B20044">
              <w:rPr>
                <w:rFonts w:ascii="Arial Narrow" w:hAnsi="Arial Narrow"/>
                <w:bCs/>
              </w:rPr>
              <w:t>163,528</w:t>
            </w:r>
          </w:p>
        </w:tc>
        <w:tc>
          <w:tcPr>
            <w:tcW w:w="408" w:type="pct"/>
            <w:tcBorders>
              <w:top w:val="single" w:sz="4" w:space="0" w:color="auto"/>
              <w:left w:val="single" w:sz="4" w:space="0" w:color="auto"/>
              <w:bottom w:val="single" w:sz="4" w:space="0" w:color="auto"/>
              <w:right w:val="single" w:sz="4" w:space="0" w:color="auto"/>
            </w:tcBorders>
            <w:noWrap/>
            <w:hideMark/>
          </w:tcPr>
          <w:p w14:paraId="39FA4B93" w14:textId="77777777" w:rsidR="00EF478E" w:rsidRPr="00B20044" w:rsidRDefault="00EF478E" w:rsidP="00EF478E">
            <w:pPr>
              <w:keepNext/>
              <w:spacing w:before="0" w:after="0"/>
              <w:jc w:val="center"/>
              <w:rPr>
                <w:rFonts w:ascii="Arial Narrow" w:hAnsi="Arial Narrow"/>
                <w:bCs/>
              </w:rPr>
            </w:pPr>
            <w:r w:rsidRPr="00B20044">
              <w:rPr>
                <w:rFonts w:ascii="Arial Narrow" w:hAnsi="Arial Narrow"/>
                <w:bCs/>
              </w:rPr>
              <w:t>83,701</w:t>
            </w:r>
          </w:p>
        </w:tc>
        <w:tc>
          <w:tcPr>
            <w:tcW w:w="408" w:type="pct"/>
            <w:tcBorders>
              <w:top w:val="single" w:sz="4" w:space="0" w:color="auto"/>
              <w:left w:val="single" w:sz="4" w:space="0" w:color="auto"/>
              <w:bottom w:val="single" w:sz="4" w:space="0" w:color="auto"/>
              <w:right w:val="single" w:sz="4" w:space="0" w:color="auto"/>
            </w:tcBorders>
            <w:noWrap/>
            <w:hideMark/>
          </w:tcPr>
          <w:p w14:paraId="52320E1C" w14:textId="77777777" w:rsidR="00EF478E" w:rsidRPr="00B20044" w:rsidRDefault="00EF478E" w:rsidP="00EF478E">
            <w:pPr>
              <w:keepNext/>
              <w:spacing w:before="0" w:after="0"/>
              <w:jc w:val="center"/>
              <w:rPr>
                <w:rFonts w:ascii="Arial Narrow" w:hAnsi="Arial Narrow"/>
                <w:bCs/>
              </w:rPr>
            </w:pPr>
            <w:r w:rsidRPr="00B20044">
              <w:rPr>
                <w:rFonts w:ascii="Arial Narrow" w:hAnsi="Arial Narrow"/>
                <w:bCs/>
              </w:rPr>
              <w:t>437,593</w:t>
            </w:r>
          </w:p>
        </w:tc>
        <w:tc>
          <w:tcPr>
            <w:tcW w:w="408" w:type="pct"/>
            <w:tcBorders>
              <w:top w:val="single" w:sz="4" w:space="0" w:color="auto"/>
              <w:left w:val="single" w:sz="4" w:space="0" w:color="auto"/>
              <w:bottom w:val="single" w:sz="4" w:space="0" w:color="auto"/>
            </w:tcBorders>
            <w:shd w:val="clear" w:color="auto" w:fill="auto"/>
            <w:noWrap/>
            <w:hideMark/>
          </w:tcPr>
          <w:p w14:paraId="65541B7D" w14:textId="77777777" w:rsidR="00EF478E" w:rsidRPr="00B20044" w:rsidRDefault="00EF478E" w:rsidP="00EF478E">
            <w:pPr>
              <w:keepNext/>
              <w:spacing w:before="0" w:after="0"/>
              <w:jc w:val="center"/>
              <w:rPr>
                <w:rFonts w:ascii="Arial Narrow" w:hAnsi="Arial Narrow"/>
                <w:bCs/>
              </w:rPr>
            </w:pPr>
            <w:r w:rsidRPr="00B20044">
              <w:rPr>
                <w:rFonts w:ascii="Arial Narrow" w:hAnsi="Arial Narrow"/>
                <w:bCs/>
              </w:rPr>
              <w:t>160,002</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66AF8A03" w14:textId="77777777" w:rsidR="00EF478E" w:rsidRPr="00D02565" w:rsidRDefault="00EF478E" w:rsidP="006D6B3A">
            <w:pPr>
              <w:keepNext/>
              <w:spacing w:before="0" w:after="0"/>
              <w:jc w:val="center"/>
              <w:rPr>
                <w:rFonts w:ascii="Arial Narrow" w:hAnsi="Arial Narrow"/>
              </w:rPr>
            </w:pPr>
            <w:r w:rsidRPr="00D02565">
              <w:rPr>
                <w:rFonts w:ascii="Arial Narrow" w:hAnsi="Arial Narrow"/>
                <w:bCs/>
              </w:rPr>
              <w:t>-</w:t>
            </w:r>
          </w:p>
        </w:tc>
      </w:tr>
      <w:tr w:rsidR="00EF478E" w:rsidRPr="00D02565" w14:paraId="100F9680" w14:textId="77777777">
        <w:trPr>
          <w:trHeight w:val="56"/>
        </w:trPr>
        <w:tc>
          <w:tcPr>
            <w:tcW w:w="918" w:type="pct"/>
            <w:tcBorders>
              <w:top w:val="single" w:sz="4" w:space="0" w:color="auto"/>
              <w:left w:val="single" w:sz="4" w:space="0" w:color="auto"/>
              <w:bottom w:val="single" w:sz="4" w:space="0" w:color="auto"/>
            </w:tcBorders>
            <w:shd w:val="clear" w:color="auto" w:fill="auto"/>
            <w:noWrap/>
            <w:vAlign w:val="center"/>
          </w:tcPr>
          <w:p w14:paraId="09E77D04" w14:textId="77777777" w:rsidR="00EF478E" w:rsidRPr="00D02565" w:rsidRDefault="00EF478E" w:rsidP="00C25359">
            <w:pPr>
              <w:keepNext/>
              <w:spacing w:before="0" w:after="0"/>
              <w:rPr>
                <w:rFonts w:ascii="Arial Narrow" w:hAnsi="Arial Narrow"/>
                <w:b/>
              </w:rPr>
            </w:pPr>
            <w:r w:rsidRPr="00D02565">
              <w:rPr>
                <w:rFonts w:ascii="Arial Narrow" w:hAnsi="Arial Narrow"/>
                <w:b/>
              </w:rPr>
              <w:t>Step 2:</w:t>
            </w:r>
          </w:p>
        </w:tc>
        <w:tc>
          <w:tcPr>
            <w:tcW w:w="408" w:type="pct"/>
            <w:tcBorders>
              <w:top w:val="single" w:sz="4" w:space="0" w:color="auto"/>
              <w:bottom w:val="single" w:sz="4" w:space="0" w:color="auto"/>
            </w:tcBorders>
            <w:shd w:val="clear" w:color="auto" w:fill="auto"/>
            <w:noWrap/>
            <w:vAlign w:val="center"/>
          </w:tcPr>
          <w:p w14:paraId="10B3AA3E" w14:textId="77777777" w:rsidR="00EF478E" w:rsidRPr="00D02565" w:rsidRDefault="00EF478E" w:rsidP="006D6B3A">
            <w:pPr>
              <w:keepNext/>
              <w:spacing w:before="0" w:after="0"/>
              <w:jc w:val="center"/>
              <w:rPr>
                <w:rFonts w:ascii="Arial Narrow" w:hAnsi="Arial Narrow"/>
                <w:b/>
              </w:rPr>
            </w:pPr>
          </w:p>
        </w:tc>
        <w:tc>
          <w:tcPr>
            <w:tcW w:w="408" w:type="pct"/>
            <w:tcBorders>
              <w:top w:val="single" w:sz="4" w:space="0" w:color="auto"/>
              <w:bottom w:val="single" w:sz="4" w:space="0" w:color="auto"/>
            </w:tcBorders>
            <w:shd w:val="clear" w:color="auto" w:fill="auto"/>
            <w:noWrap/>
            <w:vAlign w:val="center"/>
          </w:tcPr>
          <w:p w14:paraId="5796D14E" w14:textId="77777777" w:rsidR="00EF478E" w:rsidRPr="00D02565" w:rsidRDefault="00EF478E" w:rsidP="006D6B3A">
            <w:pPr>
              <w:keepNext/>
              <w:spacing w:before="0" w:after="0"/>
              <w:jc w:val="center"/>
              <w:rPr>
                <w:rFonts w:ascii="Arial Narrow" w:hAnsi="Arial Narrow"/>
                <w:b/>
              </w:rPr>
            </w:pPr>
          </w:p>
        </w:tc>
        <w:tc>
          <w:tcPr>
            <w:tcW w:w="408" w:type="pct"/>
            <w:tcBorders>
              <w:top w:val="single" w:sz="4" w:space="0" w:color="auto"/>
              <w:bottom w:val="single" w:sz="4" w:space="0" w:color="auto"/>
            </w:tcBorders>
            <w:shd w:val="clear" w:color="auto" w:fill="auto"/>
            <w:noWrap/>
            <w:vAlign w:val="center"/>
          </w:tcPr>
          <w:p w14:paraId="4FE893CC" w14:textId="77777777" w:rsidR="00EF478E" w:rsidRPr="00EF478E" w:rsidRDefault="00EF478E" w:rsidP="006D6B3A">
            <w:pPr>
              <w:keepNext/>
              <w:spacing w:before="0" w:after="0"/>
              <w:jc w:val="center"/>
              <w:rPr>
                <w:rFonts w:ascii="Arial Narrow" w:hAnsi="Arial Narrow"/>
                <w:b/>
              </w:rPr>
            </w:pPr>
          </w:p>
        </w:tc>
        <w:tc>
          <w:tcPr>
            <w:tcW w:w="408" w:type="pct"/>
            <w:tcBorders>
              <w:top w:val="single" w:sz="4" w:space="0" w:color="auto"/>
              <w:bottom w:val="single" w:sz="4" w:space="0" w:color="auto"/>
            </w:tcBorders>
            <w:shd w:val="clear" w:color="auto" w:fill="auto"/>
            <w:noWrap/>
            <w:vAlign w:val="center"/>
          </w:tcPr>
          <w:p w14:paraId="287AD99E" w14:textId="77777777" w:rsidR="00EF478E" w:rsidRPr="00EF478E" w:rsidRDefault="00EF478E" w:rsidP="006D6B3A">
            <w:pPr>
              <w:keepNext/>
              <w:spacing w:before="0" w:after="0"/>
              <w:jc w:val="center"/>
              <w:rPr>
                <w:rFonts w:ascii="Arial Narrow" w:hAnsi="Arial Narrow"/>
                <w:b/>
                <w:i/>
                <w:color w:val="0070C0"/>
              </w:rPr>
            </w:pPr>
          </w:p>
        </w:tc>
        <w:tc>
          <w:tcPr>
            <w:tcW w:w="408" w:type="pct"/>
            <w:tcBorders>
              <w:top w:val="single" w:sz="4" w:space="0" w:color="auto"/>
              <w:bottom w:val="single" w:sz="4" w:space="0" w:color="auto"/>
            </w:tcBorders>
            <w:shd w:val="clear" w:color="auto" w:fill="auto"/>
            <w:noWrap/>
            <w:vAlign w:val="center"/>
          </w:tcPr>
          <w:p w14:paraId="0BFB5A71" w14:textId="77777777" w:rsidR="00EF478E" w:rsidRPr="00D02565" w:rsidRDefault="00EF478E" w:rsidP="006D6B3A">
            <w:pPr>
              <w:keepNext/>
              <w:spacing w:before="0" w:after="0"/>
              <w:jc w:val="center"/>
              <w:rPr>
                <w:rFonts w:ascii="Arial Narrow" w:hAnsi="Arial Narrow"/>
                <w:b/>
              </w:rPr>
            </w:pPr>
          </w:p>
        </w:tc>
        <w:tc>
          <w:tcPr>
            <w:tcW w:w="408" w:type="pct"/>
            <w:tcBorders>
              <w:top w:val="single" w:sz="4" w:space="0" w:color="auto"/>
              <w:bottom w:val="single" w:sz="4" w:space="0" w:color="auto"/>
            </w:tcBorders>
            <w:shd w:val="clear" w:color="auto" w:fill="auto"/>
            <w:noWrap/>
            <w:vAlign w:val="center"/>
          </w:tcPr>
          <w:p w14:paraId="44C964F0" w14:textId="77777777" w:rsidR="00EF478E" w:rsidRPr="00D02565" w:rsidRDefault="00EF478E" w:rsidP="006D6B3A">
            <w:pPr>
              <w:keepNext/>
              <w:spacing w:before="0" w:after="0"/>
              <w:jc w:val="center"/>
              <w:rPr>
                <w:rFonts w:ascii="Arial Narrow" w:hAnsi="Arial Narrow"/>
                <w:b/>
              </w:rPr>
            </w:pPr>
          </w:p>
        </w:tc>
        <w:tc>
          <w:tcPr>
            <w:tcW w:w="408" w:type="pct"/>
            <w:tcBorders>
              <w:top w:val="single" w:sz="4" w:space="0" w:color="auto"/>
              <w:bottom w:val="single" w:sz="4" w:space="0" w:color="auto"/>
            </w:tcBorders>
            <w:shd w:val="clear" w:color="auto" w:fill="auto"/>
            <w:noWrap/>
            <w:vAlign w:val="center"/>
          </w:tcPr>
          <w:p w14:paraId="7D321464" w14:textId="77777777" w:rsidR="00EF478E" w:rsidRPr="00D02565" w:rsidRDefault="00EF478E" w:rsidP="006D6B3A">
            <w:pPr>
              <w:keepNext/>
              <w:spacing w:before="0" w:after="0"/>
              <w:jc w:val="center"/>
              <w:rPr>
                <w:rFonts w:ascii="Arial Narrow" w:hAnsi="Arial Narrow"/>
                <w:b/>
              </w:rPr>
            </w:pPr>
          </w:p>
        </w:tc>
        <w:tc>
          <w:tcPr>
            <w:tcW w:w="408" w:type="pct"/>
            <w:tcBorders>
              <w:top w:val="single" w:sz="4" w:space="0" w:color="auto"/>
              <w:bottom w:val="single" w:sz="4" w:space="0" w:color="auto"/>
            </w:tcBorders>
            <w:shd w:val="clear" w:color="auto" w:fill="auto"/>
            <w:noWrap/>
            <w:vAlign w:val="center"/>
          </w:tcPr>
          <w:p w14:paraId="05452BEE" w14:textId="77777777" w:rsidR="00EF478E" w:rsidRPr="00D02565" w:rsidRDefault="00EF478E" w:rsidP="006D6B3A">
            <w:pPr>
              <w:keepNext/>
              <w:spacing w:before="0" w:after="0"/>
              <w:jc w:val="center"/>
              <w:rPr>
                <w:rFonts w:ascii="Arial Narrow" w:hAnsi="Arial Narrow"/>
                <w:b/>
              </w:rPr>
            </w:pPr>
          </w:p>
        </w:tc>
        <w:tc>
          <w:tcPr>
            <w:tcW w:w="408" w:type="pct"/>
            <w:tcBorders>
              <w:top w:val="single" w:sz="4" w:space="0" w:color="auto"/>
              <w:bottom w:val="single" w:sz="4" w:space="0" w:color="auto"/>
            </w:tcBorders>
            <w:shd w:val="clear" w:color="auto" w:fill="auto"/>
            <w:noWrap/>
            <w:vAlign w:val="center"/>
          </w:tcPr>
          <w:p w14:paraId="49B2F6A4" w14:textId="77777777" w:rsidR="00EF478E" w:rsidRPr="00D02565" w:rsidRDefault="00EF478E" w:rsidP="006D6B3A">
            <w:pPr>
              <w:keepNext/>
              <w:spacing w:before="0" w:after="0"/>
              <w:jc w:val="center"/>
              <w:rPr>
                <w:rFonts w:ascii="Arial Narrow" w:hAnsi="Arial Narrow"/>
                <w:b/>
              </w:rPr>
            </w:pPr>
          </w:p>
        </w:tc>
        <w:tc>
          <w:tcPr>
            <w:tcW w:w="408" w:type="pct"/>
            <w:tcBorders>
              <w:top w:val="single" w:sz="4" w:space="0" w:color="auto"/>
              <w:bottom w:val="single" w:sz="4" w:space="0" w:color="auto"/>
              <w:right w:val="single" w:sz="4" w:space="0" w:color="auto"/>
            </w:tcBorders>
            <w:shd w:val="clear" w:color="auto" w:fill="auto"/>
            <w:noWrap/>
            <w:vAlign w:val="center"/>
          </w:tcPr>
          <w:p w14:paraId="71ACDFB8" w14:textId="77777777" w:rsidR="00EF478E" w:rsidRPr="00D02565" w:rsidRDefault="00EF478E" w:rsidP="006D6B3A">
            <w:pPr>
              <w:keepNext/>
              <w:spacing w:before="0" w:after="0"/>
              <w:jc w:val="center"/>
              <w:rPr>
                <w:rFonts w:ascii="Arial Narrow" w:hAnsi="Arial Narrow"/>
                <w:b/>
              </w:rPr>
            </w:pPr>
          </w:p>
        </w:tc>
      </w:tr>
      <w:tr w:rsidR="00EF478E" w:rsidRPr="00D02565" w14:paraId="369E55D7" w14:textId="77777777">
        <w:trPr>
          <w:trHeight w:val="55"/>
        </w:trPr>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77933" w14:textId="77777777" w:rsidR="00EF478E" w:rsidRPr="00D02565" w:rsidRDefault="00EF478E" w:rsidP="00C25359">
            <w:pPr>
              <w:keepNext/>
              <w:spacing w:before="0" w:after="0"/>
              <w:rPr>
                <w:rFonts w:ascii="Arial Narrow" w:hAnsi="Arial Narrow"/>
              </w:rPr>
            </w:pPr>
            <w:r w:rsidRPr="00D02565">
              <w:rPr>
                <w:rFonts w:ascii="Arial Narrow" w:hAnsi="Arial Narrow"/>
              </w:rPr>
              <w:t>Cost</w:t>
            </w:r>
          </w:p>
        </w:tc>
        <w:tc>
          <w:tcPr>
            <w:tcW w:w="408" w:type="pct"/>
            <w:tcBorders>
              <w:top w:val="single" w:sz="4" w:space="0" w:color="auto"/>
              <w:bottom w:val="single" w:sz="4" w:space="0" w:color="auto"/>
              <w:right w:val="single" w:sz="4" w:space="0" w:color="auto"/>
            </w:tcBorders>
            <w:noWrap/>
            <w:vAlign w:val="center"/>
            <w:hideMark/>
          </w:tcPr>
          <w:p w14:paraId="0221564C"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8.93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53F860FF"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29.21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7AAE0A1A" w14:textId="77777777" w:rsidR="00EF478E" w:rsidRPr="00EF478E" w:rsidRDefault="00EF478E" w:rsidP="006D6B3A">
            <w:pPr>
              <w:keepNext/>
              <w:spacing w:before="0" w:after="0"/>
              <w:jc w:val="center"/>
              <w:rPr>
                <w:rFonts w:ascii="Arial Narrow" w:hAnsi="Arial Narrow"/>
              </w:rPr>
            </w:pPr>
            <w:r w:rsidRPr="00EF478E">
              <w:rPr>
                <w:rFonts w:ascii="Arial Narrow" w:hAnsi="Arial Narrow"/>
              </w:rPr>
              <w:t xml:space="preserve">233.72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01C674C5"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146.79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357A5DA4"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11.76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32673FA3"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11.71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3E011FA4"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8.96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4C279EBC"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29.43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27016911"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8.75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7C2871B0"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0.75 </w:t>
            </w:r>
          </w:p>
        </w:tc>
      </w:tr>
      <w:tr w:rsidR="00EF478E" w:rsidRPr="00D02565" w14:paraId="5CA363E0" w14:textId="77777777">
        <w:trPr>
          <w:trHeight w:val="55"/>
        </w:trPr>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CB044" w14:textId="77777777" w:rsidR="00EF478E" w:rsidRPr="00D02565" w:rsidRDefault="00EF478E" w:rsidP="00C25359">
            <w:pPr>
              <w:keepNext/>
              <w:spacing w:before="0" w:after="0"/>
              <w:rPr>
                <w:rFonts w:ascii="Arial Narrow" w:hAnsi="Arial Narrow"/>
              </w:rPr>
            </w:pPr>
            <w:r w:rsidRPr="00D02565">
              <w:rPr>
                <w:rFonts w:ascii="Arial Narrow" w:hAnsi="Arial Narrow"/>
              </w:rPr>
              <w:t>QALYs</w:t>
            </w:r>
          </w:p>
        </w:tc>
        <w:tc>
          <w:tcPr>
            <w:tcW w:w="408" w:type="pct"/>
            <w:tcBorders>
              <w:top w:val="single" w:sz="4" w:space="0" w:color="auto"/>
              <w:bottom w:val="single" w:sz="4" w:space="0" w:color="auto"/>
              <w:right w:val="single" w:sz="4" w:space="0" w:color="auto"/>
            </w:tcBorders>
            <w:noWrap/>
            <w:vAlign w:val="center"/>
            <w:hideMark/>
          </w:tcPr>
          <w:p w14:paraId="5252E27D"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19.020577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50C7C1AE"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19.020447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1A5E1C1C" w14:textId="77777777" w:rsidR="00EF478E" w:rsidRPr="00EF478E" w:rsidRDefault="00EF478E" w:rsidP="006D6B3A">
            <w:pPr>
              <w:keepNext/>
              <w:spacing w:before="0" w:after="0"/>
              <w:jc w:val="center"/>
              <w:rPr>
                <w:rFonts w:ascii="Arial Narrow" w:hAnsi="Arial Narrow"/>
              </w:rPr>
            </w:pPr>
            <w:r w:rsidRPr="00EF478E">
              <w:rPr>
                <w:rFonts w:ascii="Arial Narrow" w:hAnsi="Arial Narrow"/>
              </w:rPr>
              <w:t xml:space="preserve">19.020577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2769273B"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19.020447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0812B9BC"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19.019372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516C16B8"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19.019256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3AB07E3D"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19.020609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1FE7CB7F"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19.020529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1A7678BE"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19.020635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4E02CDF1"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19.019593 </w:t>
            </w:r>
          </w:p>
        </w:tc>
      </w:tr>
      <w:tr w:rsidR="00EF478E" w:rsidRPr="00D02565" w14:paraId="1CBB5C91" w14:textId="77777777">
        <w:trPr>
          <w:trHeight w:val="55"/>
        </w:trPr>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5E9A2" w14:textId="77777777" w:rsidR="00EF478E" w:rsidRPr="00D02565" w:rsidRDefault="00EF478E" w:rsidP="00C25359">
            <w:pPr>
              <w:keepNext/>
              <w:spacing w:before="0" w:after="0"/>
              <w:rPr>
                <w:rFonts w:ascii="Arial Narrow" w:hAnsi="Arial Narrow"/>
              </w:rPr>
            </w:pPr>
            <w:r w:rsidRPr="00D02565">
              <w:rPr>
                <w:rFonts w:ascii="Arial Narrow" w:hAnsi="Arial Narrow"/>
                <w:bCs/>
              </w:rPr>
              <w:t>Incremental costs</w:t>
            </w:r>
          </w:p>
        </w:tc>
        <w:tc>
          <w:tcPr>
            <w:tcW w:w="408" w:type="pct"/>
            <w:tcBorders>
              <w:top w:val="single" w:sz="4" w:space="0" w:color="auto"/>
              <w:bottom w:val="single" w:sz="4" w:space="0" w:color="auto"/>
              <w:right w:val="single" w:sz="4" w:space="0" w:color="auto"/>
            </w:tcBorders>
            <w:noWrap/>
            <w:vAlign w:val="center"/>
            <w:hideMark/>
          </w:tcPr>
          <w:p w14:paraId="3220D37B"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8.18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305DD12E"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28.46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1A2E8DBB" w14:textId="77777777" w:rsidR="00EF478E" w:rsidRPr="00EF478E" w:rsidRDefault="00EF478E" w:rsidP="006D6B3A">
            <w:pPr>
              <w:keepNext/>
              <w:spacing w:before="0" w:after="0"/>
              <w:jc w:val="center"/>
              <w:rPr>
                <w:rFonts w:ascii="Arial Narrow" w:hAnsi="Arial Narrow"/>
              </w:rPr>
            </w:pPr>
            <w:r w:rsidRPr="00EF478E">
              <w:rPr>
                <w:rFonts w:ascii="Arial Narrow" w:hAnsi="Arial Narrow"/>
              </w:rPr>
              <w:t xml:space="preserve">232.97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0700055F"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146.03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26DAB719"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11.01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2FAF0CA8"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10.96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698542F3"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8.21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38664DC7"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28.67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47C29B8B"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8.00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0FD5EB95" w14:textId="77777777" w:rsidR="00EF478E" w:rsidRPr="00D02565" w:rsidRDefault="00EF478E" w:rsidP="006D6B3A">
            <w:pPr>
              <w:keepNext/>
              <w:spacing w:before="0" w:after="0"/>
              <w:jc w:val="center"/>
              <w:rPr>
                <w:rFonts w:ascii="Arial Narrow" w:hAnsi="Arial Narrow"/>
              </w:rPr>
            </w:pPr>
          </w:p>
        </w:tc>
      </w:tr>
      <w:tr w:rsidR="00EF478E" w:rsidRPr="00D02565" w14:paraId="522DE92C" w14:textId="77777777">
        <w:trPr>
          <w:trHeight w:val="55"/>
        </w:trPr>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02222" w14:textId="77777777" w:rsidR="00EF478E" w:rsidRPr="00D02565" w:rsidRDefault="00EF478E" w:rsidP="00C25359">
            <w:pPr>
              <w:keepNext/>
              <w:spacing w:before="0" w:after="0"/>
              <w:rPr>
                <w:rFonts w:ascii="Arial Narrow" w:hAnsi="Arial Narrow"/>
              </w:rPr>
            </w:pPr>
            <w:r w:rsidRPr="00D02565">
              <w:rPr>
                <w:rFonts w:ascii="Arial Narrow" w:hAnsi="Arial Narrow"/>
                <w:bCs/>
              </w:rPr>
              <w:t>QALYs gained</w:t>
            </w:r>
          </w:p>
        </w:tc>
        <w:tc>
          <w:tcPr>
            <w:tcW w:w="408" w:type="pct"/>
            <w:tcBorders>
              <w:top w:val="single" w:sz="4" w:space="0" w:color="auto"/>
              <w:bottom w:val="single" w:sz="4" w:space="0" w:color="auto"/>
              <w:right w:val="single" w:sz="4" w:space="0" w:color="auto"/>
            </w:tcBorders>
            <w:noWrap/>
            <w:vAlign w:val="center"/>
            <w:hideMark/>
          </w:tcPr>
          <w:p w14:paraId="2EEA69CA"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0.000983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71E93263"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0.000854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1A3EEF29" w14:textId="77777777" w:rsidR="00EF478E" w:rsidRPr="00EF478E" w:rsidRDefault="00EF478E" w:rsidP="006D6B3A">
            <w:pPr>
              <w:keepNext/>
              <w:spacing w:before="0" w:after="0"/>
              <w:jc w:val="center"/>
              <w:rPr>
                <w:rFonts w:ascii="Arial Narrow" w:hAnsi="Arial Narrow"/>
              </w:rPr>
            </w:pPr>
            <w:r w:rsidRPr="00EF478E">
              <w:rPr>
                <w:rFonts w:ascii="Arial Narrow" w:hAnsi="Arial Narrow"/>
              </w:rPr>
              <w:t xml:space="preserve">0.000983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7B69C0A6"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0.000854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23108875"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-0.000222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4C4FB690"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-0.000338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291B85C9"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0.001016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1FE830D6"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0.000936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29A639CA" w14:textId="77777777" w:rsidR="00EF478E" w:rsidRPr="00D02565" w:rsidRDefault="00EF478E" w:rsidP="006D6B3A">
            <w:pPr>
              <w:keepNext/>
              <w:spacing w:before="0" w:after="0"/>
              <w:jc w:val="center"/>
              <w:rPr>
                <w:rFonts w:ascii="Arial Narrow" w:hAnsi="Arial Narrow"/>
              </w:rPr>
            </w:pPr>
            <w:r w:rsidRPr="003A570C">
              <w:rPr>
                <w:rFonts w:ascii="Arial Narrow" w:hAnsi="Arial Narrow"/>
              </w:rPr>
              <w:t xml:space="preserve">0.001042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6903CF20" w14:textId="77777777" w:rsidR="00EF478E" w:rsidRPr="00D02565" w:rsidRDefault="00EF478E" w:rsidP="006D6B3A">
            <w:pPr>
              <w:keepNext/>
              <w:spacing w:before="0" w:after="0"/>
              <w:jc w:val="center"/>
              <w:rPr>
                <w:rFonts w:ascii="Arial Narrow" w:hAnsi="Arial Narrow"/>
              </w:rPr>
            </w:pPr>
          </w:p>
        </w:tc>
      </w:tr>
      <w:tr w:rsidR="00EF478E" w:rsidRPr="00D02565" w14:paraId="50648507" w14:textId="77777777">
        <w:trPr>
          <w:trHeight w:val="55"/>
        </w:trPr>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224BC" w14:textId="77777777" w:rsidR="00EF478E" w:rsidRPr="00D02565" w:rsidRDefault="00EF478E" w:rsidP="00C25359">
            <w:pPr>
              <w:keepNext/>
              <w:spacing w:before="0" w:after="0"/>
              <w:rPr>
                <w:rFonts w:ascii="Arial Narrow" w:hAnsi="Arial Narrow"/>
              </w:rPr>
            </w:pPr>
            <w:r w:rsidRPr="00D02565">
              <w:rPr>
                <w:rFonts w:ascii="Arial Narrow" w:hAnsi="Arial Narrow"/>
                <w:bCs/>
              </w:rPr>
              <w:t>ICER (cost per QALY gained)</w:t>
            </w:r>
          </w:p>
        </w:tc>
        <w:tc>
          <w:tcPr>
            <w:tcW w:w="408" w:type="pct"/>
            <w:tcBorders>
              <w:top w:val="single" w:sz="4" w:space="0" w:color="auto"/>
              <w:bottom w:val="single" w:sz="4" w:space="0" w:color="auto"/>
              <w:right w:val="single" w:sz="4" w:space="0" w:color="auto"/>
            </w:tcBorders>
            <w:noWrap/>
            <w:vAlign w:val="center"/>
            <w:hideMark/>
          </w:tcPr>
          <w:p w14:paraId="4C182453" w14:textId="77777777" w:rsidR="00EF478E" w:rsidRPr="00D02565" w:rsidRDefault="00EF478E" w:rsidP="006D6B3A">
            <w:pPr>
              <w:keepNext/>
              <w:spacing w:before="0" w:after="0"/>
              <w:jc w:val="center"/>
              <w:rPr>
                <w:rFonts w:ascii="Arial Narrow" w:hAnsi="Arial Narrow"/>
              </w:rPr>
            </w:pPr>
            <w:r w:rsidRPr="003A570C">
              <w:rPr>
                <w:rFonts w:ascii="Arial Narrow" w:hAnsi="Arial Narrow"/>
                <w:b/>
                <w:bCs/>
              </w:rPr>
              <w:t xml:space="preserve">8,315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553670CC" w14:textId="77777777" w:rsidR="00EF478E" w:rsidRPr="00D02565" w:rsidRDefault="00EF478E" w:rsidP="006D6B3A">
            <w:pPr>
              <w:keepNext/>
              <w:spacing w:before="0" w:after="0"/>
              <w:jc w:val="center"/>
              <w:rPr>
                <w:rFonts w:ascii="Arial Narrow" w:hAnsi="Arial Narrow"/>
              </w:rPr>
            </w:pPr>
            <w:r w:rsidRPr="003A570C">
              <w:rPr>
                <w:rFonts w:ascii="Arial Narrow" w:hAnsi="Arial Narrow"/>
                <w:b/>
                <w:bCs/>
              </w:rPr>
              <w:t xml:space="preserve">33,322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24922A7D" w14:textId="77777777" w:rsidR="00EF478E" w:rsidRPr="00EF478E" w:rsidRDefault="00EF478E" w:rsidP="006D6B3A">
            <w:pPr>
              <w:keepNext/>
              <w:spacing w:before="0" w:after="0"/>
              <w:jc w:val="center"/>
              <w:rPr>
                <w:rFonts w:ascii="Arial Narrow" w:hAnsi="Arial Narrow"/>
              </w:rPr>
            </w:pPr>
            <w:r w:rsidRPr="00EF478E">
              <w:rPr>
                <w:rFonts w:ascii="Arial Narrow" w:hAnsi="Arial Narrow"/>
                <w:b/>
              </w:rPr>
              <w:t xml:space="preserve">236,945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1674B1DD" w14:textId="77777777" w:rsidR="00EF478E" w:rsidRPr="00D02565" w:rsidRDefault="00EF478E" w:rsidP="006D6B3A">
            <w:pPr>
              <w:keepNext/>
              <w:spacing w:before="0" w:after="0"/>
              <w:jc w:val="center"/>
              <w:rPr>
                <w:rFonts w:ascii="Arial Narrow" w:hAnsi="Arial Narrow"/>
              </w:rPr>
            </w:pPr>
            <w:r w:rsidRPr="003A570C">
              <w:rPr>
                <w:rFonts w:ascii="Arial Narrow" w:hAnsi="Arial Narrow"/>
                <w:b/>
                <w:bCs/>
              </w:rPr>
              <w:t xml:space="preserve">170,998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15D82475" w14:textId="77777777" w:rsidR="00EF478E" w:rsidRPr="00D02565" w:rsidRDefault="00EF478E" w:rsidP="006D6B3A">
            <w:pPr>
              <w:keepNext/>
              <w:spacing w:before="0" w:after="0"/>
              <w:jc w:val="center"/>
              <w:rPr>
                <w:rFonts w:ascii="Arial Narrow" w:hAnsi="Arial Narrow"/>
              </w:rPr>
            </w:pPr>
            <w:r w:rsidRPr="003A570C">
              <w:rPr>
                <w:rFonts w:ascii="Arial Narrow" w:hAnsi="Arial Narrow"/>
                <w:b/>
                <w:bCs/>
              </w:rPr>
              <w:t xml:space="preserve">-49,710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1FFB66AF" w14:textId="77777777" w:rsidR="00EF478E" w:rsidRPr="00D02565" w:rsidRDefault="00EF478E" w:rsidP="006D6B3A">
            <w:pPr>
              <w:keepNext/>
              <w:spacing w:before="0" w:after="0"/>
              <w:jc w:val="center"/>
              <w:rPr>
                <w:rFonts w:ascii="Arial Narrow" w:hAnsi="Arial Narrow"/>
              </w:rPr>
            </w:pPr>
            <w:r w:rsidRPr="003A570C">
              <w:rPr>
                <w:rFonts w:ascii="Arial Narrow" w:hAnsi="Arial Narrow"/>
                <w:b/>
                <w:bCs/>
              </w:rPr>
              <w:t xml:space="preserve">-32,442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0A9F1AAC" w14:textId="77777777" w:rsidR="00EF478E" w:rsidRPr="00D02565" w:rsidRDefault="00EF478E" w:rsidP="006D6B3A">
            <w:pPr>
              <w:keepNext/>
              <w:spacing w:before="0" w:after="0"/>
              <w:jc w:val="center"/>
              <w:rPr>
                <w:rFonts w:ascii="Arial Narrow" w:hAnsi="Arial Narrow"/>
              </w:rPr>
            </w:pPr>
            <w:r w:rsidRPr="003A570C">
              <w:rPr>
                <w:rFonts w:ascii="Arial Narrow" w:hAnsi="Arial Narrow"/>
                <w:b/>
                <w:bCs/>
              </w:rPr>
              <w:t xml:space="preserve">8,077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14CEFCD2" w14:textId="77777777" w:rsidR="00EF478E" w:rsidRPr="00D02565" w:rsidRDefault="00EF478E" w:rsidP="006D6B3A">
            <w:pPr>
              <w:keepNext/>
              <w:spacing w:before="0" w:after="0"/>
              <w:jc w:val="center"/>
              <w:rPr>
                <w:rFonts w:ascii="Arial Narrow" w:hAnsi="Arial Narrow"/>
              </w:rPr>
            </w:pPr>
            <w:r w:rsidRPr="003A570C">
              <w:rPr>
                <w:rFonts w:ascii="Arial Narrow" w:hAnsi="Arial Narrow"/>
                <w:b/>
                <w:bCs/>
              </w:rPr>
              <w:t xml:space="preserve">30,631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63C5D0F0" w14:textId="77777777" w:rsidR="00EF478E" w:rsidRPr="00D02565" w:rsidRDefault="00EF478E" w:rsidP="006D6B3A">
            <w:pPr>
              <w:keepNext/>
              <w:spacing w:before="0" w:after="0"/>
              <w:jc w:val="center"/>
              <w:rPr>
                <w:rFonts w:ascii="Arial Narrow" w:hAnsi="Arial Narrow"/>
              </w:rPr>
            </w:pPr>
            <w:r w:rsidRPr="003A570C">
              <w:rPr>
                <w:rFonts w:ascii="Arial Narrow" w:hAnsi="Arial Narrow"/>
                <w:b/>
                <w:bCs/>
              </w:rPr>
              <w:t xml:space="preserve">7,676 </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36ED806C" w14:textId="77777777" w:rsidR="00EF478E" w:rsidRPr="00D02565" w:rsidRDefault="00EF478E" w:rsidP="006D6B3A">
            <w:pPr>
              <w:keepNext/>
              <w:spacing w:before="0" w:after="0"/>
              <w:jc w:val="center"/>
              <w:rPr>
                <w:rFonts w:ascii="Arial Narrow" w:hAnsi="Arial Narrow"/>
              </w:rPr>
            </w:pPr>
          </w:p>
        </w:tc>
      </w:tr>
      <w:tr w:rsidR="00EF478E" w:rsidRPr="00D02565" w14:paraId="719FEC18" w14:textId="77777777">
        <w:trPr>
          <w:trHeight w:val="55"/>
        </w:trPr>
        <w:tc>
          <w:tcPr>
            <w:tcW w:w="918" w:type="pct"/>
            <w:tcBorders>
              <w:top w:val="single" w:sz="4" w:space="0" w:color="auto"/>
              <w:left w:val="single" w:sz="4" w:space="0" w:color="auto"/>
              <w:bottom w:val="single" w:sz="4" w:space="0" w:color="auto"/>
              <w:right w:val="single" w:sz="4" w:space="0" w:color="auto"/>
            </w:tcBorders>
            <w:shd w:val="clear" w:color="auto" w:fill="auto"/>
            <w:noWrap/>
            <w:hideMark/>
          </w:tcPr>
          <w:p w14:paraId="4163CFB0" w14:textId="77777777" w:rsidR="00EF478E" w:rsidRPr="00D02565" w:rsidRDefault="00EF478E" w:rsidP="00C25359">
            <w:pPr>
              <w:keepNext/>
              <w:spacing w:before="0" w:after="0"/>
              <w:rPr>
                <w:rFonts w:ascii="Arial Narrow" w:hAnsi="Arial Narrow"/>
                <w:b/>
              </w:rPr>
            </w:pP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36B94" w14:textId="77777777" w:rsidR="00EF478E" w:rsidRPr="00D02565" w:rsidRDefault="00EF478E" w:rsidP="006D6B3A">
            <w:pPr>
              <w:keepNext/>
              <w:spacing w:before="0" w:after="0"/>
              <w:rPr>
                <w:rFonts w:ascii="Arial Narrow" w:hAnsi="Arial Narrow"/>
                <w:b/>
              </w:rPr>
            </w:pPr>
            <w:r w:rsidRPr="00D02565">
              <w:rPr>
                <w:rFonts w:ascii="Arial Narrow" w:hAnsi="Arial Narrow"/>
                <w:b/>
              </w:rPr>
              <w:t>Dominated</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2E209" w14:textId="77777777" w:rsidR="00EF478E" w:rsidRPr="00D02565" w:rsidRDefault="00EF478E" w:rsidP="006D6B3A">
            <w:pPr>
              <w:keepNext/>
              <w:spacing w:before="0" w:after="0"/>
              <w:rPr>
                <w:rFonts w:ascii="Arial Narrow" w:hAnsi="Arial Narrow"/>
                <w:b/>
              </w:rPr>
            </w:pPr>
            <w:r w:rsidRPr="00D02565">
              <w:rPr>
                <w:rFonts w:ascii="Arial Narrow" w:hAnsi="Arial Narrow"/>
                <w:b/>
              </w:rPr>
              <w:t>Dominated</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641DF" w14:textId="77777777" w:rsidR="00EF478E" w:rsidRPr="00EF478E" w:rsidRDefault="00EF478E" w:rsidP="006D6B3A">
            <w:pPr>
              <w:keepNext/>
              <w:spacing w:before="0" w:after="0"/>
              <w:rPr>
                <w:rFonts w:ascii="Arial Narrow" w:hAnsi="Arial Narrow"/>
                <w:b/>
              </w:rPr>
            </w:pPr>
            <w:r w:rsidRPr="00EF478E">
              <w:rPr>
                <w:rFonts w:ascii="Arial Narrow" w:hAnsi="Arial Narrow"/>
                <w:b/>
              </w:rPr>
              <w:t>Dominated</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9D03E" w14:textId="77777777" w:rsidR="00EF478E" w:rsidRPr="00EF478E" w:rsidRDefault="00EF478E" w:rsidP="006D6B3A">
            <w:pPr>
              <w:keepNext/>
              <w:spacing w:before="0" w:after="0"/>
              <w:rPr>
                <w:rFonts w:ascii="Arial Narrow" w:hAnsi="Arial Narrow"/>
                <w:b/>
              </w:rPr>
            </w:pPr>
            <w:r w:rsidRPr="00EF478E">
              <w:rPr>
                <w:rFonts w:ascii="Arial Narrow" w:hAnsi="Arial Narrow"/>
                <w:b/>
              </w:rPr>
              <w:t>Dominated</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6B841" w14:textId="77777777" w:rsidR="00EF478E" w:rsidRPr="00D02565" w:rsidRDefault="00EF478E" w:rsidP="006D6B3A">
            <w:pPr>
              <w:keepNext/>
              <w:spacing w:before="0" w:after="0"/>
              <w:rPr>
                <w:rFonts w:ascii="Arial Narrow" w:hAnsi="Arial Narrow"/>
                <w:b/>
              </w:rPr>
            </w:pPr>
            <w:r w:rsidRPr="00D02565">
              <w:rPr>
                <w:rFonts w:ascii="Arial Narrow" w:hAnsi="Arial Narrow"/>
                <w:b/>
              </w:rPr>
              <w:t>Dominated</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79EBC" w14:textId="77777777" w:rsidR="00EF478E" w:rsidRPr="00D02565" w:rsidRDefault="00EF478E" w:rsidP="006D6B3A">
            <w:pPr>
              <w:keepNext/>
              <w:spacing w:before="0" w:after="0"/>
              <w:rPr>
                <w:rFonts w:ascii="Arial Narrow" w:hAnsi="Arial Narrow"/>
                <w:b/>
              </w:rPr>
            </w:pPr>
            <w:r w:rsidRPr="00D02565">
              <w:rPr>
                <w:rFonts w:ascii="Arial Narrow" w:hAnsi="Arial Narrow"/>
                <w:b/>
              </w:rPr>
              <w:t>Dominated</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1555C" w14:textId="77777777" w:rsidR="00EF478E" w:rsidRPr="00D02565" w:rsidRDefault="00EF478E" w:rsidP="006D6B3A">
            <w:pPr>
              <w:keepNext/>
              <w:spacing w:before="0" w:after="0"/>
              <w:rPr>
                <w:rFonts w:ascii="Arial Narrow" w:hAnsi="Arial Narrow"/>
                <w:b/>
              </w:rPr>
            </w:pP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473B5" w14:textId="77777777" w:rsidR="00EF478E" w:rsidRPr="00D02565" w:rsidRDefault="00EF478E" w:rsidP="006D6B3A">
            <w:pPr>
              <w:keepNext/>
              <w:spacing w:before="0" w:after="0"/>
              <w:rPr>
                <w:rFonts w:ascii="Arial Narrow" w:hAnsi="Arial Narrow"/>
                <w:b/>
              </w:rPr>
            </w:pPr>
            <w:r w:rsidRPr="00D02565">
              <w:rPr>
                <w:rFonts w:ascii="Arial Narrow" w:hAnsi="Arial Narrow"/>
                <w:b/>
              </w:rPr>
              <w:t>Dominated</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78C97" w14:textId="77777777" w:rsidR="00EF478E" w:rsidRPr="00D02565" w:rsidRDefault="00EF478E" w:rsidP="006D6B3A">
            <w:pPr>
              <w:keepNext/>
              <w:spacing w:before="0" w:after="0"/>
              <w:rPr>
                <w:rFonts w:ascii="Arial Narrow" w:hAnsi="Arial Narrow"/>
                <w:b/>
              </w:rPr>
            </w:pPr>
            <w:r w:rsidRPr="00D02565">
              <w:rPr>
                <w:rFonts w:ascii="Arial Narrow" w:hAnsi="Arial Narrow"/>
                <w:b/>
              </w:rPr>
              <w:t>Dominated</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1AA972A5" w14:textId="77777777" w:rsidR="00EF478E" w:rsidRPr="00D02565" w:rsidRDefault="00EF478E" w:rsidP="006D6B3A">
            <w:pPr>
              <w:keepNext/>
              <w:spacing w:before="0" w:after="0"/>
              <w:rPr>
                <w:rFonts w:ascii="Arial Narrow" w:hAnsi="Arial Narrow"/>
                <w:b/>
              </w:rPr>
            </w:pPr>
          </w:p>
        </w:tc>
      </w:tr>
    </w:tbl>
    <w:p w14:paraId="77C87C59" w14:textId="7DACED8A" w:rsidR="0081687D" w:rsidRDefault="000D7853" w:rsidP="00191E1B">
      <w:pPr>
        <w:tabs>
          <w:tab w:val="left" w:pos="284"/>
        </w:tabs>
        <w:spacing w:before="40" w:after="360" w:line="240" w:lineRule="auto"/>
        <w:contextualSpacing/>
        <w:rPr>
          <w:rFonts w:ascii="Arial Narrow" w:eastAsia="Times New Roman" w:hAnsi="Arial Narrow" w:cs="Arial"/>
          <w:snapToGrid w:val="0"/>
          <w:sz w:val="18"/>
          <w:lang w:eastAsia="en-AU"/>
        </w:rPr>
      </w:pPr>
      <w:r>
        <w:rPr>
          <w:rFonts w:ascii="Arial Narrow" w:eastAsia="Times New Roman" w:hAnsi="Arial Narrow" w:cs="Arial"/>
          <w:snapToGrid w:val="0"/>
          <w:sz w:val="18"/>
          <w:lang w:eastAsia="en-AU"/>
        </w:rPr>
        <w:t xml:space="preserve">Source: DCAR Table 8. </w:t>
      </w:r>
      <w:r w:rsidR="0081687D" w:rsidRPr="00D02565">
        <w:rPr>
          <w:rFonts w:ascii="Arial Narrow" w:eastAsia="Times New Roman" w:hAnsi="Arial Narrow" w:cs="Arial"/>
          <w:snapToGrid w:val="0"/>
          <w:sz w:val="18"/>
          <w:lang w:eastAsia="en-AU"/>
        </w:rPr>
        <w:t>ICER = Incremental cost-effectiveness ratio; QALY = quality-adjusted life years</w:t>
      </w:r>
      <w:r w:rsidR="0081687D">
        <w:rPr>
          <w:rFonts w:ascii="Arial Narrow" w:eastAsia="Times New Roman" w:hAnsi="Arial Narrow" w:cs="Arial"/>
          <w:snapToGrid w:val="0"/>
          <w:sz w:val="18"/>
          <w:lang w:eastAsia="en-AU"/>
        </w:rPr>
        <w:t>.</w:t>
      </w:r>
    </w:p>
    <w:p w14:paraId="644E7557" w14:textId="4AD7585C" w:rsidR="009A33AC" w:rsidRDefault="00E62C96" w:rsidP="00191E1B">
      <w:pPr>
        <w:tabs>
          <w:tab w:val="left" w:pos="284"/>
        </w:tabs>
        <w:spacing w:before="40" w:after="0" w:line="240" w:lineRule="auto"/>
        <w:contextualSpacing/>
        <w:rPr>
          <w:rFonts w:ascii="Arial Narrow" w:eastAsia="Times New Roman" w:hAnsi="Arial Narrow" w:cs="Arial"/>
          <w:snapToGrid w:val="0"/>
          <w:sz w:val="18"/>
          <w:lang w:eastAsia="en-AU"/>
        </w:rPr>
      </w:pPr>
      <w:r w:rsidRPr="00D02565">
        <w:rPr>
          <w:rFonts w:ascii="Arial Narrow" w:eastAsia="Times New Roman" w:hAnsi="Arial Narrow" w:cs="Arial"/>
          <w:snapToGrid w:val="0"/>
          <w:sz w:val="18"/>
          <w:lang w:eastAsia="en-AU"/>
        </w:rPr>
        <w:t>Note</w:t>
      </w:r>
      <w:r w:rsidR="00AD4257">
        <w:rPr>
          <w:rFonts w:ascii="Arial Narrow" w:eastAsia="Times New Roman" w:hAnsi="Arial Narrow" w:cs="Arial"/>
          <w:snapToGrid w:val="0"/>
          <w:sz w:val="18"/>
          <w:lang w:eastAsia="en-AU"/>
        </w:rPr>
        <w:t>s</w:t>
      </w:r>
      <w:r w:rsidRPr="00D02565">
        <w:rPr>
          <w:rFonts w:ascii="Arial Narrow" w:eastAsia="Times New Roman" w:hAnsi="Arial Narrow" w:cs="Arial"/>
          <w:snapToGrid w:val="0"/>
          <w:sz w:val="18"/>
          <w:lang w:eastAsia="en-AU"/>
        </w:rPr>
        <w:t xml:space="preserve">: </w:t>
      </w:r>
      <w:r>
        <w:rPr>
          <w:rFonts w:ascii="Arial Narrow" w:eastAsia="Times New Roman" w:hAnsi="Arial Narrow" w:cs="Arial"/>
          <w:snapToGrid w:val="0"/>
          <w:sz w:val="18"/>
          <w:lang w:eastAsia="en-AU"/>
        </w:rPr>
        <w:t>25</w:t>
      </w:r>
      <w:r w:rsidRPr="00D02565">
        <w:rPr>
          <w:rFonts w:ascii="Arial Narrow" w:eastAsia="Times New Roman" w:hAnsi="Arial Narrow" w:cs="Arial"/>
          <w:snapToGrid w:val="0"/>
          <w:sz w:val="18"/>
          <w:lang w:eastAsia="en-AU"/>
        </w:rPr>
        <w:t>0,000 simulations</w:t>
      </w:r>
      <w:r w:rsidR="00AD4257">
        <w:rPr>
          <w:rFonts w:ascii="Arial Narrow" w:eastAsia="Times New Roman" w:hAnsi="Arial Narrow" w:cs="Arial"/>
          <w:snapToGrid w:val="0"/>
          <w:sz w:val="18"/>
          <w:lang w:eastAsia="en-AU"/>
        </w:rPr>
        <w:t xml:space="preserve">. </w:t>
      </w:r>
      <w:r w:rsidR="009A33AC">
        <w:rPr>
          <w:rFonts w:ascii="Arial Narrow" w:eastAsia="Times New Roman" w:hAnsi="Arial Narrow" w:cs="Arial"/>
          <w:snapToGrid w:val="0"/>
          <w:sz w:val="18"/>
          <w:lang w:eastAsia="en-AU"/>
        </w:rPr>
        <w:t>Across all strategies, Strategy IV had the lowest ICER, so all other strategies were labelled ‘dominated’.</w:t>
      </w:r>
      <w:r w:rsidR="00AD4257" w:rsidRPr="00AD4257">
        <w:rPr>
          <w:rFonts w:ascii="Arial Narrow" w:eastAsia="Times New Roman" w:hAnsi="Arial Narrow" w:cs="Arial"/>
          <w:snapToGrid w:val="0"/>
          <w:sz w:val="18"/>
          <w:lang w:eastAsia="en-AU"/>
        </w:rPr>
        <w:t xml:space="preserve"> Positive diagnoses from Strategies I and Ia were not genetically confirmed.</w:t>
      </w:r>
    </w:p>
    <w:p w14:paraId="28851D80" w14:textId="7DAE139E" w:rsidR="00383875" w:rsidRPr="00F54F3D" w:rsidRDefault="00383875" w:rsidP="00B76655">
      <w:pPr>
        <w:pStyle w:val="Caption"/>
      </w:pPr>
      <w:bookmarkStart w:id="45" w:name="_Ref143593594"/>
      <w:bookmarkStart w:id="46" w:name="_Ref130240309"/>
      <w:r w:rsidRPr="00F54F3D">
        <w:t>Table </w:t>
      </w:r>
      <w:r w:rsidRPr="00F54F3D">
        <w:fldChar w:fldCharType="begin"/>
      </w:r>
      <w:r w:rsidRPr="00F54F3D">
        <w:instrText>SEQ Table \* ARABIC</w:instrText>
      </w:r>
      <w:r w:rsidRPr="00F54F3D">
        <w:fldChar w:fldCharType="separate"/>
      </w:r>
      <w:r w:rsidR="00253978">
        <w:rPr>
          <w:noProof/>
        </w:rPr>
        <w:t>11</w:t>
      </w:r>
      <w:r w:rsidRPr="00F54F3D">
        <w:fldChar w:fldCharType="end"/>
      </w:r>
      <w:bookmarkEnd w:id="45"/>
      <w:r w:rsidRPr="00F54F3D">
        <w:tab/>
        <w:t>Economic evaluation results by screening strategy (PICO set 1) –</w:t>
      </w:r>
      <w:r w:rsidR="000E5A17" w:rsidRPr="00F54F3D">
        <w:t xml:space="preserve"> </w:t>
      </w:r>
      <w:r w:rsidR="007408CD">
        <w:t xml:space="preserve">post-MSAC updated </w:t>
      </w:r>
      <w:r w:rsidR="00A3076B" w:rsidRPr="00F54F3D">
        <w:t>analyses</w:t>
      </w:r>
    </w:p>
    <w:tbl>
      <w:tblPr>
        <w:tblStyle w:val="TableGrid1"/>
        <w:tblW w:w="4978" w:type="pct"/>
        <w:tblLayout w:type="fixed"/>
        <w:tblCellMar>
          <w:top w:w="15" w:type="dxa"/>
          <w:bottom w:w="15" w:type="dxa"/>
        </w:tblCellMar>
        <w:tblLook w:val="04A0" w:firstRow="1" w:lastRow="0" w:firstColumn="1" w:lastColumn="0" w:noHBand="0" w:noVBand="1"/>
      </w:tblPr>
      <w:tblGrid>
        <w:gridCol w:w="2548"/>
        <w:gridCol w:w="1140"/>
        <w:gridCol w:w="1134"/>
        <w:gridCol w:w="1134"/>
        <w:gridCol w:w="1133"/>
        <w:gridCol w:w="1133"/>
        <w:gridCol w:w="1133"/>
        <w:gridCol w:w="1133"/>
        <w:gridCol w:w="1133"/>
        <w:gridCol w:w="1133"/>
        <w:gridCol w:w="1133"/>
      </w:tblGrid>
      <w:tr w:rsidR="009B0343" w:rsidRPr="00613C5B" w14:paraId="3DB9F243" w14:textId="77777777" w:rsidTr="00613C5B">
        <w:trPr>
          <w:cnfStyle w:val="100000000000" w:firstRow="1" w:lastRow="0" w:firstColumn="0" w:lastColumn="0" w:oddVBand="0" w:evenVBand="0" w:oddHBand="0" w:evenHBand="0" w:firstRowFirstColumn="0" w:firstRowLastColumn="0" w:lastRowFirstColumn="0" w:lastRowLastColumn="0"/>
          <w:trHeight w:val="55"/>
        </w:trPr>
        <w:tc>
          <w:tcPr>
            <w:tcW w:w="917" w:type="pct"/>
            <w:tcBorders>
              <w:top w:val="single" w:sz="4" w:space="0" w:color="auto"/>
              <w:left w:val="single" w:sz="4" w:space="0" w:color="auto"/>
              <w:bottom w:val="single" w:sz="4" w:space="0" w:color="auto"/>
              <w:right w:val="nil"/>
            </w:tcBorders>
            <w:shd w:val="clear" w:color="auto" w:fill="auto"/>
            <w:noWrap/>
            <w:hideMark/>
          </w:tcPr>
          <w:p w14:paraId="15C97458" w14:textId="77777777" w:rsidR="00383875" w:rsidRPr="00191E1B" w:rsidRDefault="00383875">
            <w:pPr>
              <w:keepNext/>
              <w:spacing w:before="0" w:after="0"/>
              <w:rPr>
                <w:rFonts w:ascii="Arial Narrow" w:hAnsi="Arial Narrow"/>
                <w:b/>
                <w:i/>
                <w:iCs/>
                <w:color w:val="0070C0"/>
              </w:rPr>
            </w:pPr>
            <w:r w:rsidRPr="00191E1B">
              <w:rPr>
                <w:rFonts w:ascii="Arial Narrow" w:hAnsi="Arial Narrow"/>
                <w:b/>
                <w:i/>
                <w:iCs/>
                <w:color w:val="0070C0"/>
              </w:rPr>
              <w:t>Screening Strategy</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11A53" w14:textId="77777777" w:rsidR="00383875" w:rsidRPr="00191E1B" w:rsidRDefault="00383875" w:rsidP="007668B0">
            <w:pPr>
              <w:keepNext/>
              <w:spacing w:before="0" w:after="0"/>
              <w:jc w:val="center"/>
              <w:rPr>
                <w:rFonts w:ascii="Arial Narrow" w:hAnsi="Arial Narrow"/>
                <w:b/>
                <w:i/>
                <w:iCs/>
                <w:color w:val="0070C0"/>
              </w:rPr>
            </w:pPr>
            <w:r w:rsidRPr="00191E1B">
              <w:rPr>
                <w:rFonts w:ascii="Arial Narrow" w:hAnsi="Arial Narrow"/>
                <w:b/>
                <w:i/>
                <w:iCs/>
                <w:color w:val="0070C0"/>
              </w:rPr>
              <w:t>I</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BD17F" w14:textId="77777777" w:rsidR="00383875" w:rsidRPr="00191E1B" w:rsidRDefault="00383875" w:rsidP="007668B0">
            <w:pPr>
              <w:keepNext/>
              <w:spacing w:before="0" w:after="0"/>
              <w:jc w:val="center"/>
              <w:rPr>
                <w:rFonts w:ascii="Arial Narrow" w:hAnsi="Arial Narrow"/>
                <w:b/>
                <w:i/>
                <w:iCs/>
                <w:color w:val="0070C0"/>
              </w:rPr>
            </w:pPr>
            <w:r w:rsidRPr="00191E1B">
              <w:rPr>
                <w:rFonts w:ascii="Arial Narrow" w:hAnsi="Arial Narrow"/>
                <w:b/>
                <w:i/>
                <w:iCs/>
                <w:color w:val="0070C0"/>
              </w:rPr>
              <w:t>Ia</w:t>
            </w:r>
          </w:p>
        </w:tc>
        <w:tc>
          <w:tcPr>
            <w:tcW w:w="408" w:type="pct"/>
            <w:tcBorders>
              <w:top w:val="single" w:sz="4" w:space="0" w:color="auto"/>
              <w:left w:val="single" w:sz="4" w:space="0" w:color="auto"/>
              <w:bottom w:val="single" w:sz="4" w:space="0" w:color="auto"/>
              <w:right w:val="single" w:sz="4" w:space="0" w:color="auto"/>
            </w:tcBorders>
            <w:vAlign w:val="center"/>
          </w:tcPr>
          <w:p w14:paraId="7C9E23A9" w14:textId="1ED343C1" w:rsidR="00383875" w:rsidRPr="000814D1" w:rsidRDefault="00383875" w:rsidP="007668B0">
            <w:pPr>
              <w:keepNext/>
              <w:spacing w:before="0" w:after="0"/>
              <w:jc w:val="center"/>
              <w:rPr>
                <w:rFonts w:ascii="Arial Narrow" w:hAnsi="Arial Narrow"/>
                <w:b/>
                <w:i/>
                <w:iCs/>
                <w:color w:val="0070C0"/>
              </w:rPr>
            </w:pPr>
            <w:r w:rsidRPr="000814D1">
              <w:rPr>
                <w:rFonts w:ascii="Arial Narrow" w:hAnsi="Arial Narrow"/>
                <w:b/>
                <w:i/>
                <w:iCs/>
                <w:color w:val="0070C0"/>
              </w:rPr>
              <w:t>II</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B1589" w14:textId="77777777" w:rsidR="00383875" w:rsidRPr="00191E1B" w:rsidRDefault="00383875" w:rsidP="007668B0">
            <w:pPr>
              <w:keepNext/>
              <w:spacing w:before="0" w:after="0"/>
              <w:jc w:val="center"/>
              <w:rPr>
                <w:rFonts w:ascii="Arial Narrow" w:hAnsi="Arial Narrow"/>
                <w:b/>
                <w:i/>
                <w:iCs/>
                <w:color w:val="0070C0"/>
              </w:rPr>
            </w:pPr>
            <w:r w:rsidRPr="00191E1B">
              <w:rPr>
                <w:rFonts w:ascii="Arial Narrow" w:hAnsi="Arial Narrow"/>
                <w:b/>
                <w:i/>
                <w:iCs/>
                <w:color w:val="0070C0"/>
              </w:rPr>
              <w:t>IIa</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60E72" w14:textId="77777777" w:rsidR="00383875" w:rsidRPr="00191E1B" w:rsidRDefault="00383875" w:rsidP="007668B0">
            <w:pPr>
              <w:keepNext/>
              <w:spacing w:before="0" w:after="0"/>
              <w:jc w:val="center"/>
              <w:rPr>
                <w:rFonts w:ascii="Arial Narrow" w:hAnsi="Arial Narrow"/>
                <w:b/>
                <w:i/>
                <w:iCs/>
                <w:color w:val="0070C0"/>
              </w:rPr>
            </w:pPr>
            <w:r w:rsidRPr="00191E1B">
              <w:rPr>
                <w:rFonts w:ascii="Arial Narrow" w:hAnsi="Arial Narrow"/>
                <w:b/>
                <w:i/>
                <w:iCs/>
                <w:color w:val="0070C0"/>
              </w:rPr>
              <w:t>III</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517EA" w14:textId="77777777" w:rsidR="00383875" w:rsidRPr="00191E1B" w:rsidRDefault="00383875" w:rsidP="007668B0">
            <w:pPr>
              <w:keepNext/>
              <w:spacing w:before="0" w:after="0"/>
              <w:jc w:val="center"/>
              <w:rPr>
                <w:rFonts w:ascii="Arial Narrow" w:hAnsi="Arial Narrow"/>
                <w:b/>
                <w:i/>
                <w:iCs/>
                <w:color w:val="0070C0"/>
              </w:rPr>
            </w:pPr>
            <w:r w:rsidRPr="00191E1B">
              <w:rPr>
                <w:rFonts w:ascii="Arial Narrow" w:hAnsi="Arial Narrow"/>
                <w:b/>
                <w:i/>
                <w:iCs/>
                <w:color w:val="0070C0"/>
              </w:rPr>
              <w:t>IIIa</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32015" w14:textId="77777777" w:rsidR="00383875" w:rsidRPr="00191E1B" w:rsidRDefault="00383875" w:rsidP="007668B0">
            <w:pPr>
              <w:keepNext/>
              <w:spacing w:before="0" w:after="0"/>
              <w:jc w:val="center"/>
              <w:rPr>
                <w:rFonts w:ascii="Arial Narrow" w:hAnsi="Arial Narrow"/>
                <w:b/>
                <w:i/>
                <w:iCs/>
                <w:color w:val="0070C0"/>
              </w:rPr>
            </w:pPr>
            <w:r w:rsidRPr="00191E1B">
              <w:rPr>
                <w:rFonts w:ascii="Arial Narrow" w:hAnsi="Arial Narrow"/>
                <w:b/>
                <w:i/>
                <w:iCs/>
                <w:color w:val="0070C0"/>
              </w:rPr>
              <w:t>IV</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2A8AF" w14:textId="77777777" w:rsidR="00383875" w:rsidRPr="00191E1B" w:rsidRDefault="00383875" w:rsidP="007668B0">
            <w:pPr>
              <w:keepNext/>
              <w:spacing w:before="0" w:after="0"/>
              <w:jc w:val="center"/>
              <w:rPr>
                <w:rFonts w:ascii="Arial Narrow" w:hAnsi="Arial Narrow"/>
                <w:b/>
                <w:i/>
                <w:iCs/>
                <w:color w:val="0070C0"/>
              </w:rPr>
            </w:pPr>
            <w:r w:rsidRPr="00191E1B">
              <w:rPr>
                <w:rFonts w:ascii="Arial Narrow" w:hAnsi="Arial Narrow"/>
                <w:b/>
                <w:i/>
                <w:iCs/>
                <w:color w:val="0070C0"/>
              </w:rPr>
              <w:t>IVa</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E2081" w14:textId="77777777" w:rsidR="00383875" w:rsidRPr="00191E1B" w:rsidRDefault="00383875" w:rsidP="007668B0">
            <w:pPr>
              <w:keepNext/>
              <w:spacing w:before="0" w:after="0"/>
              <w:jc w:val="center"/>
              <w:rPr>
                <w:rFonts w:ascii="Arial Narrow" w:hAnsi="Arial Narrow"/>
                <w:b/>
                <w:i/>
                <w:iCs/>
                <w:color w:val="0070C0"/>
              </w:rPr>
            </w:pPr>
            <w:r w:rsidRPr="00191E1B">
              <w:rPr>
                <w:rFonts w:ascii="Arial Narrow" w:hAnsi="Arial Narrow"/>
                <w:b/>
                <w:i/>
                <w:iCs/>
                <w:color w:val="0070C0"/>
              </w:rPr>
              <w:t>IVb</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1FA63" w14:textId="77777777" w:rsidR="00383875" w:rsidRPr="00191E1B" w:rsidRDefault="00383875" w:rsidP="007668B0">
            <w:pPr>
              <w:keepNext/>
              <w:spacing w:before="0" w:after="0"/>
              <w:jc w:val="center"/>
              <w:rPr>
                <w:rFonts w:ascii="Arial Narrow" w:hAnsi="Arial Narrow"/>
                <w:b/>
                <w:i/>
                <w:iCs/>
                <w:color w:val="0070C0"/>
              </w:rPr>
            </w:pPr>
            <w:r w:rsidRPr="00191E1B">
              <w:rPr>
                <w:rFonts w:ascii="Arial Narrow" w:hAnsi="Arial Narrow"/>
                <w:b/>
                <w:i/>
                <w:iCs/>
                <w:color w:val="0070C0"/>
              </w:rPr>
              <w:t>Current</w:t>
            </w:r>
          </w:p>
        </w:tc>
      </w:tr>
      <w:tr w:rsidR="009B0343" w:rsidRPr="00613C5B" w14:paraId="6B4F312E" w14:textId="77777777" w:rsidTr="00613C5B">
        <w:trPr>
          <w:trHeight w:val="55"/>
        </w:trPr>
        <w:tc>
          <w:tcPr>
            <w:tcW w:w="917" w:type="pct"/>
            <w:tcBorders>
              <w:top w:val="single" w:sz="4" w:space="0" w:color="auto"/>
              <w:left w:val="single" w:sz="4" w:space="0" w:color="auto"/>
              <w:bottom w:val="single" w:sz="4" w:space="0" w:color="auto"/>
            </w:tcBorders>
            <w:shd w:val="clear" w:color="auto" w:fill="auto"/>
            <w:noWrap/>
            <w:vAlign w:val="center"/>
          </w:tcPr>
          <w:p w14:paraId="2487A234" w14:textId="77777777" w:rsidR="00383875" w:rsidRPr="00191E1B" w:rsidRDefault="00383875">
            <w:pPr>
              <w:keepNext/>
              <w:spacing w:before="0" w:after="0"/>
              <w:rPr>
                <w:rFonts w:ascii="Arial Narrow" w:hAnsi="Arial Narrow"/>
                <w:b/>
                <w:i/>
                <w:iCs/>
                <w:color w:val="0070C0"/>
              </w:rPr>
            </w:pPr>
            <w:r w:rsidRPr="00191E1B">
              <w:rPr>
                <w:rFonts w:ascii="Arial Narrow" w:hAnsi="Arial Narrow"/>
                <w:b/>
                <w:i/>
                <w:iCs/>
                <w:color w:val="0070C0"/>
              </w:rPr>
              <w:t>Step 1:</w:t>
            </w:r>
          </w:p>
        </w:tc>
        <w:tc>
          <w:tcPr>
            <w:tcW w:w="410" w:type="pct"/>
            <w:tcBorders>
              <w:top w:val="single" w:sz="4" w:space="0" w:color="auto"/>
              <w:bottom w:val="single" w:sz="4" w:space="0" w:color="auto"/>
            </w:tcBorders>
            <w:shd w:val="clear" w:color="auto" w:fill="auto"/>
            <w:noWrap/>
            <w:vAlign w:val="center"/>
          </w:tcPr>
          <w:p w14:paraId="02665F1D" w14:textId="77777777" w:rsidR="00383875" w:rsidRPr="00191E1B" w:rsidRDefault="00383875" w:rsidP="00191E1B">
            <w:pPr>
              <w:keepNext/>
              <w:spacing w:before="0" w:after="0"/>
              <w:jc w:val="center"/>
              <w:rPr>
                <w:rFonts w:ascii="Arial Narrow" w:hAnsi="Arial Narrow"/>
                <w:b/>
                <w:i/>
                <w:iCs/>
                <w:color w:val="0070C0"/>
              </w:rPr>
            </w:pPr>
          </w:p>
        </w:tc>
        <w:tc>
          <w:tcPr>
            <w:tcW w:w="408" w:type="pct"/>
            <w:tcBorders>
              <w:top w:val="single" w:sz="4" w:space="0" w:color="auto"/>
              <w:bottom w:val="single" w:sz="4" w:space="0" w:color="auto"/>
            </w:tcBorders>
            <w:shd w:val="clear" w:color="auto" w:fill="auto"/>
            <w:noWrap/>
            <w:vAlign w:val="center"/>
          </w:tcPr>
          <w:p w14:paraId="2C5B942F" w14:textId="77777777" w:rsidR="00383875" w:rsidRPr="00191E1B" w:rsidRDefault="00383875" w:rsidP="00191E1B">
            <w:pPr>
              <w:keepNext/>
              <w:spacing w:before="0" w:after="0"/>
              <w:jc w:val="center"/>
              <w:rPr>
                <w:rFonts w:ascii="Arial Narrow" w:hAnsi="Arial Narrow"/>
                <w:b/>
                <w:i/>
                <w:iCs/>
                <w:color w:val="0070C0"/>
              </w:rPr>
            </w:pPr>
          </w:p>
        </w:tc>
        <w:tc>
          <w:tcPr>
            <w:tcW w:w="408" w:type="pct"/>
            <w:tcBorders>
              <w:top w:val="single" w:sz="4" w:space="0" w:color="auto"/>
              <w:bottom w:val="single" w:sz="4" w:space="0" w:color="auto"/>
            </w:tcBorders>
            <w:vAlign w:val="center"/>
          </w:tcPr>
          <w:p w14:paraId="3D84AEB0" w14:textId="77777777" w:rsidR="00383875" w:rsidRPr="000814D1" w:rsidRDefault="00383875" w:rsidP="00191E1B">
            <w:pPr>
              <w:keepNext/>
              <w:spacing w:before="0" w:after="0"/>
              <w:jc w:val="center"/>
              <w:rPr>
                <w:rFonts w:ascii="Arial Narrow" w:hAnsi="Arial Narrow"/>
                <w:b/>
                <w:i/>
                <w:iCs/>
                <w:color w:val="0070C0"/>
              </w:rPr>
            </w:pPr>
          </w:p>
        </w:tc>
        <w:tc>
          <w:tcPr>
            <w:tcW w:w="408" w:type="pct"/>
            <w:tcBorders>
              <w:top w:val="single" w:sz="4" w:space="0" w:color="auto"/>
              <w:bottom w:val="single" w:sz="4" w:space="0" w:color="auto"/>
            </w:tcBorders>
            <w:shd w:val="clear" w:color="auto" w:fill="auto"/>
            <w:noWrap/>
            <w:vAlign w:val="center"/>
          </w:tcPr>
          <w:p w14:paraId="262E74F3" w14:textId="77777777" w:rsidR="00383875" w:rsidRPr="00191E1B" w:rsidRDefault="00383875" w:rsidP="00191E1B">
            <w:pPr>
              <w:keepNext/>
              <w:spacing w:before="0" w:after="0"/>
              <w:jc w:val="center"/>
              <w:rPr>
                <w:rFonts w:ascii="Arial Narrow" w:hAnsi="Arial Narrow"/>
                <w:b/>
                <w:i/>
                <w:iCs/>
                <w:color w:val="0070C0"/>
              </w:rPr>
            </w:pPr>
          </w:p>
        </w:tc>
        <w:tc>
          <w:tcPr>
            <w:tcW w:w="408" w:type="pct"/>
            <w:tcBorders>
              <w:top w:val="single" w:sz="4" w:space="0" w:color="auto"/>
              <w:bottom w:val="single" w:sz="4" w:space="0" w:color="auto"/>
            </w:tcBorders>
            <w:shd w:val="clear" w:color="auto" w:fill="auto"/>
            <w:noWrap/>
            <w:vAlign w:val="center"/>
          </w:tcPr>
          <w:p w14:paraId="5F494E0A" w14:textId="77777777" w:rsidR="00383875" w:rsidRPr="00191E1B" w:rsidRDefault="00383875" w:rsidP="00191E1B">
            <w:pPr>
              <w:keepNext/>
              <w:spacing w:before="0" w:after="0"/>
              <w:jc w:val="center"/>
              <w:rPr>
                <w:rFonts w:ascii="Arial Narrow" w:hAnsi="Arial Narrow"/>
                <w:b/>
                <w:i/>
                <w:iCs/>
                <w:color w:val="0070C0"/>
              </w:rPr>
            </w:pPr>
          </w:p>
        </w:tc>
        <w:tc>
          <w:tcPr>
            <w:tcW w:w="408" w:type="pct"/>
            <w:tcBorders>
              <w:top w:val="single" w:sz="4" w:space="0" w:color="auto"/>
              <w:bottom w:val="single" w:sz="4" w:space="0" w:color="auto"/>
            </w:tcBorders>
            <w:shd w:val="clear" w:color="auto" w:fill="auto"/>
            <w:noWrap/>
            <w:vAlign w:val="center"/>
          </w:tcPr>
          <w:p w14:paraId="1A43C594" w14:textId="77777777" w:rsidR="00383875" w:rsidRPr="00191E1B" w:rsidRDefault="00383875" w:rsidP="00191E1B">
            <w:pPr>
              <w:keepNext/>
              <w:spacing w:before="0" w:after="0"/>
              <w:jc w:val="center"/>
              <w:rPr>
                <w:rFonts w:ascii="Arial Narrow" w:hAnsi="Arial Narrow"/>
                <w:b/>
                <w:i/>
                <w:iCs/>
                <w:color w:val="0070C0"/>
              </w:rPr>
            </w:pPr>
          </w:p>
        </w:tc>
        <w:tc>
          <w:tcPr>
            <w:tcW w:w="408" w:type="pct"/>
            <w:tcBorders>
              <w:top w:val="single" w:sz="4" w:space="0" w:color="auto"/>
              <w:bottom w:val="single" w:sz="4" w:space="0" w:color="auto"/>
            </w:tcBorders>
            <w:shd w:val="clear" w:color="auto" w:fill="auto"/>
            <w:noWrap/>
            <w:vAlign w:val="center"/>
          </w:tcPr>
          <w:p w14:paraId="34FF807B" w14:textId="77777777" w:rsidR="00383875" w:rsidRPr="00191E1B" w:rsidRDefault="00383875" w:rsidP="00191E1B">
            <w:pPr>
              <w:keepNext/>
              <w:spacing w:before="0" w:after="0"/>
              <w:jc w:val="center"/>
              <w:rPr>
                <w:rFonts w:ascii="Arial Narrow" w:hAnsi="Arial Narrow"/>
                <w:b/>
                <w:i/>
                <w:iCs/>
                <w:color w:val="0070C0"/>
              </w:rPr>
            </w:pPr>
          </w:p>
        </w:tc>
        <w:tc>
          <w:tcPr>
            <w:tcW w:w="408" w:type="pct"/>
            <w:tcBorders>
              <w:top w:val="single" w:sz="4" w:space="0" w:color="auto"/>
              <w:bottom w:val="single" w:sz="4" w:space="0" w:color="auto"/>
            </w:tcBorders>
            <w:shd w:val="clear" w:color="auto" w:fill="auto"/>
            <w:noWrap/>
            <w:vAlign w:val="center"/>
          </w:tcPr>
          <w:p w14:paraId="48F0ADA0" w14:textId="77777777" w:rsidR="00383875" w:rsidRPr="00191E1B" w:rsidRDefault="00383875" w:rsidP="00191E1B">
            <w:pPr>
              <w:keepNext/>
              <w:spacing w:before="0" w:after="0"/>
              <w:jc w:val="center"/>
              <w:rPr>
                <w:rFonts w:ascii="Arial Narrow" w:hAnsi="Arial Narrow"/>
                <w:b/>
                <w:i/>
                <w:iCs/>
                <w:color w:val="0070C0"/>
              </w:rPr>
            </w:pPr>
          </w:p>
        </w:tc>
        <w:tc>
          <w:tcPr>
            <w:tcW w:w="408" w:type="pct"/>
            <w:tcBorders>
              <w:top w:val="single" w:sz="4" w:space="0" w:color="auto"/>
              <w:bottom w:val="single" w:sz="4" w:space="0" w:color="auto"/>
            </w:tcBorders>
            <w:shd w:val="clear" w:color="auto" w:fill="auto"/>
            <w:noWrap/>
            <w:vAlign w:val="center"/>
          </w:tcPr>
          <w:p w14:paraId="54419CC7" w14:textId="77777777" w:rsidR="00383875" w:rsidRPr="00191E1B" w:rsidRDefault="00383875" w:rsidP="00191E1B">
            <w:pPr>
              <w:keepNext/>
              <w:spacing w:before="0" w:after="0"/>
              <w:jc w:val="center"/>
              <w:rPr>
                <w:rFonts w:ascii="Arial Narrow" w:hAnsi="Arial Narrow"/>
                <w:b/>
                <w:i/>
                <w:iCs/>
                <w:color w:val="0070C0"/>
              </w:rPr>
            </w:pPr>
          </w:p>
        </w:tc>
        <w:tc>
          <w:tcPr>
            <w:tcW w:w="408" w:type="pct"/>
            <w:tcBorders>
              <w:top w:val="single" w:sz="4" w:space="0" w:color="auto"/>
              <w:bottom w:val="single" w:sz="4" w:space="0" w:color="auto"/>
              <w:right w:val="single" w:sz="4" w:space="0" w:color="auto"/>
            </w:tcBorders>
            <w:shd w:val="clear" w:color="auto" w:fill="auto"/>
            <w:noWrap/>
            <w:vAlign w:val="center"/>
          </w:tcPr>
          <w:p w14:paraId="74286D55" w14:textId="77777777" w:rsidR="00383875" w:rsidRPr="00191E1B" w:rsidRDefault="00383875" w:rsidP="00191E1B">
            <w:pPr>
              <w:keepNext/>
              <w:spacing w:before="0" w:after="0"/>
              <w:jc w:val="center"/>
              <w:rPr>
                <w:rFonts w:ascii="Arial Narrow" w:hAnsi="Arial Narrow"/>
                <w:b/>
                <w:i/>
                <w:iCs/>
                <w:color w:val="0070C0"/>
              </w:rPr>
            </w:pPr>
          </w:p>
        </w:tc>
      </w:tr>
      <w:tr w:rsidR="00761810" w:rsidRPr="00613C5B" w14:paraId="7C0F5720" w14:textId="77777777" w:rsidTr="00191E1B">
        <w:trPr>
          <w:trHeight w:val="55"/>
        </w:trPr>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7E8B4" w14:textId="77777777" w:rsidR="00761810" w:rsidRPr="00191E1B" w:rsidRDefault="00761810" w:rsidP="00761810">
            <w:pPr>
              <w:keepNext/>
              <w:spacing w:before="0" w:after="0"/>
              <w:rPr>
                <w:rFonts w:ascii="Arial Narrow" w:hAnsi="Arial Narrow"/>
                <w:i/>
                <w:iCs/>
                <w:color w:val="0070C0"/>
              </w:rPr>
            </w:pPr>
            <w:r w:rsidRPr="00191E1B">
              <w:rPr>
                <w:rFonts w:ascii="Arial Narrow" w:hAnsi="Arial Narrow"/>
                <w:i/>
                <w:iCs/>
                <w:color w:val="0070C0"/>
              </w:rPr>
              <w:t>Diagnostic cost ($)</w:t>
            </w:r>
          </w:p>
        </w:tc>
        <w:tc>
          <w:tcPr>
            <w:tcW w:w="410" w:type="pct"/>
            <w:tcBorders>
              <w:top w:val="single" w:sz="4" w:space="0" w:color="auto"/>
              <w:bottom w:val="single" w:sz="4" w:space="0" w:color="auto"/>
              <w:right w:val="single" w:sz="4" w:space="0" w:color="auto"/>
            </w:tcBorders>
            <w:noWrap/>
          </w:tcPr>
          <w:p w14:paraId="01370D86" w14:textId="79373D29" w:rsidR="00761810" w:rsidRPr="00191E1B"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5.44</w:t>
            </w:r>
          </w:p>
        </w:tc>
        <w:tc>
          <w:tcPr>
            <w:tcW w:w="408" w:type="pct"/>
            <w:tcBorders>
              <w:top w:val="single" w:sz="4" w:space="0" w:color="auto"/>
              <w:left w:val="single" w:sz="4" w:space="0" w:color="auto"/>
              <w:bottom w:val="single" w:sz="4" w:space="0" w:color="auto"/>
              <w:right w:val="single" w:sz="4" w:space="0" w:color="auto"/>
            </w:tcBorders>
            <w:noWrap/>
          </w:tcPr>
          <w:p w14:paraId="380E6FC6" w14:textId="57324E65" w:rsidR="00761810" w:rsidRPr="00191E1B"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5.91</w:t>
            </w:r>
          </w:p>
        </w:tc>
        <w:tc>
          <w:tcPr>
            <w:tcW w:w="408" w:type="pct"/>
            <w:tcBorders>
              <w:top w:val="single" w:sz="4" w:space="0" w:color="auto"/>
              <w:left w:val="single" w:sz="4" w:space="0" w:color="auto"/>
              <w:bottom w:val="single" w:sz="4" w:space="0" w:color="auto"/>
              <w:right w:val="single" w:sz="4" w:space="0" w:color="auto"/>
            </w:tcBorders>
          </w:tcPr>
          <w:p w14:paraId="439A921C" w14:textId="6ABFDAEF" w:rsidR="00761810" w:rsidRPr="000814D1"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8.76</w:t>
            </w:r>
          </w:p>
        </w:tc>
        <w:tc>
          <w:tcPr>
            <w:tcW w:w="408" w:type="pct"/>
            <w:tcBorders>
              <w:top w:val="single" w:sz="4" w:space="0" w:color="auto"/>
              <w:left w:val="single" w:sz="4" w:space="0" w:color="auto"/>
              <w:bottom w:val="single" w:sz="4" w:space="0" w:color="auto"/>
              <w:right w:val="single" w:sz="4" w:space="0" w:color="auto"/>
            </w:tcBorders>
            <w:noWrap/>
          </w:tcPr>
          <w:p w14:paraId="1BE41E8E" w14:textId="5D3EF4CA" w:rsidR="00761810" w:rsidRPr="00191E1B"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7.61</w:t>
            </w:r>
          </w:p>
        </w:tc>
        <w:tc>
          <w:tcPr>
            <w:tcW w:w="408" w:type="pct"/>
            <w:tcBorders>
              <w:top w:val="single" w:sz="4" w:space="0" w:color="auto"/>
              <w:left w:val="single" w:sz="4" w:space="0" w:color="auto"/>
              <w:bottom w:val="single" w:sz="4" w:space="0" w:color="auto"/>
              <w:right w:val="single" w:sz="4" w:space="0" w:color="auto"/>
            </w:tcBorders>
            <w:noWrap/>
          </w:tcPr>
          <w:p w14:paraId="1974F405" w14:textId="5341CDC9" w:rsidR="00761810" w:rsidRPr="00191E1B"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10.49</w:t>
            </w:r>
          </w:p>
        </w:tc>
        <w:tc>
          <w:tcPr>
            <w:tcW w:w="408" w:type="pct"/>
            <w:tcBorders>
              <w:top w:val="single" w:sz="4" w:space="0" w:color="auto"/>
              <w:left w:val="single" w:sz="4" w:space="0" w:color="auto"/>
              <w:bottom w:val="single" w:sz="4" w:space="0" w:color="auto"/>
              <w:right w:val="single" w:sz="4" w:space="0" w:color="auto"/>
            </w:tcBorders>
            <w:noWrap/>
          </w:tcPr>
          <w:p w14:paraId="36C233C4" w14:textId="1E808125" w:rsidR="00761810" w:rsidRPr="00191E1B"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10.46</w:t>
            </w:r>
          </w:p>
        </w:tc>
        <w:tc>
          <w:tcPr>
            <w:tcW w:w="408" w:type="pct"/>
            <w:tcBorders>
              <w:top w:val="single" w:sz="4" w:space="0" w:color="auto"/>
              <w:left w:val="single" w:sz="4" w:space="0" w:color="auto"/>
              <w:bottom w:val="single" w:sz="4" w:space="0" w:color="auto"/>
              <w:right w:val="single" w:sz="4" w:space="0" w:color="auto"/>
            </w:tcBorders>
            <w:noWrap/>
          </w:tcPr>
          <w:p w14:paraId="5348B8C6" w14:textId="42E73C36" w:rsidR="00761810" w:rsidRPr="00191E1B"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5.51</w:t>
            </w:r>
          </w:p>
        </w:tc>
        <w:tc>
          <w:tcPr>
            <w:tcW w:w="408" w:type="pct"/>
            <w:tcBorders>
              <w:top w:val="single" w:sz="4" w:space="0" w:color="auto"/>
              <w:left w:val="single" w:sz="4" w:space="0" w:color="auto"/>
              <w:bottom w:val="single" w:sz="4" w:space="0" w:color="auto"/>
              <w:right w:val="single" w:sz="4" w:space="0" w:color="auto"/>
            </w:tcBorders>
            <w:noWrap/>
          </w:tcPr>
          <w:p w14:paraId="27E56437" w14:textId="3BFDC04E" w:rsidR="00761810" w:rsidRPr="00191E1B"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5.95</w:t>
            </w:r>
          </w:p>
        </w:tc>
        <w:tc>
          <w:tcPr>
            <w:tcW w:w="408" w:type="pct"/>
            <w:tcBorders>
              <w:top w:val="single" w:sz="4" w:space="0" w:color="auto"/>
              <w:left w:val="single" w:sz="4" w:space="0" w:color="auto"/>
              <w:bottom w:val="single" w:sz="4" w:space="0" w:color="auto"/>
              <w:right w:val="single" w:sz="4" w:space="0" w:color="auto"/>
            </w:tcBorders>
            <w:noWrap/>
          </w:tcPr>
          <w:p w14:paraId="2642551E" w14:textId="10C73E44" w:rsidR="00761810" w:rsidRPr="00191E1B"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5.49</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83025" w14:textId="3815CDBF" w:rsidR="00761810" w:rsidRPr="00191E1B" w:rsidRDefault="00761810" w:rsidP="00761810">
            <w:pPr>
              <w:keepNext/>
              <w:spacing w:before="0" w:after="0"/>
              <w:jc w:val="center"/>
              <w:rPr>
                <w:rFonts w:ascii="Arial Narrow" w:hAnsi="Arial Narrow"/>
                <w:i/>
                <w:iCs/>
                <w:color w:val="0070C0"/>
              </w:rPr>
            </w:pPr>
          </w:p>
        </w:tc>
      </w:tr>
      <w:tr w:rsidR="00761810" w:rsidRPr="00613C5B" w14:paraId="1A0982AD" w14:textId="77777777" w:rsidTr="00191E1B">
        <w:trPr>
          <w:trHeight w:val="55"/>
        </w:trPr>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87943" w14:textId="77777777" w:rsidR="00761810" w:rsidRPr="00191E1B" w:rsidRDefault="00761810" w:rsidP="00761810">
            <w:pPr>
              <w:keepNext/>
              <w:spacing w:before="0" w:after="0"/>
              <w:rPr>
                <w:rFonts w:ascii="Arial Narrow" w:hAnsi="Arial Narrow"/>
                <w:i/>
                <w:iCs/>
                <w:color w:val="0070C0"/>
              </w:rPr>
            </w:pPr>
            <w:r w:rsidRPr="00191E1B">
              <w:rPr>
                <w:rFonts w:ascii="Arial Narrow" w:hAnsi="Arial Narrow"/>
                <w:bCs/>
                <w:i/>
                <w:iCs/>
                <w:color w:val="0070C0"/>
              </w:rPr>
              <w:t>Positive diagnoses</w:t>
            </w:r>
          </w:p>
        </w:tc>
        <w:tc>
          <w:tcPr>
            <w:tcW w:w="410" w:type="pct"/>
            <w:tcBorders>
              <w:top w:val="single" w:sz="4" w:space="0" w:color="auto"/>
              <w:left w:val="single" w:sz="4" w:space="0" w:color="auto"/>
              <w:bottom w:val="single" w:sz="4" w:space="0" w:color="auto"/>
              <w:right w:val="single" w:sz="4" w:space="0" w:color="auto"/>
            </w:tcBorders>
            <w:shd w:val="clear" w:color="auto" w:fill="auto"/>
            <w:noWrap/>
          </w:tcPr>
          <w:p w14:paraId="50D0EA69" w14:textId="46AC6695" w:rsidR="00761810" w:rsidRPr="00191E1B"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0.000107</w:t>
            </w:r>
          </w:p>
        </w:tc>
        <w:tc>
          <w:tcPr>
            <w:tcW w:w="408" w:type="pct"/>
            <w:tcBorders>
              <w:top w:val="single" w:sz="4" w:space="0" w:color="auto"/>
              <w:left w:val="single" w:sz="4" w:space="0" w:color="auto"/>
              <w:bottom w:val="single" w:sz="4" w:space="0" w:color="auto"/>
              <w:right w:val="single" w:sz="4" w:space="0" w:color="auto"/>
            </w:tcBorders>
            <w:shd w:val="clear" w:color="auto" w:fill="auto"/>
            <w:noWrap/>
          </w:tcPr>
          <w:p w14:paraId="79BDADA2" w14:textId="5EE83E97" w:rsidR="00761810" w:rsidRPr="00191E1B"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0.000056</w:t>
            </w:r>
          </w:p>
        </w:tc>
        <w:tc>
          <w:tcPr>
            <w:tcW w:w="408" w:type="pct"/>
            <w:tcBorders>
              <w:top w:val="single" w:sz="4" w:space="0" w:color="auto"/>
              <w:left w:val="single" w:sz="4" w:space="0" w:color="auto"/>
              <w:bottom w:val="single" w:sz="4" w:space="0" w:color="auto"/>
              <w:right w:val="single" w:sz="4" w:space="0" w:color="auto"/>
            </w:tcBorders>
          </w:tcPr>
          <w:p w14:paraId="33677836" w14:textId="781A34C3" w:rsidR="00761810" w:rsidRPr="000814D1"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0.00010700</w:t>
            </w:r>
          </w:p>
        </w:tc>
        <w:tc>
          <w:tcPr>
            <w:tcW w:w="408" w:type="pct"/>
            <w:tcBorders>
              <w:top w:val="single" w:sz="4" w:space="0" w:color="auto"/>
              <w:left w:val="single" w:sz="4" w:space="0" w:color="auto"/>
              <w:bottom w:val="single" w:sz="4" w:space="0" w:color="auto"/>
              <w:right w:val="single" w:sz="4" w:space="0" w:color="auto"/>
            </w:tcBorders>
            <w:shd w:val="clear" w:color="auto" w:fill="auto"/>
            <w:noWrap/>
          </w:tcPr>
          <w:p w14:paraId="237B7E12" w14:textId="20671E8B" w:rsidR="00761810" w:rsidRPr="00191E1B"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0.000056</w:t>
            </w:r>
          </w:p>
        </w:tc>
        <w:tc>
          <w:tcPr>
            <w:tcW w:w="408" w:type="pct"/>
            <w:tcBorders>
              <w:top w:val="single" w:sz="4" w:space="0" w:color="auto"/>
              <w:left w:val="single" w:sz="4" w:space="0" w:color="auto"/>
              <w:bottom w:val="single" w:sz="4" w:space="0" w:color="auto"/>
              <w:right w:val="single" w:sz="4" w:space="0" w:color="auto"/>
            </w:tcBorders>
            <w:shd w:val="clear" w:color="auto" w:fill="auto"/>
            <w:noWrap/>
          </w:tcPr>
          <w:p w14:paraId="53A032D5" w14:textId="2F0B7E28" w:rsidR="00761810" w:rsidRPr="00191E1B"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0.000107</w:t>
            </w:r>
          </w:p>
        </w:tc>
        <w:tc>
          <w:tcPr>
            <w:tcW w:w="408" w:type="pct"/>
            <w:tcBorders>
              <w:top w:val="single" w:sz="4" w:space="0" w:color="auto"/>
              <w:left w:val="single" w:sz="4" w:space="0" w:color="auto"/>
              <w:bottom w:val="single" w:sz="4" w:space="0" w:color="auto"/>
              <w:right w:val="single" w:sz="4" w:space="0" w:color="auto"/>
            </w:tcBorders>
            <w:shd w:val="clear" w:color="auto" w:fill="auto"/>
            <w:noWrap/>
          </w:tcPr>
          <w:p w14:paraId="43CAFB5B" w14:textId="66F39F31" w:rsidR="00761810" w:rsidRPr="00191E1B"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0.000056</w:t>
            </w:r>
          </w:p>
        </w:tc>
        <w:tc>
          <w:tcPr>
            <w:tcW w:w="408" w:type="pct"/>
            <w:tcBorders>
              <w:top w:val="single" w:sz="4" w:space="0" w:color="auto"/>
              <w:left w:val="single" w:sz="4" w:space="0" w:color="auto"/>
              <w:bottom w:val="single" w:sz="4" w:space="0" w:color="auto"/>
              <w:right w:val="single" w:sz="4" w:space="0" w:color="auto"/>
            </w:tcBorders>
            <w:shd w:val="clear" w:color="auto" w:fill="auto"/>
            <w:noWrap/>
          </w:tcPr>
          <w:p w14:paraId="5D19B410" w14:textId="2B2F12C3" w:rsidR="00761810" w:rsidRPr="00191E1B"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0.000107</w:t>
            </w:r>
          </w:p>
        </w:tc>
        <w:tc>
          <w:tcPr>
            <w:tcW w:w="408" w:type="pct"/>
            <w:tcBorders>
              <w:top w:val="single" w:sz="4" w:space="0" w:color="auto"/>
              <w:left w:val="single" w:sz="4" w:space="0" w:color="auto"/>
              <w:bottom w:val="single" w:sz="4" w:space="0" w:color="auto"/>
              <w:right w:val="single" w:sz="4" w:space="0" w:color="auto"/>
            </w:tcBorders>
            <w:shd w:val="clear" w:color="auto" w:fill="auto"/>
            <w:noWrap/>
          </w:tcPr>
          <w:p w14:paraId="3E1DBA21" w14:textId="47EF9543" w:rsidR="00761810" w:rsidRPr="00191E1B"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0.000056</w:t>
            </w:r>
          </w:p>
        </w:tc>
        <w:tc>
          <w:tcPr>
            <w:tcW w:w="408" w:type="pct"/>
            <w:tcBorders>
              <w:top w:val="single" w:sz="4" w:space="0" w:color="auto"/>
              <w:left w:val="single" w:sz="4" w:space="0" w:color="auto"/>
              <w:bottom w:val="single" w:sz="4" w:space="0" w:color="auto"/>
              <w:right w:val="single" w:sz="4" w:space="0" w:color="auto"/>
            </w:tcBorders>
            <w:shd w:val="clear" w:color="auto" w:fill="auto"/>
            <w:noWrap/>
          </w:tcPr>
          <w:p w14:paraId="157A688C" w14:textId="4D3DFDB0" w:rsidR="00761810" w:rsidRPr="00191E1B" w:rsidRDefault="00761810" w:rsidP="00761810">
            <w:pPr>
              <w:keepNext/>
              <w:spacing w:before="0" w:after="0"/>
              <w:jc w:val="center"/>
              <w:rPr>
                <w:rFonts w:ascii="Arial Narrow" w:hAnsi="Arial Narrow"/>
                <w:i/>
                <w:iCs/>
                <w:color w:val="0070C0"/>
              </w:rPr>
            </w:pPr>
            <w:r w:rsidRPr="00191E1B">
              <w:rPr>
                <w:rFonts w:ascii="Arial Narrow" w:hAnsi="Arial Narrow"/>
                <w:i/>
                <w:iCs/>
                <w:color w:val="0070C0"/>
              </w:rPr>
              <w:t>0.000055</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4096D32" w14:textId="1CA5A74F" w:rsidR="00761810" w:rsidRPr="00191E1B" w:rsidRDefault="00761810" w:rsidP="00761810">
            <w:pPr>
              <w:keepNext/>
              <w:spacing w:before="0" w:after="0"/>
              <w:jc w:val="center"/>
              <w:rPr>
                <w:rFonts w:ascii="Arial Narrow" w:hAnsi="Arial Narrow"/>
                <w:i/>
                <w:iCs/>
                <w:color w:val="0070C0"/>
              </w:rPr>
            </w:pPr>
          </w:p>
        </w:tc>
      </w:tr>
      <w:tr w:rsidR="00761810" w:rsidRPr="00613C5B" w14:paraId="5437C31B" w14:textId="77777777" w:rsidTr="00191E1B">
        <w:trPr>
          <w:trHeight w:val="109"/>
        </w:trPr>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B7DBC" w14:textId="77777777" w:rsidR="00761810" w:rsidRPr="00191E1B" w:rsidRDefault="00761810" w:rsidP="00761810">
            <w:pPr>
              <w:keepNext/>
              <w:spacing w:before="0" w:after="0"/>
              <w:rPr>
                <w:rFonts w:ascii="Arial Narrow" w:hAnsi="Arial Narrow"/>
                <w:i/>
                <w:iCs/>
                <w:color w:val="0070C0"/>
              </w:rPr>
            </w:pPr>
            <w:r w:rsidRPr="00191E1B">
              <w:rPr>
                <w:rFonts w:ascii="Arial Narrow" w:hAnsi="Arial Narrow"/>
                <w:bCs/>
                <w:i/>
                <w:iCs/>
                <w:color w:val="0070C0"/>
              </w:rPr>
              <w:t>Cost ($) per positive diagnosis</w:t>
            </w:r>
          </w:p>
        </w:tc>
        <w:tc>
          <w:tcPr>
            <w:tcW w:w="410" w:type="pct"/>
            <w:tcBorders>
              <w:top w:val="single" w:sz="4" w:space="0" w:color="auto"/>
              <w:bottom w:val="single" w:sz="4" w:space="0" w:color="auto"/>
              <w:right w:val="single" w:sz="4" w:space="0" w:color="auto"/>
            </w:tcBorders>
            <w:noWrap/>
          </w:tcPr>
          <w:p w14:paraId="1D53828B" w14:textId="5E3A1450" w:rsidR="00761810" w:rsidRPr="00191E1B" w:rsidRDefault="00761810" w:rsidP="00191E1B">
            <w:pPr>
              <w:keepNext/>
              <w:spacing w:before="0" w:after="0"/>
              <w:jc w:val="center"/>
              <w:rPr>
                <w:rFonts w:ascii="Arial Narrow" w:hAnsi="Arial Narrow"/>
                <w:i/>
                <w:iCs/>
                <w:color w:val="0070C0"/>
              </w:rPr>
            </w:pPr>
            <w:r w:rsidRPr="00191E1B">
              <w:rPr>
                <w:rFonts w:ascii="Arial Narrow" w:hAnsi="Arial Narrow"/>
                <w:i/>
                <w:iCs/>
                <w:color w:val="0070C0"/>
              </w:rPr>
              <w:t>50,829</w:t>
            </w:r>
          </w:p>
        </w:tc>
        <w:tc>
          <w:tcPr>
            <w:tcW w:w="408" w:type="pct"/>
            <w:tcBorders>
              <w:top w:val="single" w:sz="4" w:space="0" w:color="auto"/>
              <w:left w:val="single" w:sz="4" w:space="0" w:color="auto"/>
              <w:bottom w:val="single" w:sz="4" w:space="0" w:color="auto"/>
              <w:right w:val="single" w:sz="4" w:space="0" w:color="auto"/>
            </w:tcBorders>
            <w:noWrap/>
          </w:tcPr>
          <w:p w14:paraId="27C3E20B" w14:textId="752A36EC" w:rsidR="00761810" w:rsidRPr="00191E1B" w:rsidRDefault="00761810" w:rsidP="00191E1B">
            <w:pPr>
              <w:keepNext/>
              <w:spacing w:before="0" w:after="0"/>
              <w:jc w:val="center"/>
              <w:rPr>
                <w:rFonts w:ascii="Arial Narrow" w:hAnsi="Arial Narrow"/>
                <w:i/>
                <w:iCs/>
                <w:color w:val="0070C0"/>
              </w:rPr>
            </w:pPr>
            <w:r w:rsidRPr="00191E1B">
              <w:rPr>
                <w:rFonts w:ascii="Arial Narrow" w:hAnsi="Arial Narrow"/>
                <w:i/>
                <w:iCs/>
                <w:color w:val="0070C0"/>
              </w:rPr>
              <w:t>106,246</w:t>
            </w:r>
          </w:p>
        </w:tc>
        <w:tc>
          <w:tcPr>
            <w:tcW w:w="408" w:type="pct"/>
            <w:tcBorders>
              <w:top w:val="single" w:sz="4" w:space="0" w:color="auto"/>
              <w:left w:val="single" w:sz="4" w:space="0" w:color="auto"/>
              <w:bottom w:val="single" w:sz="4" w:space="0" w:color="auto"/>
              <w:right w:val="single" w:sz="4" w:space="0" w:color="auto"/>
            </w:tcBorders>
          </w:tcPr>
          <w:p w14:paraId="083CB796" w14:textId="19F7EA5B" w:rsidR="00761810" w:rsidRPr="00761810" w:rsidRDefault="00761810" w:rsidP="00191E1B">
            <w:pPr>
              <w:keepNext/>
              <w:spacing w:before="0" w:after="0"/>
              <w:jc w:val="center"/>
              <w:rPr>
                <w:rFonts w:ascii="Arial Narrow" w:hAnsi="Arial Narrow"/>
                <w:i/>
                <w:iCs/>
                <w:color w:val="0070C0"/>
              </w:rPr>
            </w:pPr>
            <w:r w:rsidRPr="00191E1B">
              <w:rPr>
                <w:rFonts w:ascii="Arial Narrow" w:hAnsi="Arial Narrow"/>
                <w:i/>
                <w:iCs/>
                <w:color w:val="0070C0"/>
              </w:rPr>
              <w:t>81,886</w:t>
            </w:r>
          </w:p>
        </w:tc>
        <w:tc>
          <w:tcPr>
            <w:tcW w:w="408" w:type="pct"/>
            <w:tcBorders>
              <w:top w:val="single" w:sz="4" w:space="0" w:color="auto"/>
              <w:left w:val="single" w:sz="4" w:space="0" w:color="auto"/>
              <w:bottom w:val="single" w:sz="4" w:space="0" w:color="auto"/>
              <w:right w:val="single" w:sz="4" w:space="0" w:color="auto"/>
            </w:tcBorders>
            <w:noWrap/>
          </w:tcPr>
          <w:p w14:paraId="1C5BA440" w14:textId="56E66605" w:rsidR="00761810" w:rsidRPr="00191E1B" w:rsidRDefault="00761810" w:rsidP="00191E1B">
            <w:pPr>
              <w:keepNext/>
              <w:spacing w:before="0" w:after="0"/>
              <w:jc w:val="center"/>
              <w:rPr>
                <w:rFonts w:ascii="Arial Narrow" w:hAnsi="Arial Narrow"/>
                <w:i/>
                <w:iCs/>
                <w:color w:val="0070C0"/>
              </w:rPr>
            </w:pPr>
            <w:r w:rsidRPr="00191E1B">
              <w:rPr>
                <w:rFonts w:ascii="Arial Narrow" w:hAnsi="Arial Narrow"/>
                <w:i/>
                <w:iCs/>
                <w:color w:val="0070C0"/>
              </w:rPr>
              <w:t>136,718</w:t>
            </w:r>
          </w:p>
        </w:tc>
        <w:tc>
          <w:tcPr>
            <w:tcW w:w="408" w:type="pct"/>
            <w:tcBorders>
              <w:top w:val="single" w:sz="4" w:space="0" w:color="auto"/>
              <w:left w:val="single" w:sz="4" w:space="0" w:color="auto"/>
              <w:bottom w:val="single" w:sz="4" w:space="0" w:color="auto"/>
              <w:right w:val="single" w:sz="4" w:space="0" w:color="auto"/>
            </w:tcBorders>
            <w:noWrap/>
          </w:tcPr>
          <w:p w14:paraId="02B8EBEB" w14:textId="5FE4BA29" w:rsidR="00761810" w:rsidRPr="00191E1B" w:rsidRDefault="00761810" w:rsidP="00191E1B">
            <w:pPr>
              <w:keepNext/>
              <w:spacing w:before="0" w:after="0"/>
              <w:jc w:val="center"/>
              <w:rPr>
                <w:rFonts w:ascii="Arial Narrow" w:hAnsi="Arial Narrow"/>
                <w:i/>
                <w:iCs/>
                <w:color w:val="0070C0"/>
              </w:rPr>
            </w:pPr>
            <w:r w:rsidRPr="00191E1B">
              <w:rPr>
                <w:rFonts w:ascii="Arial Narrow" w:hAnsi="Arial Narrow"/>
                <w:i/>
                <w:iCs/>
                <w:color w:val="0070C0"/>
              </w:rPr>
              <w:t>98,015</w:t>
            </w:r>
          </w:p>
        </w:tc>
        <w:tc>
          <w:tcPr>
            <w:tcW w:w="408" w:type="pct"/>
            <w:tcBorders>
              <w:top w:val="single" w:sz="4" w:space="0" w:color="auto"/>
              <w:left w:val="single" w:sz="4" w:space="0" w:color="auto"/>
              <w:bottom w:val="single" w:sz="4" w:space="0" w:color="auto"/>
              <w:right w:val="single" w:sz="4" w:space="0" w:color="auto"/>
            </w:tcBorders>
            <w:noWrap/>
          </w:tcPr>
          <w:p w14:paraId="0B3F407C" w14:textId="64C6A9C2" w:rsidR="00761810" w:rsidRPr="00191E1B" w:rsidRDefault="00761810" w:rsidP="00191E1B">
            <w:pPr>
              <w:keepNext/>
              <w:spacing w:before="0" w:after="0"/>
              <w:jc w:val="center"/>
              <w:rPr>
                <w:rFonts w:ascii="Arial Narrow" w:hAnsi="Arial Narrow"/>
                <w:i/>
                <w:iCs/>
                <w:color w:val="0070C0"/>
              </w:rPr>
            </w:pPr>
            <w:r w:rsidRPr="00191E1B">
              <w:rPr>
                <w:rFonts w:ascii="Arial Narrow" w:hAnsi="Arial Narrow"/>
                <w:i/>
                <w:iCs/>
                <w:color w:val="0070C0"/>
              </w:rPr>
              <w:t>187,971</w:t>
            </w:r>
          </w:p>
        </w:tc>
        <w:tc>
          <w:tcPr>
            <w:tcW w:w="408" w:type="pct"/>
            <w:tcBorders>
              <w:top w:val="single" w:sz="4" w:space="0" w:color="auto"/>
              <w:left w:val="single" w:sz="4" w:space="0" w:color="auto"/>
              <w:bottom w:val="single" w:sz="4" w:space="0" w:color="auto"/>
              <w:right w:val="single" w:sz="4" w:space="0" w:color="auto"/>
            </w:tcBorders>
            <w:noWrap/>
          </w:tcPr>
          <w:p w14:paraId="14998BAD" w14:textId="346B62C6" w:rsidR="00761810" w:rsidRPr="00191E1B" w:rsidRDefault="00761810" w:rsidP="00191E1B">
            <w:pPr>
              <w:keepNext/>
              <w:spacing w:before="0" w:after="0"/>
              <w:jc w:val="center"/>
              <w:rPr>
                <w:rFonts w:ascii="Arial Narrow" w:hAnsi="Arial Narrow"/>
                <w:i/>
                <w:iCs/>
                <w:color w:val="0070C0"/>
              </w:rPr>
            </w:pPr>
            <w:r w:rsidRPr="00191E1B">
              <w:rPr>
                <w:rFonts w:ascii="Arial Narrow" w:hAnsi="Arial Narrow"/>
                <w:i/>
                <w:iCs/>
                <w:color w:val="0070C0"/>
              </w:rPr>
              <w:t>51,502</w:t>
            </w:r>
          </w:p>
        </w:tc>
        <w:tc>
          <w:tcPr>
            <w:tcW w:w="408" w:type="pct"/>
            <w:tcBorders>
              <w:top w:val="single" w:sz="4" w:space="0" w:color="auto"/>
              <w:left w:val="single" w:sz="4" w:space="0" w:color="auto"/>
              <w:bottom w:val="single" w:sz="4" w:space="0" w:color="auto"/>
              <w:right w:val="single" w:sz="4" w:space="0" w:color="auto"/>
            </w:tcBorders>
            <w:noWrap/>
          </w:tcPr>
          <w:p w14:paraId="61901FE9" w14:textId="16B923F8" w:rsidR="00761810" w:rsidRPr="00191E1B" w:rsidRDefault="00761810" w:rsidP="00191E1B">
            <w:pPr>
              <w:keepNext/>
              <w:spacing w:before="0" w:after="0"/>
              <w:jc w:val="center"/>
              <w:rPr>
                <w:rFonts w:ascii="Arial Narrow" w:hAnsi="Arial Narrow"/>
                <w:i/>
                <w:iCs/>
                <w:color w:val="0070C0"/>
              </w:rPr>
            </w:pPr>
            <w:r w:rsidRPr="00191E1B">
              <w:rPr>
                <w:rFonts w:ascii="Arial Narrow" w:hAnsi="Arial Narrow"/>
                <w:i/>
                <w:iCs/>
                <w:color w:val="0070C0"/>
              </w:rPr>
              <w:t>106,919</w:t>
            </w:r>
          </w:p>
        </w:tc>
        <w:tc>
          <w:tcPr>
            <w:tcW w:w="408" w:type="pct"/>
            <w:tcBorders>
              <w:top w:val="single" w:sz="4" w:space="0" w:color="auto"/>
              <w:left w:val="single" w:sz="4" w:space="0" w:color="auto"/>
              <w:bottom w:val="single" w:sz="4" w:space="0" w:color="auto"/>
            </w:tcBorders>
            <w:noWrap/>
          </w:tcPr>
          <w:p w14:paraId="712527D0" w14:textId="57A592FF" w:rsidR="00761810" w:rsidRPr="00191E1B" w:rsidRDefault="00761810" w:rsidP="00191E1B">
            <w:pPr>
              <w:keepNext/>
              <w:spacing w:before="0" w:after="0"/>
              <w:jc w:val="center"/>
              <w:rPr>
                <w:rFonts w:ascii="Arial Narrow" w:hAnsi="Arial Narrow"/>
                <w:i/>
                <w:iCs/>
                <w:color w:val="0070C0"/>
              </w:rPr>
            </w:pPr>
            <w:r w:rsidRPr="00191E1B">
              <w:rPr>
                <w:rFonts w:ascii="Arial Narrow" w:hAnsi="Arial Narrow"/>
                <w:i/>
                <w:iCs/>
                <w:color w:val="0070C0"/>
              </w:rPr>
              <w:t>99,754</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549F4" w14:textId="68FBD309" w:rsidR="00761810" w:rsidRPr="00191E1B" w:rsidRDefault="00761810" w:rsidP="00761810">
            <w:pPr>
              <w:keepNext/>
              <w:spacing w:before="0" w:after="0"/>
              <w:jc w:val="center"/>
              <w:rPr>
                <w:rFonts w:ascii="Arial Narrow" w:hAnsi="Arial Narrow"/>
                <w:bCs/>
                <w:i/>
                <w:iCs/>
                <w:color w:val="0070C0"/>
              </w:rPr>
            </w:pPr>
          </w:p>
        </w:tc>
      </w:tr>
      <w:tr w:rsidR="009B0343" w:rsidRPr="00613C5B" w14:paraId="06593D69" w14:textId="77777777" w:rsidTr="00613C5B">
        <w:trPr>
          <w:trHeight w:val="56"/>
        </w:trPr>
        <w:tc>
          <w:tcPr>
            <w:tcW w:w="917" w:type="pct"/>
            <w:tcBorders>
              <w:top w:val="single" w:sz="4" w:space="0" w:color="auto"/>
              <w:left w:val="single" w:sz="4" w:space="0" w:color="auto"/>
              <w:bottom w:val="single" w:sz="4" w:space="0" w:color="auto"/>
            </w:tcBorders>
            <w:shd w:val="clear" w:color="auto" w:fill="auto"/>
            <w:noWrap/>
            <w:vAlign w:val="center"/>
          </w:tcPr>
          <w:p w14:paraId="7B37A575" w14:textId="77777777" w:rsidR="00383875" w:rsidRPr="00191E1B" w:rsidRDefault="00383875">
            <w:pPr>
              <w:keepNext/>
              <w:spacing w:before="0" w:after="0"/>
              <w:rPr>
                <w:rFonts w:ascii="Arial Narrow" w:hAnsi="Arial Narrow"/>
                <w:b/>
                <w:i/>
                <w:iCs/>
                <w:color w:val="0070C0"/>
              </w:rPr>
            </w:pPr>
            <w:r w:rsidRPr="00191E1B">
              <w:rPr>
                <w:rFonts w:ascii="Arial Narrow" w:hAnsi="Arial Narrow"/>
                <w:b/>
                <w:i/>
                <w:iCs/>
                <w:color w:val="0070C0"/>
              </w:rPr>
              <w:t>Step 2:</w:t>
            </w:r>
          </w:p>
        </w:tc>
        <w:tc>
          <w:tcPr>
            <w:tcW w:w="410" w:type="pct"/>
            <w:tcBorders>
              <w:top w:val="single" w:sz="4" w:space="0" w:color="auto"/>
              <w:bottom w:val="single" w:sz="4" w:space="0" w:color="auto"/>
            </w:tcBorders>
            <w:shd w:val="clear" w:color="auto" w:fill="auto"/>
            <w:noWrap/>
            <w:vAlign w:val="center"/>
          </w:tcPr>
          <w:p w14:paraId="20D37AC2" w14:textId="77777777" w:rsidR="00383875" w:rsidRPr="00191E1B" w:rsidRDefault="00383875" w:rsidP="007668B0">
            <w:pPr>
              <w:keepNext/>
              <w:spacing w:before="0" w:after="0"/>
              <w:jc w:val="center"/>
              <w:rPr>
                <w:rFonts w:ascii="Arial Narrow" w:hAnsi="Arial Narrow"/>
                <w:b/>
                <w:i/>
                <w:iCs/>
                <w:color w:val="0070C0"/>
              </w:rPr>
            </w:pPr>
          </w:p>
        </w:tc>
        <w:tc>
          <w:tcPr>
            <w:tcW w:w="408" w:type="pct"/>
            <w:tcBorders>
              <w:top w:val="single" w:sz="4" w:space="0" w:color="auto"/>
              <w:bottom w:val="single" w:sz="4" w:space="0" w:color="auto"/>
            </w:tcBorders>
            <w:shd w:val="clear" w:color="auto" w:fill="auto"/>
            <w:noWrap/>
            <w:vAlign w:val="center"/>
          </w:tcPr>
          <w:p w14:paraId="6C1924B0" w14:textId="77777777" w:rsidR="00383875" w:rsidRPr="00191E1B" w:rsidRDefault="00383875" w:rsidP="007668B0">
            <w:pPr>
              <w:keepNext/>
              <w:spacing w:before="0" w:after="0"/>
              <w:jc w:val="center"/>
              <w:rPr>
                <w:rFonts w:ascii="Arial Narrow" w:hAnsi="Arial Narrow"/>
                <w:b/>
                <w:i/>
                <w:iCs/>
                <w:color w:val="0070C0"/>
              </w:rPr>
            </w:pPr>
          </w:p>
        </w:tc>
        <w:tc>
          <w:tcPr>
            <w:tcW w:w="408" w:type="pct"/>
            <w:tcBorders>
              <w:top w:val="single" w:sz="4" w:space="0" w:color="auto"/>
              <w:bottom w:val="single" w:sz="4" w:space="0" w:color="auto"/>
            </w:tcBorders>
            <w:vAlign w:val="center"/>
          </w:tcPr>
          <w:p w14:paraId="1A05D0DE" w14:textId="77777777" w:rsidR="00383875" w:rsidRPr="000814D1" w:rsidRDefault="00383875" w:rsidP="007668B0">
            <w:pPr>
              <w:keepNext/>
              <w:spacing w:before="0" w:after="0"/>
              <w:jc w:val="center"/>
              <w:rPr>
                <w:rFonts w:ascii="Arial Narrow" w:hAnsi="Arial Narrow"/>
                <w:b/>
                <w:i/>
                <w:iCs/>
                <w:color w:val="0070C0"/>
              </w:rPr>
            </w:pPr>
          </w:p>
        </w:tc>
        <w:tc>
          <w:tcPr>
            <w:tcW w:w="408" w:type="pct"/>
            <w:tcBorders>
              <w:top w:val="single" w:sz="4" w:space="0" w:color="auto"/>
              <w:bottom w:val="single" w:sz="4" w:space="0" w:color="auto"/>
            </w:tcBorders>
            <w:shd w:val="clear" w:color="auto" w:fill="auto"/>
            <w:noWrap/>
            <w:vAlign w:val="center"/>
          </w:tcPr>
          <w:p w14:paraId="6C2A95D5" w14:textId="77777777" w:rsidR="00383875" w:rsidRPr="00191E1B" w:rsidRDefault="00383875" w:rsidP="007668B0">
            <w:pPr>
              <w:keepNext/>
              <w:spacing w:before="0" w:after="0"/>
              <w:jc w:val="center"/>
              <w:rPr>
                <w:rFonts w:ascii="Arial Narrow" w:hAnsi="Arial Narrow"/>
                <w:b/>
                <w:i/>
                <w:iCs/>
                <w:color w:val="0070C0"/>
              </w:rPr>
            </w:pPr>
          </w:p>
        </w:tc>
        <w:tc>
          <w:tcPr>
            <w:tcW w:w="408" w:type="pct"/>
            <w:tcBorders>
              <w:top w:val="single" w:sz="4" w:space="0" w:color="auto"/>
              <w:bottom w:val="single" w:sz="4" w:space="0" w:color="auto"/>
            </w:tcBorders>
            <w:shd w:val="clear" w:color="auto" w:fill="auto"/>
            <w:noWrap/>
            <w:vAlign w:val="center"/>
          </w:tcPr>
          <w:p w14:paraId="38C30DA2" w14:textId="77777777" w:rsidR="00383875" w:rsidRPr="00191E1B" w:rsidRDefault="00383875" w:rsidP="007668B0">
            <w:pPr>
              <w:keepNext/>
              <w:spacing w:before="0" w:after="0"/>
              <w:jc w:val="center"/>
              <w:rPr>
                <w:rFonts w:ascii="Arial Narrow" w:hAnsi="Arial Narrow"/>
                <w:b/>
                <w:i/>
                <w:iCs/>
                <w:color w:val="0070C0"/>
              </w:rPr>
            </w:pPr>
          </w:p>
        </w:tc>
        <w:tc>
          <w:tcPr>
            <w:tcW w:w="408" w:type="pct"/>
            <w:tcBorders>
              <w:top w:val="single" w:sz="4" w:space="0" w:color="auto"/>
              <w:bottom w:val="single" w:sz="4" w:space="0" w:color="auto"/>
            </w:tcBorders>
            <w:shd w:val="clear" w:color="auto" w:fill="auto"/>
            <w:noWrap/>
            <w:vAlign w:val="center"/>
          </w:tcPr>
          <w:p w14:paraId="2DEEC011" w14:textId="77777777" w:rsidR="00383875" w:rsidRPr="00191E1B" w:rsidRDefault="00383875" w:rsidP="007668B0">
            <w:pPr>
              <w:keepNext/>
              <w:spacing w:before="0" w:after="0"/>
              <w:jc w:val="center"/>
              <w:rPr>
                <w:rFonts w:ascii="Arial Narrow" w:hAnsi="Arial Narrow"/>
                <w:b/>
                <w:i/>
                <w:iCs/>
                <w:color w:val="0070C0"/>
              </w:rPr>
            </w:pPr>
          </w:p>
        </w:tc>
        <w:tc>
          <w:tcPr>
            <w:tcW w:w="408" w:type="pct"/>
            <w:tcBorders>
              <w:top w:val="single" w:sz="4" w:space="0" w:color="auto"/>
              <w:bottom w:val="single" w:sz="4" w:space="0" w:color="auto"/>
            </w:tcBorders>
            <w:shd w:val="clear" w:color="auto" w:fill="auto"/>
            <w:noWrap/>
            <w:vAlign w:val="center"/>
          </w:tcPr>
          <w:p w14:paraId="3B4B1934" w14:textId="77777777" w:rsidR="00383875" w:rsidRPr="00191E1B" w:rsidRDefault="00383875" w:rsidP="007668B0">
            <w:pPr>
              <w:keepNext/>
              <w:spacing w:before="0" w:after="0"/>
              <w:jc w:val="center"/>
              <w:rPr>
                <w:rFonts w:ascii="Arial Narrow" w:hAnsi="Arial Narrow"/>
                <w:b/>
                <w:i/>
                <w:iCs/>
                <w:color w:val="0070C0"/>
              </w:rPr>
            </w:pPr>
          </w:p>
        </w:tc>
        <w:tc>
          <w:tcPr>
            <w:tcW w:w="408" w:type="pct"/>
            <w:tcBorders>
              <w:top w:val="single" w:sz="4" w:space="0" w:color="auto"/>
              <w:bottom w:val="single" w:sz="4" w:space="0" w:color="auto"/>
            </w:tcBorders>
            <w:shd w:val="clear" w:color="auto" w:fill="auto"/>
            <w:noWrap/>
            <w:vAlign w:val="center"/>
          </w:tcPr>
          <w:p w14:paraId="4B12AF3D" w14:textId="77777777" w:rsidR="00383875" w:rsidRPr="00191E1B" w:rsidRDefault="00383875" w:rsidP="007668B0">
            <w:pPr>
              <w:keepNext/>
              <w:spacing w:before="0" w:after="0"/>
              <w:jc w:val="center"/>
              <w:rPr>
                <w:rFonts w:ascii="Arial Narrow" w:hAnsi="Arial Narrow"/>
                <w:b/>
                <w:i/>
                <w:iCs/>
                <w:color w:val="0070C0"/>
              </w:rPr>
            </w:pPr>
          </w:p>
        </w:tc>
        <w:tc>
          <w:tcPr>
            <w:tcW w:w="408" w:type="pct"/>
            <w:tcBorders>
              <w:top w:val="single" w:sz="4" w:space="0" w:color="auto"/>
              <w:bottom w:val="single" w:sz="4" w:space="0" w:color="auto"/>
            </w:tcBorders>
            <w:shd w:val="clear" w:color="auto" w:fill="auto"/>
            <w:noWrap/>
            <w:vAlign w:val="center"/>
          </w:tcPr>
          <w:p w14:paraId="26D99EB7" w14:textId="77777777" w:rsidR="00383875" w:rsidRPr="00191E1B" w:rsidRDefault="00383875" w:rsidP="007668B0">
            <w:pPr>
              <w:keepNext/>
              <w:spacing w:before="0" w:after="0"/>
              <w:jc w:val="center"/>
              <w:rPr>
                <w:rFonts w:ascii="Arial Narrow" w:hAnsi="Arial Narrow"/>
                <w:b/>
                <w:i/>
                <w:iCs/>
                <w:color w:val="0070C0"/>
              </w:rPr>
            </w:pPr>
          </w:p>
        </w:tc>
        <w:tc>
          <w:tcPr>
            <w:tcW w:w="408" w:type="pct"/>
            <w:tcBorders>
              <w:top w:val="single" w:sz="4" w:space="0" w:color="auto"/>
              <w:bottom w:val="single" w:sz="4" w:space="0" w:color="auto"/>
              <w:right w:val="single" w:sz="4" w:space="0" w:color="auto"/>
            </w:tcBorders>
            <w:shd w:val="clear" w:color="auto" w:fill="auto"/>
            <w:noWrap/>
            <w:vAlign w:val="center"/>
          </w:tcPr>
          <w:p w14:paraId="05AA8702" w14:textId="77777777" w:rsidR="00383875" w:rsidRPr="00191E1B" w:rsidRDefault="00383875" w:rsidP="007668B0">
            <w:pPr>
              <w:keepNext/>
              <w:spacing w:before="0" w:after="0"/>
              <w:jc w:val="center"/>
              <w:rPr>
                <w:rFonts w:ascii="Arial Narrow" w:hAnsi="Arial Narrow"/>
                <w:b/>
                <w:i/>
                <w:iCs/>
                <w:color w:val="0070C0"/>
              </w:rPr>
            </w:pPr>
          </w:p>
        </w:tc>
      </w:tr>
      <w:tr w:rsidR="000824CA" w:rsidRPr="00613C5B" w14:paraId="6DA60DB9" w14:textId="77777777" w:rsidTr="00191E1B">
        <w:trPr>
          <w:trHeight w:val="55"/>
        </w:trPr>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265B4" w14:textId="77777777" w:rsidR="000824CA" w:rsidRPr="00191E1B" w:rsidRDefault="000824CA" w:rsidP="000824CA">
            <w:pPr>
              <w:keepNext/>
              <w:spacing w:before="0" w:after="0"/>
              <w:rPr>
                <w:rFonts w:ascii="Arial Narrow" w:hAnsi="Arial Narrow"/>
                <w:i/>
                <w:iCs/>
                <w:color w:val="0070C0"/>
              </w:rPr>
            </w:pPr>
            <w:r w:rsidRPr="00191E1B">
              <w:rPr>
                <w:rFonts w:ascii="Arial Narrow" w:hAnsi="Arial Narrow"/>
                <w:i/>
                <w:iCs/>
                <w:color w:val="0070C0"/>
              </w:rPr>
              <w:t>Cost</w:t>
            </w:r>
          </w:p>
        </w:tc>
        <w:tc>
          <w:tcPr>
            <w:tcW w:w="410" w:type="pct"/>
            <w:tcBorders>
              <w:top w:val="single" w:sz="4" w:space="0" w:color="auto"/>
              <w:bottom w:val="single" w:sz="4" w:space="0" w:color="auto"/>
              <w:right w:val="single" w:sz="4" w:space="0" w:color="auto"/>
            </w:tcBorders>
            <w:noWrap/>
          </w:tcPr>
          <w:p w14:paraId="3E44A44D" w14:textId="4937F9FD"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6.79</w:t>
            </w:r>
          </w:p>
        </w:tc>
        <w:tc>
          <w:tcPr>
            <w:tcW w:w="408" w:type="pct"/>
            <w:tcBorders>
              <w:top w:val="single" w:sz="4" w:space="0" w:color="auto"/>
              <w:left w:val="single" w:sz="4" w:space="0" w:color="auto"/>
              <w:bottom w:val="single" w:sz="4" w:space="0" w:color="auto"/>
              <w:right w:val="single" w:sz="4" w:space="0" w:color="auto"/>
            </w:tcBorders>
            <w:noWrap/>
          </w:tcPr>
          <w:p w14:paraId="6A5FE5D4" w14:textId="037E3143"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7.06</w:t>
            </w:r>
          </w:p>
        </w:tc>
        <w:tc>
          <w:tcPr>
            <w:tcW w:w="408" w:type="pct"/>
            <w:tcBorders>
              <w:top w:val="single" w:sz="4" w:space="0" w:color="auto"/>
              <w:left w:val="single" w:sz="4" w:space="0" w:color="auto"/>
              <w:bottom w:val="single" w:sz="4" w:space="0" w:color="auto"/>
              <w:right w:val="single" w:sz="4" w:space="0" w:color="auto"/>
            </w:tcBorders>
          </w:tcPr>
          <w:p w14:paraId="474F696D" w14:textId="47937E8F" w:rsidR="000824CA" w:rsidRPr="000814D1"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12.00</w:t>
            </w:r>
          </w:p>
        </w:tc>
        <w:tc>
          <w:tcPr>
            <w:tcW w:w="408" w:type="pct"/>
            <w:tcBorders>
              <w:top w:val="single" w:sz="4" w:space="0" w:color="auto"/>
              <w:left w:val="single" w:sz="4" w:space="0" w:color="auto"/>
              <w:bottom w:val="single" w:sz="4" w:space="0" w:color="auto"/>
              <w:right w:val="single" w:sz="4" w:space="0" w:color="auto"/>
            </w:tcBorders>
            <w:noWrap/>
          </w:tcPr>
          <w:p w14:paraId="4C8C6213" w14:textId="006B0314"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9.79</w:t>
            </w:r>
          </w:p>
        </w:tc>
        <w:tc>
          <w:tcPr>
            <w:tcW w:w="408" w:type="pct"/>
            <w:tcBorders>
              <w:top w:val="single" w:sz="4" w:space="0" w:color="auto"/>
              <w:left w:val="single" w:sz="4" w:space="0" w:color="auto"/>
              <w:bottom w:val="single" w:sz="4" w:space="0" w:color="auto"/>
              <w:right w:val="single" w:sz="4" w:space="0" w:color="auto"/>
            </w:tcBorders>
            <w:noWrap/>
          </w:tcPr>
          <w:p w14:paraId="409B46D3" w14:textId="55715C1C"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11.84</w:t>
            </w:r>
          </w:p>
        </w:tc>
        <w:tc>
          <w:tcPr>
            <w:tcW w:w="408" w:type="pct"/>
            <w:tcBorders>
              <w:top w:val="single" w:sz="4" w:space="0" w:color="auto"/>
              <w:left w:val="single" w:sz="4" w:space="0" w:color="auto"/>
              <w:bottom w:val="single" w:sz="4" w:space="0" w:color="auto"/>
              <w:right w:val="single" w:sz="4" w:space="0" w:color="auto"/>
            </w:tcBorders>
            <w:noWrap/>
          </w:tcPr>
          <w:p w14:paraId="1FF8D0EA" w14:textId="6667C508"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11.61</w:t>
            </w:r>
          </w:p>
        </w:tc>
        <w:tc>
          <w:tcPr>
            <w:tcW w:w="408" w:type="pct"/>
            <w:tcBorders>
              <w:top w:val="single" w:sz="4" w:space="0" w:color="auto"/>
              <w:left w:val="single" w:sz="4" w:space="0" w:color="auto"/>
              <w:bottom w:val="single" w:sz="4" w:space="0" w:color="auto"/>
              <w:right w:val="single" w:sz="4" w:space="0" w:color="auto"/>
            </w:tcBorders>
            <w:noWrap/>
          </w:tcPr>
          <w:p w14:paraId="277366B1" w14:textId="35FE9F8B"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6.86</w:t>
            </w:r>
          </w:p>
        </w:tc>
        <w:tc>
          <w:tcPr>
            <w:tcW w:w="408" w:type="pct"/>
            <w:tcBorders>
              <w:top w:val="single" w:sz="4" w:space="0" w:color="auto"/>
              <w:left w:val="single" w:sz="4" w:space="0" w:color="auto"/>
              <w:bottom w:val="single" w:sz="4" w:space="0" w:color="auto"/>
              <w:right w:val="single" w:sz="4" w:space="0" w:color="auto"/>
            </w:tcBorders>
            <w:noWrap/>
          </w:tcPr>
          <w:p w14:paraId="11376B4C" w14:textId="043B76F5"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7.13</w:t>
            </w:r>
          </w:p>
        </w:tc>
        <w:tc>
          <w:tcPr>
            <w:tcW w:w="408" w:type="pct"/>
            <w:tcBorders>
              <w:top w:val="single" w:sz="4" w:space="0" w:color="auto"/>
              <w:left w:val="single" w:sz="4" w:space="0" w:color="auto"/>
              <w:bottom w:val="single" w:sz="4" w:space="0" w:color="auto"/>
              <w:right w:val="single" w:sz="4" w:space="0" w:color="auto"/>
            </w:tcBorders>
            <w:noWrap/>
          </w:tcPr>
          <w:p w14:paraId="161BF1AB" w14:textId="784F5836"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6.64</w:t>
            </w:r>
          </w:p>
        </w:tc>
        <w:tc>
          <w:tcPr>
            <w:tcW w:w="408" w:type="pct"/>
            <w:tcBorders>
              <w:top w:val="single" w:sz="4" w:space="0" w:color="auto"/>
              <w:left w:val="single" w:sz="4" w:space="0" w:color="auto"/>
              <w:bottom w:val="single" w:sz="4" w:space="0" w:color="auto"/>
              <w:right w:val="single" w:sz="4" w:space="0" w:color="auto"/>
            </w:tcBorders>
            <w:noWrap/>
          </w:tcPr>
          <w:p w14:paraId="4912E34B" w14:textId="1A5D1571"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 xml:space="preserve">0.66 </w:t>
            </w:r>
          </w:p>
        </w:tc>
      </w:tr>
      <w:tr w:rsidR="000824CA" w:rsidRPr="00613C5B" w14:paraId="7B007BCF" w14:textId="77777777" w:rsidTr="00191E1B">
        <w:trPr>
          <w:trHeight w:val="55"/>
        </w:trPr>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5BE11" w14:textId="77777777" w:rsidR="000824CA" w:rsidRPr="00191E1B" w:rsidRDefault="000824CA" w:rsidP="000824CA">
            <w:pPr>
              <w:keepNext/>
              <w:spacing w:before="0" w:after="0"/>
              <w:rPr>
                <w:rFonts w:ascii="Arial Narrow" w:hAnsi="Arial Narrow"/>
                <w:i/>
                <w:iCs/>
                <w:color w:val="0070C0"/>
              </w:rPr>
            </w:pPr>
            <w:r w:rsidRPr="00191E1B">
              <w:rPr>
                <w:rFonts w:ascii="Arial Narrow" w:hAnsi="Arial Narrow"/>
                <w:i/>
                <w:iCs/>
                <w:color w:val="0070C0"/>
              </w:rPr>
              <w:t>QALYs</w:t>
            </w:r>
          </w:p>
        </w:tc>
        <w:tc>
          <w:tcPr>
            <w:tcW w:w="410" w:type="pct"/>
            <w:tcBorders>
              <w:top w:val="single" w:sz="4" w:space="0" w:color="auto"/>
              <w:bottom w:val="single" w:sz="4" w:space="0" w:color="auto"/>
              <w:right w:val="single" w:sz="4" w:space="0" w:color="auto"/>
            </w:tcBorders>
            <w:noWrap/>
          </w:tcPr>
          <w:p w14:paraId="43D96DF7" w14:textId="16F80D33"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19.021710</w:t>
            </w:r>
          </w:p>
        </w:tc>
        <w:tc>
          <w:tcPr>
            <w:tcW w:w="408" w:type="pct"/>
            <w:tcBorders>
              <w:top w:val="single" w:sz="4" w:space="0" w:color="auto"/>
              <w:left w:val="single" w:sz="4" w:space="0" w:color="auto"/>
              <w:bottom w:val="single" w:sz="4" w:space="0" w:color="auto"/>
              <w:right w:val="single" w:sz="4" w:space="0" w:color="auto"/>
            </w:tcBorders>
            <w:noWrap/>
          </w:tcPr>
          <w:p w14:paraId="075C63C4" w14:textId="451F217D"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19.021754</w:t>
            </w:r>
          </w:p>
        </w:tc>
        <w:tc>
          <w:tcPr>
            <w:tcW w:w="408" w:type="pct"/>
            <w:tcBorders>
              <w:top w:val="single" w:sz="4" w:space="0" w:color="auto"/>
              <w:left w:val="single" w:sz="4" w:space="0" w:color="auto"/>
              <w:bottom w:val="single" w:sz="4" w:space="0" w:color="auto"/>
              <w:right w:val="single" w:sz="4" w:space="0" w:color="auto"/>
            </w:tcBorders>
          </w:tcPr>
          <w:p w14:paraId="12DB9CF4" w14:textId="0408A39C" w:rsidR="000824CA" w:rsidRPr="000814D1"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19.021710</w:t>
            </w:r>
          </w:p>
        </w:tc>
        <w:tc>
          <w:tcPr>
            <w:tcW w:w="408" w:type="pct"/>
            <w:tcBorders>
              <w:top w:val="single" w:sz="4" w:space="0" w:color="auto"/>
              <w:left w:val="single" w:sz="4" w:space="0" w:color="auto"/>
              <w:bottom w:val="single" w:sz="4" w:space="0" w:color="auto"/>
              <w:right w:val="single" w:sz="4" w:space="0" w:color="auto"/>
            </w:tcBorders>
            <w:noWrap/>
          </w:tcPr>
          <w:p w14:paraId="0E20F9B6" w14:textId="5A79453A"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19.021754</w:t>
            </w:r>
          </w:p>
        </w:tc>
        <w:tc>
          <w:tcPr>
            <w:tcW w:w="408" w:type="pct"/>
            <w:tcBorders>
              <w:top w:val="single" w:sz="4" w:space="0" w:color="auto"/>
              <w:left w:val="single" w:sz="4" w:space="0" w:color="auto"/>
              <w:bottom w:val="single" w:sz="4" w:space="0" w:color="auto"/>
              <w:right w:val="single" w:sz="4" w:space="0" w:color="auto"/>
            </w:tcBorders>
            <w:noWrap/>
          </w:tcPr>
          <w:p w14:paraId="22187005" w14:textId="332AEE59"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19.021729</w:t>
            </w:r>
          </w:p>
        </w:tc>
        <w:tc>
          <w:tcPr>
            <w:tcW w:w="408" w:type="pct"/>
            <w:tcBorders>
              <w:top w:val="single" w:sz="4" w:space="0" w:color="auto"/>
              <w:left w:val="single" w:sz="4" w:space="0" w:color="auto"/>
              <w:bottom w:val="single" w:sz="4" w:space="0" w:color="auto"/>
              <w:right w:val="single" w:sz="4" w:space="0" w:color="auto"/>
            </w:tcBorders>
            <w:noWrap/>
          </w:tcPr>
          <w:p w14:paraId="1E8E2C70" w14:textId="46BA3C50"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19.021738</w:t>
            </w:r>
          </w:p>
        </w:tc>
        <w:tc>
          <w:tcPr>
            <w:tcW w:w="408" w:type="pct"/>
            <w:tcBorders>
              <w:top w:val="single" w:sz="4" w:space="0" w:color="auto"/>
              <w:left w:val="single" w:sz="4" w:space="0" w:color="auto"/>
              <w:bottom w:val="single" w:sz="4" w:space="0" w:color="auto"/>
              <w:right w:val="single" w:sz="4" w:space="0" w:color="auto"/>
            </w:tcBorders>
            <w:noWrap/>
          </w:tcPr>
          <w:p w14:paraId="4F4B7624" w14:textId="71A89D5B"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19.021701</w:t>
            </w:r>
          </w:p>
        </w:tc>
        <w:tc>
          <w:tcPr>
            <w:tcW w:w="408" w:type="pct"/>
            <w:tcBorders>
              <w:top w:val="single" w:sz="4" w:space="0" w:color="auto"/>
              <w:left w:val="single" w:sz="4" w:space="0" w:color="auto"/>
              <w:bottom w:val="single" w:sz="4" w:space="0" w:color="auto"/>
              <w:right w:val="single" w:sz="4" w:space="0" w:color="auto"/>
            </w:tcBorders>
            <w:noWrap/>
          </w:tcPr>
          <w:p w14:paraId="1D00186D" w14:textId="50235F8E"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19.021772</w:t>
            </w:r>
          </w:p>
        </w:tc>
        <w:tc>
          <w:tcPr>
            <w:tcW w:w="408" w:type="pct"/>
            <w:tcBorders>
              <w:top w:val="single" w:sz="4" w:space="0" w:color="auto"/>
              <w:left w:val="single" w:sz="4" w:space="0" w:color="auto"/>
              <w:bottom w:val="single" w:sz="4" w:space="0" w:color="auto"/>
              <w:right w:val="single" w:sz="4" w:space="0" w:color="auto"/>
            </w:tcBorders>
            <w:noWrap/>
          </w:tcPr>
          <w:p w14:paraId="27B5BCCE" w14:textId="407F6356"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19.021740</w:t>
            </w:r>
          </w:p>
        </w:tc>
        <w:tc>
          <w:tcPr>
            <w:tcW w:w="408" w:type="pct"/>
            <w:tcBorders>
              <w:top w:val="single" w:sz="4" w:space="0" w:color="auto"/>
              <w:left w:val="single" w:sz="4" w:space="0" w:color="auto"/>
              <w:bottom w:val="single" w:sz="4" w:space="0" w:color="auto"/>
              <w:right w:val="single" w:sz="4" w:space="0" w:color="auto"/>
            </w:tcBorders>
            <w:noWrap/>
          </w:tcPr>
          <w:p w14:paraId="0218EEF3" w14:textId="000C5D75"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 xml:space="preserve">19.021613 </w:t>
            </w:r>
          </w:p>
        </w:tc>
      </w:tr>
      <w:tr w:rsidR="000824CA" w:rsidRPr="00613C5B" w14:paraId="51510ED3" w14:textId="77777777" w:rsidTr="00191E1B">
        <w:trPr>
          <w:trHeight w:val="55"/>
        </w:trPr>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BFD6A" w14:textId="77777777" w:rsidR="000824CA" w:rsidRPr="00191E1B" w:rsidRDefault="000824CA" w:rsidP="000824CA">
            <w:pPr>
              <w:keepNext/>
              <w:spacing w:before="0" w:after="0"/>
              <w:rPr>
                <w:rFonts w:ascii="Arial Narrow" w:hAnsi="Arial Narrow"/>
                <w:i/>
                <w:iCs/>
                <w:color w:val="0070C0"/>
              </w:rPr>
            </w:pPr>
            <w:r w:rsidRPr="00191E1B">
              <w:rPr>
                <w:rFonts w:ascii="Arial Narrow" w:hAnsi="Arial Narrow"/>
                <w:bCs/>
                <w:i/>
                <w:iCs/>
                <w:color w:val="0070C0"/>
              </w:rPr>
              <w:t>Incremental costs</w:t>
            </w:r>
          </w:p>
        </w:tc>
        <w:tc>
          <w:tcPr>
            <w:tcW w:w="410" w:type="pct"/>
            <w:tcBorders>
              <w:top w:val="single" w:sz="4" w:space="0" w:color="auto"/>
              <w:bottom w:val="single" w:sz="4" w:space="0" w:color="auto"/>
              <w:right w:val="single" w:sz="4" w:space="0" w:color="auto"/>
            </w:tcBorders>
            <w:noWrap/>
          </w:tcPr>
          <w:p w14:paraId="2675B72F" w14:textId="7212B32E"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6.13</w:t>
            </w:r>
          </w:p>
        </w:tc>
        <w:tc>
          <w:tcPr>
            <w:tcW w:w="408" w:type="pct"/>
            <w:tcBorders>
              <w:top w:val="single" w:sz="4" w:space="0" w:color="auto"/>
              <w:left w:val="single" w:sz="4" w:space="0" w:color="auto"/>
              <w:bottom w:val="single" w:sz="4" w:space="0" w:color="auto"/>
              <w:right w:val="single" w:sz="4" w:space="0" w:color="auto"/>
            </w:tcBorders>
            <w:noWrap/>
          </w:tcPr>
          <w:p w14:paraId="0D013A3A" w14:textId="5270DCDA"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6.40</w:t>
            </w:r>
          </w:p>
        </w:tc>
        <w:tc>
          <w:tcPr>
            <w:tcW w:w="408" w:type="pct"/>
            <w:tcBorders>
              <w:top w:val="single" w:sz="4" w:space="0" w:color="auto"/>
              <w:left w:val="single" w:sz="4" w:space="0" w:color="auto"/>
              <w:bottom w:val="single" w:sz="4" w:space="0" w:color="auto"/>
              <w:right w:val="single" w:sz="4" w:space="0" w:color="auto"/>
            </w:tcBorders>
          </w:tcPr>
          <w:p w14:paraId="04F48E9A" w14:textId="6EFC2551" w:rsidR="000824CA" w:rsidRPr="000814D1"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11.34</w:t>
            </w:r>
          </w:p>
        </w:tc>
        <w:tc>
          <w:tcPr>
            <w:tcW w:w="408" w:type="pct"/>
            <w:tcBorders>
              <w:top w:val="single" w:sz="4" w:space="0" w:color="auto"/>
              <w:left w:val="single" w:sz="4" w:space="0" w:color="auto"/>
              <w:bottom w:val="single" w:sz="4" w:space="0" w:color="auto"/>
              <w:right w:val="single" w:sz="4" w:space="0" w:color="auto"/>
            </w:tcBorders>
            <w:noWrap/>
          </w:tcPr>
          <w:p w14:paraId="350F552F" w14:textId="5A308232"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9.13</w:t>
            </w:r>
          </w:p>
        </w:tc>
        <w:tc>
          <w:tcPr>
            <w:tcW w:w="408" w:type="pct"/>
            <w:tcBorders>
              <w:top w:val="single" w:sz="4" w:space="0" w:color="auto"/>
              <w:left w:val="single" w:sz="4" w:space="0" w:color="auto"/>
              <w:bottom w:val="single" w:sz="4" w:space="0" w:color="auto"/>
              <w:right w:val="single" w:sz="4" w:space="0" w:color="auto"/>
            </w:tcBorders>
            <w:noWrap/>
          </w:tcPr>
          <w:p w14:paraId="2843AF21" w14:textId="152C3B0E"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11.18</w:t>
            </w:r>
          </w:p>
        </w:tc>
        <w:tc>
          <w:tcPr>
            <w:tcW w:w="408" w:type="pct"/>
            <w:tcBorders>
              <w:top w:val="single" w:sz="4" w:space="0" w:color="auto"/>
              <w:left w:val="single" w:sz="4" w:space="0" w:color="auto"/>
              <w:bottom w:val="single" w:sz="4" w:space="0" w:color="auto"/>
              <w:right w:val="single" w:sz="4" w:space="0" w:color="auto"/>
            </w:tcBorders>
            <w:noWrap/>
          </w:tcPr>
          <w:p w14:paraId="47A23F05" w14:textId="6F27C891"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10.95</w:t>
            </w:r>
          </w:p>
        </w:tc>
        <w:tc>
          <w:tcPr>
            <w:tcW w:w="408" w:type="pct"/>
            <w:tcBorders>
              <w:top w:val="single" w:sz="4" w:space="0" w:color="auto"/>
              <w:left w:val="single" w:sz="4" w:space="0" w:color="auto"/>
              <w:bottom w:val="single" w:sz="4" w:space="0" w:color="auto"/>
              <w:right w:val="single" w:sz="4" w:space="0" w:color="auto"/>
            </w:tcBorders>
            <w:noWrap/>
          </w:tcPr>
          <w:p w14:paraId="36588396" w14:textId="64465670"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6.20</w:t>
            </w:r>
          </w:p>
        </w:tc>
        <w:tc>
          <w:tcPr>
            <w:tcW w:w="408" w:type="pct"/>
            <w:tcBorders>
              <w:top w:val="single" w:sz="4" w:space="0" w:color="auto"/>
              <w:left w:val="single" w:sz="4" w:space="0" w:color="auto"/>
              <w:bottom w:val="single" w:sz="4" w:space="0" w:color="auto"/>
              <w:right w:val="single" w:sz="4" w:space="0" w:color="auto"/>
            </w:tcBorders>
            <w:noWrap/>
          </w:tcPr>
          <w:p w14:paraId="7CBCEEB3" w14:textId="796EF8F3"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6.47</w:t>
            </w:r>
          </w:p>
        </w:tc>
        <w:tc>
          <w:tcPr>
            <w:tcW w:w="408" w:type="pct"/>
            <w:tcBorders>
              <w:top w:val="single" w:sz="4" w:space="0" w:color="auto"/>
              <w:left w:val="single" w:sz="4" w:space="0" w:color="auto"/>
              <w:bottom w:val="single" w:sz="4" w:space="0" w:color="auto"/>
              <w:right w:val="single" w:sz="4" w:space="0" w:color="auto"/>
            </w:tcBorders>
            <w:noWrap/>
          </w:tcPr>
          <w:p w14:paraId="771E47BA" w14:textId="3151828E"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5.98</w:t>
            </w:r>
          </w:p>
        </w:tc>
        <w:tc>
          <w:tcPr>
            <w:tcW w:w="408" w:type="pct"/>
            <w:tcBorders>
              <w:top w:val="single" w:sz="4" w:space="0" w:color="auto"/>
              <w:left w:val="single" w:sz="4" w:space="0" w:color="auto"/>
              <w:bottom w:val="single" w:sz="4" w:space="0" w:color="auto"/>
              <w:right w:val="single" w:sz="4" w:space="0" w:color="auto"/>
            </w:tcBorders>
            <w:noWrap/>
            <w:vAlign w:val="center"/>
          </w:tcPr>
          <w:p w14:paraId="5FB2B0C4" w14:textId="77777777" w:rsidR="000824CA" w:rsidRPr="00191E1B" w:rsidRDefault="000824CA" w:rsidP="000824CA">
            <w:pPr>
              <w:keepNext/>
              <w:spacing w:before="0" w:after="0"/>
              <w:jc w:val="center"/>
              <w:rPr>
                <w:rFonts w:ascii="Arial Narrow" w:hAnsi="Arial Narrow"/>
                <w:i/>
                <w:iCs/>
                <w:color w:val="0070C0"/>
              </w:rPr>
            </w:pPr>
          </w:p>
        </w:tc>
      </w:tr>
      <w:tr w:rsidR="000824CA" w:rsidRPr="00613C5B" w14:paraId="6572F31E" w14:textId="77777777" w:rsidTr="00191E1B">
        <w:trPr>
          <w:trHeight w:val="55"/>
        </w:trPr>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EC776" w14:textId="77777777" w:rsidR="000824CA" w:rsidRPr="00191E1B" w:rsidRDefault="000824CA" w:rsidP="000824CA">
            <w:pPr>
              <w:keepNext/>
              <w:spacing w:before="0" w:after="0"/>
              <w:rPr>
                <w:rFonts w:ascii="Arial Narrow" w:hAnsi="Arial Narrow"/>
                <w:i/>
                <w:iCs/>
                <w:color w:val="0070C0"/>
              </w:rPr>
            </w:pPr>
            <w:r w:rsidRPr="00191E1B">
              <w:rPr>
                <w:rFonts w:ascii="Arial Narrow" w:hAnsi="Arial Narrow"/>
                <w:bCs/>
                <w:i/>
                <w:iCs/>
                <w:color w:val="0070C0"/>
              </w:rPr>
              <w:t>QALYs gained</w:t>
            </w:r>
          </w:p>
        </w:tc>
        <w:tc>
          <w:tcPr>
            <w:tcW w:w="410" w:type="pct"/>
            <w:tcBorders>
              <w:top w:val="single" w:sz="4" w:space="0" w:color="auto"/>
              <w:bottom w:val="single" w:sz="4" w:space="0" w:color="auto"/>
              <w:right w:val="single" w:sz="4" w:space="0" w:color="auto"/>
            </w:tcBorders>
            <w:noWrap/>
          </w:tcPr>
          <w:p w14:paraId="4966BB94" w14:textId="1F0A5A3A"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0.000098</w:t>
            </w:r>
          </w:p>
        </w:tc>
        <w:tc>
          <w:tcPr>
            <w:tcW w:w="408" w:type="pct"/>
            <w:tcBorders>
              <w:top w:val="single" w:sz="4" w:space="0" w:color="auto"/>
              <w:left w:val="single" w:sz="4" w:space="0" w:color="auto"/>
              <w:bottom w:val="single" w:sz="4" w:space="0" w:color="auto"/>
              <w:right w:val="single" w:sz="4" w:space="0" w:color="auto"/>
            </w:tcBorders>
            <w:noWrap/>
          </w:tcPr>
          <w:p w14:paraId="05370213" w14:textId="6B343856"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0.000141</w:t>
            </w:r>
          </w:p>
        </w:tc>
        <w:tc>
          <w:tcPr>
            <w:tcW w:w="408" w:type="pct"/>
            <w:tcBorders>
              <w:top w:val="single" w:sz="4" w:space="0" w:color="auto"/>
              <w:left w:val="single" w:sz="4" w:space="0" w:color="auto"/>
              <w:bottom w:val="single" w:sz="4" w:space="0" w:color="auto"/>
              <w:right w:val="single" w:sz="4" w:space="0" w:color="auto"/>
            </w:tcBorders>
          </w:tcPr>
          <w:p w14:paraId="6EC6E4D8" w14:textId="4AE0298F" w:rsidR="000824CA" w:rsidRPr="000814D1"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0.000098</w:t>
            </w:r>
          </w:p>
        </w:tc>
        <w:tc>
          <w:tcPr>
            <w:tcW w:w="408" w:type="pct"/>
            <w:tcBorders>
              <w:top w:val="single" w:sz="4" w:space="0" w:color="auto"/>
              <w:left w:val="single" w:sz="4" w:space="0" w:color="auto"/>
              <w:bottom w:val="single" w:sz="4" w:space="0" w:color="auto"/>
              <w:right w:val="single" w:sz="4" w:space="0" w:color="auto"/>
            </w:tcBorders>
            <w:noWrap/>
          </w:tcPr>
          <w:p w14:paraId="5F4613A6" w14:textId="14A737A8"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0.000141</w:t>
            </w:r>
          </w:p>
        </w:tc>
        <w:tc>
          <w:tcPr>
            <w:tcW w:w="408" w:type="pct"/>
            <w:tcBorders>
              <w:top w:val="single" w:sz="4" w:space="0" w:color="auto"/>
              <w:left w:val="single" w:sz="4" w:space="0" w:color="auto"/>
              <w:bottom w:val="single" w:sz="4" w:space="0" w:color="auto"/>
              <w:right w:val="single" w:sz="4" w:space="0" w:color="auto"/>
            </w:tcBorders>
            <w:noWrap/>
          </w:tcPr>
          <w:p w14:paraId="1E6CB7C6" w14:textId="4BBFD39F"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0.000117</w:t>
            </w:r>
          </w:p>
        </w:tc>
        <w:tc>
          <w:tcPr>
            <w:tcW w:w="408" w:type="pct"/>
            <w:tcBorders>
              <w:top w:val="single" w:sz="4" w:space="0" w:color="auto"/>
              <w:left w:val="single" w:sz="4" w:space="0" w:color="auto"/>
              <w:bottom w:val="single" w:sz="4" w:space="0" w:color="auto"/>
              <w:right w:val="single" w:sz="4" w:space="0" w:color="auto"/>
            </w:tcBorders>
            <w:noWrap/>
          </w:tcPr>
          <w:p w14:paraId="4BD2F30E" w14:textId="6F34E1DB"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0.000126</w:t>
            </w:r>
          </w:p>
        </w:tc>
        <w:tc>
          <w:tcPr>
            <w:tcW w:w="408" w:type="pct"/>
            <w:tcBorders>
              <w:top w:val="single" w:sz="4" w:space="0" w:color="auto"/>
              <w:left w:val="single" w:sz="4" w:space="0" w:color="auto"/>
              <w:bottom w:val="single" w:sz="4" w:space="0" w:color="auto"/>
              <w:right w:val="single" w:sz="4" w:space="0" w:color="auto"/>
            </w:tcBorders>
            <w:noWrap/>
          </w:tcPr>
          <w:p w14:paraId="76C34EE7" w14:textId="5AC97D3A"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0.000088</w:t>
            </w:r>
          </w:p>
        </w:tc>
        <w:tc>
          <w:tcPr>
            <w:tcW w:w="408" w:type="pct"/>
            <w:tcBorders>
              <w:top w:val="single" w:sz="4" w:space="0" w:color="auto"/>
              <w:left w:val="single" w:sz="4" w:space="0" w:color="auto"/>
              <w:bottom w:val="single" w:sz="4" w:space="0" w:color="auto"/>
              <w:right w:val="single" w:sz="4" w:space="0" w:color="auto"/>
            </w:tcBorders>
            <w:noWrap/>
          </w:tcPr>
          <w:p w14:paraId="3DB6E68F" w14:textId="7ED5FED8"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0.000160</w:t>
            </w:r>
          </w:p>
        </w:tc>
        <w:tc>
          <w:tcPr>
            <w:tcW w:w="408" w:type="pct"/>
            <w:tcBorders>
              <w:top w:val="single" w:sz="4" w:space="0" w:color="auto"/>
              <w:left w:val="single" w:sz="4" w:space="0" w:color="auto"/>
              <w:bottom w:val="single" w:sz="4" w:space="0" w:color="auto"/>
              <w:right w:val="single" w:sz="4" w:space="0" w:color="auto"/>
            </w:tcBorders>
            <w:noWrap/>
          </w:tcPr>
          <w:p w14:paraId="2CB7D27E" w14:textId="729EB06F"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0.000127</w:t>
            </w:r>
          </w:p>
        </w:tc>
        <w:tc>
          <w:tcPr>
            <w:tcW w:w="408" w:type="pct"/>
            <w:tcBorders>
              <w:top w:val="single" w:sz="4" w:space="0" w:color="auto"/>
              <w:left w:val="single" w:sz="4" w:space="0" w:color="auto"/>
              <w:bottom w:val="single" w:sz="4" w:space="0" w:color="auto"/>
              <w:right w:val="single" w:sz="4" w:space="0" w:color="auto"/>
            </w:tcBorders>
            <w:noWrap/>
            <w:vAlign w:val="center"/>
          </w:tcPr>
          <w:p w14:paraId="2312FDBF" w14:textId="77777777" w:rsidR="000824CA" w:rsidRPr="00191E1B" w:rsidRDefault="000824CA" w:rsidP="000824CA">
            <w:pPr>
              <w:keepNext/>
              <w:spacing w:before="0" w:after="0"/>
              <w:jc w:val="center"/>
              <w:rPr>
                <w:rFonts w:ascii="Arial Narrow" w:hAnsi="Arial Narrow"/>
                <w:i/>
                <w:iCs/>
                <w:color w:val="0070C0"/>
              </w:rPr>
            </w:pPr>
          </w:p>
        </w:tc>
      </w:tr>
      <w:tr w:rsidR="000824CA" w:rsidRPr="00613C5B" w14:paraId="440E78DD" w14:textId="77777777" w:rsidTr="00191E1B">
        <w:trPr>
          <w:trHeight w:val="55"/>
        </w:trPr>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6F9F" w14:textId="77777777" w:rsidR="000824CA" w:rsidRPr="00191E1B" w:rsidRDefault="000824CA" w:rsidP="000824CA">
            <w:pPr>
              <w:keepNext/>
              <w:spacing w:before="0" w:after="0"/>
              <w:rPr>
                <w:rFonts w:ascii="Arial Narrow" w:hAnsi="Arial Narrow"/>
                <w:i/>
                <w:iCs/>
                <w:color w:val="0070C0"/>
              </w:rPr>
            </w:pPr>
            <w:r w:rsidRPr="00191E1B">
              <w:rPr>
                <w:rFonts w:ascii="Arial Narrow" w:hAnsi="Arial Narrow"/>
                <w:bCs/>
                <w:i/>
                <w:iCs/>
                <w:color w:val="0070C0"/>
              </w:rPr>
              <w:t>ICER (cost per QALY gained)</w:t>
            </w:r>
          </w:p>
        </w:tc>
        <w:tc>
          <w:tcPr>
            <w:tcW w:w="410" w:type="pct"/>
            <w:tcBorders>
              <w:top w:val="single" w:sz="4" w:space="0" w:color="auto"/>
              <w:bottom w:val="single" w:sz="4" w:space="0" w:color="auto"/>
              <w:right w:val="single" w:sz="4" w:space="0" w:color="auto"/>
            </w:tcBorders>
            <w:noWrap/>
          </w:tcPr>
          <w:p w14:paraId="04091A61" w14:textId="4CE377DA"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62,793</w:t>
            </w:r>
          </w:p>
        </w:tc>
        <w:tc>
          <w:tcPr>
            <w:tcW w:w="408" w:type="pct"/>
            <w:tcBorders>
              <w:top w:val="single" w:sz="4" w:space="0" w:color="auto"/>
              <w:left w:val="single" w:sz="4" w:space="0" w:color="auto"/>
              <w:bottom w:val="single" w:sz="4" w:space="0" w:color="auto"/>
              <w:right w:val="single" w:sz="4" w:space="0" w:color="auto"/>
            </w:tcBorders>
            <w:noWrap/>
          </w:tcPr>
          <w:p w14:paraId="6C45B934" w14:textId="4D79C4D4"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45,369</w:t>
            </w:r>
          </w:p>
        </w:tc>
        <w:tc>
          <w:tcPr>
            <w:tcW w:w="408" w:type="pct"/>
            <w:tcBorders>
              <w:top w:val="single" w:sz="4" w:space="0" w:color="auto"/>
              <w:left w:val="single" w:sz="4" w:space="0" w:color="auto"/>
              <w:bottom w:val="single" w:sz="4" w:space="0" w:color="auto"/>
              <w:right w:val="single" w:sz="4" w:space="0" w:color="auto"/>
            </w:tcBorders>
          </w:tcPr>
          <w:p w14:paraId="0692BE67" w14:textId="128471F2"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116,226</w:t>
            </w:r>
          </w:p>
        </w:tc>
        <w:tc>
          <w:tcPr>
            <w:tcW w:w="408" w:type="pct"/>
            <w:tcBorders>
              <w:top w:val="single" w:sz="4" w:space="0" w:color="auto"/>
              <w:left w:val="single" w:sz="4" w:space="0" w:color="auto"/>
              <w:bottom w:val="single" w:sz="4" w:space="0" w:color="auto"/>
              <w:right w:val="single" w:sz="4" w:space="0" w:color="auto"/>
            </w:tcBorders>
            <w:noWrap/>
          </w:tcPr>
          <w:p w14:paraId="469F394E" w14:textId="7E1410C0"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64,715</w:t>
            </w:r>
          </w:p>
        </w:tc>
        <w:tc>
          <w:tcPr>
            <w:tcW w:w="408" w:type="pct"/>
            <w:tcBorders>
              <w:top w:val="single" w:sz="4" w:space="0" w:color="auto"/>
              <w:left w:val="single" w:sz="4" w:space="0" w:color="auto"/>
              <w:bottom w:val="single" w:sz="4" w:space="0" w:color="auto"/>
              <w:right w:val="single" w:sz="4" w:space="0" w:color="auto"/>
            </w:tcBorders>
            <w:noWrap/>
          </w:tcPr>
          <w:p w14:paraId="65662E8A" w14:textId="68C8136C"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95,883</w:t>
            </w:r>
          </w:p>
        </w:tc>
        <w:tc>
          <w:tcPr>
            <w:tcW w:w="408" w:type="pct"/>
            <w:tcBorders>
              <w:top w:val="single" w:sz="4" w:space="0" w:color="auto"/>
              <w:left w:val="single" w:sz="4" w:space="0" w:color="auto"/>
              <w:bottom w:val="single" w:sz="4" w:space="0" w:color="auto"/>
              <w:right w:val="single" w:sz="4" w:space="0" w:color="auto"/>
            </w:tcBorders>
            <w:noWrap/>
          </w:tcPr>
          <w:p w14:paraId="1C144FBB" w14:textId="6EE15A1C"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87,122</w:t>
            </w:r>
          </w:p>
        </w:tc>
        <w:tc>
          <w:tcPr>
            <w:tcW w:w="408" w:type="pct"/>
            <w:tcBorders>
              <w:top w:val="single" w:sz="4" w:space="0" w:color="auto"/>
              <w:left w:val="single" w:sz="4" w:space="0" w:color="auto"/>
              <w:bottom w:val="single" w:sz="4" w:space="0" w:color="auto"/>
              <w:right w:val="single" w:sz="4" w:space="0" w:color="auto"/>
            </w:tcBorders>
            <w:noWrap/>
          </w:tcPr>
          <w:p w14:paraId="52438C7A" w14:textId="564AE559"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70,216</w:t>
            </w:r>
          </w:p>
        </w:tc>
        <w:tc>
          <w:tcPr>
            <w:tcW w:w="408" w:type="pct"/>
            <w:tcBorders>
              <w:top w:val="single" w:sz="4" w:space="0" w:color="auto"/>
              <w:left w:val="single" w:sz="4" w:space="0" w:color="auto"/>
              <w:bottom w:val="single" w:sz="4" w:space="0" w:color="auto"/>
              <w:right w:val="single" w:sz="4" w:space="0" w:color="auto"/>
            </w:tcBorders>
            <w:noWrap/>
          </w:tcPr>
          <w:p w14:paraId="04711278" w14:textId="124D66DE"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40,478</w:t>
            </w:r>
          </w:p>
        </w:tc>
        <w:tc>
          <w:tcPr>
            <w:tcW w:w="408" w:type="pct"/>
            <w:tcBorders>
              <w:top w:val="single" w:sz="4" w:space="0" w:color="auto"/>
              <w:left w:val="single" w:sz="4" w:space="0" w:color="auto"/>
              <w:bottom w:val="single" w:sz="4" w:space="0" w:color="auto"/>
              <w:right w:val="single" w:sz="4" w:space="0" w:color="auto"/>
            </w:tcBorders>
            <w:noWrap/>
          </w:tcPr>
          <w:p w14:paraId="00DE3986" w14:textId="3E701CD4" w:rsidR="000824CA" w:rsidRPr="00191E1B" w:rsidRDefault="000824CA" w:rsidP="000824CA">
            <w:pPr>
              <w:keepNext/>
              <w:spacing w:before="0" w:after="0"/>
              <w:jc w:val="center"/>
              <w:rPr>
                <w:rFonts w:ascii="Arial Narrow" w:hAnsi="Arial Narrow"/>
                <w:i/>
                <w:iCs/>
                <w:color w:val="0070C0"/>
              </w:rPr>
            </w:pPr>
            <w:r w:rsidRPr="00191E1B">
              <w:rPr>
                <w:rFonts w:ascii="Arial Narrow" w:hAnsi="Arial Narrow"/>
                <w:i/>
                <w:iCs/>
                <w:color w:val="0070C0"/>
              </w:rPr>
              <w:t>47,084</w:t>
            </w:r>
          </w:p>
        </w:tc>
        <w:tc>
          <w:tcPr>
            <w:tcW w:w="408" w:type="pct"/>
            <w:tcBorders>
              <w:top w:val="single" w:sz="4" w:space="0" w:color="auto"/>
              <w:left w:val="single" w:sz="4" w:space="0" w:color="auto"/>
              <w:bottom w:val="single" w:sz="4" w:space="0" w:color="auto"/>
              <w:right w:val="single" w:sz="4" w:space="0" w:color="auto"/>
            </w:tcBorders>
            <w:noWrap/>
            <w:vAlign w:val="center"/>
          </w:tcPr>
          <w:p w14:paraId="6851786F" w14:textId="77777777" w:rsidR="000824CA" w:rsidRPr="00191E1B" w:rsidRDefault="000824CA" w:rsidP="000824CA">
            <w:pPr>
              <w:keepNext/>
              <w:spacing w:before="0" w:after="0"/>
              <w:jc w:val="center"/>
              <w:rPr>
                <w:rFonts w:ascii="Arial Narrow" w:hAnsi="Arial Narrow"/>
                <w:i/>
                <w:iCs/>
                <w:color w:val="0070C0"/>
              </w:rPr>
            </w:pPr>
          </w:p>
        </w:tc>
      </w:tr>
      <w:tr w:rsidR="000824CA" w:rsidRPr="00613C5B" w14:paraId="1B22DA38" w14:textId="77777777" w:rsidTr="00613C5B">
        <w:trPr>
          <w:trHeight w:val="55"/>
        </w:trPr>
        <w:tc>
          <w:tcPr>
            <w:tcW w:w="917" w:type="pct"/>
            <w:tcBorders>
              <w:top w:val="single" w:sz="4" w:space="0" w:color="auto"/>
              <w:left w:val="single" w:sz="4" w:space="0" w:color="auto"/>
              <w:bottom w:val="single" w:sz="4" w:space="0" w:color="auto"/>
              <w:right w:val="single" w:sz="4" w:space="0" w:color="auto"/>
            </w:tcBorders>
            <w:shd w:val="clear" w:color="auto" w:fill="auto"/>
            <w:noWrap/>
            <w:hideMark/>
          </w:tcPr>
          <w:p w14:paraId="6CBA55A1" w14:textId="77777777" w:rsidR="000824CA" w:rsidRPr="00191E1B" w:rsidRDefault="000824CA" w:rsidP="000824CA">
            <w:pPr>
              <w:keepNext/>
              <w:spacing w:before="0" w:after="0"/>
              <w:rPr>
                <w:rFonts w:ascii="Arial Narrow" w:hAnsi="Arial Narrow"/>
                <w:b/>
                <w:i/>
                <w:iCs/>
                <w:color w:val="0070C0"/>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3FCD2" w14:textId="77777777" w:rsidR="000824CA" w:rsidRPr="00191E1B" w:rsidRDefault="000824CA" w:rsidP="00191E1B">
            <w:pPr>
              <w:keepNext/>
              <w:spacing w:before="0" w:after="0"/>
              <w:jc w:val="center"/>
              <w:rPr>
                <w:rFonts w:ascii="Arial Narrow" w:hAnsi="Arial Narrow"/>
                <w:b/>
                <w:i/>
                <w:iCs/>
                <w:color w:val="0070C0"/>
              </w:rPr>
            </w:pPr>
            <w:r w:rsidRPr="00191E1B">
              <w:rPr>
                <w:rFonts w:ascii="Arial Narrow" w:hAnsi="Arial Narrow"/>
                <w:b/>
                <w:i/>
                <w:iCs/>
                <w:color w:val="0070C0"/>
              </w:rPr>
              <w:t>Dominated</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6DD87" w14:textId="77777777" w:rsidR="000824CA" w:rsidRPr="00191E1B" w:rsidRDefault="000824CA" w:rsidP="00191E1B">
            <w:pPr>
              <w:keepNext/>
              <w:spacing w:before="0" w:after="0"/>
              <w:jc w:val="center"/>
              <w:rPr>
                <w:rFonts w:ascii="Arial Narrow" w:hAnsi="Arial Narrow"/>
                <w:b/>
                <w:i/>
                <w:iCs/>
                <w:color w:val="0070C0"/>
              </w:rPr>
            </w:pPr>
            <w:r w:rsidRPr="00191E1B">
              <w:rPr>
                <w:rFonts w:ascii="Arial Narrow" w:hAnsi="Arial Narrow"/>
                <w:b/>
                <w:i/>
                <w:iCs/>
                <w:color w:val="0070C0"/>
              </w:rPr>
              <w:t>Dominated</w:t>
            </w:r>
          </w:p>
        </w:tc>
        <w:tc>
          <w:tcPr>
            <w:tcW w:w="408" w:type="pct"/>
            <w:tcBorders>
              <w:top w:val="single" w:sz="4" w:space="0" w:color="auto"/>
              <w:left w:val="single" w:sz="4" w:space="0" w:color="auto"/>
              <w:bottom w:val="single" w:sz="4" w:space="0" w:color="auto"/>
              <w:right w:val="single" w:sz="4" w:space="0" w:color="auto"/>
            </w:tcBorders>
            <w:vAlign w:val="center"/>
          </w:tcPr>
          <w:p w14:paraId="7FD302A8" w14:textId="77777777" w:rsidR="000824CA" w:rsidRPr="000814D1" w:rsidRDefault="000824CA" w:rsidP="00191E1B">
            <w:pPr>
              <w:keepNext/>
              <w:spacing w:before="0" w:after="0"/>
              <w:jc w:val="center"/>
              <w:rPr>
                <w:rFonts w:ascii="Arial Narrow" w:hAnsi="Arial Narrow"/>
                <w:b/>
                <w:i/>
                <w:iCs/>
                <w:color w:val="0070C0"/>
              </w:rPr>
            </w:pPr>
            <w:r w:rsidRPr="000814D1">
              <w:rPr>
                <w:rFonts w:ascii="Arial Narrow" w:hAnsi="Arial Narrow"/>
                <w:b/>
                <w:i/>
                <w:iCs/>
                <w:color w:val="0070C0"/>
              </w:rPr>
              <w:t>Dominated</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9D89F" w14:textId="77777777" w:rsidR="000824CA" w:rsidRPr="00191E1B" w:rsidRDefault="000824CA" w:rsidP="00191E1B">
            <w:pPr>
              <w:keepNext/>
              <w:spacing w:before="0" w:after="0"/>
              <w:jc w:val="center"/>
              <w:rPr>
                <w:rFonts w:ascii="Arial Narrow" w:hAnsi="Arial Narrow"/>
                <w:b/>
                <w:i/>
                <w:iCs/>
                <w:color w:val="0070C0"/>
              </w:rPr>
            </w:pPr>
            <w:r w:rsidRPr="00191E1B">
              <w:rPr>
                <w:rFonts w:ascii="Arial Narrow" w:hAnsi="Arial Narrow"/>
                <w:b/>
                <w:i/>
                <w:iCs/>
                <w:color w:val="0070C0"/>
              </w:rPr>
              <w:t>Dominated</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833B0" w14:textId="77777777" w:rsidR="000824CA" w:rsidRPr="00191E1B" w:rsidRDefault="000824CA" w:rsidP="00191E1B">
            <w:pPr>
              <w:keepNext/>
              <w:spacing w:before="0" w:after="0"/>
              <w:jc w:val="center"/>
              <w:rPr>
                <w:rFonts w:ascii="Arial Narrow" w:hAnsi="Arial Narrow"/>
                <w:b/>
                <w:i/>
                <w:iCs/>
                <w:color w:val="0070C0"/>
              </w:rPr>
            </w:pPr>
            <w:r w:rsidRPr="00191E1B">
              <w:rPr>
                <w:rFonts w:ascii="Arial Narrow" w:hAnsi="Arial Narrow"/>
                <w:b/>
                <w:i/>
                <w:iCs/>
                <w:color w:val="0070C0"/>
              </w:rPr>
              <w:t>Dominated</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3BE4E" w14:textId="77777777" w:rsidR="000824CA" w:rsidRPr="00191E1B" w:rsidRDefault="000824CA" w:rsidP="00191E1B">
            <w:pPr>
              <w:keepNext/>
              <w:spacing w:before="0" w:after="0"/>
              <w:jc w:val="center"/>
              <w:rPr>
                <w:rFonts w:ascii="Arial Narrow" w:hAnsi="Arial Narrow"/>
                <w:b/>
                <w:i/>
                <w:iCs/>
                <w:color w:val="0070C0"/>
              </w:rPr>
            </w:pPr>
            <w:r w:rsidRPr="00191E1B">
              <w:rPr>
                <w:rFonts w:ascii="Arial Narrow" w:hAnsi="Arial Narrow"/>
                <w:b/>
                <w:i/>
                <w:iCs/>
                <w:color w:val="0070C0"/>
              </w:rPr>
              <w:t>Dominated</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8883B" w14:textId="7BAF69C8" w:rsidR="000824CA" w:rsidRPr="00191E1B" w:rsidRDefault="000824CA" w:rsidP="00191E1B">
            <w:pPr>
              <w:keepNext/>
              <w:spacing w:before="0" w:after="0"/>
              <w:jc w:val="center"/>
              <w:rPr>
                <w:rFonts w:ascii="Arial Narrow" w:hAnsi="Arial Narrow"/>
                <w:b/>
                <w:i/>
                <w:iCs/>
                <w:color w:val="0070C0"/>
              </w:rPr>
            </w:pPr>
            <w:r w:rsidRPr="00ED24D6">
              <w:rPr>
                <w:rFonts w:ascii="Arial Narrow" w:hAnsi="Arial Narrow"/>
                <w:b/>
                <w:i/>
                <w:iCs/>
                <w:color w:val="0070C0"/>
              </w:rPr>
              <w:t>Dominated</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F2DBB" w14:textId="12C06B6D" w:rsidR="000824CA" w:rsidRPr="00191E1B" w:rsidRDefault="000824CA" w:rsidP="00191E1B">
            <w:pPr>
              <w:keepNext/>
              <w:spacing w:before="0" w:after="0"/>
              <w:jc w:val="center"/>
              <w:rPr>
                <w:rFonts w:ascii="Arial Narrow" w:hAnsi="Arial Narrow"/>
                <w:b/>
                <w:i/>
                <w:iCs/>
                <w:color w:val="0070C0"/>
              </w:rPr>
            </w:pP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A20CB" w14:textId="77777777" w:rsidR="000824CA" w:rsidRPr="00191E1B" w:rsidRDefault="000824CA" w:rsidP="00191E1B">
            <w:pPr>
              <w:keepNext/>
              <w:spacing w:before="0" w:after="0"/>
              <w:jc w:val="center"/>
              <w:rPr>
                <w:rFonts w:ascii="Arial Narrow" w:hAnsi="Arial Narrow"/>
                <w:b/>
                <w:i/>
                <w:iCs/>
                <w:color w:val="0070C0"/>
              </w:rPr>
            </w:pPr>
            <w:r w:rsidRPr="00191E1B">
              <w:rPr>
                <w:rFonts w:ascii="Arial Narrow" w:hAnsi="Arial Narrow"/>
                <w:b/>
                <w:i/>
                <w:iCs/>
                <w:color w:val="0070C0"/>
              </w:rPr>
              <w:t>Dominated</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8FEFD" w14:textId="77777777" w:rsidR="000824CA" w:rsidRPr="00191E1B" w:rsidRDefault="000824CA" w:rsidP="00191E1B">
            <w:pPr>
              <w:keepNext/>
              <w:spacing w:before="0" w:after="0"/>
              <w:jc w:val="center"/>
              <w:rPr>
                <w:rFonts w:ascii="Arial Narrow" w:hAnsi="Arial Narrow"/>
                <w:b/>
                <w:i/>
                <w:iCs/>
                <w:color w:val="0070C0"/>
              </w:rPr>
            </w:pPr>
          </w:p>
        </w:tc>
      </w:tr>
    </w:tbl>
    <w:p w14:paraId="6F88C695" w14:textId="4A3705E3" w:rsidR="00383875" w:rsidRPr="00191E1B" w:rsidRDefault="006D0ADE" w:rsidP="00191E1B">
      <w:pPr>
        <w:tabs>
          <w:tab w:val="left" w:pos="284"/>
        </w:tabs>
        <w:spacing w:before="40" w:after="0" w:line="240" w:lineRule="auto"/>
        <w:rPr>
          <w:rFonts w:ascii="Arial Narrow" w:eastAsia="Times New Roman" w:hAnsi="Arial Narrow" w:cs="Arial"/>
          <w:i/>
          <w:iCs/>
          <w:snapToGrid w:val="0"/>
          <w:color w:val="0070C0"/>
          <w:sz w:val="18"/>
          <w:lang w:eastAsia="en-AU"/>
        </w:rPr>
      </w:pPr>
      <w:r w:rsidRPr="00BE01E6">
        <w:rPr>
          <w:rFonts w:ascii="Arial Narrow" w:eastAsia="Times New Roman" w:hAnsi="Arial Narrow" w:cs="Arial"/>
          <w:i/>
          <w:iCs/>
          <w:snapToGrid w:val="0"/>
          <w:color w:val="0070C0"/>
          <w:sz w:val="18"/>
          <w:lang w:eastAsia="en-AU"/>
        </w:rPr>
        <w:t>Source: Post-MSAC modelling results provided by the DCAR HTA group to align with MSAC’s advice: assuming FIA-MS/MS specificity increased from 78.33% to 99.5%</w:t>
      </w:r>
      <w:r w:rsidR="006C7EFC" w:rsidRPr="006C7EFC">
        <w:rPr>
          <w:rFonts w:ascii="Arial Narrow" w:eastAsia="Times New Roman" w:hAnsi="Arial Narrow" w:cs="Arial"/>
          <w:i/>
          <w:iCs/>
          <w:snapToGrid w:val="0"/>
          <w:color w:val="0070C0"/>
          <w:sz w:val="18"/>
          <w:lang w:eastAsia="en-AU"/>
        </w:rPr>
        <w:t>, and using 3 million simulations to reduce the effect of chance in the context of rare disease</w:t>
      </w:r>
      <w:r w:rsidRPr="00BE01E6">
        <w:rPr>
          <w:rFonts w:ascii="Arial Narrow" w:eastAsia="Times New Roman" w:hAnsi="Arial Narrow" w:cs="Arial"/>
          <w:i/>
          <w:iCs/>
          <w:snapToGrid w:val="0"/>
          <w:color w:val="0070C0"/>
          <w:sz w:val="18"/>
          <w:lang w:eastAsia="en-AU"/>
        </w:rPr>
        <w:t>.</w:t>
      </w:r>
      <w:r w:rsidR="00B20044">
        <w:rPr>
          <w:rFonts w:ascii="Arial Narrow" w:eastAsia="Times New Roman" w:hAnsi="Arial Narrow" w:cs="Arial"/>
          <w:i/>
          <w:iCs/>
          <w:snapToGrid w:val="0"/>
          <w:color w:val="0070C0"/>
          <w:sz w:val="18"/>
          <w:lang w:eastAsia="en-AU"/>
        </w:rPr>
        <w:t xml:space="preserve"> </w:t>
      </w:r>
      <w:r w:rsidR="00383875" w:rsidRPr="00191E1B">
        <w:rPr>
          <w:rFonts w:ascii="Arial Narrow" w:eastAsia="Times New Roman" w:hAnsi="Arial Narrow" w:cs="Arial"/>
          <w:i/>
          <w:iCs/>
          <w:snapToGrid w:val="0"/>
          <w:color w:val="0070C0"/>
          <w:sz w:val="18"/>
          <w:lang w:eastAsia="en-AU"/>
        </w:rPr>
        <w:t>ICER = Incremental cost-effectiveness ratio; QALY = quality-adjusted life years.</w:t>
      </w:r>
    </w:p>
    <w:p w14:paraId="6D3727C4" w14:textId="25AF08E9" w:rsidR="00383875" w:rsidRPr="00191E1B" w:rsidRDefault="00383875" w:rsidP="00191E1B">
      <w:pPr>
        <w:tabs>
          <w:tab w:val="left" w:pos="284"/>
        </w:tabs>
        <w:spacing w:before="40" w:after="360" w:line="240" w:lineRule="auto"/>
        <w:rPr>
          <w:rFonts w:ascii="Arial Narrow" w:eastAsia="Times New Roman" w:hAnsi="Arial Narrow" w:cs="Arial"/>
          <w:i/>
          <w:iCs/>
          <w:snapToGrid w:val="0"/>
          <w:color w:val="0070C0"/>
          <w:sz w:val="18"/>
          <w:lang w:eastAsia="en-AU"/>
        </w:rPr>
      </w:pPr>
      <w:r w:rsidRPr="00191E1B">
        <w:rPr>
          <w:rFonts w:ascii="Arial Narrow" w:eastAsia="Times New Roman" w:hAnsi="Arial Narrow" w:cs="Arial"/>
          <w:i/>
          <w:iCs/>
          <w:snapToGrid w:val="0"/>
          <w:color w:val="0070C0"/>
          <w:sz w:val="18"/>
          <w:lang w:eastAsia="en-AU"/>
        </w:rPr>
        <w:t>Notes: 3 million simulations. Across all strategies, Strategy IV</w:t>
      </w:r>
      <w:r w:rsidR="005B76ED">
        <w:rPr>
          <w:rFonts w:ascii="Arial Narrow" w:eastAsia="Times New Roman" w:hAnsi="Arial Narrow" w:cs="Arial"/>
          <w:i/>
          <w:iCs/>
          <w:snapToGrid w:val="0"/>
          <w:color w:val="0070C0"/>
          <w:sz w:val="18"/>
          <w:lang w:eastAsia="en-AU"/>
        </w:rPr>
        <w:t>a</w:t>
      </w:r>
      <w:r w:rsidRPr="00191E1B">
        <w:rPr>
          <w:rFonts w:ascii="Arial Narrow" w:eastAsia="Times New Roman" w:hAnsi="Arial Narrow" w:cs="Arial"/>
          <w:i/>
          <w:iCs/>
          <w:snapToGrid w:val="0"/>
          <w:color w:val="0070C0"/>
          <w:sz w:val="18"/>
          <w:lang w:eastAsia="en-AU"/>
        </w:rPr>
        <w:t xml:space="preserve"> had the lowest ICER, so all other strategies were labelled ‘dominated’. Positive diagnoses from Strategies I and Ia were not genetically confirmed.</w:t>
      </w:r>
    </w:p>
    <w:p w14:paraId="3ED5E1FD" w14:textId="13CDC7E8" w:rsidR="00E62C96" w:rsidRPr="00D02565" w:rsidRDefault="00E62C96" w:rsidP="009653B7">
      <w:pPr>
        <w:keepNext/>
        <w:spacing w:before="240" w:after="120" w:line="240" w:lineRule="auto"/>
        <w:rPr>
          <w:rFonts w:ascii="Arial Narrow" w:eastAsia="Times New Roman" w:hAnsi="Arial Narrow" w:cs="Times New Roman"/>
          <w:b/>
          <w:bCs/>
          <w:sz w:val="20"/>
          <w:szCs w:val="20"/>
        </w:rPr>
      </w:pPr>
      <w:bookmarkStart w:id="47" w:name="_Ref143593471"/>
      <w:r w:rsidRPr="00D02565">
        <w:rPr>
          <w:rFonts w:ascii="Arial Narrow" w:eastAsia="Times New Roman" w:hAnsi="Arial Narrow" w:cs="Times New Roman"/>
          <w:b/>
          <w:bCs/>
          <w:sz w:val="20"/>
          <w:szCs w:val="20"/>
        </w:rPr>
        <w:lastRenderedPageBreak/>
        <w:t>Table </w:t>
      </w:r>
      <w:r w:rsidRPr="00D02565">
        <w:rPr>
          <w:rFonts w:ascii="Arial Narrow" w:eastAsia="Times New Roman" w:hAnsi="Arial Narrow" w:cs="Times New Roman"/>
          <w:b/>
          <w:bCs/>
          <w:sz w:val="20"/>
          <w:szCs w:val="20"/>
        </w:rPr>
        <w:fldChar w:fldCharType="begin"/>
      </w:r>
      <w:r w:rsidRPr="00D02565">
        <w:rPr>
          <w:rFonts w:ascii="Arial Narrow" w:eastAsia="Times New Roman" w:hAnsi="Arial Narrow" w:cs="Times New Roman"/>
          <w:b/>
          <w:bCs/>
          <w:sz w:val="20"/>
          <w:szCs w:val="20"/>
        </w:rPr>
        <w:instrText>SEQ Table \* ARABIC</w:instrText>
      </w:r>
      <w:r w:rsidRPr="00D02565">
        <w:rPr>
          <w:rFonts w:ascii="Arial Narrow" w:eastAsia="Times New Roman" w:hAnsi="Arial Narrow" w:cs="Times New Roman"/>
          <w:b/>
          <w:bCs/>
          <w:sz w:val="20"/>
          <w:szCs w:val="20"/>
        </w:rPr>
        <w:fldChar w:fldCharType="separate"/>
      </w:r>
      <w:r w:rsidR="00253978">
        <w:rPr>
          <w:rFonts w:ascii="Arial Narrow" w:eastAsia="Times New Roman" w:hAnsi="Arial Narrow" w:cs="Times New Roman"/>
          <w:b/>
          <w:bCs/>
          <w:noProof/>
          <w:sz w:val="20"/>
          <w:szCs w:val="20"/>
        </w:rPr>
        <w:t>12</w:t>
      </w:r>
      <w:r w:rsidRPr="00D02565">
        <w:rPr>
          <w:rFonts w:ascii="Arial Narrow" w:eastAsia="Times New Roman" w:hAnsi="Arial Narrow" w:cs="Times New Roman"/>
          <w:b/>
          <w:bCs/>
          <w:sz w:val="20"/>
          <w:szCs w:val="20"/>
        </w:rPr>
        <w:fldChar w:fldCharType="end"/>
      </w:r>
      <w:bookmarkEnd w:id="46"/>
      <w:bookmarkEnd w:id="47"/>
      <w:r w:rsidRPr="00D02565">
        <w:rPr>
          <w:rFonts w:ascii="Arial Narrow" w:eastAsia="Times New Roman" w:hAnsi="Arial Narrow" w:cs="Times New Roman"/>
          <w:b/>
          <w:bCs/>
          <w:sz w:val="20"/>
          <w:szCs w:val="20"/>
        </w:rPr>
        <w:tab/>
        <w:t>Outcomes: disaggregated summary of diagnoses and phenotypes in the economic evaluation</w:t>
      </w:r>
      <w:r w:rsidR="00253046">
        <w:rPr>
          <w:rFonts w:ascii="Arial Narrow" w:eastAsia="Times New Roman" w:hAnsi="Arial Narrow" w:cs="Times New Roman"/>
          <w:b/>
          <w:bCs/>
          <w:sz w:val="20"/>
          <w:szCs w:val="20"/>
        </w:rPr>
        <w:t xml:space="preserve"> (PICO set 1)</w:t>
      </w:r>
    </w:p>
    <w:tbl>
      <w:tblPr>
        <w:tblStyle w:val="TableGrid1"/>
        <w:tblW w:w="5000" w:type="pct"/>
        <w:tblCellMar>
          <w:top w:w="15" w:type="dxa"/>
          <w:bottom w:w="15" w:type="dxa"/>
        </w:tblCellMar>
        <w:tblLook w:val="04A0" w:firstRow="1" w:lastRow="0" w:firstColumn="1" w:lastColumn="0" w:noHBand="0" w:noVBand="1"/>
      </w:tblPr>
      <w:tblGrid>
        <w:gridCol w:w="2104"/>
        <w:gridCol w:w="1083"/>
        <w:gridCol w:w="1196"/>
        <w:gridCol w:w="1197"/>
        <w:gridCol w:w="1197"/>
        <w:gridCol w:w="1197"/>
        <w:gridCol w:w="1197"/>
        <w:gridCol w:w="1197"/>
        <w:gridCol w:w="1197"/>
        <w:gridCol w:w="1197"/>
        <w:gridCol w:w="1186"/>
      </w:tblGrid>
      <w:tr w:rsidR="00E62C96" w:rsidRPr="00D02565" w14:paraId="0EC38F6D" w14:textId="77777777" w:rsidTr="006D6B3A">
        <w:trPr>
          <w:cnfStyle w:val="100000000000" w:firstRow="1" w:lastRow="0" w:firstColumn="0" w:lastColumn="0" w:oddVBand="0" w:evenVBand="0" w:oddHBand="0" w:evenHBand="0" w:firstRowFirstColumn="0" w:firstRowLastColumn="0" w:lastRowFirstColumn="0" w:lastRowLastColumn="0"/>
          <w:trHeight w:val="62"/>
        </w:trPr>
        <w:tc>
          <w:tcPr>
            <w:tcW w:w="548" w:type="pct"/>
            <w:shd w:val="clear" w:color="auto" w:fill="auto"/>
            <w:noWrap/>
            <w:hideMark/>
          </w:tcPr>
          <w:p w14:paraId="2E4B8BB1" w14:textId="77777777" w:rsidR="00E62C96" w:rsidRPr="00D02565" w:rsidRDefault="00E62C96" w:rsidP="00C25359">
            <w:pPr>
              <w:keepNext/>
              <w:spacing w:before="0" w:after="0"/>
              <w:rPr>
                <w:rFonts w:ascii="Arial Narrow" w:hAnsi="Arial Narrow"/>
                <w:b/>
              </w:rPr>
            </w:pPr>
            <w:r w:rsidRPr="00D02565">
              <w:rPr>
                <w:rFonts w:ascii="Arial Narrow" w:hAnsi="Arial Narrow"/>
                <w:b/>
              </w:rPr>
              <w:t>Screening Strategy</w:t>
            </w:r>
          </w:p>
        </w:tc>
        <w:tc>
          <w:tcPr>
            <w:tcW w:w="379" w:type="pct"/>
            <w:shd w:val="clear" w:color="auto" w:fill="auto"/>
            <w:noWrap/>
            <w:vAlign w:val="center"/>
            <w:hideMark/>
          </w:tcPr>
          <w:p w14:paraId="233AC48B" w14:textId="77777777" w:rsidR="00E62C96" w:rsidRPr="00D02565" w:rsidRDefault="00E62C96" w:rsidP="00C25359">
            <w:pPr>
              <w:keepNext/>
              <w:spacing w:before="0" w:after="0"/>
              <w:jc w:val="center"/>
              <w:rPr>
                <w:rFonts w:ascii="Arial Narrow" w:hAnsi="Arial Narrow"/>
                <w:b/>
              </w:rPr>
            </w:pPr>
            <w:r w:rsidRPr="00D02565">
              <w:rPr>
                <w:rFonts w:ascii="Arial Narrow" w:hAnsi="Arial Narrow"/>
                <w:b/>
              </w:rPr>
              <w:t>I</w:t>
            </w:r>
          </w:p>
        </w:tc>
        <w:tc>
          <w:tcPr>
            <w:tcW w:w="453" w:type="pct"/>
            <w:shd w:val="clear" w:color="auto" w:fill="auto"/>
            <w:noWrap/>
            <w:vAlign w:val="center"/>
            <w:hideMark/>
          </w:tcPr>
          <w:p w14:paraId="2092C7AA" w14:textId="77777777" w:rsidR="00E62C96" w:rsidRPr="00D02565" w:rsidRDefault="00E62C96" w:rsidP="00C25359">
            <w:pPr>
              <w:keepNext/>
              <w:spacing w:before="0" w:after="0"/>
              <w:jc w:val="center"/>
              <w:rPr>
                <w:rFonts w:ascii="Arial Narrow" w:hAnsi="Arial Narrow"/>
                <w:b/>
              </w:rPr>
            </w:pPr>
            <w:r w:rsidRPr="00D02565">
              <w:rPr>
                <w:rFonts w:ascii="Arial Narrow" w:hAnsi="Arial Narrow"/>
                <w:b/>
              </w:rPr>
              <w:t>Ia</w:t>
            </w:r>
          </w:p>
        </w:tc>
        <w:tc>
          <w:tcPr>
            <w:tcW w:w="453" w:type="pct"/>
            <w:shd w:val="clear" w:color="auto" w:fill="auto"/>
            <w:noWrap/>
            <w:vAlign w:val="center"/>
            <w:hideMark/>
          </w:tcPr>
          <w:p w14:paraId="3A027CF4" w14:textId="77777777" w:rsidR="00E62C96" w:rsidRPr="00D02565" w:rsidRDefault="00E62C96" w:rsidP="00C25359">
            <w:pPr>
              <w:keepNext/>
              <w:spacing w:before="0" w:after="0"/>
              <w:jc w:val="center"/>
              <w:rPr>
                <w:rFonts w:ascii="Arial Narrow" w:hAnsi="Arial Narrow"/>
                <w:b/>
              </w:rPr>
            </w:pPr>
            <w:r w:rsidRPr="00D02565">
              <w:rPr>
                <w:rFonts w:ascii="Arial Narrow" w:hAnsi="Arial Narrow"/>
                <w:b/>
              </w:rPr>
              <w:t>II</w:t>
            </w:r>
          </w:p>
        </w:tc>
        <w:tc>
          <w:tcPr>
            <w:tcW w:w="453" w:type="pct"/>
            <w:shd w:val="clear" w:color="auto" w:fill="auto"/>
            <w:noWrap/>
            <w:vAlign w:val="center"/>
            <w:hideMark/>
          </w:tcPr>
          <w:p w14:paraId="0C807F53" w14:textId="77777777" w:rsidR="00E62C96" w:rsidRPr="00D02565" w:rsidRDefault="00E62C96" w:rsidP="00C25359">
            <w:pPr>
              <w:keepNext/>
              <w:spacing w:before="0" w:after="0"/>
              <w:jc w:val="center"/>
              <w:rPr>
                <w:rFonts w:ascii="Arial Narrow" w:hAnsi="Arial Narrow"/>
                <w:b/>
              </w:rPr>
            </w:pPr>
            <w:r w:rsidRPr="00D02565">
              <w:rPr>
                <w:rFonts w:ascii="Arial Narrow" w:hAnsi="Arial Narrow"/>
                <w:b/>
              </w:rPr>
              <w:t>IIa</w:t>
            </w:r>
          </w:p>
        </w:tc>
        <w:tc>
          <w:tcPr>
            <w:tcW w:w="453" w:type="pct"/>
            <w:shd w:val="clear" w:color="auto" w:fill="auto"/>
            <w:noWrap/>
            <w:vAlign w:val="center"/>
            <w:hideMark/>
          </w:tcPr>
          <w:p w14:paraId="38A14F19" w14:textId="77777777" w:rsidR="00E62C96" w:rsidRPr="00D02565" w:rsidRDefault="00E62C96" w:rsidP="00C25359">
            <w:pPr>
              <w:keepNext/>
              <w:spacing w:before="0" w:after="0"/>
              <w:jc w:val="center"/>
              <w:rPr>
                <w:rFonts w:ascii="Arial Narrow" w:hAnsi="Arial Narrow"/>
                <w:b/>
              </w:rPr>
            </w:pPr>
            <w:r w:rsidRPr="00D02565">
              <w:rPr>
                <w:rFonts w:ascii="Arial Narrow" w:hAnsi="Arial Narrow"/>
                <w:b/>
              </w:rPr>
              <w:t>III</w:t>
            </w:r>
          </w:p>
        </w:tc>
        <w:tc>
          <w:tcPr>
            <w:tcW w:w="453" w:type="pct"/>
            <w:shd w:val="clear" w:color="auto" w:fill="auto"/>
            <w:noWrap/>
            <w:vAlign w:val="center"/>
            <w:hideMark/>
          </w:tcPr>
          <w:p w14:paraId="1F64318C" w14:textId="77777777" w:rsidR="00E62C96" w:rsidRPr="00D02565" w:rsidRDefault="00E62C96" w:rsidP="00C25359">
            <w:pPr>
              <w:keepNext/>
              <w:spacing w:before="0" w:after="0"/>
              <w:jc w:val="center"/>
              <w:rPr>
                <w:rFonts w:ascii="Arial Narrow" w:hAnsi="Arial Narrow"/>
                <w:b/>
              </w:rPr>
            </w:pPr>
            <w:r w:rsidRPr="00D02565">
              <w:rPr>
                <w:rFonts w:ascii="Arial Narrow" w:hAnsi="Arial Narrow"/>
                <w:b/>
              </w:rPr>
              <w:t>IIIa</w:t>
            </w:r>
          </w:p>
        </w:tc>
        <w:tc>
          <w:tcPr>
            <w:tcW w:w="453" w:type="pct"/>
            <w:shd w:val="clear" w:color="auto" w:fill="auto"/>
            <w:noWrap/>
            <w:vAlign w:val="center"/>
            <w:hideMark/>
          </w:tcPr>
          <w:p w14:paraId="61CD9BED" w14:textId="77777777" w:rsidR="00E62C96" w:rsidRPr="00D02565" w:rsidRDefault="00E62C96" w:rsidP="00C25359">
            <w:pPr>
              <w:keepNext/>
              <w:spacing w:before="0" w:after="0"/>
              <w:jc w:val="center"/>
              <w:rPr>
                <w:rFonts w:ascii="Arial Narrow" w:hAnsi="Arial Narrow"/>
                <w:b/>
              </w:rPr>
            </w:pPr>
            <w:r w:rsidRPr="00D02565">
              <w:rPr>
                <w:rFonts w:ascii="Arial Narrow" w:hAnsi="Arial Narrow"/>
                <w:b/>
              </w:rPr>
              <w:t>IV</w:t>
            </w:r>
          </w:p>
        </w:tc>
        <w:tc>
          <w:tcPr>
            <w:tcW w:w="453" w:type="pct"/>
            <w:shd w:val="clear" w:color="auto" w:fill="auto"/>
            <w:noWrap/>
            <w:vAlign w:val="center"/>
            <w:hideMark/>
          </w:tcPr>
          <w:p w14:paraId="27E3CBA9" w14:textId="77777777" w:rsidR="00E62C96" w:rsidRPr="00D02565" w:rsidRDefault="00E62C96" w:rsidP="00C25359">
            <w:pPr>
              <w:keepNext/>
              <w:spacing w:before="0" w:after="0"/>
              <w:jc w:val="center"/>
              <w:rPr>
                <w:rFonts w:ascii="Arial Narrow" w:hAnsi="Arial Narrow"/>
                <w:b/>
              </w:rPr>
            </w:pPr>
            <w:r w:rsidRPr="00D02565">
              <w:rPr>
                <w:rFonts w:ascii="Arial Narrow" w:hAnsi="Arial Narrow"/>
                <w:b/>
              </w:rPr>
              <w:t>IVa</w:t>
            </w:r>
          </w:p>
        </w:tc>
        <w:tc>
          <w:tcPr>
            <w:tcW w:w="453" w:type="pct"/>
            <w:shd w:val="clear" w:color="auto" w:fill="auto"/>
            <w:noWrap/>
            <w:vAlign w:val="center"/>
            <w:hideMark/>
          </w:tcPr>
          <w:p w14:paraId="6908CFD5" w14:textId="77777777" w:rsidR="00E62C96" w:rsidRPr="00D02565" w:rsidRDefault="00E62C96" w:rsidP="00C25359">
            <w:pPr>
              <w:keepNext/>
              <w:spacing w:before="0" w:after="0"/>
              <w:jc w:val="center"/>
              <w:rPr>
                <w:rFonts w:ascii="Arial Narrow" w:hAnsi="Arial Narrow"/>
                <w:b/>
              </w:rPr>
            </w:pPr>
            <w:r w:rsidRPr="00D02565">
              <w:rPr>
                <w:rFonts w:ascii="Arial Narrow" w:hAnsi="Arial Narrow"/>
                <w:b/>
              </w:rPr>
              <w:t>IVb</w:t>
            </w:r>
          </w:p>
        </w:tc>
        <w:tc>
          <w:tcPr>
            <w:tcW w:w="453" w:type="pct"/>
            <w:shd w:val="clear" w:color="auto" w:fill="auto"/>
            <w:noWrap/>
            <w:vAlign w:val="center"/>
            <w:hideMark/>
          </w:tcPr>
          <w:p w14:paraId="121A1C7D" w14:textId="77777777" w:rsidR="00E62C96" w:rsidRPr="00D02565" w:rsidRDefault="00E62C96" w:rsidP="00C25359">
            <w:pPr>
              <w:keepNext/>
              <w:spacing w:before="0" w:after="0"/>
              <w:jc w:val="center"/>
              <w:rPr>
                <w:rFonts w:ascii="Arial Narrow" w:hAnsi="Arial Narrow"/>
                <w:b/>
              </w:rPr>
            </w:pPr>
            <w:r w:rsidRPr="003C54EF">
              <w:rPr>
                <w:rFonts w:ascii="Arial Narrow" w:hAnsi="Arial Narrow"/>
                <w:b/>
                <w:sz w:val="22"/>
              </w:rPr>
              <w:t>Current</w:t>
            </w:r>
          </w:p>
        </w:tc>
      </w:tr>
      <w:tr w:rsidR="00E62C96" w:rsidRPr="00D02565" w14:paraId="098E3AF3" w14:textId="77777777" w:rsidTr="006D6B3A">
        <w:trPr>
          <w:trHeight w:val="55"/>
        </w:trPr>
        <w:tc>
          <w:tcPr>
            <w:tcW w:w="548" w:type="pct"/>
            <w:shd w:val="clear" w:color="auto" w:fill="auto"/>
            <w:noWrap/>
            <w:vAlign w:val="bottom"/>
            <w:hideMark/>
          </w:tcPr>
          <w:p w14:paraId="7F61FBEC" w14:textId="77777777" w:rsidR="00E62C96" w:rsidRPr="00D02565" w:rsidRDefault="00E62C96" w:rsidP="00C25359">
            <w:pPr>
              <w:keepNext/>
              <w:spacing w:before="0" w:after="0"/>
              <w:rPr>
                <w:rFonts w:ascii="Arial Narrow" w:hAnsi="Arial Narrow"/>
              </w:rPr>
            </w:pPr>
            <w:r w:rsidRPr="00D02565">
              <w:rPr>
                <w:rFonts w:ascii="Arial Narrow" w:hAnsi="Arial Narrow"/>
                <w:bCs/>
              </w:rPr>
              <w:t>Positive diagnoses</w:t>
            </w:r>
          </w:p>
        </w:tc>
        <w:tc>
          <w:tcPr>
            <w:tcW w:w="379" w:type="pct"/>
            <w:shd w:val="clear" w:color="auto" w:fill="auto"/>
            <w:noWrap/>
            <w:hideMark/>
          </w:tcPr>
          <w:p w14:paraId="6D0A76D5"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0.00010667</w:t>
            </w:r>
          </w:p>
        </w:tc>
        <w:tc>
          <w:tcPr>
            <w:tcW w:w="453" w:type="pct"/>
            <w:shd w:val="clear" w:color="auto" w:fill="auto"/>
            <w:noWrap/>
            <w:hideMark/>
          </w:tcPr>
          <w:p w14:paraId="457DAB03"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0.00007000</w:t>
            </w:r>
          </w:p>
        </w:tc>
        <w:tc>
          <w:tcPr>
            <w:tcW w:w="453" w:type="pct"/>
            <w:shd w:val="clear" w:color="auto" w:fill="auto"/>
            <w:noWrap/>
            <w:hideMark/>
          </w:tcPr>
          <w:p w14:paraId="01165FA5"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0.00010667</w:t>
            </w:r>
          </w:p>
        </w:tc>
        <w:tc>
          <w:tcPr>
            <w:tcW w:w="453" w:type="pct"/>
            <w:shd w:val="clear" w:color="auto" w:fill="auto"/>
            <w:noWrap/>
            <w:hideMark/>
          </w:tcPr>
          <w:p w14:paraId="525FF057"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0.00007000</w:t>
            </w:r>
          </w:p>
        </w:tc>
        <w:tc>
          <w:tcPr>
            <w:tcW w:w="453" w:type="pct"/>
            <w:shd w:val="clear" w:color="auto" w:fill="auto"/>
            <w:noWrap/>
            <w:hideMark/>
          </w:tcPr>
          <w:p w14:paraId="45942AAC"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0.00010667</w:t>
            </w:r>
          </w:p>
        </w:tc>
        <w:tc>
          <w:tcPr>
            <w:tcW w:w="453" w:type="pct"/>
            <w:shd w:val="clear" w:color="auto" w:fill="auto"/>
            <w:noWrap/>
            <w:hideMark/>
          </w:tcPr>
          <w:p w14:paraId="6035F175"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0.00007000</w:t>
            </w:r>
          </w:p>
        </w:tc>
        <w:tc>
          <w:tcPr>
            <w:tcW w:w="453" w:type="pct"/>
            <w:shd w:val="clear" w:color="auto" w:fill="auto"/>
            <w:noWrap/>
            <w:hideMark/>
          </w:tcPr>
          <w:p w14:paraId="107D01B4"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0.00010667</w:t>
            </w:r>
          </w:p>
        </w:tc>
        <w:tc>
          <w:tcPr>
            <w:tcW w:w="453" w:type="pct"/>
            <w:shd w:val="clear" w:color="auto" w:fill="auto"/>
            <w:noWrap/>
            <w:hideMark/>
          </w:tcPr>
          <w:p w14:paraId="26B714F5"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0.00007000</w:t>
            </w:r>
          </w:p>
        </w:tc>
        <w:tc>
          <w:tcPr>
            <w:tcW w:w="453" w:type="pct"/>
            <w:shd w:val="clear" w:color="auto" w:fill="auto"/>
            <w:noWrap/>
            <w:hideMark/>
          </w:tcPr>
          <w:p w14:paraId="58ABC82E"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0.00005667</w:t>
            </w:r>
          </w:p>
        </w:tc>
        <w:tc>
          <w:tcPr>
            <w:tcW w:w="453" w:type="pct"/>
            <w:shd w:val="clear" w:color="auto" w:fill="auto"/>
            <w:noWrap/>
            <w:vAlign w:val="bottom"/>
            <w:hideMark/>
          </w:tcPr>
          <w:p w14:paraId="512B69FF"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w:t>
            </w:r>
          </w:p>
        </w:tc>
      </w:tr>
      <w:tr w:rsidR="00E62C96" w:rsidRPr="00D02565" w14:paraId="38609CDC" w14:textId="77777777" w:rsidTr="006D6B3A">
        <w:trPr>
          <w:trHeight w:val="55"/>
        </w:trPr>
        <w:tc>
          <w:tcPr>
            <w:tcW w:w="548" w:type="pct"/>
            <w:shd w:val="clear" w:color="auto" w:fill="auto"/>
            <w:noWrap/>
            <w:vAlign w:val="bottom"/>
            <w:hideMark/>
          </w:tcPr>
          <w:p w14:paraId="3078318D" w14:textId="77777777" w:rsidR="00E62C96" w:rsidRPr="00D02565" w:rsidRDefault="00E62C96" w:rsidP="00C25359">
            <w:pPr>
              <w:keepNext/>
              <w:spacing w:before="0" w:after="0"/>
              <w:rPr>
                <w:rFonts w:ascii="Arial Narrow" w:hAnsi="Arial Narrow"/>
                <w:bCs/>
              </w:rPr>
            </w:pPr>
            <w:r w:rsidRPr="00D02565">
              <w:rPr>
                <w:rFonts w:ascii="Arial Narrow" w:hAnsi="Arial Narrow"/>
                <w:bCs/>
              </w:rPr>
              <w:t>False positives</w:t>
            </w:r>
          </w:p>
        </w:tc>
        <w:tc>
          <w:tcPr>
            <w:tcW w:w="379" w:type="pct"/>
            <w:shd w:val="clear" w:color="auto" w:fill="auto"/>
            <w:noWrap/>
            <w:hideMark/>
          </w:tcPr>
          <w:p w14:paraId="0E11CDAF"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hideMark/>
          </w:tcPr>
          <w:p w14:paraId="5C0C75C9"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hideMark/>
          </w:tcPr>
          <w:p w14:paraId="650F773C"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hideMark/>
          </w:tcPr>
          <w:p w14:paraId="1D5E231F"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hideMark/>
          </w:tcPr>
          <w:p w14:paraId="3F762C6F"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hideMark/>
          </w:tcPr>
          <w:p w14:paraId="339385CD"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hideMark/>
          </w:tcPr>
          <w:p w14:paraId="3D80DD65"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hideMark/>
          </w:tcPr>
          <w:p w14:paraId="13BA2FF4"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hideMark/>
          </w:tcPr>
          <w:p w14:paraId="68CE6952"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vAlign w:val="bottom"/>
            <w:hideMark/>
          </w:tcPr>
          <w:p w14:paraId="51AB6C25"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w:t>
            </w:r>
          </w:p>
        </w:tc>
      </w:tr>
      <w:tr w:rsidR="00E62C96" w:rsidRPr="00D02565" w14:paraId="2C81ABC1" w14:textId="77777777" w:rsidTr="006D6B3A">
        <w:trPr>
          <w:trHeight w:val="55"/>
        </w:trPr>
        <w:tc>
          <w:tcPr>
            <w:tcW w:w="548" w:type="pct"/>
            <w:shd w:val="clear" w:color="auto" w:fill="auto"/>
            <w:noWrap/>
            <w:vAlign w:val="bottom"/>
            <w:hideMark/>
          </w:tcPr>
          <w:p w14:paraId="6D6E8075" w14:textId="77777777" w:rsidR="00E62C96" w:rsidRPr="00D02565" w:rsidRDefault="00E62C96" w:rsidP="00C25359">
            <w:pPr>
              <w:keepNext/>
              <w:spacing w:before="0" w:after="0"/>
              <w:rPr>
                <w:rFonts w:ascii="Arial Narrow" w:hAnsi="Arial Narrow"/>
              </w:rPr>
            </w:pPr>
            <w:r w:rsidRPr="00D02565">
              <w:rPr>
                <w:rFonts w:ascii="Arial Narrow" w:hAnsi="Arial Narrow"/>
                <w:bCs/>
              </w:rPr>
              <w:t>False negatives</w:t>
            </w:r>
          </w:p>
        </w:tc>
        <w:tc>
          <w:tcPr>
            <w:tcW w:w="379" w:type="pct"/>
            <w:shd w:val="clear" w:color="auto" w:fill="auto"/>
            <w:noWrap/>
            <w:hideMark/>
          </w:tcPr>
          <w:p w14:paraId="4342EEDB"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hideMark/>
          </w:tcPr>
          <w:p w14:paraId="79D22631"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hideMark/>
          </w:tcPr>
          <w:p w14:paraId="0E100F74"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hideMark/>
          </w:tcPr>
          <w:p w14:paraId="192D8D1D"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hideMark/>
          </w:tcPr>
          <w:p w14:paraId="038B5F51"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hideMark/>
          </w:tcPr>
          <w:p w14:paraId="14D4485F"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hideMark/>
          </w:tcPr>
          <w:p w14:paraId="2EE922DA"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hideMark/>
          </w:tcPr>
          <w:p w14:paraId="40EAE3D4"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hideMark/>
          </w:tcPr>
          <w:p w14:paraId="0E3325AB"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vAlign w:val="bottom"/>
            <w:hideMark/>
          </w:tcPr>
          <w:p w14:paraId="5B38C8F1"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w:t>
            </w:r>
          </w:p>
        </w:tc>
      </w:tr>
      <w:tr w:rsidR="00E62C96" w:rsidRPr="00D02565" w14:paraId="4BFE28F1" w14:textId="77777777" w:rsidTr="006D6B3A">
        <w:trPr>
          <w:trHeight w:val="55"/>
        </w:trPr>
        <w:tc>
          <w:tcPr>
            <w:tcW w:w="548" w:type="pct"/>
            <w:shd w:val="clear" w:color="auto" w:fill="auto"/>
            <w:noWrap/>
            <w:vAlign w:val="bottom"/>
          </w:tcPr>
          <w:p w14:paraId="05A6DBAA" w14:textId="77777777" w:rsidR="00E62C96" w:rsidRPr="00D02565" w:rsidRDefault="00E62C96" w:rsidP="00C25359">
            <w:pPr>
              <w:keepNext/>
              <w:spacing w:before="0" w:after="0"/>
              <w:rPr>
                <w:rFonts w:ascii="Arial Narrow" w:hAnsi="Arial Narrow"/>
                <w:bCs/>
              </w:rPr>
            </w:pPr>
            <w:r w:rsidRPr="00D02565">
              <w:rPr>
                <w:rFonts w:ascii="Arial Narrow" w:hAnsi="Arial Narrow"/>
                <w:bCs/>
              </w:rPr>
              <w:t>VUS</w:t>
            </w:r>
          </w:p>
        </w:tc>
        <w:tc>
          <w:tcPr>
            <w:tcW w:w="379" w:type="pct"/>
            <w:shd w:val="clear" w:color="auto" w:fill="auto"/>
            <w:noWrap/>
          </w:tcPr>
          <w:p w14:paraId="6D45C659"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tcPr>
          <w:p w14:paraId="28D72A03"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tcPr>
          <w:p w14:paraId="61737B4C"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0.11635667</w:t>
            </w:r>
          </w:p>
        </w:tc>
        <w:tc>
          <w:tcPr>
            <w:tcW w:w="453" w:type="pct"/>
            <w:shd w:val="clear" w:color="auto" w:fill="auto"/>
            <w:noWrap/>
          </w:tcPr>
          <w:p w14:paraId="264DF405"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0.06284667</w:t>
            </w:r>
          </w:p>
        </w:tc>
        <w:tc>
          <w:tcPr>
            <w:tcW w:w="453" w:type="pct"/>
            <w:shd w:val="clear" w:color="auto" w:fill="auto"/>
            <w:noWrap/>
          </w:tcPr>
          <w:p w14:paraId="17971C64"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tcPr>
          <w:p w14:paraId="1B28E120"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tcPr>
          <w:p w14:paraId="0A515654"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tcPr>
          <w:p w14:paraId="6D6995DA"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tcPr>
          <w:p w14:paraId="06A6B506"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0.00000000</w:t>
            </w:r>
          </w:p>
        </w:tc>
        <w:tc>
          <w:tcPr>
            <w:tcW w:w="453" w:type="pct"/>
            <w:shd w:val="clear" w:color="auto" w:fill="auto"/>
            <w:noWrap/>
            <w:vAlign w:val="bottom"/>
          </w:tcPr>
          <w:p w14:paraId="447B5F27" w14:textId="77777777" w:rsidR="00E62C96" w:rsidRPr="00D02565" w:rsidRDefault="00E62C96" w:rsidP="00C25359">
            <w:pPr>
              <w:keepNext/>
              <w:spacing w:before="0" w:after="0"/>
              <w:jc w:val="right"/>
              <w:rPr>
                <w:rFonts w:ascii="Arial Narrow" w:hAnsi="Arial Narrow"/>
                <w:bCs/>
              </w:rPr>
            </w:pPr>
            <w:r w:rsidRPr="00D02565">
              <w:rPr>
                <w:rFonts w:ascii="Arial Narrow" w:hAnsi="Arial Narrow"/>
                <w:bCs/>
              </w:rPr>
              <w:t>-</w:t>
            </w:r>
          </w:p>
        </w:tc>
      </w:tr>
      <w:tr w:rsidR="00E62C96" w:rsidRPr="00D02565" w14:paraId="65183701" w14:textId="77777777" w:rsidTr="006D6B3A">
        <w:trPr>
          <w:trHeight w:val="55"/>
        </w:trPr>
        <w:tc>
          <w:tcPr>
            <w:tcW w:w="548" w:type="pct"/>
            <w:shd w:val="clear" w:color="auto" w:fill="auto"/>
            <w:noWrap/>
            <w:vAlign w:val="bottom"/>
          </w:tcPr>
          <w:p w14:paraId="70759438" w14:textId="77777777" w:rsidR="00E62C96" w:rsidRPr="00D02565" w:rsidRDefault="00E62C96" w:rsidP="00C25359">
            <w:pPr>
              <w:keepNext/>
              <w:spacing w:before="0" w:after="0"/>
              <w:rPr>
                <w:rFonts w:ascii="Arial Narrow" w:hAnsi="Arial Narrow"/>
                <w:bCs/>
              </w:rPr>
            </w:pPr>
            <w:r w:rsidRPr="00D02565">
              <w:rPr>
                <w:rFonts w:ascii="Arial Narrow" w:hAnsi="Arial Narrow"/>
                <w:bCs/>
              </w:rPr>
              <w:t>Cases that develop AI</w:t>
            </w:r>
          </w:p>
        </w:tc>
        <w:tc>
          <w:tcPr>
            <w:tcW w:w="379" w:type="pct"/>
            <w:noWrap/>
          </w:tcPr>
          <w:p w14:paraId="69C40D0C" w14:textId="0042232D"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0.00004000 </w:t>
            </w:r>
          </w:p>
        </w:tc>
        <w:tc>
          <w:tcPr>
            <w:tcW w:w="453" w:type="pct"/>
            <w:noWrap/>
          </w:tcPr>
          <w:p w14:paraId="213563FF" w14:textId="044C16B2"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0.00005600 </w:t>
            </w:r>
          </w:p>
        </w:tc>
        <w:tc>
          <w:tcPr>
            <w:tcW w:w="453" w:type="pct"/>
            <w:noWrap/>
          </w:tcPr>
          <w:p w14:paraId="1849F0ED" w14:textId="760F579F"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0.00004000 </w:t>
            </w:r>
          </w:p>
        </w:tc>
        <w:tc>
          <w:tcPr>
            <w:tcW w:w="453" w:type="pct"/>
            <w:noWrap/>
          </w:tcPr>
          <w:p w14:paraId="67AC6BEB" w14:textId="45A15660"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0.00005600 </w:t>
            </w:r>
          </w:p>
        </w:tc>
        <w:tc>
          <w:tcPr>
            <w:tcW w:w="453" w:type="pct"/>
            <w:noWrap/>
          </w:tcPr>
          <w:p w14:paraId="5CB4FC92" w14:textId="597B6BE1"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0.00004000 </w:t>
            </w:r>
          </w:p>
        </w:tc>
        <w:tc>
          <w:tcPr>
            <w:tcW w:w="453" w:type="pct"/>
            <w:noWrap/>
          </w:tcPr>
          <w:p w14:paraId="264A63F4" w14:textId="6EE669C2"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0.00005600 </w:t>
            </w:r>
          </w:p>
        </w:tc>
        <w:tc>
          <w:tcPr>
            <w:tcW w:w="453" w:type="pct"/>
            <w:noWrap/>
          </w:tcPr>
          <w:p w14:paraId="0EE9453C" w14:textId="18741B35"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0.00004800 </w:t>
            </w:r>
          </w:p>
        </w:tc>
        <w:tc>
          <w:tcPr>
            <w:tcW w:w="453" w:type="pct"/>
            <w:noWrap/>
          </w:tcPr>
          <w:p w14:paraId="2611CE1D" w14:textId="3944911A"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0.00004800 </w:t>
            </w:r>
          </w:p>
        </w:tc>
        <w:tc>
          <w:tcPr>
            <w:tcW w:w="453" w:type="pct"/>
            <w:noWrap/>
          </w:tcPr>
          <w:p w14:paraId="141CF4AC" w14:textId="167F6BEA"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0.00003600 </w:t>
            </w:r>
          </w:p>
        </w:tc>
        <w:tc>
          <w:tcPr>
            <w:tcW w:w="453" w:type="pct"/>
            <w:noWrap/>
          </w:tcPr>
          <w:p w14:paraId="35E31E8F" w14:textId="315B9ED7"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0.00004400 </w:t>
            </w:r>
          </w:p>
        </w:tc>
      </w:tr>
      <w:tr w:rsidR="00E62C96" w:rsidRPr="00D02565" w14:paraId="33474E65" w14:textId="77777777" w:rsidTr="006D6B3A">
        <w:trPr>
          <w:trHeight w:val="55"/>
        </w:trPr>
        <w:tc>
          <w:tcPr>
            <w:tcW w:w="548" w:type="pct"/>
            <w:shd w:val="clear" w:color="auto" w:fill="auto"/>
            <w:noWrap/>
            <w:vAlign w:val="bottom"/>
          </w:tcPr>
          <w:p w14:paraId="6D030025" w14:textId="77777777" w:rsidR="00E62C96" w:rsidRPr="00D02565" w:rsidRDefault="00E62C96" w:rsidP="00C25359">
            <w:pPr>
              <w:keepNext/>
              <w:spacing w:before="0" w:after="0"/>
              <w:rPr>
                <w:rFonts w:ascii="Arial Narrow" w:hAnsi="Arial Narrow"/>
                <w:bCs/>
              </w:rPr>
            </w:pPr>
            <w:r w:rsidRPr="00D02565">
              <w:rPr>
                <w:rFonts w:ascii="Arial Narrow" w:hAnsi="Arial Narrow"/>
                <w:bCs/>
              </w:rPr>
              <w:t>Cases that develop AMN</w:t>
            </w:r>
          </w:p>
        </w:tc>
        <w:tc>
          <w:tcPr>
            <w:tcW w:w="379" w:type="pct"/>
            <w:noWrap/>
          </w:tcPr>
          <w:p w14:paraId="27298307" w14:textId="22E965BD"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0.00008400 </w:t>
            </w:r>
          </w:p>
        </w:tc>
        <w:tc>
          <w:tcPr>
            <w:tcW w:w="453" w:type="pct"/>
            <w:noWrap/>
          </w:tcPr>
          <w:p w14:paraId="7E94797B" w14:textId="6EF0D002"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0.00007200 </w:t>
            </w:r>
          </w:p>
        </w:tc>
        <w:tc>
          <w:tcPr>
            <w:tcW w:w="453" w:type="pct"/>
            <w:noWrap/>
          </w:tcPr>
          <w:p w14:paraId="21057100" w14:textId="2768E074"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0.00008400 </w:t>
            </w:r>
          </w:p>
        </w:tc>
        <w:tc>
          <w:tcPr>
            <w:tcW w:w="453" w:type="pct"/>
            <w:noWrap/>
          </w:tcPr>
          <w:p w14:paraId="68CCD6A7" w14:textId="7D778233"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0.00007200 </w:t>
            </w:r>
          </w:p>
        </w:tc>
        <w:tc>
          <w:tcPr>
            <w:tcW w:w="453" w:type="pct"/>
            <w:noWrap/>
          </w:tcPr>
          <w:p w14:paraId="1553B3B7" w14:textId="6CCAEA57"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0.00008400 </w:t>
            </w:r>
          </w:p>
        </w:tc>
        <w:tc>
          <w:tcPr>
            <w:tcW w:w="453" w:type="pct"/>
            <w:noWrap/>
          </w:tcPr>
          <w:p w14:paraId="47222E4D" w14:textId="3F8D09B6"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0.00007200 </w:t>
            </w:r>
          </w:p>
        </w:tc>
        <w:tc>
          <w:tcPr>
            <w:tcW w:w="453" w:type="pct"/>
            <w:noWrap/>
          </w:tcPr>
          <w:p w14:paraId="05570A01" w14:textId="20BA5992"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0.00008400 </w:t>
            </w:r>
          </w:p>
        </w:tc>
        <w:tc>
          <w:tcPr>
            <w:tcW w:w="453" w:type="pct"/>
            <w:noWrap/>
          </w:tcPr>
          <w:p w14:paraId="77278D85" w14:textId="280AF056"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0.00008400 </w:t>
            </w:r>
          </w:p>
        </w:tc>
        <w:tc>
          <w:tcPr>
            <w:tcW w:w="453" w:type="pct"/>
            <w:noWrap/>
          </w:tcPr>
          <w:p w14:paraId="436D1A42" w14:textId="46B2D2DB"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0.00008400 </w:t>
            </w:r>
          </w:p>
        </w:tc>
        <w:tc>
          <w:tcPr>
            <w:tcW w:w="453" w:type="pct"/>
            <w:noWrap/>
          </w:tcPr>
          <w:p w14:paraId="4B952207" w14:textId="554FFD90"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0.00008000 </w:t>
            </w:r>
          </w:p>
        </w:tc>
      </w:tr>
      <w:tr w:rsidR="00E62C96" w:rsidRPr="00D02565" w14:paraId="68E8932F" w14:textId="77777777" w:rsidTr="006D6B3A">
        <w:trPr>
          <w:trHeight w:val="55"/>
        </w:trPr>
        <w:tc>
          <w:tcPr>
            <w:tcW w:w="548" w:type="pct"/>
            <w:shd w:val="clear" w:color="auto" w:fill="auto"/>
            <w:noWrap/>
            <w:vAlign w:val="bottom"/>
          </w:tcPr>
          <w:p w14:paraId="51974917" w14:textId="77777777" w:rsidR="00E62C96" w:rsidRPr="00D02565" w:rsidRDefault="00E62C96" w:rsidP="00C25359">
            <w:pPr>
              <w:keepNext/>
              <w:spacing w:before="0" w:after="0"/>
              <w:rPr>
                <w:rFonts w:ascii="Arial Narrow" w:hAnsi="Arial Narrow"/>
                <w:bCs/>
              </w:rPr>
            </w:pPr>
            <w:r w:rsidRPr="00D02565">
              <w:rPr>
                <w:rFonts w:ascii="Arial Narrow" w:hAnsi="Arial Narrow"/>
                <w:bCs/>
              </w:rPr>
              <w:t>Cases that develop CALD</w:t>
            </w:r>
          </w:p>
        </w:tc>
        <w:tc>
          <w:tcPr>
            <w:tcW w:w="379" w:type="pct"/>
            <w:noWrap/>
          </w:tcPr>
          <w:p w14:paraId="33DBCD60" w14:textId="78BF6DA0"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0.00005600 </w:t>
            </w:r>
          </w:p>
        </w:tc>
        <w:tc>
          <w:tcPr>
            <w:tcW w:w="453" w:type="pct"/>
            <w:noWrap/>
          </w:tcPr>
          <w:p w14:paraId="1262A36F" w14:textId="62DD9E0A"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0.00006800 </w:t>
            </w:r>
          </w:p>
        </w:tc>
        <w:tc>
          <w:tcPr>
            <w:tcW w:w="453" w:type="pct"/>
            <w:noWrap/>
          </w:tcPr>
          <w:p w14:paraId="6D249EB5" w14:textId="6B04DCD7"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0.00005600 </w:t>
            </w:r>
          </w:p>
        </w:tc>
        <w:tc>
          <w:tcPr>
            <w:tcW w:w="453" w:type="pct"/>
            <w:noWrap/>
          </w:tcPr>
          <w:p w14:paraId="30E9673D" w14:textId="349923EF"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0.00006800 </w:t>
            </w:r>
          </w:p>
        </w:tc>
        <w:tc>
          <w:tcPr>
            <w:tcW w:w="453" w:type="pct"/>
            <w:noWrap/>
          </w:tcPr>
          <w:p w14:paraId="052A4EC7" w14:textId="72045D2A"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0.00005600 </w:t>
            </w:r>
          </w:p>
        </w:tc>
        <w:tc>
          <w:tcPr>
            <w:tcW w:w="453" w:type="pct"/>
            <w:noWrap/>
          </w:tcPr>
          <w:p w14:paraId="431CE3F0" w14:textId="2C771031"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0.00006800 </w:t>
            </w:r>
          </w:p>
        </w:tc>
        <w:tc>
          <w:tcPr>
            <w:tcW w:w="453" w:type="pct"/>
            <w:noWrap/>
          </w:tcPr>
          <w:p w14:paraId="46613824" w14:textId="6EB4EC0F"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0.00005600 </w:t>
            </w:r>
          </w:p>
        </w:tc>
        <w:tc>
          <w:tcPr>
            <w:tcW w:w="453" w:type="pct"/>
            <w:noWrap/>
          </w:tcPr>
          <w:p w14:paraId="1AB3A1A2" w14:textId="2DD0E77F"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0.00006800 </w:t>
            </w:r>
          </w:p>
        </w:tc>
        <w:tc>
          <w:tcPr>
            <w:tcW w:w="453" w:type="pct"/>
            <w:noWrap/>
          </w:tcPr>
          <w:p w14:paraId="784C948C" w14:textId="424DCA47"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0.00005200 </w:t>
            </w:r>
          </w:p>
        </w:tc>
        <w:tc>
          <w:tcPr>
            <w:tcW w:w="453" w:type="pct"/>
            <w:noWrap/>
          </w:tcPr>
          <w:p w14:paraId="2CEBB0C0" w14:textId="3D55E926"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0.00005600 </w:t>
            </w:r>
          </w:p>
        </w:tc>
      </w:tr>
      <w:tr w:rsidR="00E62C96" w:rsidRPr="00D02565" w14:paraId="77C00FA6" w14:textId="77777777" w:rsidTr="006D6B3A">
        <w:trPr>
          <w:trHeight w:val="55"/>
        </w:trPr>
        <w:tc>
          <w:tcPr>
            <w:tcW w:w="548" w:type="pct"/>
            <w:shd w:val="clear" w:color="auto" w:fill="auto"/>
            <w:noWrap/>
            <w:vAlign w:val="bottom"/>
          </w:tcPr>
          <w:p w14:paraId="3D635F52" w14:textId="77777777" w:rsidR="00E62C96" w:rsidRPr="00D02565" w:rsidRDefault="00E62C96" w:rsidP="00C25359">
            <w:pPr>
              <w:keepNext/>
              <w:spacing w:before="0" w:after="0"/>
              <w:rPr>
                <w:rFonts w:ascii="Arial Narrow" w:hAnsi="Arial Narrow"/>
                <w:bCs/>
              </w:rPr>
            </w:pPr>
            <w:r w:rsidRPr="00D02565">
              <w:rPr>
                <w:rFonts w:ascii="Arial Narrow" w:hAnsi="Arial Narrow"/>
                <w:bCs/>
              </w:rPr>
              <w:t>HSCT</w:t>
            </w:r>
          </w:p>
        </w:tc>
        <w:tc>
          <w:tcPr>
            <w:tcW w:w="379" w:type="pct"/>
            <w:noWrap/>
          </w:tcPr>
          <w:p w14:paraId="284CA030" w14:textId="23DE2B1A"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0.00004400 </w:t>
            </w:r>
          </w:p>
        </w:tc>
        <w:tc>
          <w:tcPr>
            <w:tcW w:w="453" w:type="pct"/>
            <w:noWrap/>
          </w:tcPr>
          <w:p w14:paraId="1EAA0B49" w14:textId="1D284530"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0.00006400 </w:t>
            </w:r>
          </w:p>
        </w:tc>
        <w:tc>
          <w:tcPr>
            <w:tcW w:w="453" w:type="pct"/>
            <w:noWrap/>
          </w:tcPr>
          <w:p w14:paraId="7C7FABAF" w14:textId="2CF2F384"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0.00004400 </w:t>
            </w:r>
          </w:p>
        </w:tc>
        <w:tc>
          <w:tcPr>
            <w:tcW w:w="453" w:type="pct"/>
            <w:noWrap/>
          </w:tcPr>
          <w:p w14:paraId="48EA534E" w14:textId="7F74E7D1"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0.00006400 </w:t>
            </w:r>
          </w:p>
        </w:tc>
        <w:tc>
          <w:tcPr>
            <w:tcW w:w="453" w:type="pct"/>
            <w:noWrap/>
          </w:tcPr>
          <w:p w14:paraId="608AC58E" w14:textId="42EE2719"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0.00004400 </w:t>
            </w:r>
          </w:p>
        </w:tc>
        <w:tc>
          <w:tcPr>
            <w:tcW w:w="453" w:type="pct"/>
            <w:noWrap/>
          </w:tcPr>
          <w:p w14:paraId="46C9B9D8" w14:textId="455ED2C2"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0.00006400 </w:t>
            </w:r>
          </w:p>
        </w:tc>
        <w:tc>
          <w:tcPr>
            <w:tcW w:w="453" w:type="pct"/>
            <w:noWrap/>
          </w:tcPr>
          <w:p w14:paraId="43EB6477" w14:textId="61C82CCC"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0.00005600 </w:t>
            </w:r>
          </w:p>
        </w:tc>
        <w:tc>
          <w:tcPr>
            <w:tcW w:w="453" w:type="pct"/>
            <w:noWrap/>
          </w:tcPr>
          <w:p w14:paraId="387A10A2" w14:textId="576B8385"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0.00006400 </w:t>
            </w:r>
          </w:p>
        </w:tc>
        <w:tc>
          <w:tcPr>
            <w:tcW w:w="453" w:type="pct"/>
            <w:noWrap/>
          </w:tcPr>
          <w:p w14:paraId="3DDCE3CE" w14:textId="52A1775B"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0.00004800 </w:t>
            </w:r>
          </w:p>
        </w:tc>
        <w:tc>
          <w:tcPr>
            <w:tcW w:w="453" w:type="pct"/>
            <w:noWrap/>
          </w:tcPr>
          <w:p w14:paraId="5E1C1E37" w14:textId="176CC96F" w:rsidR="00E62C96" w:rsidRPr="00D02565" w:rsidRDefault="00E62C96" w:rsidP="00C25359">
            <w:pPr>
              <w:keepNext/>
              <w:spacing w:before="0" w:after="0"/>
              <w:jc w:val="right"/>
              <w:rPr>
                <w:rFonts w:ascii="Arial Narrow" w:hAnsi="Arial Narrow"/>
                <w:bCs/>
              </w:rPr>
            </w:pPr>
            <w:r w:rsidRPr="00BC50C8">
              <w:rPr>
                <w:rFonts w:ascii="Arial Narrow" w:hAnsi="Arial Narrow"/>
              </w:rPr>
              <w:t xml:space="preserve">0.00004400 </w:t>
            </w:r>
          </w:p>
        </w:tc>
      </w:tr>
    </w:tbl>
    <w:p w14:paraId="191B52BD" w14:textId="437865F7" w:rsidR="00E62C96" w:rsidRPr="00D02565" w:rsidRDefault="00E62C96" w:rsidP="00E62C96">
      <w:pPr>
        <w:tabs>
          <w:tab w:val="left" w:pos="284"/>
        </w:tabs>
        <w:spacing w:before="40" w:after="360" w:line="240" w:lineRule="auto"/>
        <w:contextualSpacing/>
        <w:rPr>
          <w:rFonts w:ascii="Arial Narrow" w:eastAsia="Times New Roman" w:hAnsi="Arial Narrow" w:cs="Arial"/>
          <w:snapToGrid w:val="0"/>
          <w:sz w:val="18"/>
          <w:lang w:eastAsia="en-AU"/>
        </w:rPr>
      </w:pPr>
      <w:r w:rsidRPr="00D02565">
        <w:rPr>
          <w:rFonts w:ascii="Arial Narrow" w:eastAsia="Times New Roman" w:hAnsi="Arial Narrow" w:cs="Arial"/>
          <w:snapToGrid w:val="0"/>
          <w:sz w:val="18"/>
          <w:lang w:eastAsia="en-AU"/>
        </w:rPr>
        <w:t>AI = adrenal insufficiency; AMN = adrenomyeloneuropathy; CALD = Cerebral adrenoleukodystrophy; HSCT= haematopoietic stem cell transplantation; VUS: Variant of uncertain significance</w:t>
      </w:r>
    </w:p>
    <w:p w14:paraId="63CA6044" w14:textId="7EC53D80" w:rsidR="00253046" w:rsidRPr="00D02565" w:rsidRDefault="00E62C96" w:rsidP="00EB3C60">
      <w:pPr>
        <w:tabs>
          <w:tab w:val="left" w:pos="284"/>
        </w:tabs>
        <w:spacing w:before="40" w:after="120" w:line="240" w:lineRule="auto"/>
        <w:contextualSpacing/>
        <w:rPr>
          <w:rFonts w:ascii="Arial Narrow" w:eastAsia="Times New Roman" w:hAnsi="Arial Narrow" w:cs="Arial"/>
          <w:snapToGrid w:val="0"/>
          <w:sz w:val="18"/>
          <w:lang w:eastAsia="en-AU"/>
        </w:rPr>
      </w:pPr>
      <w:r w:rsidRPr="00D02565">
        <w:rPr>
          <w:rFonts w:ascii="Arial Narrow" w:eastAsia="Times New Roman" w:hAnsi="Arial Narrow" w:cs="Arial"/>
          <w:snapToGrid w:val="0"/>
          <w:sz w:val="18"/>
          <w:lang w:eastAsia="en-AU"/>
        </w:rPr>
        <w:t>Note</w:t>
      </w:r>
      <w:r w:rsidR="00AD4257">
        <w:rPr>
          <w:rFonts w:ascii="Arial Narrow" w:eastAsia="Times New Roman" w:hAnsi="Arial Narrow" w:cs="Arial"/>
          <w:snapToGrid w:val="0"/>
          <w:sz w:val="18"/>
          <w:lang w:eastAsia="en-AU"/>
        </w:rPr>
        <w:t>s</w:t>
      </w:r>
      <w:r w:rsidRPr="00D02565">
        <w:rPr>
          <w:rFonts w:ascii="Arial Narrow" w:eastAsia="Times New Roman" w:hAnsi="Arial Narrow" w:cs="Arial"/>
          <w:snapToGrid w:val="0"/>
          <w:sz w:val="18"/>
          <w:lang w:eastAsia="en-AU"/>
        </w:rPr>
        <w:t xml:space="preserve">: </w:t>
      </w:r>
      <w:r>
        <w:rPr>
          <w:rFonts w:ascii="Arial Narrow" w:eastAsia="Times New Roman" w:hAnsi="Arial Narrow" w:cs="Arial"/>
          <w:snapToGrid w:val="0"/>
          <w:sz w:val="18"/>
          <w:lang w:eastAsia="en-AU"/>
        </w:rPr>
        <w:t>25</w:t>
      </w:r>
      <w:r w:rsidRPr="00D02565">
        <w:rPr>
          <w:rFonts w:ascii="Arial Narrow" w:eastAsia="Times New Roman" w:hAnsi="Arial Narrow" w:cs="Arial"/>
          <w:snapToGrid w:val="0"/>
          <w:sz w:val="18"/>
          <w:lang w:eastAsia="en-AU"/>
        </w:rPr>
        <w:t>0,000 simulations</w:t>
      </w:r>
      <w:r w:rsidR="00AD4257">
        <w:rPr>
          <w:rFonts w:ascii="Arial Narrow" w:eastAsia="Times New Roman" w:hAnsi="Arial Narrow" w:cs="Arial"/>
          <w:snapToGrid w:val="0"/>
          <w:sz w:val="18"/>
          <w:lang w:eastAsia="en-AU"/>
        </w:rPr>
        <w:t>.</w:t>
      </w:r>
      <w:r w:rsidR="00AD4257" w:rsidRPr="00AD4257">
        <w:rPr>
          <w:rFonts w:ascii="Arial Narrow" w:eastAsia="Times New Roman" w:hAnsi="Arial Narrow" w:cs="Arial"/>
          <w:snapToGrid w:val="0"/>
          <w:sz w:val="18"/>
          <w:lang w:eastAsia="en-AU"/>
        </w:rPr>
        <w:t xml:space="preserve"> Positive diagnoses from Strategies I and Ia were not genetically confirmed.</w:t>
      </w:r>
      <w:r w:rsidR="00EB3C60">
        <w:rPr>
          <w:rFonts w:ascii="Arial Narrow" w:eastAsia="Times New Roman" w:hAnsi="Arial Narrow" w:cs="Arial"/>
          <w:snapToGrid w:val="0"/>
          <w:sz w:val="18"/>
          <w:lang w:eastAsia="en-AU"/>
        </w:rPr>
        <w:t xml:space="preserve"> </w:t>
      </w:r>
      <w:r w:rsidR="00253046">
        <w:rPr>
          <w:rFonts w:ascii="Arial Narrow" w:eastAsia="Times New Roman" w:hAnsi="Arial Narrow" w:cs="Arial"/>
          <w:snapToGrid w:val="0"/>
          <w:sz w:val="18"/>
          <w:lang w:eastAsia="en-AU"/>
        </w:rPr>
        <w:t>Source: DCAR Table 9.</w:t>
      </w:r>
    </w:p>
    <w:p w14:paraId="3F969155" w14:textId="7030AFEA" w:rsidR="00E62C96" w:rsidRDefault="00E62C96" w:rsidP="00B76655">
      <w:pPr>
        <w:pStyle w:val="Caption"/>
        <w:rPr>
          <w:rFonts w:eastAsia="Calibri"/>
        </w:rPr>
      </w:pPr>
      <w:bookmarkStart w:id="48" w:name="_Ref69726347"/>
      <w:bookmarkStart w:id="49" w:name="_Ref132884033"/>
      <w:r w:rsidRPr="00CE28E3">
        <w:t>Table</w:t>
      </w:r>
      <w:r>
        <w:t> </w:t>
      </w:r>
      <w:r>
        <w:fldChar w:fldCharType="begin"/>
      </w:r>
      <w:r>
        <w:instrText>SEQ Table \* ARABIC</w:instrText>
      </w:r>
      <w:r>
        <w:fldChar w:fldCharType="separate"/>
      </w:r>
      <w:r w:rsidR="00253978">
        <w:rPr>
          <w:noProof/>
        </w:rPr>
        <w:t>13</w:t>
      </w:r>
      <w:r>
        <w:fldChar w:fldCharType="end"/>
      </w:r>
      <w:bookmarkEnd w:id="48"/>
      <w:bookmarkEnd w:id="49"/>
      <w:r w:rsidRPr="00CE28E3">
        <w:tab/>
      </w:r>
      <w:r>
        <w:t>One-way s</w:t>
      </w:r>
      <w:r w:rsidRPr="00CE28E3">
        <w:t>ensitivity analyses</w:t>
      </w:r>
      <w:r>
        <w:t>, cost ($) per positive diagnosis</w:t>
      </w:r>
      <w:bookmarkStart w:id="50" w:name="_Hlk68276759"/>
      <w:r w:rsidR="00253046">
        <w:t xml:space="preserve"> (PICO set 1)</w:t>
      </w:r>
    </w:p>
    <w:tbl>
      <w:tblPr>
        <w:tblStyle w:val="TableGrid"/>
        <w:tblW w:w="5000" w:type="pct"/>
        <w:tblLayout w:type="fixed"/>
        <w:tblLook w:val="04A0" w:firstRow="1" w:lastRow="0" w:firstColumn="1" w:lastColumn="0" w:noHBand="0" w:noVBand="1"/>
      </w:tblPr>
      <w:tblGrid>
        <w:gridCol w:w="5242"/>
        <w:gridCol w:w="968"/>
        <w:gridCol w:w="968"/>
        <w:gridCol w:w="968"/>
        <w:gridCol w:w="968"/>
        <w:gridCol w:w="968"/>
        <w:gridCol w:w="968"/>
        <w:gridCol w:w="968"/>
        <w:gridCol w:w="968"/>
        <w:gridCol w:w="962"/>
      </w:tblGrid>
      <w:tr w:rsidR="009E057B" w:rsidRPr="00003EA5" w14:paraId="49E31F35" w14:textId="77777777" w:rsidTr="009E057B">
        <w:trPr>
          <w:trHeight w:val="260"/>
          <w:tblHeader/>
        </w:trPr>
        <w:tc>
          <w:tcPr>
            <w:tcW w:w="1879" w:type="pct"/>
            <w:noWrap/>
            <w:hideMark/>
          </w:tcPr>
          <w:p w14:paraId="0E523988" w14:textId="2839D5DF" w:rsidR="009E057B" w:rsidRPr="00EB3C60" w:rsidRDefault="00EB3C60" w:rsidP="009E057B">
            <w:pPr>
              <w:spacing w:before="40" w:after="40"/>
              <w:rPr>
                <w:rFonts w:ascii="Arial Narrow" w:hAnsi="Arial Narrow"/>
                <w:b/>
                <w:bCs/>
                <w:sz w:val="20"/>
                <w:szCs w:val="20"/>
              </w:rPr>
            </w:pPr>
            <w:r w:rsidRPr="00EB3C60">
              <w:rPr>
                <w:rFonts w:ascii="Arial Narrow" w:hAnsi="Arial Narrow"/>
                <w:b/>
                <w:bCs/>
                <w:sz w:val="20"/>
                <w:szCs w:val="20"/>
              </w:rPr>
              <w:t>Screening Strategy</w:t>
            </w:r>
          </w:p>
        </w:tc>
        <w:tc>
          <w:tcPr>
            <w:tcW w:w="347" w:type="pct"/>
            <w:noWrap/>
            <w:vAlign w:val="center"/>
            <w:hideMark/>
          </w:tcPr>
          <w:p w14:paraId="0375CD1C" w14:textId="1A7ECB19" w:rsidR="009E057B" w:rsidRPr="009E057B" w:rsidRDefault="009E057B" w:rsidP="009E057B">
            <w:pPr>
              <w:spacing w:before="40" w:after="40"/>
              <w:jc w:val="center"/>
              <w:rPr>
                <w:rFonts w:ascii="Arial Narrow" w:hAnsi="Arial Narrow"/>
                <w:b/>
                <w:bCs/>
                <w:sz w:val="20"/>
                <w:szCs w:val="20"/>
              </w:rPr>
            </w:pPr>
            <w:r w:rsidRPr="009E057B">
              <w:rPr>
                <w:rFonts w:ascii="Arial Narrow" w:hAnsi="Arial Narrow"/>
                <w:b/>
                <w:sz w:val="20"/>
                <w:szCs w:val="20"/>
              </w:rPr>
              <w:t>I</w:t>
            </w:r>
          </w:p>
        </w:tc>
        <w:tc>
          <w:tcPr>
            <w:tcW w:w="347" w:type="pct"/>
            <w:noWrap/>
            <w:vAlign w:val="center"/>
            <w:hideMark/>
          </w:tcPr>
          <w:p w14:paraId="594A4F36" w14:textId="3E7CD7BE" w:rsidR="009E057B" w:rsidRPr="009E057B" w:rsidRDefault="009E057B" w:rsidP="009E057B">
            <w:pPr>
              <w:spacing w:before="40" w:after="40"/>
              <w:jc w:val="center"/>
              <w:rPr>
                <w:rFonts w:ascii="Arial Narrow" w:hAnsi="Arial Narrow"/>
                <w:b/>
                <w:bCs/>
                <w:sz w:val="20"/>
                <w:szCs w:val="20"/>
              </w:rPr>
            </w:pPr>
            <w:r w:rsidRPr="009E057B">
              <w:rPr>
                <w:rFonts w:ascii="Arial Narrow" w:hAnsi="Arial Narrow"/>
                <w:b/>
                <w:sz w:val="20"/>
                <w:szCs w:val="20"/>
              </w:rPr>
              <w:t>Ia</w:t>
            </w:r>
          </w:p>
        </w:tc>
        <w:tc>
          <w:tcPr>
            <w:tcW w:w="347" w:type="pct"/>
            <w:noWrap/>
            <w:vAlign w:val="center"/>
            <w:hideMark/>
          </w:tcPr>
          <w:p w14:paraId="12CDB29F" w14:textId="4069F9F5" w:rsidR="009E057B" w:rsidRPr="009E057B" w:rsidRDefault="009E057B" w:rsidP="009E057B">
            <w:pPr>
              <w:spacing w:before="40" w:after="40"/>
              <w:jc w:val="center"/>
              <w:rPr>
                <w:rFonts w:ascii="Arial Narrow" w:hAnsi="Arial Narrow"/>
                <w:b/>
                <w:bCs/>
                <w:sz w:val="20"/>
                <w:szCs w:val="20"/>
              </w:rPr>
            </w:pPr>
            <w:r w:rsidRPr="009E057B">
              <w:rPr>
                <w:rFonts w:ascii="Arial Narrow" w:hAnsi="Arial Narrow"/>
                <w:b/>
                <w:sz w:val="20"/>
                <w:szCs w:val="20"/>
              </w:rPr>
              <w:t>II</w:t>
            </w:r>
          </w:p>
        </w:tc>
        <w:tc>
          <w:tcPr>
            <w:tcW w:w="347" w:type="pct"/>
            <w:noWrap/>
            <w:vAlign w:val="center"/>
            <w:hideMark/>
          </w:tcPr>
          <w:p w14:paraId="784A35BB" w14:textId="6BE0606F" w:rsidR="009E057B" w:rsidRPr="009E057B" w:rsidRDefault="009E057B" w:rsidP="009E057B">
            <w:pPr>
              <w:spacing w:before="40" w:after="40"/>
              <w:jc w:val="center"/>
              <w:rPr>
                <w:rFonts w:ascii="Arial Narrow" w:hAnsi="Arial Narrow"/>
                <w:b/>
                <w:bCs/>
                <w:sz w:val="20"/>
                <w:szCs w:val="20"/>
              </w:rPr>
            </w:pPr>
            <w:r w:rsidRPr="009E057B">
              <w:rPr>
                <w:rFonts w:ascii="Arial Narrow" w:hAnsi="Arial Narrow"/>
                <w:b/>
                <w:sz w:val="20"/>
                <w:szCs w:val="20"/>
              </w:rPr>
              <w:t>IIa</w:t>
            </w:r>
          </w:p>
        </w:tc>
        <w:tc>
          <w:tcPr>
            <w:tcW w:w="347" w:type="pct"/>
            <w:noWrap/>
            <w:vAlign w:val="center"/>
            <w:hideMark/>
          </w:tcPr>
          <w:p w14:paraId="51FC3B12" w14:textId="54E547D3" w:rsidR="009E057B" w:rsidRPr="009E057B" w:rsidRDefault="009E057B" w:rsidP="009E057B">
            <w:pPr>
              <w:spacing w:before="40" w:after="40"/>
              <w:jc w:val="center"/>
              <w:rPr>
                <w:rFonts w:ascii="Arial Narrow" w:hAnsi="Arial Narrow"/>
                <w:b/>
                <w:bCs/>
                <w:sz w:val="20"/>
                <w:szCs w:val="20"/>
              </w:rPr>
            </w:pPr>
            <w:r w:rsidRPr="009E057B">
              <w:rPr>
                <w:rFonts w:ascii="Arial Narrow" w:hAnsi="Arial Narrow"/>
                <w:b/>
                <w:sz w:val="20"/>
                <w:szCs w:val="20"/>
              </w:rPr>
              <w:t>III</w:t>
            </w:r>
          </w:p>
        </w:tc>
        <w:tc>
          <w:tcPr>
            <w:tcW w:w="347" w:type="pct"/>
            <w:noWrap/>
            <w:vAlign w:val="center"/>
            <w:hideMark/>
          </w:tcPr>
          <w:p w14:paraId="5473105B" w14:textId="7AB22881" w:rsidR="009E057B" w:rsidRPr="009E057B" w:rsidRDefault="009E057B" w:rsidP="009E057B">
            <w:pPr>
              <w:spacing w:before="40" w:after="40"/>
              <w:jc w:val="center"/>
              <w:rPr>
                <w:rFonts w:ascii="Arial Narrow" w:hAnsi="Arial Narrow"/>
                <w:b/>
                <w:bCs/>
                <w:sz w:val="20"/>
                <w:szCs w:val="20"/>
              </w:rPr>
            </w:pPr>
            <w:r w:rsidRPr="009E057B">
              <w:rPr>
                <w:rFonts w:ascii="Arial Narrow" w:hAnsi="Arial Narrow"/>
                <w:b/>
                <w:sz w:val="20"/>
                <w:szCs w:val="20"/>
              </w:rPr>
              <w:t>IIIa</w:t>
            </w:r>
          </w:p>
        </w:tc>
        <w:tc>
          <w:tcPr>
            <w:tcW w:w="347" w:type="pct"/>
            <w:noWrap/>
            <w:vAlign w:val="center"/>
            <w:hideMark/>
          </w:tcPr>
          <w:p w14:paraId="5D4765B3" w14:textId="7443900C" w:rsidR="009E057B" w:rsidRPr="009E057B" w:rsidRDefault="009E057B" w:rsidP="009E057B">
            <w:pPr>
              <w:spacing w:before="40" w:after="40"/>
              <w:jc w:val="center"/>
              <w:rPr>
                <w:rFonts w:ascii="Arial Narrow" w:hAnsi="Arial Narrow"/>
                <w:b/>
                <w:bCs/>
                <w:sz w:val="20"/>
                <w:szCs w:val="20"/>
              </w:rPr>
            </w:pPr>
            <w:r w:rsidRPr="009E057B">
              <w:rPr>
                <w:rFonts w:ascii="Arial Narrow" w:hAnsi="Arial Narrow"/>
                <w:b/>
                <w:sz w:val="20"/>
                <w:szCs w:val="20"/>
              </w:rPr>
              <w:t>IV</w:t>
            </w:r>
          </w:p>
        </w:tc>
        <w:tc>
          <w:tcPr>
            <w:tcW w:w="347" w:type="pct"/>
            <w:noWrap/>
            <w:vAlign w:val="center"/>
            <w:hideMark/>
          </w:tcPr>
          <w:p w14:paraId="17155A6C" w14:textId="384C9E58" w:rsidR="009E057B" w:rsidRPr="009E057B" w:rsidRDefault="009E057B" w:rsidP="009E057B">
            <w:pPr>
              <w:spacing w:before="40" w:after="40"/>
              <w:jc w:val="center"/>
              <w:rPr>
                <w:rFonts w:ascii="Arial Narrow" w:hAnsi="Arial Narrow"/>
                <w:b/>
                <w:bCs/>
                <w:sz w:val="20"/>
                <w:szCs w:val="20"/>
              </w:rPr>
            </w:pPr>
            <w:r w:rsidRPr="009E057B">
              <w:rPr>
                <w:rFonts w:ascii="Arial Narrow" w:hAnsi="Arial Narrow"/>
                <w:b/>
                <w:sz w:val="20"/>
                <w:szCs w:val="20"/>
              </w:rPr>
              <w:t>IVa</w:t>
            </w:r>
          </w:p>
        </w:tc>
        <w:tc>
          <w:tcPr>
            <w:tcW w:w="345" w:type="pct"/>
            <w:noWrap/>
            <w:vAlign w:val="center"/>
            <w:hideMark/>
          </w:tcPr>
          <w:p w14:paraId="293AA545" w14:textId="76D0D4DC" w:rsidR="009E057B" w:rsidRPr="009E057B" w:rsidRDefault="009E057B" w:rsidP="009E057B">
            <w:pPr>
              <w:spacing w:before="40" w:after="40"/>
              <w:jc w:val="center"/>
              <w:rPr>
                <w:rFonts w:ascii="Arial Narrow" w:hAnsi="Arial Narrow"/>
                <w:b/>
                <w:bCs/>
                <w:sz w:val="20"/>
                <w:szCs w:val="20"/>
              </w:rPr>
            </w:pPr>
            <w:r w:rsidRPr="009E057B">
              <w:rPr>
                <w:rFonts w:ascii="Arial Narrow" w:hAnsi="Arial Narrow"/>
                <w:b/>
                <w:sz w:val="20"/>
                <w:szCs w:val="20"/>
              </w:rPr>
              <w:t>IVb</w:t>
            </w:r>
          </w:p>
        </w:tc>
      </w:tr>
      <w:tr w:rsidR="00E62C96" w:rsidRPr="00003EA5" w14:paraId="4AE1C234" w14:textId="77777777" w:rsidTr="009E057B">
        <w:trPr>
          <w:trHeight w:val="260"/>
        </w:trPr>
        <w:tc>
          <w:tcPr>
            <w:tcW w:w="1879" w:type="pct"/>
            <w:noWrap/>
            <w:hideMark/>
          </w:tcPr>
          <w:p w14:paraId="2931179C" w14:textId="77777777" w:rsidR="00E62C96" w:rsidRPr="006D6B3A" w:rsidRDefault="00E62C96" w:rsidP="006D6B3A">
            <w:pPr>
              <w:spacing w:before="40" w:after="40"/>
              <w:rPr>
                <w:rFonts w:ascii="Arial Narrow" w:hAnsi="Arial Narrow"/>
                <w:b/>
                <w:bCs/>
                <w:sz w:val="20"/>
                <w:szCs w:val="20"/>
              </w:rPr>
            </w:pPr>
            <w:r w:rsidRPr="006D6B3A">
              <w:rPr>
                <w:rFonts w:ascii="Arial Narrow" w:hAnsi="Arial Narrow"/>
                <w:b/>
                <w:bCs/>
                <w:sz w:val="20"/>
                <w:szCs w:val="20"/>
              </w:rPr>
              <w:t>Base case</w:t>
            </w:r>
          </w:p>
        </w:tc>
        <w:tc>
          <w:tcPr>
            <w:tcW w:w="347" w:type="pct"/>
            <w:noWrap/>
          </w:tcPr>
          <w:p w14:paraId="5B638FF7" w14:textId="77777777" w:rsidR="00E62C96" w:rsidRPr="006D6B3A" w:rsidRDefault="00E62C96" w:rsidP="006D6B3A">
            <w:pPr>
              <w:spacing w:before="40" w:after="40"/>
              <w:jc w:val="center"/>
              <w:rPr>
                <w:rFonts w:ascii="Arial Narrow" w:hAnsi="Arial Narrow"/>
                <w:b/>
                <w:bCs/>
                <w:sz w:val="20"/>
                <w:szCs w:val="20"/>
              </w:rPr>
            </w:pPr>
            <w:r w:rsidRPr="006D6B3A">
              <w:rPr>
                <w:rFonts w:ascii="Arial Narrow" w:hAnsi="Arial Narrow"/>
                <w:b/>
                <w:bCs/>
                <w:sz w:val="20"/>
                <w:szCs w:val="20"/>
              </w:rPr>
              <w:t>83,028</w:t>
            </w:r>
          </w:p>
        </w:tc>
        <w:tc>
          <w:tcPr>
            <w:tcW w:w="347" w:type="pct"/>
            <w:noWrap/>
          </w:tcPr>
          <w:p w14:paraId="1596DDD6" w14:textId="77777777" w:rsidR="00E62C96" w:rsidRPr="006D6B3A" w:rsidRDefault="00E62C96" w:rsidP="006D6B3A">
            <w:pPr>
              <w:spacing w:before="40" w:after="40"/>
              <w:jc w:val="center"/>
              <w:rPr>
                <w:rFonts w:ascii="Arial Narrow" w:hAnsi="Arial Narrow"/>
                <w:b/>
                <w:bCs/>
                <w:sz w:val="20"/>
                <w:szCs w:val="20"/>
              </w:rPr>
            </w:pPr>
            <w:r w:rsidRPr="006D6B3A">
              <w:rPr>
                <w:rFonts w:ascii="Arial Narrow" w:hAnsi="Arial Narrow"/>
                <w:b/>
                <w:bCs/>
                <w:sz w:val="20"/>
                <w:szCs w:val="20"/>
              </w:rPr>
              <w:t>436,919</w:t>
            </w:r>
          </w:p>
        </w:tc>
        <w:tc>
          <w:tcPr>
            <w:tcW w:w="347" w:type="pct"/>
            <w:noWrap/>
          </w:tcPr>
          <w:p w14:paraId="57C90BD2" w14:textId="77777777" w:rsidR="00E62C96" w:rsidRPr="006D6B3A" w:rsidRDefault="00E62C96" w:rsidP="006D6B3A">
            <w:pPr>
              <w:spacing w:before="40" w:after="40"/>
              <w:jc w:val="center"/>
              <w:rPr>
                <w:rFonts w:ascii="Arial Narrow" w:hAnsi="Arial Narrow"/>
                <w:b/>
                <w:bCs/>
                <w:sz w:val="20"/>
                <w:szCs w:val="20"/>
              </w:rPr>
            </w:pPr>
            <w:r w:rsidRPr="006D6B3A">
              <w:rPr>
                <w:rFonts w:ascii="Arial Narrow" w:hAnsi="Arial Narrow"/>
                <w:b/>
                <w:bCs/>
                <w:sz w:val="20"/>
                <w:szCs w:val="20"/>
              </w:rPr>
              <w:t>1,626,093</w:t>
            </w:r>
          </w:p>
        </w:tc>
        <w:tc>
          <w:tcPr>
            <w:tcW w:w="347" w:type="pct"/>
            <w:noWrap/>
          </w:tcPr>
          <w:p w14:paraId="56D75027" w14:textId="77777777" w:rsidR="00E62C96" w:rsidRPr="006D6B3A" w:rsidRDefault="00E62C96" w:rsidP="006D6B3A">
            <w:pPr>
              <w:spacing w:before="40" w:after="40"/>
              <w:jc w:val="center"/>
              <w:rPr>
                <w:rFonts w:ascii="Arial Narrow" w:hAnsi="Arial Narrow"/>
                <w:b/>
                <w:bCs/>
                <w:sz w:val="20"/>
                <w:szCs w:val="20"/>
              </w:rPr>
            </w:pPr>
            <w:r w:rsidRPr="006D6B3A">
              <w:rPr>
                <w:rFonts w:ascii="Arial Narrow" w:hAnsi="Arial Narrow"/>
                <w:b/>
                <w:bCs/>
                <w:sz w:val="20"/>
                <w:szCs w:val="20"/>
              </w:rPr>
              <w:t>1,574,244</w:t>
            </w:r>
          </w:p>
        </w:tc>
        <w:tc>
          <w:tcPr>
            <w:tcW w:w="347" w:type="pct"/>
            <w:noWrap/>
          </w:tcPr>
          <w:p w14:paraId="1D2AD258" w14:textId="77777777" w:rsidR="00E62C96" w:rsidRPr="006D6B3A" w:rsidRDefault="00E62C96" w:rsidP="006D6B3A">
            <w:pPr>
              <w:spacing w:before="40" w:after="40"/>
              <w:jc w:val="center"/>
              <w:rPr>
                <w:rFonts w:ascii="Arial Narrow" w:hAnsi="Arial Narrow"/>
                <w:b/>
                <w:bCs/>
                <w:sz w:val="20"/>
                <w:szCs w:val="20"/>
              </w:rPr>
            </w:pPr>
            <w:r w:rsidRPr="006D6B3A">
              <w:rPr>
                <w:rFonts w:ascii="Arial Narrow" w:hAnsi="Arial Narrow"/>
                <w:b/>
                <w:bCs/>
                <w:sz w:val="20"/>
                <w:szCs w:val="20"/>
              </w:rPr>
              <w:t>113,863</w:t>
            </w:r>
          </w:p>
        </w:tc>
        <w:tc>
          <w:tcPr>
            <w:tcW w:w="347" w:type="pct"/>
            <w:noWrap/>
          </w:tcPr>
          <w:p w14:paraId="0ED43C35" w14:textId="77777777" w:rsidR="00E62C96" w:rsidRPr="006D6B3A" w:rsidRDefault="00E62C96" w:rsidP="006D6B3A">
            <w:pPr>
              <w:spacing w:before="40" w:after="40"/>
              <w:jc w:val="center"/>
              <w:rPr>
                <w:rFonts w:ascii="Arial Narrow" w:hAnsi="Arial Narrow"/>
                <w:b/>
                <w:bCs/>
                <w:sz w:val="20"/>
                <w:szCs w:val="20"/>
              </w:rPr>
            </w:pPr>
            <w:r w:rsidRPr="006D6B3A">
              <w:rPr>
                <w:rFonts w:ascii="Arial Narrow" w:hAnsi="Arial Narrow"/>
                <w:b/>
                <w:bCs/>
                <w:sz w:val="20"/>
                <w:szCs w:val="20"/>
              </w:rPr>
              <w:t>163,528</w:t>
            </w:r>
          </w:p>
        </w:tc>
        <w:tc>
          <w:tcPr>
            <w:tcW w:w="347" w:type="pct"/>
            <w:noWrap/>
          </w:tcPr>
          <w:p w14:paraId="7F16869B" w14:textId="77777777" w:rsidR="00E62C96" w:rsidRPr="006D6B3A" w:rsidRDefault="00E62C96" w:rsidP="006D6B3A">
            <w:pPr>
              <w:spacing w:before="40" w:after="40"/>
              <w:jc w:val="center"/>
              <w:rPr>
                <w:rFonts w:ascii="Arial Narrow" w:hAnsi="Arial Narrow"/>
                <w:b/>
                <w:bCs/>
                <w:sz w:val="20"/>
                <w:szCs w:val="20"/>
              </w:rPr>
            </w:pPr>
            <w:r w:rsidRPr="006D6B3A">
              <w:rPr>
                <w:rFonts w:ascii="Arial Narrow" w:hAnsi="Arial Narrow"/>
                <w:b/>
                <w:bCs/>
                <w:sz w:val="20"/>
                <w:szCs w:val="20"/>
              </w:rPr>
              <w:t>83,701</w:t>
            </w:r>
          </w:p>
        </w:tc>
        <w:tc>
          <w:tcPr>
            <w:tcW w:w="347" w:type="pct"/>
            <w:noWrap/>
          </w:tcPr>
          <w:p w14:paraId="1E36E1D8" w14:textId="77777777" w:rsidR="00E62C96" w:rsidRPr="006D6B3A" w:rsidRDefault="00E62C96" w:rsidP="006D6B3A">
            <w:pPr>
              <w:spacing w:before="40" w:after="40"/>
              <w:jc w:val="center"/>
              <w:rPr>
                <w:rFonts w:ascii="Arial Narrow" w:hAnsi="Arial Narrow"/>
                <w:b/>
                <w:bCs/>
                <w:sz w:val="20"/>
                <w:szCs w:val="20"/>
              </w:rPr>
            </w:pPr>
            <w:r w:rsidRPr="006D6B3A">
              <w:rPr>
                <w:rFonts w:ascii="Arial Narrow" w:hAnsi="Arial Narrow"/>
                <w:b/>
                <w:bCs/>
                <w:sz w:val="20"/>
                <w:szCs w:val="20"/>
              </w:rPr>
              <w:t>437,593</w:t>
            </w:r>
          </w:p>
        </w:tc>
        <w:tc>
          <w:tcPr>
            <w:tcW w:w="345" w:type="pct"/>
            <w:noWrap/>
          </w:tcPr>
          <w:p w14:paraId="3A82E6EC" w14:textId="77777777" w:rsidR="00E62C96" w:rsidRPr="006D6B3A" w:rsidRDefault="00E62C96" w:rsidP="006D6B3A">
            <w:pPr>
              <w:spacing w:before="40" w:after="40"/>
              <w:jc w:val="center"/>
              <w:rPr>
                <w:rFonts w:ascii="Arial Narrow" w:hAnsi="Arial Narrow"/>
                <w:b/>
                <w:bCs/>
                <w:sz w:val="20"/>
                <w:szCs w:val="20"/>
              </w:rPr>
            </w:pPr>
            <w:r w:rsidRPr="006D6B3A">
              <w:rPr>
                <w:rFonts w:ascii="Arial Narrow" w:hAnsi="Arial Narrow"/>
                <w:b/>
                <w:bCs/>
                <w:sz w:val="20"/>
                <w:szCs w:val="20"/>
              </w:rPr>
              <w:t>160,002</w:t>
            </w:r>
          </w:p>
        </w:tc>
      </w:tr>
      <w:tr w:rsidR="00E62C96" w:rsidRPr="00003EA5" w14:paraId="16B08F53" w14:textId="77777777" w:rsidTr="009E057B">
        <w:trPr>
          <w:trHeight w:val="260"/>
        </w:trPr>
        <w:tc>
          <w:tcPr>
            <w:tcW w:w="1879" w:type="pct"/>
            <w:noWrap/>
          </w:tcPr>
          <w:p w14:paraId="51E40FE5" w14:textId="77777777" w:rsidR="00E62C96" w:rsidRPr="006D6B3A" w:rsidRDefault="00E62C96" w:rsidP="006D6B3A">
            <w:pPr>
              <w:spacing w:before="40" w:after="40"/>
              <w:rPr>
                <w:rFonts w:ascii="Arial Narrow" w:hAnsi="Arial Narrow"/>
                <w:sz w:val="20"/>
                <w:szCs w:val="20"/>
              </w:rPr>
            </w:pPr>
            <w:r w:rsidRPr="006D6B3A">
              <w:rPr>
                <w:rFonts w:ascii="Arial Narrow" w:hAnsi="Arial Narrow"/>
                <w:sz w:val="20"/>
                <w:szCs w:val="20"/>
              </w:rPr>
              <w:t>FIA-MS/MS sensitivity = 90% (base case = 100%)</w:t>
            </w:r>
          </w:p>
        </w:tc>
        <w:tc>
          <w:tcPr>
            <w:tcW w:w="347" w:type="pct"/>
            <w:noWrap/>
          </w:tcPr>
          <w:p w14:paraId="35429737"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136,396</w:t>
            </w:r>
          </w:p>
        </w:tc>
        <w:tc>
          <w:tcPr>
            <w:tcW w:w="347" w:type="pct"/>
            <w:noWrap/>
          </w:tcPr>
          <w:p w14:paraId="56AFD658"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776,637</w:t>
            </w:r>
          </w:p>
        </w:tc>
        <w:tc>
          <w:tcPr>
            <w:tcW w:w="347" w:type="pct"/>
            <w:noWrap/>
          </w:tcPr>
          <w:p w14:paraId="32BEE51B"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2,671,005</w:t>
            </w:r>
          </w:p>
        </w:tc>
        <w:tc>
          <w:tcPr>
            <w:tcW w:w="347" w:type="pct"/>
            <w:noWrap/>
          </w:tcPr>
          <w:p w14:paraId="60680F4E"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2,798,032</w:t>
            </w:r>
          </w:p>
        </w:tc>
        <w:tc>
          <w:tcPr>
            <w:tcW w:w="347" w:type="pct"/>
            <w:noWrap/>
          </w:tcPr>
          <w:p w14:paraId="131FFCA7"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113,863</w:t>
            </w:r>
          </w:p>
        </w:tc>
        <w:tc>
          <w:tcPr>
            <w:tcW w:w="347" w:type="pct"/>
            <w:noWrap/>
          </w:tcPr>
          <w:p w14:paraId="4D2C59ED"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163,528</w:t>
            </w:r>
          </w:p>
        </w:tc>
        <w:tc>
          <w:tcPr>
            <w:tcW w:w="347" w:type="pct"/>
            <w:noWrap/>
          </w:tcPr>
          <w:p w14:paraId="3982A8F9"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137,069</w:t>
            </w:r>
          </w:p>
        </w:tc>
        <w:tc>
          <w:tcPr>
            <w:tcW w:w="347" w:type="pct"/>
            <w:noWrap/>
          </w:tcPr>
          <w:p w14:paraId="6499240F"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777,311</w:t>
            </w:r>
          </w:p>
        </w:tc>
        <w:tc>
          <w:tcPr>
            <w:tcW w:w="345" w:type="pct"/>
            <w:noWrap/>
          </w:tcPr>
          <w:p w14:paraId="620937DA"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239,541</w:t>
            </w:r>
          </w:p>
        </w:tc>
      </w:tr>
      <w:tr w:rsidR="00E62C96" w:rsidRPr="00003EA5" w14:paraId="7BF013BD" w14:textId="77777777" w:rsidTr="009E057B">
        <w:trPr>
          <w:trHeight w:val="260"/>
        </w:trPr>
        <w:tc>
          <w:tcPr>
            <w:tcW w:w="1879" w:type="pct"/>
            <w:noWrap/>
          </w:tcPr>
          <w:p w14:paraId="0E771090" w14:textId="77777777" w:rsidR="00E62C96" w:rsidRPr="006D6B3A" w:rsidRDefault="00E62C96" w:rsidP="006D6B3A">
            <w:pPr>
              <w:spacing w:before="40" w:after="40"/>
              <w:rPr>
                <w:rFonts w:ascii="Arial Narrow" w:hAnsi="Arial Narrow"/>
                <w:sz w:val="20"/>
                <w:szCs w:val="20"/>
              </w:rPr>
            </w:pPr>
            <w:r w:rsidRPr="006D6B3A">
              <w:rPr>
                <w:rFonts w:ascii="Arial Narrow" w:hAnsi="Arial Narrow"/>
                <w:sz w:val="20"/>
                <w:szCs w:val="20"/>
              </w:rPr>
              <w:t>FIA-MS/MS specificity = 90% (base case = 78.33%)</w:t>
            </w:r>
          </w:p>
        </w:tc>
        <w:tc>
          <w:tcPr>
            <w:tcW w:w="347" w:type="pct"/>
            <w:noWrap/>
          </w:tcPr>
          <w:p w14:paraId="08C31AA4"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69,766</w:t>
            </w:r>
          </w:p>
        </w:tc>
        <w:tc>
          <w:tcPr>
            <w:tcW w:w="347" w:type="pct"/>
            <w:noWrap/>
          </w:tcPr>
          <w:p w14:paraId="3FE1AD24"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245,896</w:t>
            </w:r>
          </w:p>
        </w:tc>
        <w:tc>
          <w:tcPr>
            <w:tcW w:w="347" w:type="pct"/>
            <w:noWrap/>
          </w:tcPr>
          <w:p w14:paraId="4FBC1452"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777,451</w:t>
            </w:r>
          </w:p>
        </w:tc>
        <w:tc>
          <w:tcPr>
            <w:tcW w:w="347" w:type="pct"/>
            <w:noWrap/>
          </w:tcPr>
          <w:p w14:paraId="7D646A3F"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765,230</w:t>
            </w:r>
          </w:p>
        </w:tc>
        <w:tc>
          <w:tcPr>
            <w:tcW w:w="347" w:type="pct"/>
            <w:noWrap/>
          </w:tcPr>
          <w:p w14:paraId="104CF8A3"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113,863</w:t>
            </w:r>
          </w:p>
        </w:tc>
        <w:tc>
          <w:tcPr>
            <w:tcW w:w="347" w:type="pct"/>
            <w:noWrap/>
          </w:tcPr>
          <w:p w14:paraId="73EB4187"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163,528</w:t>
            </w:r>
          </w:p>
        </w:tc>
        <w:tc>
          <w:tcPr>
            <w:tcW w:w="347" w:type="pct"/>
            <w:noWrap/>
          </w:tcPr>
          <w:p w14:paraId="233DE0B7"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70,439</w:t>
            </w:r>
          </w:p>
        </w:tc>
        <w:tc>
          <w:tcPr>
            <w:tcW w:w="347" w:type="pct"/>
            <w:noWrap/>
          </w:tcPr>
          <w:p w14:paraId="17E28BF3"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246,570</w:t>
            </w:r>
          </w:p>
        </w:tc>
        <w:tc>
          <w:tcPr>
            <w:tcW w:w="345" w:type="pct"/>
            <w:noWrap/>
          </w:tcPr>
          <w:p w14:paraId="691F96FB"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134,584</w:t>
            </w:r>
          </w:p>
        </w:tc>
      </w:tr>
      <w:tr w:rsidR="00E62C96" w:rsidRPr="00003EA5" w14:paraId="3CA7ABB4" w14:textId="77777777" w:rsidTr="009E057B">
        <w:trPr>
          <w:trHeight w:val="260"/>
        </w:trPr>
        <w:tc>
          <w:tcPr>
            <w:tcW w:w="1879" w:type="pct"/>
            <w:noWrap/>
          </w:tcPr>
          <w:p w14:paraId="443243D4" w14:textId="77777777" w:rsidR="00E62C96" w:rsidRPr="006D6B3A" w:rsidRDefault="00E62C96" w:rsidP="006D6B3A">
            <w:pPr>
              <w:spacing w:before="40" w:after="40"/>
              <w:rPr>
                <w:rFonts w:ascii="Arial Narrow" w:hAnsi="Arial Narrow"/>
                <w:sz w:val="20"/>
                <w:szCs w:val="20"/>
              </w:rPr>
            </w:pPr>
            <w:r w:rsidRPr="006D6B3A">
              <w:rPr>
                <w:rFonts w:ascii="Arial Narrow" w:hAnsi="Arial Narrow"/>
                <w:sz w:val="20"/>
                <w:szCs w:val="20"/>
              </w:rPr>
              <w:t>HPLC-MS/MS sensitivity = 95% (base case = 100%)</w:t>
            </w:r>
          </w:p>
        </w:tc>
        <w:tc>
          <w:tcPr>
            <w:tcW w:w="347" w:type="pct"/>
            <w:noWrap/>
          </w:tcPr>
          <w:p w14:paraId="5760F3C1"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90,935</w:t>
            </w:r>
          </w:p>
        </w:tc>
        <w:tc>
          <w:tcPr>
            <w:tcW w:w="347" w:type="pct"/>
            <w:noWrap/>
          </w:tcPr>
          <w:p w14:paraId="3D7427DA"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466,047</w:t>
            </w:r>
          </w:p>
        </w:tc>
        <w:tc>
          <w:tcPr>
            <w:tcW w:w="347" w:type="pct"/>
            <w:noWrap/>
          </w:tcPr>
          <w:p w14:paraId="2C29AFE3"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1,626,093</w:t>
            </w:r>
          </w:p>
        </w:tc>
        <w:tc>
          <w:tcPr>
            <w:tcW w:w="347" w:type="pct"/>
            <w:noWrap/>
          </w:tcPr>
          <w:p w14:paraId="564D5B33"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1,574,244</w:t>
            </w:r>
          </w:p>
        </w:tc>
        <w:tc>
          <w:tcPr>
            <w:tcW w:w="347" w:type="pct"/>
            <w:noWrap/>
          </w:tcPr>
          <w:p w14:paraId="70B09528"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145,305</w:t>
            </w:r>
          </w:p>
        </w:tc>
        <w:tc>
          <w:tcPr>
            <w:tcW w:w="347" w:type="pct"/>
            <w:noWrap/>
          </w:tcPr>
          <w:p w14:paraId="4157135F"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217,771</w:t>
            </w:r>
          </w:p>
        </w:tc>
        <w:tc>
          <w:tcPr>
            <w:tcW w:w="347" w:type="pct"/>
            <w:noWrap/>
          </w:tcPr>
          <w:p w14:paraId="448EF675"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91,608</w:t>
            </w:r>
          </w:p>
        </w:tc>
        <w:tc>
          <w:tcPr>
            <w:tcW w:w="347" w:type="pct"/>
            <w:noWrap/>
          </w:tcPr>
          <w:p w14:paraId="3B91C344"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466,721</w:t>
            </w:r>
          </w:p>
        </w:tc>
        <w:tc>
          <w:tcPr>
            <w:tcW w:w="345" w:type="pct"/>
            <w:noWrap/>
          </w:tcPr>
          <w:p w14:paraId="61FCDC98"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174,468</w:t>
            </w:r>
          </w:p>
        </w:tc>
      </w:tr>
      <w:tr w:rsidR="00E62C96" w:rsidRPr="00003EA5" w14:paraId="26C48E49" w14:textId="77777777" w:rsidTr="009E057B">
        <w:trPr>
          <w:trHeight w:val="260"/>
        </w:trPr>
        <w:tc>
          <w:tcPr>
            <w:tcW w:w="1879" w:type="pct"/>
            <w:noWrap/>
          </w:tcPr>
          <w:p w14:paraId="0772F53B" w14:textId="77777777" w:rsidR="00E62C96" w:rsidRPr="006D6B3A" w:rsidRDefault="00E62C96" w:rsidP="006D6B3A">
            <w:pPr>
              <w:spacing w:before="40" w:after="40"/>
              <w:rPr>
                <w:rFonts w:ascii="Arial Narrow" w:hAnsi="Arial Narrow"/>
                <w:sz w:val="20"/>
                <w:szCs w:val="20"/>
              </w:rPr>
            </w:pPr>
            <w:r w:rsidRPr="006D6B3A">
              <w:rPr>
                <w:rFonts w:ascii="Arial Narrow" w:hAnsi="Arial Narrow"/>
                <w:sz w:val="20"/>
                <w:szCs w:val="20"/>
              </w:rPr>
              <w:t>HPLC-MS/MS specificity = 95% (base case = 100%)</w:t>
            </w:r>
          </w:p>
        </w:tc>
        <w:tc>
          <w:tcPr>
            <w:tcW w:w="347" w:type="pct"/>
            <w:noWrap/>
          </w:tcPr>
          <w:p w14:paraId="60368DEE"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706</w:t>
            </w:r>
          </w:p>
        </w:tc>
        <w:tc>
          <w:tcPr>
            <w:tcW w:w="347" w:type="pct"/>
            <w:noWrap/>
          </w:tcPr>
          <w:p w14:paraId="27EFD7D4"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5,167</w:t>
            </w:r>
          </w:p>
        </w:tc>
        <w:tc>
          <w:tcPr>
            <w:tcW w:w="347" w:type="pct"/>
            <w:noWrap/>
          </w:tcPr>
          <w:p w14:paraId="373796DD"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1,626,093</w:t>
            </w:r>
          </w:p>
        </w:tc>
        <w:tc>
          <w:tcPr>
            <w:tcW w:w="347" w:type="pct"/>
            <w:noWrap/>
          </w:tcPr>
          <w:p w14:paraId="6AA374A0"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1,574,244</w:t>
            </w:r>
          </w:p>
        </w:tc>
        <w:tc>
          <w:tcPr>
            <w:tcW w:w="347" w:type="pct"/>
            <w:noWrap/>
          </w:tcPr>
          <w:p w14:paraId="1BBDFDE3"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470,396</w:t>
            </w:r>
          </w:p>
        </w:tc>
        <w:tc>
          <w:tcPr>
            <w:tcW w:w="347" w:type="pct"/>
            <w:noWrap/>
          </w:tcPr>
          <w:p w14:paraId="62C1A62F"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502,039</w:t>
            </w:r>
          </w:p>
        </w:tc>
        <w:tc>
          <w:tcPr>
            <w:tcW w:w="347" w:type="pct"/>
            <w:noWrap/>
          </w:tcPr>
          <w:p w14:paraId="3A11462C"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162,202</w:t>
            </w:r>
          </w:p>
        </w:tc>
        <w:tc>
          <w:tcPr>
            <w:tcW w:w="347" w:type="pct"/>
            <w:noWrap/>
          </w:tcPr>
          <w:p w14:paraId="43BDCB71"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493,847</w:t>
            </w:r>
          </w:p>
        </w:tc>
        <w:tc>
          <w:tcPr>
            <w:tcW w:w="345" w:type="pct"/>
            <w:noWrap/>
          </w:tcPr>
          <w:p w14:paraId="63329680"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259,770</w:t>
            </w:r>
          </w:p>
        </w:tc>
      </w:tr>
      <w:tr w:rsidR="00E62C96" w:rsidRPr="00003EA5" w14:paraId="0A71B6C5" w14:textId="77777777" w:rsidTr="009E057B">
        <w:trPr>
          <w:trHeight w:val="260"/>
        </w:trPr>
        <w:tc>
          <w:tcPr>
            <w:tcW w:w="1879" w:type="pct"/>
            <w:noWrap/>
          </w:tcPr>
          <w:p w14:paraId="5D933B91" w14:textId="77777777" w:rsidR="00E62C96" w:rsidRPr="006D6B3A" w:rsidRDefault="00E62C96" w:rsidP="006D6B3A">
            <w:pPr>
              <w:spacing w:before="40" w:after="40"/>
              <w:rPr>
                <w:rFonts w:ascii="Arial Narrow" w:hAnsi="Arial Narrow"/>
                <w:sz w:val="20"/>
                <w:szCs w:val="20"/>
              </w:rPr>
            </w:pPr>
            <w:r w:rsidRPr="006D6B3A">
              <w:rPr>
                <w:rFonts w:ascii="Arial Narrow" w:hAnsi="Arial Narrow"/>
                <w:sz w:val="20"/>
                <w:szCs w:val="20"/>
              </w:rPr>
              <w:t>X-ALD, birth prevalence = 0.0042%, Priestly 2022 (base case = 0.0111%, Matteson 2021)</w:t>
            </w:r>
          </w:p>
        </w:tc>
        <w:tc>
          <w:tcPr>
            <w:tcW w:w="347" w:type="pct"/>
            <w:noWrap/>
          </w:tcPr>
          <w:p w14:paraId="74611A97"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146,889</w:t>
            </w:r>
          </w:p>
        </w:tc>
        <w:tc>
          <w:tcPr>
            <w:tcW w:w="347" w:type="pct"/>
            <w:noWrap/>
          </w:tcPr>
          <w:p w14:paraId="4C4608CB"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698,986</w:t>
            </w:r>
          </w:p>
        </w:tc>
        <w:tc>
          <w:tcPr>
            <w:tcW w:w="347" w:type="pct"/>
            <w:noWrap/>
          </w:tcPr>
          <w:p w14:paraId="35CC29FD"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2,876,519</w:t>
            </w:r>
          </w:p>
        </w:tc>
        <w:tc>
          <w:tcPr>
            <w:tcW w:w="347" w:type="pct"/>
            <w:noWrap/>
          </w:tcPr>
          <w:p w14:paraId="7473AB5E"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2,518,374</w:t>
            </w:r>
          </w:p>
        </w:tc>
        <w:tc>
          <w:tcPr>
            <w:tcW w:w="347" w:type="pct"/>
            <w:noWrap/>
          </w:tcPr>
          <w:p w14:paraId="14823AE6"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200,933</w:t>
            </w:r>
          </w:p>
        </w:tc>
        <w:tc>
          <w:tcPr>
            <w:tcW w:w="347" w:type="pct"/>
            <w:noWrap/>
          </w:tcPr>
          <w:p w14:paraId="631A45DF"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261,141</w:t>
            </w:r>
          </w:p>
        </w:tc>
        <w:tc>
          <w:tcPr>
            <w:tcW w:w="347" w:type="pct"/>
            <w:noWrap/>
          </w:tcPr>
          <w:p w14:paraId="01F75E52"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147,562</w:t>
            </w:r>
          </w:p>
        </w:tc>
        <w:tc>
          <w:tcPr>
            <w:tcW w:w="347" w:type="pct"/>
            <w:noWrap/>
          </w:tcPr>
          <w:p w14:paraId="09EA2F42"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699,659</w:t>
            </w:r>
          </w:p>
        </w:tc>
        <w:tc>
          <w:tcPr>
            <w:tcW w:w="345" w:type="pct"/>
            <w:noWrap/>
          </w:tcPr>
          <w:p w14:paraId="7823A4AF"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273,653</w:t>
            </w:r>
          </w:p>
        </w:tc>
      </w:tr>
      <w:tr w:rsidR="00E62C96" w:rsidRPr="00003EA5" w14:paraId="6B1E7A74" w14:textId="77777777" w:rsidTr="009E057B">
        <w:trPr>
          <w:trHeight w:val="260"/>
        </w:trPr>
        <w:tc>
          <w:tcPr>
            <w:tcW w:w="1879" w:type="pct"/>
            <w:noWrap/>
          </w:tcPr>
          <w:p w14:paraId="477D48CE" w14:textId="77777777" w:rsidR="00E62C96" w:rsidRPr="006D6B3A" w:rsidRDefault="00E62C96" w:rsidP="006D6B3A">
            <w:pPr>
              <w:spacing w:before="40" w:after="40"/>
              <w:rPr>
                <w:rFonts w:ascii="Arial Narrow" w:hAnsi="Arial Narrow"/>
                <w:sz w:val="20"/>
                <w:szCs w:val="20"/>
              </w:rPr>
            </w:pPr>
            <w:r w:rsidRPr="006D6B3A">
              <w:rPr>
                <w:rFonts w:ascii="Arial Narrow" w:hAnsi="Arial Narrow"/>
                <w:sz w:val="20"/>
                <w:szCs w:val="20"/>
              </w:rPr>
              <w:t>X-ALD, birth prevalence = 0.01622%, Wiens 2019 (base case = 0.0111%, Matteson 2021)</w:t>
            </w:r>
          </w:p>
        </w:tc>
        <w:tc>
          <w:tcPr>
            <w:tcW w:w="347" w:type="pct"/>
            <w:noWrap/>
          </w:tcPr>
          <w:p w14:paraId="2C5EEB3E"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63,656</w:t>
            </w:r>
          </w:p>
        </w:tc>
        <w:tc>
          <w:tcPr>
            <w:tcW w:w="347" w:type="pct"/>
            <w:noWrap/>
          </w:tcPr>
          <w:p w14:paraId="50736C49"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367,959</w:t>
            </w:r>
          </w:p>
        </w:tc>
        <w:tc>
          <w:tcPr>
            <w:tcW w:w="347" w:type="pct"/>
            <w:noWrap/>
          </w:tcPr>
          <w:p w14:paraId="770E0049"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1,246,783</w:t>
            </w:r>
          </w:p>
        </w:tc>
        <w:tc>
          <w:tcPr>
            <w:tcW w:w="347" w:type="pct"/>
            <w:noWrap/>
          </w:tcPr>
          <w:p w14:paraId="6F2DF391"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1,325,741</w:t>
            </w:r>
          </w:p>
        </w:tc>
        <w:tc>
          <w:tcPr>
            <w:tcW w:w="347" w:type="pct"/>
            <w:noWrap/>
          </w:tcPr>
          <w:p w14:paraId="50E5F60A"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87,452</w:t>
            </w:r>
          </w:p>
        </w:tc>
        <w:tc>
          <w:tcPr>
            <w:tcW w:w="347" w:type="pct"/>
            <w:noWrap/>
          </w:tcPr>
          <w:p w14:paraId="211CBAEC"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137,851</w:t>
            </w:r>
          </w:p>
        </w:tc>
        <w:tc>
          <w:tcPr>
            <w:tcW w:w="347" w:type="pct"/>
            <w:noWrap/>
          </w:tcPr>
          <w:p w14:paraId="663BA8AE"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64,330</w:t>
            </w:r>
          </w:p>
        </w:tc>
        <w:tc>
          <w:tcPr>
            <w:tcW w:w="347" w:type="pct"/>
            <w:noWrap/>
          </w:tcPr>
          <w:p w14:paraId="19C2F6DA"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368,632</w:t>
            </w:r>
          </w:p>
        </w:tc>
        <w:tc>
          <w:tcPr>
            <w:tcW w:w="345" w:type="pct"/>
            <w:noWrap/>
          </w:tcPr>
          <w:p w14:paraId="6784C24A"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120,217</w:t>
            </w:r>
          </w:p>
        </w:tc>
      </w:tr>
      <w:tr w:rsidR="00E62C96" w:rsidRPr="00003EA5" w14:paraId="6E839FB6" w14:textId="77777777" w:rsidTr="009E057B">
        <w:trPr>
          <w:trHeight w:val="260"/>
        </w:trPr>
        <w:tc>
          <w:tcPr>
            <w:tcW w:w="1879" w:type="pct"/>
            <w:noWrap/>
          </w:tcPr>
          <w:p w14:paraId="0B4CB1B9" w14:textId="77777777" w:rsidR="00E62C96" w:rsidRPr="006D6B3A" w:rsidRDefault="00E62C96" w:rsidP="006D6B3A">
            <w:pPr>
              <w:spacing w:before="40" w:after="40"/>
              <w:rPr>
                <w:rFonts w:ascii="Arial Narrow" w:hAnsi="Arial Narrow"/>
                <w:sz w:val="20"/>
                <w:szCs w:val="20"/>
              </w:rPr>
            </w:pPr>
            <w:r w:rsidRPr="006D6B3A">
              <w:rPr>
                <w:rFonts w:ascii="Arial Narrow" w:hAnsi="Arial Narrow"/>
                <w:i/>
                <w:iCs/>
                <w:sz w:val="20"/>
                <w:szCs w:val="20"/>
              </w:rPr>
              <w:t>ABCD1</w:t>
            </w:r>
            <w:r w:rsidRPr="006D6B3A">
              <w:rPr>
                <w:rFonts w:ascii="Arial Narrow" w:hAnsi="Arial Narrow"/>
                <w:sz w:val="20"/>
                <w:szCs w:val="20"/>
              </w:rPr>
              <w:t xml:space="preserve"> genetic test, unit cost = $378 (SA NBS program estimate) (base case = $1,053.50; simple average of QLD and WA estimates)</w:t>
            </w:r>
          </w:p>
        </w:tc>
        <w:tc>
          <w:tcPr>
            <w:tcW w:w="347" w:type="pct"/>
            <w:noWrap/>
          </w:tcPr>
          <w:p w14:paraId="184ACA2B"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83,028</w:t>
            </w:r>
          </w:p>
        </w:tc>
        <w:tc>
          <w:tcPr>
            <w:tcW w:w="347" w:type="pct"/>
            <w:noWrap/>
          </w:tcPr>
          <w:p w14:paraId="083AA3CC"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436,919</w:t>
            </w:r>
          </w:p>
        </w:tc>
        <w:tc>
          <w:tcPr>
            <w:tcW w:w="347" w:type="pct"/>
            <w:noWrap/>
          </w:tcPr>
          <w:p w14:paraId="4CAA8A39"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938,713</w:t>
            </w:r>
          </w:p>
        </w:tc>
        <w:tc>
          <w:tcPr>
            <w:tcW w:w="347" w:type="pct"/>
            <w:noWrap/>
          </w:tcPr>
          <w:p w14:paraId="458580A0"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1,067,607</w:t>
            </w:r>
          </w:p>
        </w:tc>
        <w:tc>
          <w:tcPr>
            <w:tcW w:w="347" w:type="pct"/>
            <w:noWrap/>
          </w:tcPr>
          <w:p w14:paraId="2DA464C0"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113,568</w:t>
            </w:r>
          </w:p>
        </w:tc>
        <w:tc>
          <w:tcPr>
            <w:tcW w:w="347" w:type="pct"/>
            <w:noWrap/>
          </w:tcPr>
          <w:p w14:paraId="16B9DF70"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163,233</w:t>
            </w:r>
          </w:p>
        </w:tc>
        <w:tc>
          <w:tcPr>
            <w:tcW w:w="347" w:type="pct"/>
            <w:noWrap/>
          </w:tcPr>
          <w:p w14:paraId="73BD7C50"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83,406</w:t>
            </w:r>
          </w:p>
        </w:tc>
        <w:tc>
          <w:tcPr>
            <w:tcW w:w="347" w:type="pct"/>
            <w:noWrap/>
          </w:tcPr>
          <w:p w14:paraId="475704D8"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437,297</w:t>
            </w:r>
          </w:p>
        </w:tc>
        <w:tc>
          <w:tcPr>
            <w:tcW w:w="345" w:type="pct"/>
            <w:noWrap/>
          </w:tcPr>
          <w:p w14:paraId="7061AF01"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159,706</w:t>
            </w:r>
          </w:p>
        </w:tc>
      </w:tr>
      <w:tr w:rsidR="00E62C96" w:rsidRPr="00003EA5" w14:paraId="1C2D006A" w14:textId="77777777" w:rsidTr="009E057B">
        <w:trPr>
          <w:trHeight w:val="260"/>
        </w:trPr>
        <w:tc>
          <w:tcPr>
            <w:tcW w:w="1879" w:type="pct"/>
            <w:noWrap/>
          </w:tcPr>
          <w:p w14:paraId="4A930E1D" w14:textId="77777777" w:rsidR="00E62C96" w:rsidRPr="006D6B3A" w:rsidRDefault="00E62C96" w:rsidP="006D6B3A">
            <w:pPr>
              <w:spacing w:before="40" w:after="40"/>
              <w:rPr>
                <w:rFonts w:ascii="Arial Narrow" w:hAnsi="Arial Narrow"/>
                <w:sz w:val="20"/>
                <w:szCs w:val="20"/>
              </w:rPr>
            </w:pPr>
            <w:r w:rsidRPr="006D6B3A">
              <w:rPr>
                <w:rFonts w:ascii="Arial Narrow" w:hAnsi="Arial Narrow"/>
                <w:i/>
                <w:iCs/>
                <w:sz w:val="20"/>
                <w:szCs w:val="20"/>
              </w:rPr>
              <w:t>ABCD1</w:t>
            </w:r>
            <w:r w:rsidRPr="006D6B3A">
              <w:rPr>
                <w:rFonts w:ascii="Arial Narrow" w:hAnsi="Arial Narrow"/>
                <w:sz w:val="20"/>
                <w:szCs w:val="20"/>
              </w:rPr>
              <w:t xml:space="preserve"> genetic test, unit cost = $1,200 (WA NBS program estimate) (base case = $1,053.50; simple average of QLD and WA estimates)</w:t>
            </w:r>
          </w:p>
        </w:tc>
        <w:tc>
          <w:tcPr>
            <w:tcW w:w="347" w:type="pct"/>
            <w:noWrap/>
          </w:tcPr>
          <w:p w14:paraId="06915843"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83,028</w:t>
            </w:r>
          </w:p>
        </w:tc>
        <w:tc>
          <w:tcPr>
            <w:tcW w:w="347" w:type="pct"/>
            <w:noWrap/>
          </w:tcPr>
          <w:p w14:paraId="10F3C122"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436,919</w:t>
            </w:r>
          </w:p>
        </w:tc>
        <w:tc>
          <w:tcPr>
            <w:tcW w:w="347" w:type="pct"/>
            <w:noWrap/>
          </w:tcPr>
          <w:p w14:paraId="7244F111"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2,852,758</w:t>
            </w:r>
          </w:p>
        </w:tc>
        <w:tc>
          <w:tcPr>
            <w:tcW w:w="347" w:type="pct"/>
            <w:noWrap/>
          </w:tcPr>
          <w:p w14:paraId="59E11076"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2,478,364</w:t>
            </w:r>
          </w:p>
        </w:tc>
        <w:tc>
          <w:tcPr>
            <w:tcW w:w="347" w:type="pct"/>
            <w:noWrap/>
          </w:tcPr>
          <w:p w14:paraId="2A415F4D"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114,390</w:t>
            </w:r>
          </w:p>
        </w:tc>
        <w:tc>
          <w:tcPr>
            <w:tcW w:w="347" w:type="pct"/>
            <w:noWrap/>
          </w:tcPr>
          <w:p w14:paraId="28F1DE0C"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164,055</w:t>
            </w:r>
          </w:p>
        </w:tc>
        <w:tc>
          <w:tcPr>
            <w:tcW w:w="347" w:type="pct"/>
            <w:noWrap/>
          </w:tcPr>
          <w:p w14:paraId="61E03A5D"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84,228</w:t>
            </w:r>
          </w:p>
        </w:tc>
        <w:tc>
          <w:tcPr>
            <w:tcW w:w="347" w:type="pct"/>
            <w:noWrap/>
          </w:tcPr>
          <w:p w14:paraId="722BF0FA"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438,119</w:t>
            </w:r>
          </w:p>
        </w:tc>
        <w:tc>
          <w:tcPr>
            <w:tcW w:w="345" w:type="pct"/>
            <w:noWrap/>
          </w:tcPr>
          <w:p w14:paraId="1AC895F1"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160,528</w:t>
            </w:r>
          </w:p>
        </w:tc>
      </w:tr>
      <w:tr w:rsidR="00E62C96" w:rsidRPr="00003EA5" w14:paraId="40214A52" w14:textId="77777777" w:rsidTr="009E057B">
        <w:trPr>
          <w:trHeight w:val="260"/>
        </w:trPr>
        <w:tc>
          <w:tcPr>
            <w:tcW w:w="1879" w:type="pct"/>
            <w:noWrap/>
          </w:tcPr>
          <w:p w14:paraId="0575AF63" w14:textId="77777777" w:rsidR="00E62C96" w:rsidRPr="006D6B3A" w:rsidRDefault="00E62C96" w:rsidP="006D6B3A">
            <w:pPr>
              <w:spacing w:before="40" w:after="40"/>
              <w:rPr>
                <w:rFonts w:ascii="Arial Narrow" w:hAnsi="Arial Narrow"/>
                <w:sz w:val="20"/>
                <w:szCs w:val="20"/>
              </w:rPr>
            </w:pPr>
            <w:bookmarkStart w:id="51" w:name="_Hlk132882080"/>
            <w:r w:rsidRPr="006D6B3A">
              <w:rPr>
                <w:rFonts w:ascii="Arial Narrow" w:hAnsi="Arial Narrow"/>
                <w:sz w:val="20"/>
                <w:szCs w:val="20"/>
              </w:rPr>
              <w:t>X-Counter test, unit cost, $200 (base case =$100)</w:t>
            </w:r>
          </w:p>
        </w:tc>
        <w:tc>
          <w:tcPr>
            <w:tcW w:w="347" w:type="pct"/>
            <w:noWrap/>
            <w:vAlign w:val="center"/>
          </w:tcPr>
          <w:p w14:paraId="0ED62A61"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83,028</w:t>
            </w:r>
          </w:p>
        </w:tc>
        <w:tc>
          <w:tcPr>
            <w:tcW w:w="347" w:type="pct"/>
            <w:noWrap/>
            <w:vAlign w:val="center"/>
          </w:tcPr>
          <w:p w14:paraId="492494AB"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771,644</w:t>
            </w:r>
          </w:p>
        </w:tc>
        <w:tc>
          <w:tcPr>
            <w:tcW w:w="347" w:type="pct"/>
            <w:noWrap/>
            <w:vAlign w:val="center"/>
          </w:tcPr>
          <w:p w14:paraId="1B683E43"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1,626,093</w:t>
            </w:r>
          </w:p>
        </w:tc>
        <w:tc>
          <w:tcPr>
            <w:tcW w:w="347" w:type="pct"/>
            <w:noWrap/>
            <w:vAlign w:val="center"/>
          </w:tcPr>
          <w:p w14:paraId="09295787"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1,908,969</w:t>
            </w:r>
          </w:p>
        </w:tc>
        <w:tc>
          <w:tcPr>
            <w:tcW w:w="347" w:type="pct"/>
            <w:noWrap/>
            <w:vAlign w:val="center"/>
          </w:tcPr>
          <w:p w14:paraId="120F7897"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113,863</w:t>
            </w:r>
          </w:p>
        </w:tc>
        <w:tc>
          <w:tcPr>
            <w:tcW w:w="347" w:type="pct"/>
            <w:noWrap/>
            <w:vAlign w:val="center"/>
          </w:tcPr>
          <w:p w14:paraId="7691E236"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163,672</w:t>
            </w:r>
          </w:p>
        </w:tc>
        <w:tc>
          <w:tcPr>
            <w:tcW w:w="347" w:type="pct"/>
            <w:noWrap/>
            <w:vAlign w:val="center"/>
          </w:tcPr>
          <w:p w14:paraId="55A03C02"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83,701</w:t>
            </w:r>
          </w:p>
        </w:tc>
        <w:tc>
          <w:tcPr>
            <w:tcW w:w="347" w:type="pct"/>
            <w:noWrap/>
            <w:vAlign w:val="center"/>
          </w:tcPr>
          <w:p w14:paraId="7F2B0572"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772,318</w:t>
            </w:r>
          </w:p>
        </w:tc>
        <w:tc>
          <w:tcPr>
            <w:tcW w:w="345" w:type="pct"/>
            <w:noWrap/>
            <w:vAlign w:val="center"/>
          </w:tcPr>
          <w:p w14:paraId="307CD5C2"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160,193</w:t>
            </w:r>
          </w:p>
        </w:tc>
      </w:tr>
      <w:tr w:rsidR="00E62C96" w:rsidRPr="00003EA5" w14:paraId="37D36604" w14:textId="77777777" w:rsidTr="009E057B">
        <w:trPr>
          <w:trHeight w:val="260"/>
        </w:trPr>
        <w:tc>
          <w:tcPr>
            <w:tcW w:w="1879" w:type="pct"/>
            <w:noWrap/>
          </w:tcPr>
          <w:p w14:paraId="582CF345" w14:textId="77777777" w:rsidR="00E62C96" w:rsidRPr="006D6B3A" w:rsidRDefault="00E62C96" w:rsidP="006D6B3A">
            <w:pPr>
              <w:spacing w:before="40" w:after="40"/>
              <w:rPr>
                <w:rFonts w:ascii="Arial Narrow" w:hAnsi="Arial Narrow"/>
                <w:sz w:val="20"/>
                <w:szCs w:val="20"/>
              </w:rPr>
            </w:pPr>
            <w:r w:rsidRPr="006D6B3A">
              <w:rPr>
                <w:rFonts w:ascii="Arial Narrow" w:hAnsi="Arial Narrow"/>
                <w:sz w:val="20"/>
                <w:szCs w:val="20"/>
              </w:rPr>
              <w:t>X-Counter test, unit cost, $50 (base case =$100)</w:t>
            </w:r>
          </w:p>
        </w:tc>
        <w:tc>
          <w:tcPr>
            <w:tcW w:w="347" w:type="pct"/>
            <w:noWrap/>
          </w:tcPr>
          <w:p w14:paraId="4F7D82D8"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83,028</w:t>
            </w:r>
          </w:p>
        </w:tc>
        <w:tc>
          <w:tcPr>
            <w:tcW w:w="347" w:type="pct"/>
            <w:noWrap/>
          </w:tcPr>
          <w:p w14:paraId="1D117E13"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269,557</w:t>
            </w:r>
          </w:p>
        </w:tc>
        <w:tc>
          <w:tcPr>
            <w:tcW w:w="347" w:type="pct"/>
            <w:noWrap/>
          </w:tcPr>
          <w:p w14:paraId="431E5E11"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1,626,093</w:t>
            </w:r>
          </w:p>
        </w:tc>
        <w:tc>
          <w:tcPr>
            <w:tcW w:w="347" w:type="pct"/>
            <w:noWrap/>
          </w:tcPr>
          <w:p w14:paraId="7F0B90BB"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1,406,881</w:t>
            </w:r>
          </w:p>
        </w:tc>
        <w:tc>
          <w:tcPr>
            <w:tcW w:w="347" w:type="pct"/>
            <w:noWrap/>
          </w:tcPr>
          <w:p w14:paraId="79BC5EF9"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113,863</w:t>
            </w:r>
          </w:p>
        </w:tc>
        <w:tc>
          <w:tcPr>
            <w:tcW w:w="347" w:type="pct"/>
            <w:noWrap/>
          </w:tcPr>
          <w:p w14:paraId="4A947F33"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163,456</w:t>
            </w:r>
          </w:p>
        </w:tc>
        <w:tc>
          <w:tcPr>
            <w:tcW w:w="347" w:type="pct"/>
            <w:noWrap/>
          </w:tcPr>
          <w:p w14:paraId="3DE0B466"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83,701</w:t>
            </w:r>
          </w:p>
        </w:tc>
        <w:tc>
          <w:tcPr>
            <w:tcW w:w="347" w:type="pct"/>
            <w:noWrap/>
          </w:tcPr>
          <w:p w14:paraId="707583F8"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270,230</w:t>
            </w:r>
          </w:p>
        </w:tc>
        <w:tc>
          <w:tcPr>
            <w:tcW w:w="345" w:type="pct"/>
            <w:noWrap/>
          </w:tcPr>
          <w:p w14:paraId="6754B5E8" w14:textId="77777777" w:rsidR="00E62C96" w:rsidRPr="006D6B3A" w:rsidRDefault="00E62C96" w:rsidP="006D6B3A">
            <w:pPr>
              <w:spacing w:before="40" w:after="40"/>
              <w:jc w:val="center"/>
              <w:rPr>
                <w:rFonts w:ascii="Arial Narrow" w:hAnsi="Arial Narrow"/>
                <w:sz w:val="20"/>
                <w:szCs w:val="20"/>
              </w:rPr>
            </w:pPr>
            <w:r w:rsidRPr="006D6B3A">
              <w:rPr>
                <w:rFonts w:ascii="Arial Narrow" w:hAnsi="Arial Narrow"/>
                <w:sz w:val="20"/>
                <w:szCs w:val="20"/>
              </w:rPr>
              <w:t>159,906</w:t>
            </w:r>
          </w:p>
        </w:tc>
      </w:tr>
    </w:tbl>
    <w:bookmarkEnd w:id="51"/>
    <w:p w14:paraId="74ED2ED7" w14:textId="77777777" w:rsidR="0081687D" w:rsidRDefault="00E62C96" w:rsidP="006D6B3A">
      <w:pPr>
        <w:pStyle w:val="TableFigureFooter"/>
        <w:spacing w:before="0" w:after="0"/>
        <w:rPr>
          <w:rFonts w:eastAsia="Calibri"/>
        </w:rPr>
      </w:pPr>
      <w:r w:rsidRPr="00003EA5">
        <w:t>FIA–MS/MS: flow injection tandem mass spectrometry; HP LC-MS/MS: high-pressure liquid chromatography- mass spectrometry; X-ALD=X-linked adrenoleukodystrophy.</w:t>
      </w:r>
      <w:r w:rsidRPr="00BC7880" w:rsidDel="00003EA5">
        <w:rPr>
          <w:rFonts w:eastAsia="Calibri"/>
        </w:rPr>
        <w:t xml:space="preserve"> </w:t>
      </w:r>
    </w:p>
    <w:p w14:paraId="7F151D32" w14:textId="4D0760BB" w:rsidR="00253046" w:rsidRPr="005043B5" w:rsidRDefault="00E62C96" w:rsidP="006D6B3A">
      <w:pPr>
        <w:pStyle w:val="TableFigureFooter"/>
        <w:spacing w:before="0" w:after="0"/>
        <w:rPr>
          <w:rFonts w:eastAsia="Calibri"/>
        </w:rPr>
      </w:pPr>
      <w:r w:rsidRPr="005043B5">
        <w:rPr>
          <w:rFonts w:eastAsia="Calibri"/>
        </w:rPr>
        <w:t>Note</w:t>
      </w:r>
      <w:r w:rsidR="00EB3C60">
        <w:rPr>
          <w:rFonts w:eastAsia="Calibri"/>
        </w:rPr>
        <w:t>s</w:t>
      </w:r>
      <w:r w:rsidRPr="005043B5">
        <w:rPr>
          <w:rFonts w:eastAsia="Calibri"/>
        </w:rPr>
        <w:t>: Positive diagnoses from Strategies I and Ia were not genetically confirmed.</w:t>
      </w:r>
      <w:r w:rsidR="00EB3C60">
        <w:rPr>
          <w:rFonts w:eastAsia="Calibri"/>
        </w:rPr>
        <w:t xml:space="preserve"> </w:t>
      </w:r>
      <w:r w:rsidRPr="005043B5">
        <w:rPr>
          <w:rFonts w:eastAsia="Calibri"/>
        </w:rPr>
        <w:t>Simplified model (250,000 simulations)</w:t>
      </w:r>
      <w:r w:rsidR="00EB3C60">
        <w:rPr>
          <w:rFonts w:eastAsia="Calibri"/>
        </w:rPr>
        <w:t xml:space="preserve">. </w:t>
      </w:r>
      <w:r w:rsidR="00253046">
        <w:rPr>
          <w:rFonts w:eastAsia="Calibri"/>
        </w:rPr>
        <w:t>Source: DCAR Table 10.</w:t>
      </w:r>
    </w:p>
    <w:bookmarkEnd w:id="50"/>
    <w:p w14:paraId="375090A2" w14:textId="77777777" w:rsidR="00E62C96" w:rsidRDefault="00E62C96" w:rsidP="00E62C96">
      <w:pPr>
        <w:sectPr w:rsidR="00E62C96" w:rsidSect="006D6B3A">
          <w:pgSz w:w="16838" w:h="11906" w:orient="landscape"/>
          <w:pgMar w:top="1440" w:right="1440" w:bottom="1440" w:left="1440" w:header="708" w:footer="708" w:gutter="0"/>
          <w:cols w:space="708"/>
          <w:docGrid w:linePitch="360"/>
        </w:sectPr>
      </w:pPr>
    </w:p>
    <w:p w14:paraId="52F2281A" w14:textId="77777777" w:rsidR="00E62C96" w:rsidRPr="00D02565" w:rsidRDefault="00E62C96" w:rsidP="00E62C96">
      <w:pPr>
        <w:keepNext/>
        <w:keepLines/>
        <w:tabs>
          <w:tab w:val="left" w:pos="851"/>
        </w:tabs>
        <w:spacing w:before="360" w:after="200" w:line="240" w:lineRule="auto"/>
        <w:jc w:val="both"/>
        <w:outlineLvl w:val="2"/>
        <w:rPr>
          <w:rFonts w:ascii="Franklin Gothic Medium" w:eastAsiaTheme="majorEastAsia" w:hAnsi="Franklin Gothic Medium" w:cstheme="majorBidi"/>
          <w:sz w:val="24"/>
          <w:szCs w:val="24"/>
        </w:rPr>
      </w:pPr>
      <w:bookmarkStart w:id="52" w:name="_Toc130283318"/>
      <w:bookmarkStart w:id="53" w:name="_Toc133221398"/>
      <w:r w:rsidRPr="00D02565">
        <w:rPr>
          <w:rFonts w:ascii="Franklin Gothic Medium" w:eastAsiaTheme="majorEastAsia" w:hAnsi="Franklin Gothic Medium" w:cstheme="majorBidi"/>
          <w:sz w:val="24"/>
          <w:szCs w:val="24"/>
        </w:rPr>
        <w:lastRenderedPageBreak/>
        <w:t xml:space="preserve">PICO </w:t>
      </w:r>
      <w:r>
        <w:rPr>
          <w:rFonts w:ascii="Franklin Gothic Medium" w:eastAsiaTheme="majorEastAsia" w:hAnsi="Franklin Gothic Medium" w:cstheme="majorBidi"/>
          <w:sz w:val="24"/>
          <w:szCs w:val="24"/>
        </w:rPr>
        <w:t xml:space="preserve">set </w:t>
      </w:r>
      <w:r w:rsidRPr="00D02565">
        <w:rPr>
          <w:rFonts w:ascii="Franklin Gothic Medium" w:eastAsiaTheme="majorEastAsia" w:hAnsi="Franklin Gothic Medium" w:cstheme="majorBidi"/>
          <w:sz w:val="24"/>
          <w:szCs w:val="24"/>
        </w:rPr>
        <w:t>2</w:t>
      </w:r>
      <w:bookmarkEnd w:id="52"/>
      <w:bookmarkEnd w:id="53"/>
    </w:p>
    <w:p w14:paraId="2EF94AF5" w14:textId="4C08C5CD" w:rsidR="00E62C96" w:rsidRDefault="00E62C96" w:rsidP="00E62C96">
      <w:pPr>
        <w:spacing w:before="240" w:after="240"/>
        <w:rPr>
          <w:rFonts w:eastAsia="Calibri" w:cs="Times New Roman"/>
        </w:rPr>
      </w:pPr>
      <w:r w:rsidRPr="00D02565">
        <w:rPr>
          <w:rFonts w:eastAsia="Calibri" w:cs="Times New Roman"/>
        </w:rPr>
        <w:t xml:space="preserve">No studies that assessed the test accuracy or long-term outcomes of cascade testing for family members of the X-ALD </w:t>
      </w:r>
      <w:r w:rsidR="00ED2F10">
        <w:rPr>
          <w:rFonts w:eastAsia="Calibri" w:cs="Times New Roman"/>
        </w:rPr>
        <w:t>positive</w:t>
      </w:r>
      <w:r w:rsidR="00325E8B">
        <w:rPr>
          <w:rFonts w:eastAsia="Calibri" w:cs="Times New Roman"/>
        </w:rPr>
        <w:t>ly diagnosed</w:t>
      </w:r>
      <w:r w:rsidR="00ED2F10">
        <w:rPr>
          <w:rFonts w:eastAsia="Calibri" w:cs="Times New Roman"/>
        </w:rPr>
        <w:t xml:space="preserve"> individual </w:t>
      </w:r>
      <w:r w:rsidRPr="00D02565">
        <w:rPr>
          <w:rFonts w:eastAsia="Calibri" w:cs="Times New Roman"/>
        </w:rPr>
        <w:t>were identified during the assessment. Minimal evidence was identified on the real-world implementation of international NBS programs. The economic evaluation conducted for PICO</w:t>
      </w:r>
      <w:r>
        <w:rPr>
          <w:rFonts w:eastAsia="Calibri" w:cs="Times New Roman"/>
        </w:rPr>
        <w:t xml:space="preserve"> set</w:t>
      </w:r>
      <w:r w:rsidRPr="00D02565">
        <w:rPr>
          <w:rFonts w:eastAsia="Calibri" w:cs="Times New Roman"/>
        </w:rPr>
        <w:t xml:space="preserve"> 2 was therefore limited to estimating the average expected cost per positive diagnosis from cascade testing. </w:t>
      </w:r>
      <w:r w:rsidRPr="00D02565">
        <w:rPr>
          <w:rFonts w:eastAsia="Calibri" w:cs="Times New Roman"/>
        </w:rPr>
        <w:fldChar w:fldCharType="begin"/>
      </w:r>
      <w:r w:rsidRPr="00D02565">
        <w:rPr>
          <w:rFonts w:eastAsia="Calibri" w:cs="Times New Roman"/>
        </w:rPr>
        <w:instrText xml:space="preserve"> REF _Ref130240768 \h  \* MERGEFORMAT </w:instrText>
      </w:r>
      <w:r w:rsidRPr="00D02565">
        <w:rPr>
          <w:rFonts w:eastAsia="Calibri" w:cs="Times New Roman"/>
        </w:rPr>
      </w:r>
      <w:r w:rsidRPr="00D02565">
        <w:rPr>
          <w:rFonts w:eastAsia="Calibri" w:cs="Times New Roman"/>
        </w:rPr>
        <w:fldChar w:fldCharType="separate"/>
      </w:r>
      <w:r w:rsidR="00253978" w:rsidRPr="00253978">
        <w:rPr>
          <w:rFonts w:eastAsia="Calibri" w:cs="Times New Roman"/>
        </w:rPr>
        <w:t>Table 14</w:t>
      </w:r>
      <w:r w:rsidRPr="00D02565">
        <w:rPr>
          <w:rFonts w:eastAsia="Calibri" w:cs="Times New Roman"/>
        </w:rPr>
        <w:fldChar w:fldCharType="end"/>
      </w:r>
      <w:r w:rsidRPr="00D02565">
        <w:rPr>
          <w:rFonts w:eastAsia="Calibri" w:cs="Times New Roman"/>
        </w:rPr>
        <w:t xml:space="preserve"> summarises the key components of the economic evaluation for PICO </w:t>
      </w:r>
      <w:r>
        <w:rPr>
          <w:rFonts w:eastAsia="Calibri" w:cs="Times New Roman"/>
        </w:rPr>
        <w:t xml:space="preserve">set </w:t>
      </w:r>
      <w:r w:rsidRPr="00D02565">
        <w:rPr>
          <w:rFonts w:eastAsia="Calibri" w:cs="Times New Roman"/>
        </w:rPr>
        <w:t>2.</w:t>
      </w:r>
    </w:p>
    <w:p w14:paraId="582EF6D4" w14:textId="3AEA8134" w:rsidR="00E62C96" w:rsidRPr="00D02565" w:rsidRDefault="00E62C96" w:rsidP="00E62C96">
      <w:pPr>
        <w:keepNext/>
        <w:spacing w:before="360" w:after="120" w:line="240" w:lineRule="auto"/>
        <w:rPr>
          <w:rFonts w:ascii="Arial Narrow" w:eastAsia="Times New Roman" w:hAnsi="Arial Narrow" w:cs="Times New Roman"/>
          <w:b/>
          <w:bCs/>
          <w:sz w:val="20"/>
          <w:szCs w:val="20"/>
        </w:rPr>
      </w:pPr>
      <w:bookmarkStart w:id="54" w:name="_Ref130240768"/>
      <w:r w:rsidRPr="00D02565">
        <w:rPr>
          <w:rFonts w:ascii="Arial Narrow" w:eastAsia="Times New Roman" w:hAnsi="Arial Narrow" w:cs="Times New Roman"/>
          <w:b/>
          <w:bCs/>
          <w:sz w:val="20"/>
          <w:szCs w:val="20"/>
        </w:rPr>
        <w:t>Table </w:t>
      </w:r>
      <w:r w:rsidRPr="00D02565">
        <w:rPr>
          <w:rFonts w:ascii="Arial Narrow" w:eastAsia="Times New Roman" w:hAnsi="Arial Narrow" w:cs="Times New Roman"/>
          <w:b/>
          <w:bCs/>
          <w:sz w:val="20"/>
          <w:szCs w:val="20"/>
        </w:rPr>
        <w:fldChar w:fldCharType="begin"/>
      </w:r>
      <w:r w:rsidRPr="00D02565">
        <w:rPr>
          <w:rFonts w:ascii="Arial Narrow" w:eastAsia="Times New Roman" w:hAnsi="Arial Narrow" w:cs="Times New Roman"/>
          <w:b/>
          <w:bCs/>
          <w:sz w:val="20"/>
          <w:szCs w:val="20"/>
        </w:rPr>
        <w:instrText>SEQ Table \* ARABIC</w:instrText>
      </w:r>
      <w:r w:rsidRPr="00D02565">
        <w:rPr>
          <w:rFonts w:ascii="Arial Narrow" w:eastAsia="Times New Roman" w:hAnsi="Arial Narrow" w:cs="Times New Roman"/>
          <w:b/>
          <w:bCs/>
          <w:sz w:val="20"/>
          <w:szCs w:val="20"/>
        </w:rPr>
        <w:fldChar w:fldCharType="separate"/>
      </w:r>
      <w:r w:rsidR="00253978">
        <w:rPr>
          <w:rFonts w:ascii="Arial Narrow" w:eastAsia="Times New Roman" w:hAnsi="Arial Narrow" w:cs="Times New Roman"/>
          <w:b/>
          <w:bCs/>
          <w:noProof/>
          <w:sz w:val="20"/>
          <w:szCs w:val="20"/>
        </w:rPr>
        <w:t>14</w:t>
      </w:r>
      <w:r w:rsidRPr="00D02565">
        <w:rPr>
          <w:rFonts w:ascii="Arial Narrow" w:eastAsia="Times New Roman" w:hAnsi="Arial Narrow" w:cs="Times New Roman"/>
          <w:b/>
          <w:bCs/>
          <w:sz w:val="20"/>
          <w:szCs w:val="20"/>
        </w:rPr>
        <w:fldChar w:fldCharType="end"/>
      </w:r>
      <w:bookmarkEnd w:id="54"/>
      <w:r w:rsidRPr="00D02565">
        <w:rPr>
          <w:rFonts w:ascii="Arial Narrow" w:eastAsia="Times New Roman" w:hAnsi="Arial Narrow" w:cs="Times New Roman"/>
          <w:b/>
          <w:bCs/>
          <w:sz w:val="20"/>
          <w:szCs w:val="20"/>
        </w:rPr>
        <w:tab/>
        <w:t xml:space="preserve">Summary of the economic evaluation (PICO </w:t>
      </w:r>
      <w:r>
        <w:rPr>
          <w:rFonts w:ascii="Arial Narrow" w:eastAsia="Times New Roman" w:hAnsi="Arial Narrow" w:cs="Times New Roman"/>
          <w:b/>
          <w:bCs/>
          <w:sz w:val="20"/>
          <w:szCs w:val="20"/>
        </w:rPr>
        <w:t xml:space="preserve">set </w:t>
      </w:r>
      <w:r w:rsidRPr="00D02565">
        <w:rPr>
          <w:rFonts w:ascii="Arial Narrow" w:eastAsia="Times New Roman" w:hAnsi="Arial Narrow" w:cs="Times New Roman"/>
          <w:b/>
          <w:bCs/>
          <w:sz w:val="20"/>
          <w:szCs w:val="20"/>
        </w:rPr>
        <w:t>2)</w:t>
      </w:r>
    </w:p>
    <w:tbl>
      <w:tblPr>
        <w:tblStyle w:val="TableGrid1"/>
        <w:tblW w:w="5000" w:type="pct"/>
        <w:tblLook w:val="04A0" w:firstRow="1" w:lastRow="0" w:firstColumn="1" w:lastColumn="0" w:noHBand="0" w:noVBand="1"/>
      </w:tblPr>
      <w:tblGrid>
        <w:gridCol w:w="1904"/>
        <w:gridCol w:w="7112"/>
      </w:tblGrid>
      <w:tr w:rsidR="00E62C96" w:rsidRPr="00D02565" w14:paraId="1A597004" w14:textId="77777777" w:rsidTr="00C25359">
        <w:trPr>
          <w:cnfStyle w:val="100000000000" w:firstRow="1" w:lastRow="0" w:firstColumn="0" w:lastColumn="0" w:oddVBand="0" w:evenVBand="0" w:oddHBand="0" w:evenHBand="0" w:firstRowFirstColumn="0" w:firstRowLastColumn="0" w:lastRowFirstColumn="0" w:lastRowLastColumn="0"/>
          <w:cantSplit/>
          <w:trHeight w:val="300"/>
          <w:tblHeader/>
        </w:trPr>
        <w:tc>
          <w:tcPr>
            <w:tcW w:w="1056" w:type="pct"/>
          </w:tcPr>
          <w:p w14:paraId="1CC004F3" w14:textId="77777777" w:rsidR="00E62C96" w:rsidRPr="00D02565" w:rsidRDefault="00E62C96" w:rsidP="006D6B3A">
            <w:pPr>
              <w:keepNext/>
              <w:spacing w:before="0" w:after="0"/>
              <w:jc w:val="center"/>
              <w:rPr>
                <w:rFonts w:ascii="Arial Narrow" w:hAnsi="Arial Narrow" w:cs="Courier New"/>
                <w:b/>
              </w:rPr>
            </w:pPr>
            <w:r w:rsidRPr="00D02565">
              <w:rPr>
                <w:rFonts w:ascii="Arial Narrow" w:hAnsi="Arial Narrow" w:cs="Courier New"/>
                <w:b/>
              </w:rPr>
              <w:t>Component</w:t>
            </w:r>
          </w:p>
        </w:tc>
        <w:tc>
          <w:tcPr>
            <w:tcW w:w="3944" w:type="pct"/>
          </w:tcPr>
          <w:p w14:paraId="0D8AA144" w14:textId="77777777" w:rsidR="00E62C96" w:rsidRPr="00D02565" w:rsidRDefault="00E62C96" w:rsidP="006D6B3A">
            <w:pPr>
              <w:keepNext/>
              <w:spacing w:before="0" w:after="0"/>
              <w:jc w:val="center"/>
              <w:rPr>
                <w:rFonts w:ascii="Arial Narrow" w:hAnsi="Arial Narrow" w:cs="Courier New"/>
                <w:b/>
              </w:rPr>
            </w:pPr>
            <w:r w:rsidRPr="00D02565">
              <w:rPr>
                <w:rFonts w:ascii="Arial Narrow" w:hAnsi="Arial Narrow" w:cs="Courier New"/>
                <w:b/>
              </w:rPr>
              <w:t>Description</w:t>
            </w:r>
          </w:p>
        </w:tc>
      </w:tr>
      <w:tr w:rsidR="00E62C96" w:rsidRPr="00D02565" w14:paraId="7BC819B8" w14:textId="77777777" w:rsidTr="00C25359">
        <w:trPr>
          <w:cantSplit/>
        </w:trPr>
        <w:tc>
          <w:tcPr>
            <w:tcW w:w="1056" w:type="pct"/>
          </w:tcPr>
          <w:p w14:paraId="742B19C6"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Perspective</w:t>
            </w:r>
          </w:p>
        </w:tc>
        <w:tc>
          <w:tcPr>
            <w:tcW w:w="3944" w:type="pct"/>
          </w:tcPr>
          <w:p w14:paraId="3488B658"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Australian health care system perspective</w:t>
            </w:r>
          </w:p>
        </w:tc>
      </w:tr>
      <w:tr w:rsidR="00E62C96" w:rsidRPr="00D02565" w14:paraId="7E8FC21A" w14:textId="77777777" w:rsidTr="00C25359">
        <w:trPr>
          <w:cantSplit/>
        </w:trPr>
        <w:tc>
          <w:tcPr>
            <w:tcW w:w="1056" w:type="pct"/>
          </w:tcPr>
          <w:p w14:paraId="468F9A2F"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Population</w:t>
            </w:r>
          </w:p>
        </w:tc>
        <w:tc>
          <w:tcPr>
            <w:tcW w:w="3944" w:type="pct"/>
          </w:tcPr>
          <w:p w14:paraId="0E1ADE1C" w14:textId="77777777" w:rsidR="00E62C96" w:rsidRPr="00D02565" w:rsidRDefault="00E62C96" w:rsidP="00C25359">
            <w:pPr>
              <w:spacing w:before="0" w:after="0"/>
              <w:rPr>
                <w:rFonts w:ascii="Arial Narrow" w:hAnsi="Arial Narrow"/>
              </w:rPr>
            </w:pPr>
            <w:r w:rsidRPr="00D02565">
              <w:rPr>
                <w:rFonts w:ascii="Arial Narrow" w:hAnsi="Arial Narrow"/>
              </w:rPr>
              <w:t xml:space="preserve">Family members* of newborns diagnosed with a P/LP variant(s) in </w:t>
            </w:r>
            <w:r w:rsidRPr="00D02565">
              <w:rPr>
                <w:rFonts w:ascii="Arial Narrow" w:hAnsi="Arial Narrow"/>
                <w:i/>
                <w:iCs/>
              </w:rPr>
              <w:t>ABCD1</w:t>
            </w:r>
            <w:r w:rsidRPr="00D02565">
              <w:rPr>
                <w:rFonts w:ascii="Arial Narrow" w:hAnsi="Arial Narrow"/>
              </w:rPr>
              <w:t xml:space="preserve"> through NBS, and the family members of presenting individuals diagnosed with signs and symptoms of X-ALD (if not already tested following identification through NBS). </w:t>
            </w:r>
          </w:p>
          <w:p w14:paraId="37C79444" w14:textId="77777777" w:rsidR="00E62C96" w:rsidRPr="00D02565" w:rsidRDefault="00E62C96" w:rsidP="00C25359">
            <w:pPr>
              <w:spacing w:before="0" w:after="0"/>
              <w:rPr>
                <w:rFonts w:ascii="Arial Narrow" w:hAnsi="Arial Narrow"/>
              </w:rPr>
            </w:pPr>
            <w:r w:rsidRPr="00D02565">
              <w:rPr>
                <w:rFonts w:ascii="Arial Narrow" w:hAnsi="Arial Narrow"/>
              </w:rPr>
              <w:t xml:space="preserve">Scenario analysis: family members* of newborns with one X chromosome and a P/LP variant in </w:t>
            </w:r>
            <w:r w:rsidRPr="00D02565">
              <w:rPr>
                <w:rFonts w:ascii="Arial Narrow" w:hAnsi="Arial Narrow"/>
                <w:i/>
                <w:iCs/>
              </w:rPr>
              <w:t>ABCD1</w:t>
            </w:r>
            <w:r w:rsidRPr="00D02565">
              <w:rPr>
                <w:rFonts w:ascii="Arial Narrow" w:hAnsi="Arial Narrow"/>
              </w:rPr>
              <w:t>.</w:t>
            </w:r>
          </w:p>
        </w:tc>
      </w:tr>
      <w:tr w:rsidR="00E62C96" w:rsidRPr="00D02565" w14:paraId="456DDABB" w14:textId="77777777" w:rsidTr="00C25359">
        <w:trPr>
          <w:cantSplit/>
        </w:trPr>
        <w:tc>
          <w:tcPr>
            <w:tcW w:w="1056" w:type="pct"/>
          </w:tcPr>
          <w:p w14:paraId="6C1651A2"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Prior testing</w:t>
            </w:r>
          </w:p>
        </w:tc>
        <w:tc>
          <w:tcPr>
            <w:tcW w:w="3944" w:type="pct"/>
          </w:tcPr>
          <w:p w14:paraId="2F46AD29"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Medical and family history</w:t>
            </w:r>
          </w:p>
        </w:tc>
      </w:tr>
      <w:tr w:rsidR="00E62C96" w:rsidRPr="00D02565" w14:paraId="25BDDA62" w14:textId="77777777" w:rsidTr="00C25359">
        <w:trPr>
          <w:cantSplit/>
        </w:trPr>
        <w:tc>
          <w:tcPr>
            <w:tcW w:w="1056" w:type="pct"/>
          </w:tcPr>
          <w:p w14:paraId="226D13CC"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Comparator</w:t>
            </w:r>
          </w:p>
        </w:tc>
        <w:tc>
          <w:tcPr>
            <w:tcW w:w="3944" w:type="pct"/>
          </w:tcPr>
          <w:p w14:paraId="4D9D471C"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Current practice of no cascade testing (cascade testing offered to the family members of presenting individuals diagnosed with signs and symptoms of X-ALD).</w:t>
            </w:r>
          </w:p>
        </w:tc>
      </w:tr>
      <w:tr w:rsidR="00E62C96" w:rsidRPr="00D02565" w14:paraId="52BFDFEF" w14:textId="77777777" w:rsidTr="00C25359">
        <w:trPr>
          <w:cantSplit/>
        </w:trPr>
        <w:tc>
          <w:tcPr>
            <w:tcW w:w="1056" w:type="pct"/>
          </w:tcPr>
          <w:p w14:paraId="7F6FB9F0"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Type of analysis</w:t>
            </w:r>
          </w:p>
        </w:tc>
        <w:tc>
          <w:tcPr>
            <w:tcW w:w="3944" w:type="pct"/>
          </w:tcPr>
          <w:p w14:paraId="7C3D324E"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Cost-effectiveness analysis</w:t>
            </w:r>
          </w:p>
        </w:tc>
      </w:tr>
      <w:tr w:rsidR="00E62C96" w:rsidRPr="00D02565" w14:paraId="4A2348C9" w14:textId="77777777" w:rsidTr="00C25359">
        <w:trPr>
          <w:cantSplit/>
        </w:trPr>
        <w:tc>
          <w:tcPr>
            <w:tcW w:w="1056" w:type="pct"/>
          </w:tcPr>
          <w:p w14:paraId="25FEA892"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Outcomes</w:t>
            </w:r>
          </w:p>
        </w:tc>
        <w:tc>
          <w:tcPr>
            <w:tcW w:w="3944" w:type="pct"/>
          </w:tcPr>
          <w:p w14:paraId="3595AD3A"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Cost per positive diagnosis (identification of the familial P/LP variants from cascade testing)</w:t>
            </w:r>
          </w:p>
        </w:tc>
      </w:tr>
      <w:tr w:rsidR="00E62C96" w:rsidRPr="00D02565" w14:paraId="0A0DCDC1" w14:textId="77777777" w:rsidTr="00C25359">
        <w:trPr>
          <w:cantSplit/>
        </w:trPr>
        <w:tc>
          <w:tcPr>
            <w:tcW w:w="1056" w:type="pct"/>
          </w:tcPr>
          <w:p w14:paraId="46AC2222"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Computational method</w:t>
            </w:r>
          </w:p>
        </w:tc>
        <w:tc>
          <w:tcPr>
            <w:tcW w:w="3944" w:type="pct"/>
          </w:tcPr>
          <w:p w14:paraId="54A64765"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 xml:space="preserve">Decision tree analysis </w:t>
            </w:r>
          </w:p>
        </w:tc>
      </w:tr>
      <w:tr w:rsidR="00E62C96" w:rsidRPr="00D02565" w14:paraId="7C01C05A" w14:textId="77777777" w:rsidTr="00C25359">
        <w:trPr>
          <w:cantSplit/>
        </w:trPr>
        <w:tc>
          <w:tcPr>
            <w:tcW w:w="1056" w:type="pct"/>
          </w:tcPr>
          <w:p w14:paraId="4E9B1358"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Generation of the base case</w:t>
            </w:r>
          </w:p>
        </w:tc>
        <w:tc>
          <w:tcPr>
            <w:tcW w:w="3944" w:type="pct"/>
          </w:tcPr>
          <w:p w14:paraId="2E41F395"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Modelled analysis</w:t>
            </w:r>
          </w:p>
          <w:p w14:paraId="332A6216" w14:textId="3A0C0CBD" w:rsidR="00E62C96" w:rsidRPr="00D02565" w:rsidRDefault="00E62C96" w:rsidP="00C25359">
            <w:pPr>
              <w:keepNext/>
              <w:spacing w:before="0" w:after="0"/>
              <w:rPr>
                <w:rFonts w:ascii="Arial Narrow" w:hAnsi="Arial Narrow"/>
              </w:rPr>
            </w:pPr>
            <w:r w:rsidRPr="009103F1">
              <w:rPr>
                <w:rFonts w:ascii="Arial Narrow" w:hAnsi="Arial Narrow" w:cs="Courier New"/>
                <w:u w:val="single"/>
              </w:rPr>
              <w:t>Step 1:</w:t>
            </w:r>
            <w:r w:rsidRPr="009103F1">
              <w:rPr>
                <w:rFonts w:ascii="Arial Narrow" w:hAnsi="Arial Narrow" w:cs="Courier New"/>
              </w:rPr>
              <w:t xml:space="preserve"> Decision tree reflecting ca</w:t>
            </w:r>
            <w:r>
              <w:rPr>
                <w:rFonts w:ascii="Arial Narrow" w:hAnsi="Arial Narrow" w:cs="Courier New"/>
              </w:rPr>
              <w:t>scade</w:t>
            </w:r>
            <w:r w:rsidRPr="009103F1">
              <w:rPr>
                <w:rFonts w:ascii="Arial Narrow" w:hAnsi="Arial Narrow" w:cs="Courier New"/>
              </w:rPr>
              <w:t xml:space="preserve"> testing of the mother of the </w:t>
            </w:r>
            <w:r>
              <w:rPr>
                <w:rFonts w:ascii="Arial Narrow" w:hAnsi="Arial Narrow" w:cs="Courier New"/>
              </w:rPr>
              <w:t>newborn with positive genotype</w:t>
            </w:r>
            <w:r w:rsidRPr="009103F1">
              <w:rPr>
                <w:rFonts w:ascii="Arial Narrow" w:hAnsi="Arial Narrow" w:cs="Courier New"/>
              </w:rPr>
              <w:t xml:space="preserve"> if male, </w:t>
            </w:r>
            <w:r w:rsidRPr="00D02565">
              <w:rPr>
                <w:rFonts w:ascii="Arial Narrow" w:hAnsi="Arial Narrow"/>
              </w:rPr>
              <w:t xml:space="preserve">or both the father and the mother of the </w:t>
            </w:r>
            <w:r>
              <w:rPr>
                <w:rFonts w:ascii="Arial Narrow" w:hAnsi="Arial Narrow"/>
              </w:rPr>
              <w:t>newborn</w:t>
            </w:r>
            <w:r w:rsidRPr="00D02565">
              <w:rPr>
                <w:rFonts w:ascii="Arial Narrow" w:hAnsi="Arial Narrow"/>
              </w:rPr>
              <w:t xml:space="preserve"> if female, then extending to </w:t>
            </w:r>
            <w:r w:rsidRPr="009103F1">
              <w:rPr>
                <w:rFonts w:ascii="Arial Narrow" w:hAnsi="Arial Narrow"/>
              </w:rPr>
              <w:t>cascade</w:t>
            </w:r>
            <w:r w:rsidRPr="00D02565">
              <w:rPr>
                <w:rFonts w:ascii="Arial Narrow" w:hAnsi="Arial Narrow"/>
              </w:rPr>
              <w:t xml:space="preserve"> testing to the relevant parent’s first-degree relatives (FDRs) upon positive diagnosis. Costs incurred included testing costs only. Estimation of the incremental cost per positive diagnosis.</w:t>
            </w:r>
          </w:p>
        </w:tc>
      </w:tr>
      <w:tr w:rsidR="00E62C96" w:rsidRPr="00D02565" w14:paraId="4FBC740D" w14:textId="77777777" w:rsidTr="00C25359">
        <w:trPr>
          <w:cantSplit/>
        </w:trPr>
        <w:tc>
          <w:tcPr>
            <w:tcW w:w="1056" w:type="pct"/>
          </w:tcPr>
          <w:p w14:paraId="6A3D3F25"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Health states</w:t>
            </w:r>
          </w:p>
        </w:tc>
        <w:tc>
          <w:tcPr>
            <w:tcW w:w="3944" w:type="pct"/>
          </w:tcPr>
          <w:p w14:paraId="4AAC516C"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None</w:t>
            </w:r>
          </w:p>
        </w:tc>
      </w:tr>
      <w:tr w:rsidR="00E62C96" w:rsidRPr="00D02565" w14:paraId="7DB6EC7E" w14:textId="77777777" w:rsidTr="00C25359">
        <w:trPr>
          <w:cantSplit/>
        </w:trPr>
        <w:tc>
          <w:tcPr>
            <w:tcW w:w="1056" w:type="pct"/>
          </w:tcPr>
          <w:p w14:paraId="0BBCEC12"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Cycle length</w:t>
            </w:r>
          </w:p>
        </w:tc>
        <w:tc>
          <w:tcPr>
            <w:tcW w:w="3944" w:type="pct"/>
          </w:tcPr>
          <w:p w14:paraId="69B91DBE"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Not applicable</w:t>
            </w:r>
          </w:p>
        </w:tc>
      </w:tr>
      <w:tr w:rsidR="00E62C96" w:rsidRPr="00D02565" w14:paraId="1A6E0353" w14:textId="77777777" w:rsidTr="00C25359">
        <w:trPr>
          <w:cantSplit/>
        </w:trPr>
        <w:tc>
          <w:tcPr>
            <w:tcW w:w="1056" w:type="pct"/>
          </w:tcPr>
          <w:p w14:paraId="6D9BA23F"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Transition probabilities</w:t>
            </w:r>
          </w:p>
        </w:tc>
        <w:tc>
          <w:tcPr>
            <w:tcW w:w="3944" w:type="pct"/>
          </w:tcPr>
          <w:p w14:paraId="06AC2A20" w14:textId="77777777" w:rsidR="00E62C96" w:rsidRPr="00D02565" w:rsidRDefault="00E62C96" w:rsidP="00C25359">
            <w:pPr>
              <w:keepNext/>
              <w:spacing w:before="0" w:after="0"/>
              <w:rPr>
                <w:rFonts w:ascii="Arial Narrow" w:hAnsi="Arial Narrow"/>
              </w:rPr>
            </w:pPr>
            <w:r w:rsidRPr="00D02565">
              <w:rPr>
                <w:rFonts w:ascii="Arial Narrow" w:hAnsi="Arial Narrow" w:cs="Courier New"/>
              </w:rPr>
              <w:t>The probability of inheriting the familial variant was based on the X-linked pattern of inheritance.</w:t>
            </w:r>
            <w:r w:rsidRPr="00D02565">
              <w:rPr>
                <w:rFonts w:ascii="Arial Narrow" w:hAnsi="Arial Narrow"/>
              </w:rPr>
              <w:t xml:space="preserve"> </w:t>
            </w:r>
          </w:p>
          <w:p w14:paraId="15D8BC02" w14:textId="3964D613" w:rsidR="00E62C96" w:rsidRPr="00D02565" w:rsidRDefault="00E62C96" w:rsidP="00C25359">
            <w:pPr>
              <w:keepNext/>
              <w:spacing w:before="0" w:after="0"/>
              <w:rPr>
                <w:rFonts w:ascii="Arial Narrow" w:hAnsi="Arial Narrow"/>
              </w:rPr>
            </w:pPr>
            <w:r w:rsidRPr="00D02565">
              <w:rPr>
                <w:rFonts w:ascii="Arial Narrow" w:hAnsi="Arial Narrow"/>
              </w:rPr>
              <w:t>The uptake rates of the mother, father and FDRs were assumed to be the same</w:t>
            </w:r>
            <w:r>
              <w:rPr>
                <w:rFonts w:ascii="Arial Narrow" w:hAnsi="Arial Narrow"/>
              </w:rPr>
              <w:t xml:space="preserve">, using the uptake rate of cystic fibrosis </w:t>
            </w:r>
            <w:r w:rsidR="007F08B1">
              <w:rPr>
                <w:rFonts w:ascii="Arial Narrow" w:hAnsi="Arial Narrow"/>
              </w:rPr>
              <w:t xml:space="preserve">cascade testing </w:t>
            </w:r>
            <w:r>
              <w:rPr>
                <w:rFonts w:ascii="Arial Narrow" w:hAnsi="Arial Narrow"/>
              </w:rPr>
              <w:t xml:space="preserve">as </w:t>
            </w:r>
            <w:r w:rsidR="007F08B1">
              <w:rPr>
                <w:rFonts w:ascii="Arial Narrow" w:hAnsi="Arial Narrow"/>
              </w:rPr>
              <w:t xml:space="preserve">a </w:t>
            </w:r>
            <w:r>
              <w:rPr>
                <w:rFonts w:ascii="Arial Narrow" w:hAnsi="Arial Narrow"/>
              </w:rPr>
              <w:t>proxy (as advised by the Department)</w:t>
            </w:r>
          </w:p>
          <w:p w14:paraId="36B15CEA" w14:textId="77777777" w:rsidR="00E62C96" w:rsidRPr="00D02565" w:rsidRDefault="00E62C96" w:rsidP="00C25359">
            <w:pPr>
              <w:keepNext/>
              <w:spacing w:before="0" w:after="0"/>
              <w:rPr>
                <w:rFonts w:ascii="Arial Narrow" w:hAnsi="Arial Narrow"/>
              </w:rPr>
            </w:pPr>
            <w:r w:rsidRPr="00D02565">
              <w:rPr>
                <w:rFonts w:ascii="Arial Narrow" w:hAnsi="Arial Narrow"/>
              </w:rPr>
              <w:t xml:space="preserve">Only the father’s daughter(s) aged 16 years and over were offered </w:t>
            </w:r>
            <w:r>
              <w:rPr>
                <w:rFonts w:ascii="Arial Narrow" w:hAnsi="Arial Narrow"/>
              </w:rPr>
              <w:t>cascade</w:t>
            </w:r>
            <w:r w:rsidRPr="00D02565">
              <w:rPr>
                <w:rFonts w:ascii="Arial Narrow" w:hAnsi="Arial Narrow"/>
              </w:rPr>
              <w:t xml:space="preserve"> testing.</w:t>
            </w:r>
          </w:p>
          <w:p w14:paraId="4D463BB9" w14:textId="7B2AB016" w:rsidR="00E62C96" w:rsidRPr="00D02565" w:rsidRDefault="00E62C96" w:rsidP="00C25359">
            <w:pPr>
              <w:keepNext/>
              <w:spacing w:before="0" w:after="0"/>
              <w:rPr>
                <w:rFonts w:ascii="Arial Narrow" w:hAnsi="Arial Narrow" w:cs="Courier New"/>
              </w:rPr>
            </w:pPr>
            <w:r w:rsidRPr="00D02565">
              <w:rPr>
                <w:rFonts w:ascii="Arial Narrow" w:hAnsi="Arial Narrow"/>
              </w:rPr>
              <w:t>The p</w:t>
            </w:r>
            <w:r w:rsidRPr="00D02565">
              <w:rPr>
                <w:rFonts w:ascii="Arial Narrow" w:hAnsi="Arial Narrow" w:cs="Courier New"/>
              </w:rPr>
              <w:t xml:space="preserve">roportion of </w:t>
            </w:r>
            <w:r>
              <w:rPr>
                <w:rFonts w:ascii="Arial Narrow" w:hAnsi="Arial Narrow" w:cs="Courier New"/>
              </w:rPr>
              <w:t>newborns with positive genotype</w:t>
            </w:r>
            <w:r w:rsidRPr="00D02565">
              <w:rPr>
                <w:rFonts w:ascii="Arial Narrow" w:hAnsi="Arial Narrow" w:cs="Courier New"/>
              </w:rPr>
              <w:t xml:space="preserve"> who are male was assumed to be the same as the </w:t>
            </w:r>
            <w:r>
              <w:rPr>
                <w:rFonts w:ascii="Arial Narrow" w:hAnsi="Arial Narrow" w:cs="Courier New"/>
              </w:rPr>
              <w:t>sex</w:t>
            </w:r>
            <w:r w:rsidRPr="00D02565">
              <w:rPr>
                <w:rFonts w:ascii="Arial Narrow" w:hAnsi="Arial Narrow" w:cs="Courier New"/>
              </w:rPr>
              <w:t xml:space="preserve"> distribution in newborns.</w:t>
            </w:r>
          </w:p>
        </w:tc>
      </w:tr>
      <w:tr w:rsidR="00E62C96" w:rsidRPr="00D02565" w14:paraId="43E1F948" w14:textId="77777777" w:rsidTr="00C25359">
        <w:trPr>
          <w:cantSplit/>
        </w:trPr>
        <w:tc>
          <w:tcPr>
            <w:tcW w:w="1056" w:type="pct"/>
          </w:tcPr>
          <w:p w14:paraId="098235D6"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Discount rate</w:t>
            </w:r>
          </w:p>
        </w:tc>
        <w:tc>
          <w:tcPr>
            <w:tcW w:w="3944" w:type="pct"/>
          </w:tcPr>
          <w:p w14:paraId="63580C6F" w14:textId="77777777" w:rsidR="00E62C96" w:rsidRPr="00D02565" w:rsidRDefault="00E62C96" w:rsidP="00C25359">
            <w:pPr>
              <w:keepNext/>
              <w:spacing w:before="0" w:after="0"/>
              <w:rPr>
                <w:rFonts w:ascii="Arial Narrow" w:hAnsi="Arial Narrow"/>
              </w:rPr>
            </w:pPr>
            <w:r w:rsidRPr="00D02565">
              <w:rPr>
                <w:rFonts w:ascii="Arial Narrow" w:hAnsi="Arial Narrow"/>
              </w:rPr>
              <w:t>None</w:t>
            </w:r>
          </w:p>
        </w:tc>
      </w:tr>
      <w:tr w:rsidR="00E62C96" w:rsidRPr="00D02565" w14:paraId="6ED7BE0A" w14:textId="77777777" w:rsidTr="00C25359">
        <w:trPr>
          <w:cantSplit/>
        </w:trPr>
        <w:tc>
          <w:tcPr>
            <w:tcW w:w="1056" w:type="pct"/>
          </w:tcPr>
          <w:p w14:paraId="4F251BC4"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Software</w:t>
            </w:r>
          </w:p>
        </w:tc>
        <w:tc>
          <w:tcPr>
            <w:tcW w:w="3944" w:type="pct"/>
          </w:tcPr>
          <w:p w14:paraId="5DA71B86" w14:textId="77777777" w:rsidR="00E62C96" w:rsidRPr="00D02565" w:rsidRDefault="00E62C96" w:rsidP="00C25359">
            <w:pPr>
              <w:keepNext/>
              <w:spacing w:before="0" w:after="0"/>
              <w:rPr>
                <w:rFonts w:ascii="Arial Narrow" w:hAnsi="Arial Narrow" w:cs="Courier New"/>
              </w:rPr>
            </w:pPr>
            <w:r w:rsidRPr="00D02565">
              <w:rPr>
                <w:rFonts w:ascii="Arial Narrow" w:hAnsi="Arial Narrow" w:cs="Courier New"/>
              </w:rPr>
              <w:t>TreeAge Pro 2023</w:t>
            </w:r>
          </w:p>
        </w:tc>
      </w:tr>
    </w:tbl>
    <w:p w14:paraId="65A28815" w14:textId="77777777" w:rsidR="00E62C96" w:rsidRDefault="00E62C96" w:rsidP="00B24FF3">
      <w:pPr>
        <w:tabs>
          <w:tab w:val="left" w:pos="284"/>
        </w:tabs>
        <w:spacing w:before="0" w:after="0" w:line="240" w:lineRule="auto"/>
        <w:rPr>
          <w:rFonts w:ascii="Arial Narrow" w:eastAsia="Times New Roman" w:hAnsi="Arial Narrow" w:cs="Arial"/>
          <w:snapToGrid w:val="0"/>
          <w:sz w:val="18"/>
          <w:lang w:eastAsia="en-AU"/>
        </w:rPr>
      </w:pPr>
      <w:r w:rsidRPr="00D02565">
        <w:rPr>
          <w:rFonts w:ascii="Arial Narrow" w:eastAsia="Times New Roman" w:hAnsi="Arial Narrow" w:cs="Arial"/>
          <w:snapToGrid w:val="0"/>
          <w:sz w:val="18"/>
          <w:lang w:eastAsia="en-AU"/>
        </w:rPr>
        <w:t>FDRs = First degree relatives; NBS = Newborn bloodspot screening; P/LP = pathogenic or likely pathogenic; X-ALD = X-linked adrenoleukodystrophy.</w:t>
      </w:r>
    </w:p>
    <w:p w14:paraId="04A6C648" w14:textId="38931B24" w:rsidR="00253046" w:rsidRPr="00D02565" w:rsidRDefault="00253046" w:rsidP="00B24FF3">
      <w:pPr>
        <w:tabs>
          <w:tab w:val="left" w:pos="284"/>
        </w:tabs>
        <w:spacing w:before="0" w:after="360" w:line="240" w:lineRule="auto"/>
        <w:rPr>
          <w:rFonts w:ascii="Arial Narrow" w:eastAsia="Times New Roman" w:hAnsi="Arial Narrow" w:cs="Arial"/>
          <w:snapToGrid w:val="0"/>
          <w:sz w:val="18"/>
          <w:lang w:eastAsia="en-AU"/>
        </w:rPr>
      </w:pPr>
      <w:r>
        <w:rPr>
          <w:rFonts w:ascii="Arial Narrow" w:eastAsia="Times New Roman" w:hAnsi="Arial Narrow" w:cs="Arial"/>
          <w:snapToGrid w:val="0"/>
          <w:sz w:val="18"/>
          <w:lang w:eastAsia="en-AU"/>
        </w:rPr>
        <w:t>Source: DCAR Table 11.</w:t>
      </w:r>
    </w:p>
    <w:bookmarkStart w:id="55" w:name="_Ref130240869"/>
    <w:p w14:paraId="3AD95D67" w14:textId="13BB1667" w:rsidR="00B436E1" w:rsidRPr="00B24FF3" w:rsidRDefault="00C95193" w:rsidP="00B24FF3">
      <w:pPr>
        <w:spacing w:before="240" w:after="240"/>
        <w:rPr>
          <w:rFonts w:eastAsia="Calibri" w:cs="Times New Roman"/>
        </w:rPr>
      </w:pPr>
      <w:r w:rsidRPr="00C95193">
        <w:rPr>
          <w:rFonts w:eastAsia="Calibri" w:cs="Times New Roman"/>
        </w:rPr>
        <w:fldChar w:fldCharType="begin"/>
      </w:r>
      <w:r w:rsidRPr="00C95193">
        <w:rPr>
          <w:rFonts w:eastAsia="Calibri" w:cs="Times New Roman"/>
        </w:rPr>
        <w:instrText xml:space="preserve"> REF _Ref138253992 \h  \* MERGEFORMAT </w:instrText>
      </w:r>
      <w:r w:rsidRPr="00C95193">
        <w:rPr>
          <w:rFonts w:eastAsia="Calibri" w:cs="Times New Roman"/>
        </w:rPr>
      </w:r>
      <w:r w:rsidRPr="00C95193">
        <w:rPr>
          <w:rFonts w:eastAsia="Calibri" w:cs="Times New Roman"/>
        </w:rPr>
        <w:fldChar w:fldCharType="separate"/>
      </w:r>
      <w:r w:rsidR="00253978" w:rsidRPr="00253978">
        <w:rPr>
          <w:rFonts w:eastAsia="Times New Roman" w:cs="Times New Roman"/>
        </w:rPr>
        <w:t>Table 15</w:t>
      </w:r>
      <w:r w:rsidRPr="00C95193">
        <w:rPr>
          <w:rFonts w:eastAsia="Calibri" w:cs="Times New Roman"/>
        </w:rPr>
        <w:fldChar w:fldCharType="end"/>
      </w:r>
      <w:r w:rsidRPr="00C95193">
        <w:rPr>
          <w:rFonts w:eastAsia="Calibri" w:cs="Times New Roman"/>
        </w:rPr>
        <w:t xml:space="preserve"> </w:t>
      </w:r>
      <w:r w:rsidR="00B436E1" w:rsidRPr="00C95193">
        <w:rPr>
          <w:rFonts w:eastAsia="Calibri" w:cs="Times New Roman"/>
        </w:rPr>
        <w:t>pres</w:t>
      </w:r>
      <w:r w:rsidR="00B436E1" w:rsidRPr="00B24FF3">
        <w:rPr>
          <w:rFonts w:eastAsia="Calibri" w:cs="Times New Roman"/>
        </w:rPr>
        <w:t xml:space="preserve">ents the base case results and scenario analysis (male-only NBS screen for X-ALD) for PICO set 2. </w:t>
      </w:r>
    </w:p>
    <w:p w14:paraId="3FE11913" w14:textId="77777777" w:rsidR="00B436E1" w:rsidRPr="00B24FF3" w:rsidRDefault="00B436E1" w:rsidP="00B24FF3">
      <w:pPr>
        <w:spacing w:before="240" w:after="240"/>
        <w:rPr>
          <w:rFonts w:eastAsia="Calibri" w:cs="Times New Roman"/>
        </w:rPr>
      </w:pPr>
      <w:r w:rsidRPr="00B24FF3">
        <w:rPr>
          <w:rFonts w:eastAsia="Calibri" w:cs="Times New Roman"/>
        </w:rPr>
        <w:t xml:space="preserve">The incremental cost-effectiveness of offering cascade testing to the family members of newborns diagnosed with a P/LP variant in </w:t>
      </w:r>
      <w:r w:rsidRPr="00B24FF3">
        <w:rPr>
          <w:rFonts w:eastAsia="Calibri" w:cs="Times New Roman"/>
          <w:i/>
          <w:iCs/>
        </w:rPr>
        <w:t>ABCD1</w:t>
      </w:r>
      <w:r w:rsidRPr="00B24FF3">
        <w:rPr>
          <w:rFonts w:eastAsia="Calibri" w:cs="Times New Roman"/>
        </w:rPr>
        <w:t xml:space="preserve"> through NBS was estimated to be $8,789.16 per positive diagnosis through cascade testing. The expected cost-effectiveness decreased slightly to $6,688.91 per positive diagnosis when an X-counter was used prior resulting in considerations of the family members of male newborns with positive genotype only.</w:t>
      </w:r>
    </w:p>
    <w:p w14:paraId="274B709C" w14:textId="787A531C" w:rsidR="00E62C96" w:rsidRPr="00D02565" w:rsidRDefault="00E62C96" w:rsidP="00E62C96">
      <w:pPr>
        <w:keepNext/>
        <w:spacing w:before="360" w:after="120" w:line="240" w:lineRule="auto"/>
        <w:rPr>
          <w:rFonts w:ascii="Arial Narrow" w:eastAsia="Times New Roman" w:hAnsi="Arial Narrow" w:cs="Times New Roman"/>
          <w:b/>
          <w:bCs/>
          <w:sz w:val="20"/>
          <w:szCs w:val="20"/>
        </w:rPr>
      </w:pPr>
      <w:bookmarkStart w:id="56" w:name="_Ref138253992"/>
      <w:bookmarkStart w:id="57" w:name="_Ref138253987"/>
      <w:r w:rsidRPr="00D02565">
        <w:rPr>
          <w:rFonts w:ascii="Arial Narrow" w:eastAsia="Times New Roman" w:hAnsi="Arial Narrow" w:cs="Times New Roman"/>
          <w:b/>
          <w:bCs/>
          <w:sz w:val="20"/>
          <w:szCs w:val="20"/>
        </w:rPr>
        <w:lastRenderedPageBreak/>
        <w:t>Table </w:t>
      </w:r>
      <w:r w:rsidRPr="00D02565">
        <w:rPr>
          <w:rFonts w:ascii="Arial Narrow" w:eastAsia="Times New Roman" w:hAnsi="Arial Narrow" w:cs="Times New Roman"/>
          <w:b/>
          <w:bCs/>
          <w:sz w:val="20"/>
          <w:szCs w:val="20"/>
        </w:rPr>
        <w:fldChar w:fldCharType="begin"/>
      </w:r>
      <w:r w:rsidRPr="00D02565">
        <w:rPr>
          <w:rFonts w:ascii="Arial Narrow" w:eastAsia="Times New Roman" w:hAnsi="Arial Narrow" w:cs="Times New Roman"/>
          <w:b/>
          <w:bCs/>
          <w:sz w:val="20"/>
          <w:szCs w:val="20"/>
        </w:rPr>
        <w:instrText>SEQ Table \* ARABIC</w:instrText>
      </w:r>
      <w:r w:rsidRPr="00D02565">
        <w:rPr>
          <w:rFonts w:ascii="Arial Narrow" w:eastAsia="Times New Roman" w:hAnsi="Arial Narrow" w:cs="Times New Roman"/>
          <w:b/>
          <w:bCs/>
          <w:sz w:val="20"/>
          <w:szCs w:val="20"/>
        </w:rPr>
        <w:fldChar w:fldCharType="separate"/>
      </w:r>
      <w:r w:rsidR="00253978">
        <w:rPr>
          <w:rFonts w:ascii="Arial Narrow" w:eastAsia="Times New Roman" w:hAnsi="Arial Narrow" w:cs="Times New Roman"/>
          <w:b/>
          <w:bCs/>
          <w:noProof/>
          <w:sz w:val="20"/>
          <w:szCs w:val="20"/>
        </w:rPr>
        <w:t>15</w:t>
      </w:r>
      <w:r w:rsidRPr="00D02565">
        <w:rPr>
          <w:rFonts w:ascii="Arial Narrow" w:eastAsia="Times New Roman" w:hAnsi="Arial Narrow" w:cs="Times New Roman"/>
          <w:b/>
          <w:bCs/>
          <w:sz w:val="20"/>
          <w:szCs w:val="20"/>
        </w:rPr>
        <w:fldChar w:fldCharType="end"/>
      </w:r>
      <w:bookmarkEnd w:id="55"/>
      <w:bookmarkEnd w:id="56"/>
      <w:r w:rsidRPr="00D02565">
        <w:rPr>
          <w:rFonts w:ascii="Arial Narrow" w:eastAsia="Times New Roman" w:hAnsi="Arial Narrow" w:cs="Times New Roman"/>
          <w:b/>
          <w:bCs/>
          <w:sz w:val="20"/>
          <w:szCs w:val="20"/>
        </w:rPr>
        <w:tab/>
        <w:t xml:space="preserve">Base case results and scenario analysis </w:t>
      </w:r>
      <w:r w:rsidR="00253046">
        <w:rPr>
          <w:rFonts w:ascii="Arial Narrow" w:eastAsia="Times New Roman" w:hAnsi="Arial Narrow" w:cs="Times New Roman"/>
          <w:b/>
          <w:bCs/>
          <w:sz w:val="20"/>
          <w:szCs w:val="20"/>
        </w:rPr>
        <w:t>(</w:t>
      </w:r>
      <w:r w:rsidRPr="00D02565">
        <w:rPr>
          <w:rFonts w:ascii="Arial Narrow" w:eastAsia="Times New Roman" w:hAnsi="Arial Narrow" w:cs="Times New Roman"/>
          <w:b/>
          <w:bCs/>
          <w:sz w:val="20"/>
          <w:szCs w:val="20"/>
        </w:rPr>
        <w:t xml:space="preserve">PICO </w:t>
      </w:r>
      <w:r>
        <w:rPr>
          <w:rFonts w:ascii="Arial Narrow" w:eastAsia="Times New Roman" w:hAnsi="Arial Narrow" w:cs="Times New Roman"/>
          <w:b/>
          <w:bCs/>
          <w:sz w:val="20"/>
          <w:szCs w:val="20"/>
        </w:rPr>
        <w:t xml:space="preserve">set </w:t>
      </w:r>
      <w:r w:rsidRPr="00D02565">
        <w:rPr>
          <w:rFonts w:ascii="Arial Narrow" w:eastAsia="Times New Roman" w:hAnsi="Arial Narrow" w:cs="Times New Roman"/>
          <w:b/>
          <w:bCs/>
          <w:sz w:val="20"/>
          <w:szCs w:val="20"/>
        </w:rPr>
        <w:t>2</w:t>
      </w:r>
      <w:r w:rsidR="00253046">
        <w:rPr>
          <w:rFonts w:ascii="Arial Narrow" w:eastAsia="Times New Roman" w:hAnsi="Arial Narrow" w:cs="Times New Roman"/>
          <w:b/>
          <w:bCs/>
          <w:sz w:val="20"/>
          <w:szCs w:val="20"/>
        </w:rPr>
        <w:t>)</w:t>
      </w:r>
      <w:bookmarkEnd w:id="57"/>
    </w:p>
    <w:tbl>
      <w:tblPr>
        <w:tblStyle w:val="TableGrid1"/>
        <w:tblW w:w="5000" w:type="pct"/>
        <w:tblLook w:val="04A0" w:firstRow="1" w:lastRow="0" w:firstColumn="1" w:lastColumn="0" w:noHBand="0" w:noVBand="1"/>
      </w:tblPr>
      <w:tblGrid>
        <w:gridCol w:w="3920"/>
        <w:gridCol w:w="1603"/>
        <w:gridCol w:w="1560"/>
        <w:gridCol w:w="1933"/>
      </w:tblGrid>
      <w:tr w:rsidR="00E62C96" w:rsidRPr="00D02565" w14:paraId="6A788180" w14:textId="77777777" w:rsidTr="00C25359">
        <w:trPr>
          <w:cnfStyle w:val="100000000000" w:firstRow="1" w:lastRow="0" w:firstColumn="0" w:lastColumn="0" w:oddVBand="0" w:evenVBand="0" w:oddHBand="0" w:evenHBand="0" w:firstRowFirstColumn="0" w:firstRowLastColumn="0" w:lastRowFirstColumn="0" w:lastRowLastColumn="0"/>
          <w:tblHeader/>
        </w:trPr>
        <w:tc>
          <w:tcPr>
            <w:tcW w:w="2174" w:type="pct"/>
            <w:tcBorders>
              <w:bottom w:val="single" w:sz="4" w:space="0" w:color="auto"/>
            </w:tcBorders>
          </w:tcPr>
          <w:p w14:paraId="142BE87E" w14:textId="77777777" w:rsidR="00E62C96" w:rsidRPr="00D02565" w:rsidRDefault="00E62C96" w:rsidP="00C25359">
            <w:pPr>
              <w:keepNext/>
              <w:spacing w:before="0" w:after="0"/>
              <w:rPr>
                <w:rFonts w:ascii="Arial Narrow" w:hAnsi="Arial Narrow"/>
                <w:b/>
              </w:rPr>
            </w:pPr>
          </w:p>
        </w:tc>
        <w:tc>
          <w:tcPr>
            <w:tcW w:w="889" w:type="pct"/>
            <w:tcBorders>
              <w:bottom w:val="single" w:sz="4" w:space="0" w:color="auto"/>
            </w:tcBorders>
          </w:tcPr>
          <w:p w14:paraId="7382D8C0" w14:textId="77777777" w:rsidR="00E62C96" w:rsidRPr="00D02565" w:rsidRDefault="00E62C96" w:rsidP="00C25359">
            <w:pPr>
              <w:keepNext/>
              <w:spacing w:before="0" w:after="0"/>
              <w:jc w:val="center"/>
              <w:rPr>
                <w:rFonts w:ascii="Arial Narrow" w:hAnsi="Arial Narrow"/>
                <w:b/>
              </w:rPr>
            </w:pPr>
            <w:r w:rsidRPr="00D02565">
              <w:rPr>
                <w:rFonts w:ascii="Arial Narrow" w:hAnsi="Arial Narrow"/>
                <w:b/>
              </w:rPr>
              <w:t xml:space="preserve">Proposed </w:t>
            </w:r>
          </w:p>
        </w:tc>
        <w:tc>
          <w:tcPr>
            <w:tcW w:w="865" w:type="pct"/>
            <w:tcBorders>
              <w:bottom w:val="single" w:sz="4" w:space="0" w:color="auto"/>
            </w:tcBorders>
          </w:tcPr>
          <w:p w14:paraId="7DC239AE" w14:textId="77777777" w:rsidR="00E62C96" w:rsidRPr="00D02565" w:rsidRDefault="00E62C96" w:rsidP="00C25359">
            <w:pPr>
              <w:keepNext/>
              <w:spacing w:before="0" w:after="0"/>
              <w:jc w:val="center"/>
              <w:rPr>
                <w:rFonts w:ascii="Arial Narrow" w:hAnsi="Arial Narrow"/>
                <w:b/>
              </w:rPr>
            </w:pPr>
            <w:r w:rsidRPr="00D02565">
              <w:rPr>
                <w:rFonts w:ascii="Arial Narrow" w:hAnsi="Arial Narrow"/>
                <w:b/>
              </w:rPr>
              <w:t>Current</w:t>
            </w:r>
          </w:p>
        </w:tc>
        <w:tc>
          <w:tcPr>
            <w:tcW w:w="1072" w:type="pct"/>
            <w:tcBorders>
              <w:bottom w:val="single" w:sz="4" w:space="0" w:color="auto"/>
            </w:tcBorders>
          </w:tcPr>
          <w:p w14:paraId="1F2BB2D6" w14:textId="77777777" w:rsidR="00E62C96" w:rsidRPr="00D02565" w:rsidRDefault="00E62C96" w:rsidP="00C25359">
            <w:pPr>
              <w:keepNext/>
              <w:spacing w:before="0" w:after="0"/>
              <w:jc w:val="center"/>
              <w:rPr>
                <w:rFonts w:ascii="Arial Narrow" w:hAnsi="Arial Narrow"/>
                <w:b/>
              </w:rPr>
            </w:pPr>
            <w:r w:rsidRPr="00D02565">
              <w:rPr>
                <w:rFonts w:ascii="Arial Narrow" w:hAnsi="Arial Narrow"/>
                <w:b/>
              </w:rPr>
              <w:t xml:space="preserve">Increment </w:t>
            </w:r>
          </w:p>
        </w:tc>
      </w:tr>
      <w:tr w:rsidR="00E62C96" w:rsidRPr="00D02565" w14:paraId="320FD119" w14:textId="77777777" w:rsidTr="00C25359">
        <w:tc>
          <w:tcPr>
            <w:tcW w:w="2174" w:type="pct"/>
            <w:tcBorders>
              <w:right w:val="nil"/>
            </w:tcBorders>
          </w:tcPr>
          <w:p w14:paraId="2C0CE976" w14:textId="77777777" w:rsidR="00E62C96" w:rsidRPr="00D02565" w:rsidRDefault="00E62C96" w:rsidP="00C25359">
            <w:pPr>
              <w:keepNext/>
              <w:spacing w:before="0" w:after="0"/>
              <w:rPr>
                <w:rFonts w:ascii="Arial Narrow" w:hAnsi="Arial Narrow"/>
                <w:b/>
                <w:bCs/>
              </w:rPr>
            </w:pPr>
            <w:r w:rsidRPr="00D02565">
              <w:rPr>
                <w:rFonts w:ascii="Arial Narrow" w:hAnsi="Arial Narrow"/>
                <w:b/>
                <w:bCs/>
              </w:rPr>
              <w:t>Base case</w:t>
            </w:r>
          </w:p>
        </w:tc>
        <w:tc>
          <w:tcPr>
            <w:tcW w:w="889" w:type="pct"/>
            <w:tcBorders>
              <w:left w:val="nil"/>
              <w:right w:val="nil"/>
            </w:tcBorders>
          </w:tcPr>
          <w:p w14:paraId="0665252B" w14:textId="77777777" w:rsidR="00E62C96" w:rsidRPr="00D02565" w:rsidRDefault="00E62C96" w:rsidP="00C25359">
            <w:pPr>
              <w:keepNext/>
              <w:spacing w:before="0" w:after="0"/>
              <w:jc w:val="center"/>
              <w:rPr>
                <w:rFonts w:ascii="Arial Narrow" w:hAnsi="Arial Narrow"/>
                <w:b/>
                <w:bCs/>
              </w:rPr>
            </w:pPr>
          </w:p>
        </w:tc>
        <w:tc>
          <w:tcPr>
            <w:tcW w:w="865" w:type="pct"/>
            <w:tcBorders>
              <w:left w:val="nil"/>
              <w:right w:val="nil"/>
            </w:tcBorders>
          </w:tcPr>
          <w:p w14:paraId="714F992B" w14:textId="77777777" w:rsidR="00E62C96" w:rsidRPr="00D02565" w:rsidRDefault="00E62C96" w:rsidP="00C25359">
            <w:pPr>
              <w:keepNext/>
              <w:spacing w:before="0" w:after="0"/>
              <w:jc w:val="center"/>
              <w:rPr>
                <w:rFonts w:ascii="Arial Narrow" w:hAnsi="Arial Narrow"/>
                <w:b/>
                <w:bCs/>
              </w:rPr>
            </w:pPr>
          </w:p>
        </w:tc>
        <w:tc>
          <w:tcPr>
            <w:tcW w:w="1072" w:type="pct"/>
            <w:tcBorders>
              <w:left w:val="nil"/>
            </w:tcBorders>
          </w:tcPr>
          <w:p w14:paraId="15B3E974" w14:textId="77777777" w:rsidR="00E62C96" w:rsidRPr="00D02565" w:rsidRDefault="00E62C96" w:rsidP="00C25359">
            <w:pPr>
              <w:keepNext/>
              <w:spacing w:before="0" w:after="0"/>
              <w:jc w:val="center"/>
              <w:rPr>
                <w:rFonts w:ascii="Arial Narrow" w:hAnsi="Arial Narrow"/>
                <w:b/>
                <w:bCs/>
              </w:rPr>
            </w:pPr>
          </w:p>
        </w:tc>
      </w:tr>
      <w:tr w:rsidR="00E62C96" w:rsidRPr="00D02565" w14:paraId="10322937" w14:textId="77777777" w:rsidTr="00C25359">
        <w:tc>
          <w:tcPr>
            <w:tcW w:w="2174" w:type="pct"/>
          </w:tcPr>
          <w:p w14:paraId="23D56A46" w14:textId="77777777" w:rsidR="00E62C96" w:rsidRPr="00D02565" w:rsidRDefault="00E62C96" w:rsidP="00C25359">
            <w:pPr>
              <w:keepNext/>
              <w:spacing w:before="0" w:after="0"/>
              <w:rPr>
                <w:rFonts w:ascii="Arial Narrow" w:hAnsi="Arial Narrow"/>
              </w:rPr>
            </w:pPr>
            <w:r w:rsidRPr="00D02565">
              <w:rPr>
                <w:rFonts w:ascii="Arial Narrow" w:hAnsi="Arial Narrow"/>
              </w:rPr>
              <w:t>Cost</w:t>
            </w:r>
          </w:p>
        </w:tc>
        <w:tc>
          <w:tcPr>
            <w:tcW w:w="889" w:type="pct"/>
          </w:tcPr>
          <w:p w14:paraId="4D5AD021" w14:textId="2FB2323B" w:rsidR="00E62C96" w:rsidRPr="00D02565" w:rsidRDefault="00E62C96" w:rsidP="00C25359">
            <w:pPr>
              <w:keepNext/>
              <w:spacing w:before="0" w:after="0"/>
              <w:jc w:val="center"/>
              <w:rPr>
                <w:rFonts w:ascii="Arial Narrow" w:hAnsi="Arial Narrow"/>
              </w:rPr>
            </w:pPr>
            <w:r w:rsidRPr="00D02565">
              <w:rPr>
                <w:rFonts w:ascii="Arial Narrow" w:hAnsi="Arial Narrow"/>
              </w:rPr>
              <w:t>$</w:t>
            </w:r>
            <w:r>
              <w:rPr>
                <w:rFonts w:ascii="Arial Narrow" w:hAnsi="Arial Narrow"/>
              </w:rPr>
              <w:t>2,373.07</w:t>
            </w:r>
          </w:p>
        </w:tc>
        <w:tc>
          <w:tcPr>
            <w:tcW w:w="865" w:type="pct"/>
          </w:tcPr>
          <w:p w14:paraId="2FEF4D84" w14:textId="77777777" w:rsidR="00E62C96" w:rsidRPr="00D02565" w:rsidRDefault="00E62C96" w:rsidP="00C25359">
            <w:pPr>
              <w:keepNext/>
              <w:spacing w:before="0" w:after="0"/>
              <w:jc w:val="center"/>
              <w:rPr>
                <w:rFonts w:ascii="Arial Narrow" w:hAnsi="Arial Narrow"/>
              </w:rPr>
            </w:pPr>
            <w:r w:rsidRPr="00D02565">
              <w:rPr>
                <w:rFonts w:ascii="Arial Narrow" w:hAnsi="Arial Narrow"/>
              </w:rPr>
              <w:t>$0</w:t>
            </w:r>
          </w:p>
        </w:tc>
        <w:tc>
          <w:tcPr>
            <w:tcW w:w="1072" w:type="pct"/>
          </w:tcPr>
          <w:p w14:paraId="0A7D9E64" w14:textId="623DD893" w:rsidR="00E62C96" w:rsidRPr="00D02565" w:rsidRDefault="00E62C96" w:rsidP="00C25359">
            <w:pPr>
              <w:keepNext/>
              <w:spacing w:before="0" w:after="0"/>
              <w:jc w:val="center"/>
              <w:rPr>
                <w:rFonts w:ascii="Arial Narrow" w:hAnsi="Arial Narrow"/>
              </w:rPr>
            </w:pPr>
            <w:r w:rsidRPr="00D02565">
              <w:rPr>
                <w:rFonts w:ascii="Arial Narrow" w:hAnsi="Arial Narrow"/>
              </w:rPr>
              <w:t>$</w:t>
            </w:r>
            <w:r>
              <w:rPr>
                <w:rFonts w:ascii="Arial Narrow" w:hAnsi="Arial Narrow"/>
              </w:rPr>
              <w:t>2,373.07</w:t>
            </w:r>
          </w:p>
        </w:tc>
      </w:tr>
      <w:tr w:rsidR="00E62C96" w:rsidRPr="00D02565" w14:paraId="03371D7D" w14:textId="77777777" w:rsidTr="00C25359">
        <w:tc>
          <w:tcPr>
            <w:tcW w:w="2174" w:type="pct"/>
            <w:tcBorders>
              <w:bottom w:val="single" w:sz="4" w:space="0" w:color="auto"/>
            </w:tcBorders>
          </w:tcPr>
          <w:p w14:paraId="6F63D003" w14:textId="77777777" w:rsidR="00E62C96" w:rsidRPr="00D02565" w:rsidRDefault="00E62C96" w:rsidP="00C25359">
            <w:pPr>
              <w:keepNext/>
              <w:spacing w:before="0" w:after="0"/>
              <w:rPr>
                <w:rFonts w:ascii="Arial Narrow" w:hAnsi="Arial Narrow"/>
              </w:rPr>
            </w:pPr>
            <w:r w:rsidRPr="00D02565">
              <w:rPr>
                <w:rFonts w:ascii="Arial Narrow" w:hAnsi="Arial Narrow"/>
              </w:rPr>
              <w:t>Positive diagnoses</w:t>
            </w:r>
          </w:p>
        </w:tc>
        <w:tc>
          <w:tcPr>
            <w:tcW w:w="889" w:type="pct"/>
            <w:tcBorders>
              <w:bottom w:val="single" w:sz="4" w:space="0" w:color="auto"/>
            </w:tcBorders>
          </w:tcPr>
          <w:p w14:paraId="632FE34C" w14:textId="79AA62C1" w:rsidR="00E62C96" w:rsidRPr="00D02565" w:rsidRDefault="00E62C96" w:rsidP="00C25359">
            <w:pPr>
              <w:keepNext/>
              <w:spacing w:before="0" w:after="0"/>
              <w:jc w:val="center"/>
              <w:rPr>
                <w:rFonts w:ascii="Arial Narrow" w:hAnsi="Arial Narrow"/>
              </w:rPr>
            </w:pPr>
            <w:r w:rsidRPr="00D02565">
              <w:rPr>
                <w:rFonts w:ascii="Arial Narrow" w:hAnsi="Arial Narrow"/>
              </w:rPr>
              <w:t>0.</w:t>
            </w:r>
            <w:r>
              <w:rPr>
                <w:rFonts w:ascii="Arial Narrow" w:hAnsi="Arial Narrow"/>
              </w:rPr>
              <w:t>27</w:t>
            </w:r>
          </w:p>
        </w:tc>
        <w:tc>
          <w:tcPr>
            <w:tcW w:w="865" w:type="pct"/>
            <w:tcBorders>
              <w:bottom w:val="single" w:sz="4" w:space="0" w:color="auto"/>
            </w:tcBorders>
          </w:tcPr>
          <w:p w14:paraId="3F2FBD24" w14:textId="77777777" w:rsidR="00E62C96" w:rsidRPr="00D02565" w:rsidRDefault="00E62C96" w:rsidP="00C25359">
            <w:pPr>
              <w:keepNext/>
              <w:spacing w:before="0" w:after="0"/>
              <w:jc w:val="center"/>
              <w:rPr>
                <w:rFonts w:ascii="Arial Narrow" w:hAnsi="Arial Narrow"/>
              </w:rPr>
            </w:pPr>
            <w:r w:rsidRPr="00D02565">
              <w:rPr>
                <w:rFonts w:ascii="Arial Narrow" w:hAnsi="Arial Narrow"/>
              </w:rPr>
              <w:t>0</w:t>
            </w:r>
          </w:p>
        </w:tc>
        <w:tc>
          <w:tcPr>
            <w:tcW w:w="1072" w:type="pct"/>
            <w:tcBorders>
              <w:bottom w:val="single" w:sz="4" w:space="0" w:color="auto"/>
            </w:tcBorders>
          </w:tcPr>
          <w:p w14:paraId="2577E273" w14:textId="189B80C6" w:rsidR="00E62C96" w:rsidRPr="00D02565" w:rsidRDefault="00E62C96" w:rsidP="00C25359">
            <w:pPr>
              <w:keepNext/>
              <w:spacing w:before="0" w:after="0"/>
              <w:jc w:val="center"/>
              <w:rPr>
                <w:rFonts w:ascii="Arial Narrow" w:hAnsi="Arial Narrow"/>
              </w:rPr>
            </w:pPr>
            <w:r w:rsidRPr="00D02565">
              <w:rPr>
                <w:rFonts w:ascii="Arial Narrow" w:hAnsi="Arial Narrow"/>
              </w:rPr>
              <w:t>0.</w:t>
            </w:r>
            <w:r>
              <w:rPr>
                <w:rFonts w:ascii="Arial Narrow" w:hAnsi="Arial Narrow"/>
              </w:rPr>
              <w:t>27</w:t>
            </w:r>
          </w:p>
        </w:tc>
      </w:tr>
      <w:tr w:rsidR="00E62C96" w:rsidRPr="00D02565" w14:paraId="2797AF3A" w14:textId="77777777" w:rsidTr="00C25359">
        <w:tc>
          <w:tcPr>
            <w:tcW w:w="2174" w:type="pct"/>
            <w:tcBorders>
              <w:right w:val="nil"/>
            </w:tcBorders>
          </w:tcPr>
          <w:p w14:paraId="7472F15D" w14:textId="77777777" w:rsidR="00E62C96" w:rsidRPr="00D02565" w:rsidRDefault="00E62C96" w:rsidP="00C25359">
            <w:pPr>
              <w:keepNext/>
              <w:spacing w:before="0" w:after="0"/>
              <w:rPr>
                <w:rFonts w:ascii="Arial Narrow" w:hAnsi="Arial Narrow"/>
                <w:b/>
              </w:rPr>
            </w:pPr>
            <w:r w:rsidRPr="00D02565">
              <w:rPr>
                <w:rFonts w:ascii="Arial Narrow" w:hAnsi="Arial Narrow"/>
                <w:b/>
              </w:rPr>
              <w:t>I</w:t>
            </w:r>
            <w:r w:rsidRPr="00D02565">
              <w:rPr>
                <w:rFonts w:ascii="Arial Narrow" w:hAnsi="Arial Narrow"/>
                <w:b/>
                <w:bCs/>
              </w:rPr>
              <w:t>CER</w:t>
            </w:r>
          </w:p>
        </w:tc>
        <w:tc>
          <w:tcPr>
            <w:tcW w:w="889" w:type="pct"/>
            <w:tcBorders>
              <w:left w:val="nil"/>
              <w:right w:val="nil"/>
            </w:tcBorders>
          </w:tcPr>
          <w:p w14:paraId="78A27C63" w14:textId="77777777" w:rsidR="00E62C96" w:rsidRPr="00D02565" w:rsidRDefault="00E62C96" w:rsidP="00C25359">
            <w:pPr>
              <w:keepNext/>
              <w:spacing w:before="0" w:after="0"/>
              <w:jc w:val="center"/>
              <w:rPr>
                <w:rFonts w:ascii="Arial Narrow" w:hAnsi="Arial Narrow"/>
                <w:b/>
              </w:rPr>
            </w:pPr>
          </w:p>
        </w:tc>
        <w:tc>
          <w:tcPr>
            <w:tcW w:w="865" w:type="pct"/>
            <w:tcBorders>
              <w:left w:val="nil"/>
              <w:right w:val="nil"/>
            </w:tcBorders>
          </w:tcPr>
          <w:p w14:paraId="0C8ADFA0" w14:textId="77777777" w:rsidR="00E62C96" w:rsidRPr="00D02565" w:rsidRDefault="00E62C96" w:rsidP="00C25359">
            <w:pPr>
              <w:keepNext/>
              <w:spacing w:before="0" w:after="0"/>
              <w:jc w:val="center"/>
              <w:rPr>
                <w:rFonts w:ascii="Arial Narrow" w:hAnsi="Arial Narrow"/>
                <w:b/>
              </w:rPr>
            </w:pPr>
          </w:p>
        </w:tc>
        <w:tc>
          <w:tcPr>
            <w:tcW w:w="1072" w:type="pct"/>
            <w:tcBorders>
              <w:left w:val="nil"/>
            </w:tcBorders>
          </w:tcPr>
          <w:p w14:paraId="46B1A1C4" w14:textId="6532136E" w:rsidR="00E62C96" w:rsidRPr="00D02565" w:rsidRDefault="00E62C96" w:rsidP="00C25359">
            <w:pPr>
              <w:keepNext/>
              <w:spacing w:before="0" w:after="0"/>
              <w:jc w:val="center"/>
              <w:rPr>
                <w:rFonts w:ascii="Arial Narrow" w:hAnsi="Arial Narrow"/>
                <w:b/>
              </w:rPr>
            </w:pPr>
            <w:r w:rsidRPr="00D02565">
              <w:rPr>
                <w:rFonts w:ascii="Arial Narrow" w:hAnsi="Arial Narrow"/>
                <w:b/>
              </w:rPr>
              <w:t>$</w:t>
            </w:r>
            <w:r>
              <w:rPr>
                <w:rFonts w:ascii="Arial Narrow" w:hAnsi="Arial Narrow"/>
                <w:b/>
              </w:rPr>
              <w:t>8,789.16</w:t>
            </w:r>
          </w:p>
        </w:tc>
      </w:tr>
      <w:tr w:rsidR="00E62C96" w:rsidRPr="00D02565" w14:paraId="4385F676" w14:textId="77777777" w:rsidTr="00C25359">
        <w:tc>
          <w:tcPr>
            <w:tcW w:w="5000" w:type="pct"/>
            <w:gridSpan w:val="4"/>
            <w:vAlign w:val="center"/>
          </w:tcPr>
          <w:p w14:paraId="012A0171" w14:textId="77777777" w:rsidR="00E62C96" w:rsidRPr="00D02565" w:rsidRDefault="00E62C96" w:rsidP="00C25359">
            <w:pPr>
              <w:keepNext/>
              <w:spacing w:before="0" w:after="0"/>
              <w:rPr>
                <w:rFonts w:ascii="Arial Narrow" w:hAnsi="Arial Narrow"/>
                <w:b/>
                <w:bCs/>
              </w:rPr>
            </w:pPr>
            <w:r w:rsidRPr="00D02565">
              <w:rPr>
                <w:rFonts w:ascii="Arial Narrow" w:hAnsi="Arial Narrow"/>
                <w:b/>
                <w:bCs/>
              </w:rPr>
              <w:t>Scenario analysis (Male-only NBS for X-ALD)</w:t>
            </w:r>
          </w:p>
        </w:tc>
      </w:tr>
      <w:tr w:rsidR="00E62C96" w:rsidRPr="00D02565" w14:paraId="7D18F853" w14:textId="77777777" w:rsidTr="00C25359">
        <w:tc>
          <w:tcPr>
            <w:tcW w:w="2174" w:type="pct"/>
          </w:tcPr>
          <w:p w14:paraId="054CDF5E" w14:textId="77777777" w:rsidR="00E62C96" w:rsidRPr="00D02565" w:rsidRDefault="00E62C96" w:rsidP="00C25359">
            <w:pPr>
              <w:keepNext/>
              <w:spacing w:before="0" w:after="0"/>
              <w:rPr>
                <w:rFonts w:ascii="Arial Narrow" w:hAnsi="Arial Narrow"/>
              </w:rPr>
            </w:pPr>
            <w:r w:rsidRPr="00D02565">
              <w:rPr>
                <w:rFonts w:ascii="Arial Narrow" w:hAnsi="Arial Narrow"/>
              </w:rPr>
              <w:t>Cost</w:t>
            </w:r>
          </w:p>
        </w:tc>
        <w:tc>
          <w:tcPr>
            <w:tcW w:w="889" w:type="pct"/>
            <w:shd w:val="clear" w:color="auto" w:fill="auto"/>
          </w:tcPr>
          <w:p w14:paraId="7121D790" w14:textId="4D205E11" w:rsidR="00E62C96" w:rsidRPr="00D02565" w:rsidRDefault="00E62C96" w:rsidP="00C25359">
            <w:pPr>
              <w:keepNext/>
              <w:spacing w:before="0" w:after="0"/>
              <w:jc w:val="center"/>
              <w:rPr>
                <w:rFonts w:ascii="Arial Narrow" w:hAnsi="Arial Narrow"/>
              </w:rPr>
            </w:pPr>
            <w:r w:rsidRPr="00D02565">
              <w:rPr>
                <w:rFonts w:ascii="Arial Narrow" w:hAnsi="Arial Narrow"/>
              </w:rPr>
              <w:t>$</w:t>
            </w:r>
            <w:r>
              <w:rPr>
                <w:rFonts w:ascii="Arial Narrow" w:hAnsi="Arial Narrow"/>
              </w:rPr>
              <w:t>2,514.36</w:t>
            </w:r>
          </w:p>
        </w:tc>
        <w:tc>
          <w:tcPr>
            <w:tcW w:w="865" w:type="pct"/>
            <w:shd w:val="clear" w:color="auto" w:fill="auto"/>
          </w:tcPr>
          <w:p w14:paraId="3A5794EA" w14:textId="77777777" w:rsidR="00E62C96" w:rsidRPr="00D02565" w:rsidRDefault="00E62C96" w:rsidP="00C25359">
            <w:pPr>
              <w:keepNext/>
              <w:spacing w:before="0" w:after="0"/>
              <w:jc w:val="center"/>
              <w:rPr>
                <w:rFonts w:ascii="Arial Narrow" w:hAnsi="Arial Narrow"/>
              </w:rPr>
            </w:pPr>
            <w:r w:rsidRPr="00D02565">
              <w:rPr>
                <w:rFonts w:ascii="Arial Narrow" w:hAnsi="Arial Narrow"/>
              </w:rPr>
              <w:t>$0</w:t>
            </w:r>
          </w:p>
        </w:tc>
        <w:tc>
          <w:tcPr>
            <w:tcW w:w="1072" w:type="pct"/>
            <w:shd w:val="clear" w:color="auto" w:fill="auto"/>
          </w:tcPr>
          <w:p w14:paraId="4CF8BA89" w14:textId="6DC59CB9" w:rsidR="00E62C96" w:rsidRPr="00D02565" w:rsidRDefault="00E62C96" w:rsidP="00C25359">
            <w:pPr>
              <w:keepNext/>
              <w:spacing w:before="0" w:after="0"/>
              <w:jc w:val="center"/>
              <w:rPr>
                <w:rFonts w:ascii="Arial Narrow" w:hAnsi="Arial Narrow"/>
              </w:rPr>
            </w:pPr>
            <w:r w:rsidRPr="00D02565">
              <w:rPr>
                <w:rFonts w:ascii="Arial Narrow" w:hAnsi="Arial Narrow"/>
              </w:rPr>
              <w:t>$</w:t>
            </w:r>
            <w:r>
              <w:rPr>
                <w:rFonts w:ascii="Arial Narrow" w:hAnsi="Arial Narrow"/>
              </w:rPr>
              <w:t>2,514.36</w:t>
            </w:r>
          </w:p>
        </w:tc>
      </w:tr>
      <w:tr w:rsidR="00E62C96" w:rsidRPr="00D02565" w14:paraId="04DAD3BD" w14:textId="77777777" w:rsidTr="00C25359">
        <w:tc>
          <w:tcPr>
            <w:tcW w:w="2174" w:type="pct"/>
            <w:tcBorders>
              <w:bottom w:val="single" w:sz="4" w:space="0" w:color="auto"/>
            </w:tcBorders>
          </w:tcPr>
          <w:p w14:paraId="41FB9132" w14:textId="77777777" w:rsidR="00E62C96" w:rsidRPr="00D02565" w:rsidRDefault="00E62C96" w:rsidP="00C25359">
            <w:pPr>
              <w:keepNext/>
              <w:spacing w:before="0" w:after="0"/>
              <w:rPr>
                <w:rFonts w:ascii="Arial Narrow" w:hAnsi="Arial Narrow"/>
              </w:rPr>
            </w:pPr>
            <w:r w:rsidRPr="00D02565">
              <w:rPr>
                <w:rFonts w:ascii="Arial Narrow" w:hAnsi="Arial Narrow"/>
              </w:rPr>
              <w:t>Positive diagnoses</w:t>
            </w:r>
          </w:p>
        </w:tc>
        <w:tc>
          <w:tcPr>
            <w:tcW w:w="889" w:type="pct"/>
            <w:tcBorders>
              <w:bottom w:val="single" w:sz="4" w:space="0" w:color="auto"/>
            </w:tcBorders>
            <w:shd w:val="clear" w:color="auto" w:fill="auto"/>
          </w:tcPr>
          <w:p w14:paraId="6AFE0D8B" w14:textId="511A4A49" w:rsidR="00E62C96" w:rsidRPr="00D02565" w:rsidRDefault="00E62C96" w:rsidP="00C25359">
            <w:pPr>
              <w:keepNext/>
              <w:spacing w:before="0" w:after="0"/>
              <w:jc w:val="center"/>
              <w:rPr>
                <w:rFonts w:ascii="Arial Narrow" w:hAnsi="Arial Narrow"/>
              </w:rPr>
            </w:pPr>
            <w:r>
              <w:rPr>
                <w:rFonts w:ascii="Arial Narrow" w:hAnsi="Arial Narrow"/>
              </w:rPr>
              <w:t>0.38</w:t>
            </w:r>
          </w:p>
        </w:tc>
        <w:tc>
          <w:tcPr>
            <w:tcW w:w="865" w:type="pct"/>
            <w:tcBorders>
              <w:bottom w:val="single" w:sz="4" w:space="0" w:color="auto"/>
            </w:tcBorders>
            <w:shd w:val="clear" w:color="auto" w:fill="auto"/>
          </w:tcPr>
          <w:p w14:paraId="2F5A7A4B" w14:textId="77777777" w:rsidR="00E62C96" w:rsidRPr="00D02565" w:rsidRDefault="00E62C96" w:rsidP="00C25359">
            <w:pPr>
              <w:keepNext/>
              <w:spacing w:before="0" w:after="0"/>
              <w:jc w:val="center"/>
              <w:rPr>
                <w:rFonts w:ascii="Arial Narrow" w:hAnsi="Arial Narrow"/>
              </w:rPr>
            </w:pPr>
            <w:r w:rsidRPr="00D02565">
              <w:rPr>
                <w:rFonts w:ascii="Arial Narrow" w:hAnsi="Arial Narrow"/>
              </w:rPr>
              <w:t>0</w:t>
            </w:r>
          </w:p>
        </w:tc>
        <w:tc>
          <w:tcPr>
            <w:tcW w:w="1072" w:type="pct"/>
            <w:tcBorders>
              <w:bottom w:val="single" w:sz="4" w:space="0" w:color="auto"/>
            </w:tcBorders>
            <w:shd w:val="clear" w:color="auto" w:fill="auto"/>
          </w:tcPr>
          <w:p w14:paraId="3D125F32" w14:textId="78A0ADB4" w:rsidR="00E62C96" w:rsidRPr="00D02565" w:rsidRDefault="00E62C96" w:rsidP="00C25359">
            <w:pPr>
              <w:keepNext/>
              <w:spacing w:before="0" w:after="0"/>
              <w:jc w:val="center"/>
              <w:rPr>
                <w:rFonts w:ascii="Arial Narrow" w:hAnsi="Arial Narrow"/>
              </w:rPr>
            </w:pPr>
            <w:r>
              <w:rPr>
                <w:rFonts w:ascii="Arial Narrow" w:hAnsi="Arial Narrow"/>
              </w:rPr>
              <w:t>0.38</w:t>
            </w:r>
          </w:p>
        </w:tc>
      </w:tr>
      <w:tr w:rsidR="00E62C96" w:rsidRPr="00D02565" w14:paraId="41BC1702" w14:textId="77777777" w:rsidTr="00C25359">
        <w:tc>
          <w:tcPr>
            <w:tcW w:w="2174" w:type="pct"/>
            <w:tcBorders>
              <w:right w:val="nil"/>
            </w:tcBorders>
          </w:tcPr>
          <w:p w14:paraId="59F9B394" w14:textId="77777777" w:rsidR="00E62C96" w:rsidRPr="00D02565" w:rsidRDefault="00E62C96" w:rsidP="00C25359">
            <w:pPr>
              <w:keepNext/>
              <w:spacing w:before="0" w:after="0"/>
              <w:rPr>
                <w:rFonts w:ascii="Arial Narrow" w:hAnsi="Arial Narrow"/>
                <w:b/>
              </w:rPr>
            </w:pPr>
            <w:r w:rsidRPr="00D02565">
              <w:rPr>
                <w:rFonts w:ascii="Arial Narrow" w:hAnsi="Arial Narrow"/>
                <w:b/>
              </w:rPr>
              <w:t>I</w:t>
            </w:r>
            <w:r w:rsidRPr="00D02565">
              <w:rPr>
                <w:rFonts w:ascii="Arial Narrow" w:hAnsi="Arial Narrow"/>
                <w:b/>
                <w:bCs/>
              </w:rPr>
              <w:t>CER</w:t>
            </w:r>
          </w:p>
        </w:tc>
        <w:tc>
          <w:tcPr>
            <w:tcW w:w="889" w:type="pct"/>
            <w:tcBorders>
              <w:left w:val="nil"/>
              <w:right w:val="nil"/>
            </w:tcBorders>
            <w:shd w:val="clear" w:color="auto" w:fill="auto"/>
          </w:tcPr>
          <w:p w14:paraId="5B6B1E43" w14:textId="77777777" w:rsidR="00E62C96" w:rsidRPr="00D02565" w:rsidRDefault="00E62C96" w:rsidP="00C25359">
            <w:pPr>
              <w:keepNext/>
              <w:spacing w:before="0" w:after="0"/>
              <w:jc w:val="center"/>
              <w:rPr>
                <w:rFonts w:ascii="Arial Narrow" w:hAnsi="Arial Narrow"/>
                <w:b/>
              </w:rPr>
            </w:pPr>
          </w:p>
        </w:tc>
        <w:tc>
          <w:tcPr>
            <w:tcW w:w="865" w:type="pct"/>
            <w:tcBorders>
              <w:left w:val="nil"/>
              <w:right w:val="nil"/>
            </w:tcBorders>
            <w:shd w:val="clear" w:color="auto" w:fill="auto"/>
          </w:tcPr>
          <w:p w14:paraId="3774E6F4" w14:textId="77777777" w:rsidR="00E62C96" w:rsidRPr="00D02565" w:rsidRDefault="00E62C96" w:rsidP="00C25359">
            <w:pPr>
              <w:keepNext/>
              <w:spacing w:before="0" w:after="0"/>
              <w:jc w:val="center"/>
              <w:rPr>
                <w:rFonts w:ascii="Arial Narrow" w:hAnsi="Arial Narrow"/>
                <w:b/>
              </w:rPr>
            </w:pPr>
          </w:p>
        </w:tc>
        <w:tc>
          <w:tcPr>
            <w:tcW w:w="1072" w:type="pct"/>
            <w:tcBorders>
              <w:left w:val="nil"/>
            </w:tcBorders>
            <w:shd w:val="clear" w:color="auto" w:fill="auto"/>
          </w:tcPr>
          <w:p w14:paraId="1ACCE6B9" w14:textId="50D33F24" w:rsidR="00E62C96" w:rsidRPr="00D02565" w:rsidRDefault="00E62C96" w:rsidP="00C25359">
            <w:pPr>
              <w:keepNext/>
              <w:spacing w:before="0" w:after="0"/>
              <w:jc w:val="center"/>
              <w:rPr>
                <w:rFonts w:ascii="Arial Narrow" w:hAnsi="Arial Narrow"/>
                <w:b/>
              </w:rPr>
            </w:pPr>
            <w:r w:rsidRPr="00D02565">
              <w:rPr>
                <w:rFonts w:ascii="Arial Narrow" w:hAnsi="Arial Narrow"/>
                <w:b/>
              </w:rPr>
              <w:t>$</w:t>
            </w:r>
            <w:r>
              <w:rPr>
                <w:rFonts w:ascii="Arial Narrow" w:hAnsi="Arial Narrow"/>
                <w:b/>
              </w:rPr>
              <w:t>6,688.91</w:t>
            </w:r>
          </w:p>
        </w:tc>
      </w:tr>
    </w:tbl>
    <w:p w14:paraId="67CB6C5C" w14:textId="77777777" w:rsidR="00E62C96" w:rsidRDefault="00E62C96" w:rsidP="00B24FF3">
      <w:pPr>
        <w:keepNext/>
        <w:tabs>
          <w:tab w:val="left" w:pos="284"/>
        </w:tabs>
        <w:spacing w:before="0" w:after="0" w:line="240" w:lineRule="auto"/>
        <w:rPr>
          <w:rFonts w:ascii="Arial Narrow" w:eastAsia="Times New Roman" w:hAnsi="Arial Narrow" w:cs="Arial"/>
          <w:snapToGrid w:val="0"/>
          <w:sz w:val="18"/>
          <w:lang w:eastAsia="en-AU"/>
        </w:rPr>
      </w:pPr>
      <w:r w:rsidRPr="00D02565">
        <w:rPr>
          <w:rFonts w:ascii="Arial Narrow" w:eastAsia="Times New Roman" w:hAnsi="Arial Narrow" w:cs="Arial"/>
          <w:snapToGrid w:val="0"/>
          <w:sz w:val="18"/>
          <w:lang w:eastAsia="en-AU"/>
        </w:rPr>
        <w:t>ICER = incremental cost-effectiveness ratio; NBS = newborn bloodspot screening; X-ALD = X-linked adrenoleukodystrophy.</w:t>
      </w:r>
    </w:p>
    <w:p w14:paraId="7029295E" w14:textId="644623C8" w:rsidR="00253046" w:rsidRDefault="00253046" w:rsidP="00B24FF3">
      <w:pPr>
        <w:keepNext/>
        <w:tabs>
          <w:tab w:val="left" w:pos="284"/>
        </w:tabs>
        <w:spacing w:before="0" w:after="360" w:line="240" w:lineRule="auto"/>
        <w:rPr>
          <w:rFonts w:ascii="Arial Narrow" w:eastAsia="Times New Roman" w:hAnsi="Arial Narrow" w:cs="Arial"/>
          <w:snapToGrid w:val="0"/>
          <w:sz w:val="18"/>
          <w:lang w:eastAsia="en-AU"/>
        </w:rPr>
      </w:pPr>
      <w:r>
        <w:rPr>
          <w:rFonts w:ascii="Arial Narrow" w:eastAsia="Times New Roman" w:hAnsi="Arial Narrow" w:cs="Arial"/>
          <w:snapToGrid w:val="0"/>
          <w:sz w:val="18"/>
          <w:lang w:eastAsia="en-AU"/>
        </w:rPr>
        <w:t>Source: DCAR Table 12.</w:t>
      </w:r>
    </w:p>
    <w:p w14:paraId="7B533FF0" w14:textId="3756B965" w:rsidR="00B436E1" w:rsidRPr="00D02565" w:rsidRDefault="00B436E1" w:rsidP="00B436E1">
      <w:r w:rsidRPr="00D02565">
        <w:t xml:space="preserve">The results were most sensitive to the </w:t>
      </w:r>
      <w:r>
        <w:t xml:space="preserve">uptake rate of mother/FDRs, </w:t>
      </w:r>
      <w:r w:rsidRPr="00D02565">
        <w:t>and the unit cost and frequency of use of genetic counselling (</w:t>
      </w:r>
      <w:r w:rsidRPr="00D02565">
        <w:fldChar w:fldCharType="begin"/>
      </w:r>
      <w:r w:rsidRPr="00D02565">
        <w:instrText xml:space="preserve"> REF _Ref130241311 \h  \* MERGEFORMAT </w:instrText>
      </w:r>
      <w:r w:rsidRPr="00D02565">
        <w:fldChar w:fldCharType="separate"/>
      </w:r>
      <w:r w:rsidR="00253978" w:rsidRPr="00253978">
        <w:t>Table 16</w:t>
      </w:r>
      <w:r w:rsidRPr="00D02565">
        <w:fldChar w:fldCharType="end"/>
      </w:r>
      <w:r w:rsidRPr="00D02565">
        <w:t xml:space="preserve">). </w:t>
      </w:r>
    </w:p>
    <w:p w14:paraId="43C8D658" w14:textId="77777777" w:rsidR="00B436E1" w:rsidRPr="00B24FF3" w:rsidRDefault="00B436E1" w:rsidP="00B24FF3">
      <w:pPr>
        <w:spacing w:before="240" w:after="240"/>
        <w:rPr>
          <w:rFonts w:eastAsia="Calibri" w:cs="Times New Roman"/>
        </w:rPr>
      </w:pPr>
      <w:r w:rsidRPr="00B24FF3">
        <w:rPr>
          <w:rFonts w:eastAsia="Calibri" w:cs="Times New Roman"/>
        </w:rPr>
        <w:t xml:space="preserve">A key challenge in the economic evaluation of cascade testing of the family members of newborns diagnosed with P/LP variants in </w:t>
      </w:r>
      <w:r w:rsidRPr="00B24FF3">
        <w:rPr>
          <w:rFonts w:eastAsia="Calibri" w:cs="Times New Roman"/>
          <w:i/>
          <w:iCs/>
        </w:rPr>
        <w:t>ABCD1</w:t>
      </w:r>
      <w:r w:rsidRPr="00B24FF3">
        <w:rPr>
          <w:rFonts w:eastAsia="Calibri" w:cs="Times New Roman"/>
        </w:rPr>
        <w:t xml:space="preserve"> at risk of X-ALD via the NBS program is that there is no relevant disease-specific Australian data/registry to inform the uptake or prevalence of variants among first-degree relatives. As a result, the current assessment relied on X-linked pattern of inheritance to estimate the likelihood of the presence of variants and assumptions on uptake rates.</w:t>
      </w:r>
    </w:p>
    <w:p w14:paraId="2B9D45AA" w14:textId="62115DFD" w:rsidR="00E62C96" w:rsidRPr="00D02565" w:rsidRDefault="00E62C96">
      <w:pPr>
        <w:keepNext/>
        <w:spacing w:before="360" w:after="120" w:line="240" w:lineRule="auto"/>
        <w:rPr>
          <w:rFonts w:ascii="Arial Narrow" w:eastAsia="Times New Roman" w:hAnsi="Arial Narrow" w:cs="Times New Roman"/>
          <w:b/>
          <w:bCs/>
          <w:sz w:val="20"/>
          <w:szCs w:val="20"/>
        </w:rPr>
      </w:pPr>
      <w:bookmarkStart w:id="58" w:name="_Ref69726321"/>
      <w:bookmarkStart w:id="59" w:name="_Ref130241311"/>
      <w:bookmarkStart w:id="60" w:name="_Hlk132747576"/>
      <w:r w:rsidRPr="00D02565">
        <w:rPr>
          <w:rFonts w:ascii="Arial Narrow" w:eastAsia="Times New Roman" w:hAnsi="Arial Narrow" w:cs="Times New Roman"/>
          <w:b/>
          <w:bCs/>
          <w:sz w:val="20"/>
          <w:szCs w:val="20"/>
        </w:rPr>
        <w:t>Table </w:t>
      </w:r>
      <w:r w:rsidRPr="00D02565">
        <w:rPr>
          <w:rFonts w:ascii="Arial Narrow" w:eastAsia="Times New Roman" w:hAnsi="Arial Narrow" w:cs="Times New Roman"/>
          <w:b/>
          <w:bCs/>
          <w:sz w:val="20"/>
          <w:szCs w:val="20"/>
        </w:rPr>
        <w:fldChar w:fldCharType="begin"/>
      </w:r>
      <w:r w:rsidRPr="00D02565">
        <w:rPr>
          <w:rFonts w:ascii="Arial Narrow" w:eastAsia="Times New Roman" w:hAnsi="Arial Narrow" w:cs="Times New Roman"/>
          <w:b/>
          <w:bCs/>
          <w:sz w:val="20"/>
          <w:szCs w:val="20"/>
        </w:rPr>
        <w:instrText xml:space="preserve"> SEQ Table \* ARABIC </w:instrText>
      </w:r>
      <w:r w:rsidRPr="00D02565">
        <w:rPr>
          <w:rFonts w:ascii="Arial Narrow" w:eastAsia="Times New Roman" w:hAnsi="Arial Narrow" w:cs="Times New Roman"/>
          <w:b/>
          <w:bCs/>
          <w:sz w:val="20"/>
          <w:szCs w:val="20"/>
        </w:rPr>
        <w:fldChar w:fldCharType="separate"/>
      </w:r>
      <w:r w:rsidR="00253978">
        <w:rPr>
          <w:rFonts w:ascii="Arial Narrow" w:eastAsia="Times New Roman" w:hAnsi="Arial Narrow" w:cs="Times New Roman"/>
          <w:b/>
          <w:bCs/>
          <w:noProof/>
          <w:sz w:val="20"/>
          <w:szCs w:val="20"/>
        </w:rPr>
        <w:t>16</w:t>
      </w:r>
      <w:r w:rsidRPr="00D02565">
        <w:rPr>
          <w:rFonts w:ascii="Arial Narrow" w:eastAsia="Times New Roman" w:hAnsi="Arial Narrow" w:cs="Times New Roman"/>
          <w:b/>
          <w:bCs/>
          <w:sz w:val="20"/>
          <w:szCs w:val="20"/>
        </w:rPr>
        <w:fldChar w:fldCharType="end"/>
      </w:r>
      <w:bookmarkEnd w:id="58"/>
      <w:bookmarkEnd w:id="59"/>
      <w:r w:rsidRPr="00D02565">
        <w:rPr>
          <w:rFonts w:ascii="Arial Narrow" w:eastAsia="Times New Roman" w:hAnsi="Arial Narrow" w:cs="Times New Roman"/>
          <w:b/>
          <w:bCs/>
          <w:sz w:val="20"/>
          <w:szCs w:val="20"/>
        </w:rPr>
        <w:tab/>
        <w:t>Key drivers of the model</w:t>
      </w:r>
      <w:r w:rsidR="00253046">
        <w:rPr>
          <w:rFonts w:ascii="Arial Narrow" w:eastAsia="Times New Roman" w:hAnsi="Arial Narrow" w:cs="Times New Roman"/>
          <w:b/>
          <w:bCs/>
          <w:sz w:val="20"/>
          <w:szCs w:val="20"/>
        </w:rPr>
        <w:t xml:space="preserve"> (PICO set 2)</w:t>
      </w:r>
    </w:p>
    <w:tbl>
      <w:tblPr>
        <w:tblStyle w:val="TableGrid1"/>
        <w:tblW w:w="5000" w:type="pct"/>
        <w:tblLayout w:type="fixed"/>
        <w:tblCellMar>
          <w:left w:w="28" w:type="dxa"/>
          <w:right w:w="28" w:type="dxa"/>
        </w:tblCellMar>
        <w:tblLook w:val="04A0" w:firstRow="1" w:lastRow="0" w:firstColumn="1" w:lastColumn="0" w:noHBand="0" w:noVBand="1"/>
      </w:tblPr>
      <w:tblGrid>
        <w:gridCol w:w="1129"/>
        <w:gridCol w:w="3543"/>
        <w:gridCol w:w="4344"/>
      </w:tblGrid>
      <w:tr w:rsidR="00E62C96" w:rsidRPr="00D02565" w14:paraId="2653520E" w14:textId="77777777" w:rsidTr="00C25359">
        <w:trPr>
          <w:cnfStyle w:val="100000000000" w:firstRow="1" w:lastRow="0" w:firstColumn="0" w:lastColumn="0" w:oddVBand="0" w:evenVBand="0" w:oddHBand="0" w:evenHBand="0" w:firstRowFirstColumn="0" w:firstRowLastColumn="0" w:lastRowFirstColumn="0" w:lastRowLastColumn="0"/>
          <w:tblHeader/>
        </w:trPr>
        <w:tc>
          <w:tcPr>
            <w:tcW w:w="626" w:type="pct"/>
            <w:shd w:val="clear" w:color="auto" w:fill="auto"/>
            <w:vAlign w:val="center"/>
          </w:tcPr>
          <w:p w14:paraId="4B86620D" w14:textId="77777777" w:rsidR="00E62C96" w:rsidRPr="00D02565" w:rsidRDefault="00E62C96" w:rsidP="00C25359">
            <w:pPr>
              <w:keepNext/>
              <w:spacing w:before="0" w:after="0"/>
              <w:jc w:val="center"/>
              <w:rPr>
                <w:rFonts w:ascii="Arial Narrow" w:eastAsiaTheme="majorEastAsia" w:hAnsi="Arial Narrow"/>
                <w:b/>
                <w:szCs w:val="24"/>
                <w:lang w:val="en-US"/>
              </w:rPr>
            </w:pPr>
            <w:bookmarkStart w:id="61" w:name="Title_Table10" w:colFirst="0" w:colLast="0"/>
            <w:bookmarkStart w:id="62" w:name="_Hlk68276626"/>
            <w:r w:rsidRPr="00D02565">
              <w:rPr>
                <w:rFonts w:ascii="Arial Narrow" w:eastAsiaTheme="majorEastAsia" w:hAnsi="Arial Narrow"/>
                <w:b/>
                <w:szCs w:val="24"/>
                <w:lang w:val="en-US"/>
              </w:rPr>
              <w:t>Description</w:t>
            </w:r>
          </w:p>
        </w:tc>
        <w:tc>
          <w:tcPr>
            <w:tcW w:w="1965" w:type="pct"/>
            <w:shd w:val="clear" w:color="auto" w:fill="auto"/>
            <w:vAlign w:val="center"/>
          </w:tcPr>
          <w:p w14:paraId="7D6C6EA7" w14:textId="77777777" w:rsidR="00E62C96" w:rsidRPr="00D02565" w:rsidRDefault="00E62C96" w:rsidP="00C25359">
            <w:pPr>
              <w:keepNext/>
              <w:spacing w:before="0" w:after="0"/>
              <w:jc w:val="center"/>
              <w:rPr>
                <w:rFonts w:ascii="Arial Narrow" w:eastAsiaTheme="majorEastAsia" w:hAnsi="Arial Narrow"/>
                <w:b/>
                <w:szCs w:val="24"/>
                <w:lang w:val="en-US"/>
              </w:rPr>
            </w:pPr>
            <w:r w:rsidRPr="00D02565">
              <w:rPr>
                <w:rFonts w:ascii="Arial Narrow" w:eastAsiaTheme="majorEastAsia" w:hAnsi="Arial Narrow"/>
                <w:b/>
                <w:szCs w:val="24"/>
                <w:lang w:val="en-US"/>
              </w:rPr>
              <w:t>Method/Value</w:t>
            </w:r>
          </w:p>
        </w:tc>
        <w:tc>
          <w:tcPr>
            <w:tcW w:w="2409" w:type="pct"/>
            <w:shd w:val="clear" w:color="auto" w:fill="auto"/>
            <w:vAlign w:val="center"/>
          </w:tcPr>
          <w:p w14:paraId="43DDE604" w14:textId="77777777" w:rsidR="00E62C96" w:rsidRPr="00D02565" w:rsidRDefault="00E62C96" w:rsidP="00C25359">
            <w:pPr>
              <w:keepNext/>
              <w:spacing w:before="0" w:after="0"/>
              <w:jc w:val="center"/>
              <w:rPr>
                <w:rFonts w:ascii="Arial Narrow" w:eastAsiaTheme="majorEastAsia" w:hAnsi="Arial Narrow"/>
                <w:b/>
                <w:szCs w:val="24"/>
                <w:lang w:val="en-US"/>
              </w:rPr>
            </w:pPr>
            <w:r w:rsidRPr="00D02565">
              <w:rPr>
                <w:rFonts w:ascii="Arial Narrow" w:eastAsiaTheme="majorEastAsia" w:hAnsi="Arial Narrow"/>
                <w:b/>
                <w:szCs w:val="24"/>
                <w:lang w:val="en-US"/>
              </w:rPr>
              <w:t>Impact</w:t>
            </w:r>
          </w:p>
          <w:p w14:paraId="32CE1047" w14:textId="2267CA7F" w:rsidR="00E62C96" w:rsidRPr="00D02565" w:rsidRDefault="00E62C96" w:rsidP="00C25359">
            <w:pPr>
              <w:keepNext/>
              <w:spacing w:before="0"/>
              <w:jc w:val="center"/>
              <w:rPr>
                <w:rFonts w:ascii="Arial Narrow" w:eastAsiaTheme="majorEastAsia" w:hAnsi="Arial Narrow"/>
                <w:b/>
                <w:szCs w:val="24"/>
                <w:lang w:val="en-US"/>
              </w:rPr>
            </w:pPr>
            <w:r w:rsidRPr="00D02565">
              <w:rPr>
                <w:rFonts w:ascii="Arial Narrow" w:eastAsiaTheme="majorEastAsia" w:hAnsi="Arial Narrow" w:cs="Arial"/>
                <w:b/>
                <w:lang w:val="en-US"/>
              </w:rPr>
              <w:t>Base case: $</w:t>
            </w:r>
            <w:r>
              <w:rPr>
                <w:rFonts w:ascii="Arial Narrow" w:eastAsiaTheme="majorEastAsia" w:hAnsi="Arial Narrow" w:cs="Arial"/>
                <w:b/>
                <w:lang w:val="en-US"/>
              </w:rPr>
              <w:t>8,789</w:t>
            </w:r>
            <w:r w:rsidRPr="00D02565">
              <w:rPr>
                <w:rFonts w:ascii="Arial Narrow" w:eastAsiaTheme="majorEastAsia" w:hAnsi="Arial Narrow" w:cs="Arial"/>
                <w:b/>
                <w:lang w:val="en-US"/>
              </w:rPr>
              <w:t>/</w:t>
            </w:r>
            <w:r>
              <w:rPr>
                <w:rFonts w:ascii="Arial Narrow" w:eastAsiaTheme="majorEastAsia" w:hAnsi="Arial Narrow" w:cs="Arial"/>
                <w:b/>
                <w:lang w:val="en-US"/>
              </w:rPr>
              <w:t>additional positive diagnosis</w:t>
            </w:r>
          </w:p>
        </w:tc>
      </w:tr>
      <w:tr w:rsidR="00E62C96" w:rsidRPr="00D02565" w14:paraId="2AE480CE" w14:textId="77777777" w:rsidTr="00C25359">
        <w:tc>
          <w:tcPr>
            <w:tcW w:w="626" w:type="pct"/>
            <w:shd w:val="clear" w:color="auto" w:fill="auto"/>
            <w:vAlign w:val="center"/>
          </w:tcPr>
          <w:p w14:paraId="657FA9E4" w14:textId="69E87DEE" w:rsidR="00E62C96" w:rsidRPr="00D02565" w:rsidRDefault="00E62C96" w:rsidP="006D6B3A">
            <w:pPr>
              <w:spacing w:before="40"/>
              <w:rPr>
                <w:rFonts w:ascii="Arial Narrow" w:hAnsi="Arial Narrow"/>
                <w:lang w:val="en-US"/>
              </w:rPr>
            </w:pPr>
            <w:r>
              <w:rPr>
                <w:rFonts w:ascii="Arial Narrow" w:hAnsi="Arial Narrow"/>
                <w:lang w:val="en-US"/>
              </w:rPr>
              <w:t xml:space="preserve">Uptake rate of </w:t>
            </w:r>
            <w:r w:rsidR="007D10EC">
              <w:rPr>
                <w:rFonts w:ascii="Arial Narrow" w:hAnsi="Arial Narrow"/>
                <w:lang w:val="en-US"/>
              </w:rPr>
              <w:t xml:space="preserve">cascade testing among </w:t>
            </w:r>
            <w:r>
              <w:rPr>
                <w:rFonts w:ascii="Arial Narrow" w:hAnsi="Arial Narrow"/>
                <w:lang w:val="en-US"/>
              </w:rPr>
              <w:t>FDR</w:t>
            </w:r>
            <w:r w:rsidR="007D10EC">
              <w:rPr>
                <w:rFonts w:ascii="Arial Narrow" w:hAnsi="Arial Narrow"/>
                <w:lang w:val="en-US"/>
              </w:rPr>
              <w:t>s</w:t>
            </w:r>
          </w:p>
        </w:tc>
        <w:tc>
          <w:tcPr>
            <w:tcW w:w="1965" w:type="pct"/>
            <w:shd w:val="clear" w:color="auto" w:fill="auto"/>
            <w:vAlign w:val="center"/>
          </w:tcPr>
          <w:p w14:paraId="6DA5829E" w14:textId="432E1A94" w:rsidR="00E62C96" w:rsidRPr="00D02565" w:rsidRDefault="00E62C96" w:rsidP="00C25359">
            <w:pPr>
              <w:spacing w:before="40"/>
              <w:rPr>
                <w:rFonts w:ascii="Arial Narrow" w:hAnsi="Arial Narrow"/>
                <w:lang w:val="en-US"/>
              </w:rPr>
            </w:pPr>
            <w:r>
              <w:rPr>
                <w:rFonts w:ascii="Arial Narrow" w:hAnsi="Arial Narrow"/>
                <w:lang w:val="en-US"/>
              </w:rPr>
              <w:t>Uptake rate of cascade testing of FDRs for X-ALD (37%, using the uptake rate for cystic fibrosis as</w:t>
            </w:r>
            <w:r w:rsidR="007D10EC">
              <w:rPr>
                <w:rFonts w:ascii="Arial Narrow" w:hAnsi="Arial Narrow"/>
                <w:lang w:val="en-US"/>
              </w:rPr>
              <w:t xml:space="preserve"> a</w:t>
            </w:r>
            <w:r>
              <w:rPr>
                <w:rFonts w:ascii="Arial Narrow" w:hAnsi="Arial Narrow"/>
                <w:lang w:val="en-US"/>
              </w:rPr>
              <w:t xml:space="preserve"> proxy (as advised by the Department).</w:t>
            </w:r>
          </w:p>
        </w:tc>
        <w:tc>
          <w:tcPr>
            <w:tcW w:w="2409" w:type="pct"/>
            <w:shd w:val="clear" w:color="auto" w:fill="auto"/>
            <w:vAlign w:val="center"/>
          </w:tcPr>
          <w:p w14:paraId="0190CBBB" w14:textId="6B464412" w:rsidR="00E62C96" w:rsidRPr="00F17D0D" w:rsidRDefault="00E62C96" w:rsidP="00C25359">
            <w:pPr>
              <w:spacing w:before="40"/>
              <w:rPr>
                <w:rFonts w:ascii="Arial Narrow" w:hAnsi="Arial Narrow"/>
                <w:iCs/>
                <w:lang w:val="en-US"/>
              </w:rPr>
            </w:pPr>
            <w:r w:rsidRPr="00F17D0D">
              <w:rPr>
                <w:rFonts w:ascii="Arial Narrow" w:hAnsi="Arial Narrow"/>
                <w:iCs/>
                <w:lang w:val="en-US"/>
              </w:rPr>
              <w:t xml:space="preserve">High, favours comparator. Reducing the uptake rate of </w:t>
            </w:r>
            <w:r w:rsidR="003C0632" w:rsidRPr="00F17D0D">
              <w:rPr>
                <w:rFonts w:ascii="Arial Narrow" w:hAnsi="Arial Narrow"/>
                <w:iCs/>
                <w:lang w:val="en-US"/>
              </w:rPr>
              <w:t xml:space="preserve">cascade testing among </w:t>
            </w:r>
            <w:r w:rsidRPr="00F17D0D">
              <w:rPr>
                <w:rFonts w:ascii="Arial Narrow" w:hAnsi="Arial Narrow"/>
                <w:iCs/>
                <w:lang w:val="en-US"/>
              </w:rPr>
              <w:t>FDRs to 10% increase</w:t>
            </w:r>
            <w:r w:rsidR="003C0632" w:rsidRPr="00F17D0D">
              <w:rPr>
                <w:rFonts w:ascii="Arial Narrow" w:hAnsi="Arial Narrow"/>
                <w:iCs/>
                <w:lang w:val="en-US"/>
              </w:rPr>
              <w:t>d</w:t>
            </w:r>
            <w:r w:rsidRPr="00F17D0D">
              <w:rPr>
                <w:rFonts w:ascii="Arial Narrow" w:hAnsi="Arial Narrow"/>
                <w:iCs/>
                <w:lang w:val="en-US"/>
              </w:rPr>
              <w:t xml:space="preserve"> the cost per positive diagnosis to $18,838.</w:t>
            </w:r>
          </w:p>
        </w:tc>
      </w:tr>
      <w:bookmarkEnd w:id="61"/>
      <w:tr w:rsidR="00E62C96" w:rsidRPr="00D02565" w14:paraId="33196BD8" w14:textId="77777777" w:rsidTr="006D6B3A">
        <w:tc>
          <w:tcPr>
            <w:tcW w:w="626" w:type="pct"/>
            <w:shd w:val="clear" w:color="auto" w:fill="auto"/>
            <w:vAlign w:val="center"/>
          </w:tcPr>
          <w:p w14:paraId="42A876EC" w14:textId="77777777" w:rsidR="00E62C96" w:rsidRPr="00D02565" w:rsidRDefault="00E62C96" w:rsidP="006D6B3A">
            <w:pPr>
              <w:spacing w:before="40"/>
              <w:rPr>
                <w:rFonts w:ascii="Arial Narrow" w:hAnsi="Arial Narrow"/>
                <w:lang w:val="en-US"/>
              </w:rPr>
            </w:pPr>
            <w:r w:rsidRPr="00D02565">
              <w:rPr>
                <w:rFonts w:ascii="Arial Narrow" w:hAnsi="Arial Narrow"/>
                <w:lang w:val="en-US"/>
              </w:rPr>
              <w:t>Cost of genetic counselling</w:t>
            </w:r>
          </w:p>
        </w:tc>
        <w:tc>
          <w:tcPr>
            <w:tcW w:w="1965" w:type="pct"/>
            <w:shd w:val="clear" w:color="auto" w:fill="auto"/>
            <w:vAlign w:val="center"/>
          </w:tcPr>
          <w:p w14:paraId="53E719FE" w14:textId="02D02004" w:rsidR="00E62C96" w:rsidRPr="00D02565" w:rsidRDefault="00E62C96" w:rsidP="00C25359">
            <w:pPr>
              <w:spacing w:before="40"/>
              <w:rPr>
                <w:rFonts w:ascii="Arial Narrow" w:hAnsi="Arial Narrow"/>
                <w:lang w:val="en-US"/>
              </w:rPr>
            </w:pPr>
            <w:r w:rsidRPr="0BC60BB3">
              <w:rPr>
                <w:rFonts w:ascii="Arial Narrow" w:hAnsi="Arial Narrow"/>
                <w:lang w:val="en-US"/>
              </w:rPr>
              <w:t>The unit cost of genetic counselling in Australia</w:t>
            </w:r>
            <w:r>
              <w:rPr>
                <w:rFonts w:ascii="Arial Narrow" w:hAnsi="Arial Narrow"/>
                <w:lang w:val="en-US"/>
              </w:rPr>
              <w:t xml:space="preserve"> ($1,056.09, estimate provided by Western Australia NBS laboratory)</w:t>
            </w:r>
          </w:p>
        </w:tc>
        <w:tc>
          <w:tcPr>
            <w:tcW w:w="2409" w:type="pct"/>
            <w:shd w:val="clear" w:color="auto" w:fill="auto"/>
            <w:vAlign w:val="center"/>
          </w:tcPr>
          <w:p w14:paraId="63DD1271" w14:textId="01AE44BA" w:rsidR="00E62C96" w:rsidRPr="00F17D0D" w:rsidRDefault="00E62C96" w:rsidP="00C25359">
            <w:pPr>
              <w:spacing w:before="40"/>
              <w:rPr>
                <w:rFonts w:ascii="Arial Narrow" w:hAnsi="Arial Narrow"/>
                <w:iCs/>
                <w:lang w:val="en-US"/>
              </w:rPr>
            </w:pPr>
            <w:r w:rsidRPr="00F17D0D">
              <w:rPr>
                <w:rFonts w:ascii="Arial Narrow" w:hAnsi="Arial Narrow"/>
                <w:iCs/>
                <w:lang w:val="en-US"/>
              </w:rPr>
              <w:t>Moderate, favours intervention. Reducing the unit cost from $1,056.09 to $236.82 (estimate provided by clinical expert in consultation with a state principal genetic counseller) reduce</w:t>
            </w:r>
            <w:r w:rsidR="003C0632" w:rsidRPr="00F17D0D">
              <w:rPr>
                <w:rFonts w:ascii="Arial Narrow" w:hAnsi="Arial Narrow"/>
                <w:iCs/>
                <w:lang w:val="en-US"/>
              </w:rPr>
              <w:t>d</w:t>
            </w:r>
            <w:r w:rsidRPr="00F17D0D">
              <w:rPr>
                <w:rFonts w:ascii="Arial Narrow" w:hAnsi="Arial Narrow"/>
                <w:iCs/>
                <w:lang w:val="en-US"/>
              </w:rPr>
              <w:t xml:space="preserve"> the cost per positive diagnosis to $2,831.</w:t>
            </w:r>
          </w:p>
        </w:tc>
      </w:tr>
      <w:tr w:rsidR="00E62C96" w:rsidRPr="00D02565" w14:paraId="56189C74" w14:textId="77777777" w:rsidTr="006D6B3A">
        <w:tc>
          <w:tcPr>
            <w:tcW w:w="626" w:type="pct"/>
            <w:shd w:val="clear" w:color="auto" w:fill="auto"/>
            <w:vAlign w:val="center"/>
          </w:tcPr>
          <w:p w14:paraId="714AFB6F" w14:textId="77777777" w:rsidR="00E62C96" w:rsidRPr="00D02565" w:rsidRDefault="00E62C96" w:rsidP="006D6B3A">
            <w:pPr>
              <w:spacing w:before="40"/>
              <w:rPr>
                <w:rFonts w:ascii="Arial Narrow" w:hAnsi="Arial Narrow"/>
                <w:lang w:val="en-US"/>
              </w:rPr>
            </w:pPr>
            <w:r w:rsidRPr="00D02565">
              <w:rPr>
                <w:rFonts w:ascii="Arial Narrow" w:hAnsi="Arial Narrow"/>
                <w:lang w:val="en-US"/>
              </w:rPr>
              <w:t>Frequency of genetic counselling</w:t>
            </w:r>
          </w:p>
        </w:tc>
        <w:tc>
          <w:tcPr>
            <w:tcW w:w="1965" w:type="pct"/>
            <w:shd w:val="clear" w:color="auto" w:fill="auto"/>
            <w:vAlign w:val="center"/>
          </w:tcPr>
          <w:p w14:paraId="649CB37A" w14:textId="77777777" w:rsidR="00E62C96" w:rsidRPr="00D02565" w:rsidRDefault="00E62C96" w:rsidP="00C25359">
            <w:pPr>
              <w:spacing w:before="40"/>
              <w:rPr>
                <w:rFonts w:ascii="Arial Narrow" w:hAnsi="Arial Narrow"/>
                <w:lang w:val="en-US"/>
              </w:rPr>
            </w:pPr>
            <w:r w:rsidRPr="00D02565">
              <w:rPr>
                <w:rFonts w:ascii="Arial Narrow" w:hAnsi="Arial Narrow"/>
                <w:lang w:val="en-US"/>
              </w:rPr>
              <w:t>The number of genetic counselling sessions per positive diagnosis is uncertain</w:t>
            </w:r>
            <w:r>
              <w:rPr>
                <w:rFonts w:ascii="Arial Narrow" w:hAnsi="Arial Narrow"/>
                <w:lang w:val="en-US"/>
              </w:rPr>
              <w:t xml:space="preserve"> (base case 3 sessions).</w:t>
            </w:r>
          </w:p>
        </w:tc>
        <w:tc>
          <w:tcPr>
            <w:tcW w:w="2409" w:type="pct"/>
            <w:shd w:val="clear" w:color="auto" w:fill="auto"/>
            <w:vAlign w:val="center"/>
          </w:tcPr>
          <w:p w14:paraId="6A9E4DB9" w14:textId="36829391" w:rsidR="00E62C96" w:rsidRPr="00F17D0D" w:rsidRDefault="00E62C96" w:rsidP="00C25359">
            <w:pPr>
              <w:spacing w:before="40"/>
              <w:rPr>
                <w:rFonts w:ascii="Arial Narrow" w:hAnsi="Arial Narrow"/>
                <w:iCs/>
                <w:lang w:val="en-US"/>
              </w:rPr>
            </w:pPr>
            <w:r w:rsidRPr="00F17D0D">
              <w:rPr>
                <w:rFonts w:ascii="Arial Narrow" w:hAnsi="Arial Narrow"/>
                <w:iCs/>
                <w:lang w:val="en-US"/>
              </w:rPr>
              <w:t>Moderate, favours comparator. Assuming 6 genetic counselling sessions per positive diagnosis increase</w:t>
            </w:r>
            <w:r w:rsidR="003C0632" w:rsidRPr="00F17D0D">
              <w:rPr>
                <w:rFonts w:ascii="Arial Narrow" w:hAnsi="Arial Narrow"/>
                <w:iCs/>
                <w:lang w:val="en-US"/>
              </w:rPr>
              <w:t>d</w:t>
            </w:r>
            <w:r w:rsidRPr="00F17D0D">
              <w:rPr>
                <w:rFonts w:ascii="Arial Narrow" w:hAnsi="Arial Narrow"/>
                <w:iCs/>
                <w:lang w:val="en-US"/>
              </w:rPr>
              <w:t xml:space="preserve"> the cost to $14,009 per additional positive diagnosis.</w:t>
            </w:r>
          </w:p>
        </w:tc>
      </w:tr>
    </w:tbl>
    <w:p w14:paraId="0936FDB6" w14:textId="77777777" w:rsidR="00E62C96" w:rsidRDefault="00E62C96" w:rsidP="00B24FF3">
      <w:pPr>
        <w:tabs>
          <w:tab w:val="left" w:pos="284"/>
        </w:tabs>
        <w:spacing w:before="0" w:after="0" w:line="240" w:lineRule="auto"/>
        <w:rPr>
          <w:rFonts w:ascii="Arial Narrow" w:eastAsia="Times New Roman" w:hAnsi="Arial Narrow" w:cs="Arial"/>
          <w:snapToGrid w:val="0"/>
          <w:sz w:val="18"/>
          <w:lang w:eastAsia="en-AU"/>
        </w:rPr>
      </w:pPr>
      <w:bookmarkStart w:id="63" w:name="_Hlk68276635"/>
      <w:bookmarkEnd w:id="60"/>
      <w:bookmarkEnd w:id="62"/>
      <w:r w:rsidRPr="00D02565">
        <w:rPr>
          <w:rFonts w:ascii="Arial Narrow" w:eastAsia="Times New Roman" w:hAnsi="Arial Narrow" w:cs="Arial"/>
          <w:i/>
          <w:iCs/>
          <w:snapToGrid w:val="0"/>
          <w:sz w:val="18"/>
          <w:lang w:eastAsia="en-AU"/>
        </w:rPr>
        <w:t>ABDC1</w:t>
      </w:r>
      <w:r w:rsidRPr="00D02565">
        <w:rPr>
          <w:rFonts w:ascii="Arial Narrow" w:eastAsia="Times New Roman" w:hAnsi="Arial Narrow" w:cs="Arial"/>
          <w:snapToGrid w:val="0"/>
          <w:sz w:val="18"/>
          <w:lang w:eastAsia="en-AU"/>
        </w:rPr>
        <w:t xml:space="preserve"> = ATP Binding Cassette Subfamily D Member 1; </w:t>
      </w:r>
      <w:r>
        <w:rPr>
          <w:rFonts w:ascii="Arial Narrow" w:eastAsia="Times New Roman" w:hAnsi="Arial Narrow" w:cs="Arial"/>
          <w:snapToGrid w:val="0"/>
          <w:sz w:val="18"/>
          <w:lang w:eastAsia="en-AU"/>
        </w:rPr>
        <w:t xml:space="preserve">FDRs = first-degree relatives; </w:t>
      </w:r>
      <w:r w:rsidRPr="00D02565">
        <w:rPr>
          <w:rFonts w:ascii="Arial Narrow" w:eastAsia="Times New Roman" w:hAnsi="Arial Narrow" w:cs="Arial"/>
          <w:snapToGrid w:val="0"/>
          <w:sz w:val="18"/>
          <w:lang w:eastAsia="en-AU"/>
        </w:rPr>
        <w:t xml:space="preserve">ICER = incremental cost-effectiveness ratio; QALY = quality-adjusted life year. </w:t>
      </w:r>
    </w:p>
    <w:p w14:paraId="59420C01" w14:textId="5B0905D6" w:rsidR="00253046" w:rsidRPr="00D02565" w:rsidRDefault="00253046" w:rsidP="00B24FF3">
      <w:pPr>
        <w:tabs>
          <w:tab w:val="left" w:pos="284"/>
        </w:tabs>
        <w:spacing w:before="0" w:after="360" w:line="240" w:lineRule="auto"/>
        <w:rPr>
          <w:rFonts w:ascii="Arial Narrow" w:eastAsia="Times New Roman" w:hAnsi="Arial Narrow" w:cs="Arial"/>
          <w:snapToGrid w:val="0"/>
          <w:sz w:val="18"/>
          <w:szCs w:val="18"/>
          <w:lang w:eastAsia="en-AU"/>
        </w:rPr>
      </w:pPr>
      <w:r>
        <w:rPr>
          <w:rFonts w:ascii="Arial Narrow" w:eastAsia="Times New Roman" w:hAnsi="Arial Narrow" w:cs="Arial"/>
          <w:snapToGrid w:val="0"/>
          <w:sz w:val="18"/>
          <w:lang w:eastAsia="en-AU"/>
        </w:rPr>
        <w:t>Source: DCAR Table 13.</w:t>
      </w:r>
    </w:p>
    <w:p w14:paraId="5052C5DF" w14:textId="40DF8074" w:rsidR="000B7226" w:rsidRPr="000B7226" w:rsidRDefault="000B7226" w:rsidP="000B7226">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64" w:name="_Toc130198565"/>
      <w:bookmarkStart w:id="65" w:name="_Toc133221399"/>
      <w:bookmarkEnd w:id="63"/>
      <w:r w:rsidRPr="000B7226">
        <w:rPr>
          <w:rFonts w:ascii="Franklin Gothic Medium" w:eastAsiaTheme="majorEastAsia" w:hAnsi="Franklin Gothic Medium" w:cstheme="majorBidi"/>
          <w:color w:val="000000" w:themeColor="text1"/>
          <w:sz w:val="32"/>
          <w:szCs w:val="26"/>
        </w:rPr>
        <w:t>1</w:t>
      </w:r>
      <w:r w:rsidR="009653B7">
        <w:rPr>
          <w:rFonts w:ascii="Franklin Gothic Medium" w:eastAsiaTheme="majorEastAsia" w:hAnsi="Franklin Gothic Medium" w:cstheme="majorBidi"/>
          <w:color w:val="000000" w:themeColor="text1"/>
          <w:sz w:val="32"/>
          <w:szCs w:val="26"/>
        </w:rPr>
        <w:t>4</w:t>
      </w:r>
      <w:r w:rsidRPr="000B7226">
        <w:rPr>
          <w:rFonts w:ascii="Franklin Gothic Medium" w:eastAsiaTheme="majorEastAsia" w:hAnsi="Franklin Gothic Medium" w:cstheme="majorBidi"/>
          <w:color w:val="000000" w:themeColor="text1"/>
          <w:sz w:val="32"/>
          <w:szCs w:val="26"/>
        </w:rPr>
        <w:t>.</w:t>
      </w:r>
      <w:r w:rsidRPr="000B7226">
        <w:rPr>
          <w:rFonts w:ascii="Franklin Gothic Medium" w:eastAsiaTheme="majorEastAsia" w:hAnsi="Franklin Gothic Medium" w:cstheme="majorBidi"/>
          <w:color w:val="000000" w:themeColor="text1"/>
          <w:sz w:val="32"/>
          <w:szCs w:val="26"/>
        </w:rPr>
        <w:tab/>
        <w:t>Financial/budgetary impacts</w:t>
      </w:r>
      <w:bookmarkEnd w:id="64"/>
      <w:bookmarkEnd w:id="65"/>
    </w:p>
    <w:p w14:paraId="378E8784" w14:textId="68BD4DEE" w:rsidR="00B716FD" w:rsidRDefault="00B716FD" w:rsidP="00D36449">
      <w:pPr>
        <w:jc w:val="both"/>
      </w:pPr>
      <w:bookmarkStart w:id="66" w:name="_Hlk132803130"/>
      <w:bookmarkStart w:id="67" w:name="_Toc109299604"/>
      <w:bookmarkStart w:id="68" w:name="_Toc112426552"/>
      <w:r>
        <w:t>NBS programs are overseen and managed by state and territory governments and operate independently of each other. The Australian Government contributes funding to hospital services, including those for NBS through the National Health Reform Agreement (NHRA). It also announced funding of $39.0 million under the 2022-23 Budget, some of which will be provided direct to states and territories to support expansion of their NBS programs. It was assumed that testing for X</w:t>
      </w:r>
      <w:r w:rsidRPr="00CC4F3C">
        <w:t xml:space="preserve">-ALD </w:t>
      </w:r>
      <w:r>
        <w:t xml:space="preserve">through </w:t>
      </w:r>
      <w:r w:rsidRPr="00CC4F3C">
        <w:t>NBS</w:t>
      </w:r>
      <w:r>
        <w:t xml:space="preserve"> programs </w:t>
      </w:r>
      <w:r w:rsidRPr="00CC4F3C">
        <w:t xml:space="preserve">would </w:t>
      </w:r>
      <w:r>
        <w:t>start in</w:t>
      </w:r>
      <w:r w:rsidRPr="00CC4F3C">
        <w:t xml:space="preserve"> 2024.</w:t>
      </w:r>
    </w:p>
    <w:p w14:paraId="34120BC2" w14:textId="031BDC65" w:rsidR="00CB6336" w:rsidRDefault="00CB6336" w:rsidP="00C95193">
      <w:r w:rsidRPr="000A1F73">
        <w:t xml:space="preserve">An epidemiological approach was used to estimate the financial implications of screening all newborns (PICO </w:t>
      </w:r>
      <w:r>
        <w:t xml:space="preserve">set </w:t>
      </w:r>
      <w:r w:rsidRPr="000A1F73">
        <w:t xml:space="preserve">1) in Australia for X-ALD through NBS. All newborns in Australia </w:t>
      </w:r>
      <w:r w:rsidR="00C75B08">
        <w:t xml:space="preserve">are </w:t>
      </w:r>
      <w:r w:rsidRPr="000A1F73">
        <w:t xml:space="preserve">eligible </w:t>
      </w:r>
      <w:r w:rsidRPr="000A1F73">
        <w:lastRenderedPageBreak/>
        <w:t>for NBS</w:t>
      </w:r>
      <w:r w:rsidR="00C75B08">
        <w:t>, and NBS uptake was estimated to be 99%</w:t>
      </w:r>
      <w:r w:rsidRPr="000A1F73">
        <w:t xml:space="preserve">. The estimated use and cost in PICO </w:t>
      </w:r>
      <w:r>
        <w:t xml:space="preserve">set </w:t>
      </w:r>
      <w:r w:rsidRPr="000A1F73">
        <w:t xml:space="preserve">2 </w:t>
      </w:r>
      <w:r w:rsidR="00C75B08">
        <w:t>we</w:t>
      </w:r>
      <w:r w:rsidRPr="000A1F73">
        <w:t xml:space="preserve">re based on the number of </w:t>
      </w:r>
      <w:r>
        <w:t>newborns (</w:t>
      </w:r>
      <w:r w:rsidRPr="001409F5">
        <w:t>with positive genotype</w:t>
      </w:r>
      <w:r>
        <w:t>)</w:t>
      </w:r>
      <w:r w:rsidRPr="001409F5" w:rsidDel="001409F5">
        <w:t xml:space="preserve"> </w:t>
      </w:r>
      <w:r w:rsidRPr="000A1F73">
        <w:t xml:space="preserve">diagnosed with X-ALD through NBS. </w:t>
      </w:r>
      <w:r>
        <w:rPr>
          <w:color w:val="000000" w:themeColor="text1"/>
        </w:rPr>
        <w:t>PICO set 1 is the primary purpose of this application.</w:t>
      </w:r>
    </w:p>
    <w:p w14:paraId="759AA104" w14:textId="774D78CA" w:rsidR="003C7CCE" w:rsidRDefault="0051088C" w:rsidP="00C95193">
      <w:r>
        <w:t xml:space="preserve">Financial estimates represent incremental costs compared to the current setting, where the X-ALD screening is not included in NBS programs. Based on literature, it was assumed within the financial modelling that no children would present symptomatically in the first six years after birth within the comparator. Consequently, no cost offsets </w:t>
      </w:r>
      <w:r w:rsidR="00C85798">
        <w:t>we</w:t>
      </w:r>
      <w:r>
        <w:t>re included in the financial estimates for PICO set 1</w:t>
      </w:r>
      <w:r w:rsidR="00CB6336">
        <w:t>, although financial implications of</w:t>
      </w:r>
      <w:r w:rsidR="00CB6336" w:rsidRPr="00CB6336">
        <w:t xml:space="preserve"> </w:t>
      </w:r>
      <w:r w:rsidR="00CB6336">
        <w:t>f</w:t>
      </w:r>
      <w:r w:rsidR="00CB6336" w:rsidRPr="00CB6336">
        <w:t xml:space="preserve">amily members of </w:t>
      </w:r>
      <w:r w:rsidR="00CB6336">
        <w:t xml:space="preserve">newborns diagnosed with X-ALD as a result of </w:t>
      </w:r>
      <w:r w:rsidR="00CB6336" w:rsidRPr="00CB6336">
        <w:t>NBS</w:t>
      </w:r>
      <w:r w:rsidR="00CB6336">
        <w:t xml:space="preserve"> (PICO set 2) were also estimated. </w:t>
      </w:r>
    </w:p>
    <w:p w14:paraId="2450CE12" w14:textId="6C1D9869" w:rsidR="0051088C" w:rsidRDefault="00B716FD" w:rsidP="00C95193">
      <w:r>
        <w:t>T</w:t>
      </w:r>
      <w:r w:rsidR="0051088C">
        <w:t xml:space="preserve">here will likely be cost offsets beyond </w:t>
      </w:r>
      <w:r w:rsidR="00C85798">
        <w:t xml:space="preserve">the </w:t>
      </w:r>
      <w:r w:rsidR="0051088C">
        <w:t>six year</w:t>
      </w:r>
      <w:r w:rsidR="00C85798">
        <w:t xml:space="preserve"> time horizon of the financial analysi</w:t>
      </w:r>
      <w:r w:rsidR="0051088C">
        <w:t xml:space="preserve">s, which </w:t>
      </w:r>
      <w:r w:rsidR="00C85798">
        <w:t>we</w:t>
      </w:r>
      <w:r w:rsidR="0051088C">
        <w:t xml:space="preserve">re not captured in the financial estimates. Children older than six years and adults diagnosed with X-ALD from symptomatic presentation will likely be originally misdiagnosed within their diagnostic odyssey due to the rarity of X-ALD. Including X-ALD in NBS programs will identify newborns with positive genotype and genetically </w:t>
      </w:r>
      <w:r w:rsidR="0042313F">
        <w:t>(</w:t>
      </w:r>
      <w:r w:rsidR="007D2346">
        <w:t>for</w:t>
      </w:r>
      <w:r w:rsidR="0042313F">
        <w:t xml:space="preserve"> strategies </w:t>
      </w:r>
      <w:r w:rsidR="007D2346">
        <w:t>that include</w:t>
      </w:r>
      <w:r w:rsidR="0042313F">
        <w:t xml:space="preserve"> genetic testing) </w:t>
      </w:r>
      <w:r w:rsidR="0051088C">
        <w:t xml:space="preserve">diagnose children </w:t>
      </w:r>
      <w:r w:rsidR="00057853">
        <w:t>as being at risk of developing</w:t>
      </w:r>
      <w:r w:rsidR="0051088C">
        <w:t xml:space="preserve"> X-ALD, eliminating the misdiagnosis and healthcare system costs associated with symptomatic presentation.</w:t>
      </w:r>
    </w:p>
    <w:bookmarkEnd w:id="66"/>
    <w:p w14:paraId="4AFE4215" w14:textId="116C2BCB" w:rsidR="0051088C" w:rsidRDefault="003C7CCE" w:rsidP="00C95193">
      <w:r>
        <w:t>D</w:t>
      </w:r>
      <w:r w:rsidR="0051088C">
        <w:t>ue to the introduction of NBS for X-ALD, cascade testing will likely increase in the first six years</w:t>
      </w:r>
      <w:r w:rsidR="00E46EAB">
        <w:t>.</w:t>
      </w:r>
      <w:r w:rsidR="0051088C">
        <w:t xml:space="preserve"> </w:t>
      </w:r>
      <w:r w:rsidR="00E46EAB">
        <w:t>This result</w:t>
      </w:r>
      <w:r w:rsidR="005E4E13">
        <w:t>ed</w:t>
      </w:r>
      <w:r w:rsidR="00E46EAB">
        <w:t xml:space="preserve"> from a combination of bringing cascade testing forward for positive genotype male newborns compared to if they were diagnosed symptomatically, and </w:t>
      </w:r>
      <w:r w:rsidR="0051088C">
        <w:t xml:space="preserve">from positive genotype female newborns (if results are </w:t>
      </w:r>
      <w:r w:rsidR="00B943D7">
        <w:t xml:space="preserve">reported </w:t>
      </w:r>
      <w:r w:rsidR="0051088C">
        <w:t>for females) that would not otherwise have been picked up in the first six years after birth</w:t>
      </w:r>
      <w:r w:rsidR="00E46EAB">
        <w:t xml:space="preserve">. </w:t>
      </w:r>
      <w:r w:rsidR="0051088C">
        <w:t>Female newborns with positive genotype show signs and symptoms at a much later age</w:t>
      </w:r>
      <w:r w:rsidR="00E46EAB">
        <w:t xml:space="preserve"> than six years</w:t>
      </w:r>
      <w:r w:rsidR="0051088C">
        <w:t xml:space="preserve">. </w:t>
      </w:r>
    </w:p>
    <w:p w14:paraId="037E7840" w14:textId="74FB15ED" w:rsidR="00842945" w:rsidRDefault="001F1C16" w:rsidP="00C95193">
      <w:r>
        <w:fldChar w:fldCharType="begin"/>
      </w:r>
      <w:r>
        <w:instrText xml:space="preserve"> REF _Ref132820213 \h </w:instrText>
      </w:r>
      <w:r w:rsidR="005622B4">
        <w:instrText xml:space="preserve"> \* MERGEFORMAT </w:instrText>
      </w:r>
      <w:r>
        <w:fldChar w:fldCharType="separate"/>
      </w:r>
      <w:r w:rsidR="00253978">
        <w:t xml:space="preserve">Table </w:t>
      </w:r>
      <w:r w:rsidR="00253978">
        <w:rPr>
          <w:noProof/>
        </w:rPr>
        <w:t>17</w:t>
      </w:r>
      <w:r>
        <w:fldChar w:fldCharType="end"/>
      </w:r>
      <w:r>
        <w:t xml:space="preserve"> shows the n</w:t>
      </w:r>
      <w:r w:rsidRPr="00CF0986">
        <w:t xml:space="preserve">et financial implications to NBS programs and </w:t>
      </w:r>
      <w:r>
        <w:t xml:space="preserve">the </w:t>
      </w:r>
      <w:r w:rsidRPr="00CF0986">
        <w:t>Government</w:t>
      </w:r>
      <w:r>
        <w:t xml:space="preserve"> for </w:t>
      </w:r>
      <w:r w:rsidRPr="00CF0986">
        <w:t>PICO set 1</w:t>
      </w:r>
      <w:r>
        <w:t xml:space="preserve">. </w:t>
      </w:r>
      <w:r w:rsidR="0051088C">
        <w:t xml:space="preserve">Approximately 1.9 million newborns will receive NBS for X-ALD over six years. </w:t>
      </w:r>
      <w:r w:rsidR="00842945">
        <w:t>The total cost to NBS programs depend</w:t>
      </w:r>
      <w:r w:rsidR="005E4E13">
        <w:t>ed</w:t>
      </w:r>
      <w:r w:rsidR="00842945">
        <w:t xml:space="preserve"> on the screening strategy implemented. Strategy I </w:t>
      </w:r>
      <w:r w:rsidR="005E4E13">
        <w:t>wa</w:t>
      </w:r>
      <w:r w:rsidR="00842945">
        <w:t>s estimated to have the lowest net financial impact on NBS programs at $11.1 million over six years. Strategy IVb ha</w:t>
      </w:r>
      <w:r w:rsidR="005E4E13">
        <w:t>d</w:t>
      </w:r>
      <w:r w:rsidR="00842945">
        <w:t xml:space="preserve"> the next lowest financial impact at $11.2 million, while Strategy II ha</w:t>
      </w:r>
      <w:r w:rsidR="005E4E13">
        <w:t>d</w:t>
      </w:r>
      <w:r w:rsidR="00842945">
        <w:t xml:space="preserve"> the greatest financial impact at $63.0 million over six years. Strategy II </w:t>
      </w:r>
      <w:r w:rsidR="005E4E13">
        <w:t>wa</w:t>
      </w:r>
      <w:r w:rsidR="00842945">
        <w:t>s the most costly because it ha</w:t>
      </w:r>
      <w:r w:rsidR="005E4E13">
        <w:t>d</w:t>
      </w:r>
      <w:r w:rsidR="00842945">
        <w:t xml:space="preserve"> the highest number of newborns receiving </w:t>
      </w:r>
      <w:r w:rsidR="00842945" w:rsidRPr="006253B6">
        <w:rPr>
          <w:i/>
          <w:iCs/>
        </w:rPr>
        <w:t>ABCD1</w:t>
      </w:r>
      <w:r w:rsidR="00842945">
        <w:t xml:space="preserve"> genetic testing compared to all other strategies.</w:t>
      </w:r>
    </w:p>
    <w:p w14:paraId="613C4BAF" w14:textId="2E07332F" w:rsidR="00842945" w:rsidRDefault="00842945" w:rsidP="00C95193">
      <w:pPr>
        <w:spacing w:after="240"/>
      </w:pPr>
      <w:r>
        <w:t xml:space="preserve">There </w:t>
      </w:r>
      <w:r w:rsidR="005E4E13">
        <w:t>would</w:t>
      </w:r>
      <w:r w:rsidR="001421AA">
        <w:t xml:space="preserve"> also</w:t>
      </w:r>
      <w:r w:rsidR="005E4E13">
        <w:t xml:space="preserve"> </w:t>
      </w:r>
      <w:r>
        <w:t>be a change in use of other health technologies associated with PICO set 1. This include</w:t>
      </w:r>
      <w:r w:rsidR="001421AA">
        <w:t>d</w:t>
      </w:r>
      <w:r>
        <w:t xml:space="preserve"> $0.4 million over six years through the MBS to monitor for CCALD and AI, and $18,605 over six years through the PBS to treat GVHD and AI. State and territory governments </w:t>
      </w:r>
      <w:r w:rsidR="001421AA">
        <w:t>we</w:t>
      </w:r>
      <w:r>
        <w:t>re estimated to spend $3.0 million over six years for Strateg</w:t>
      </w:r>
      <w:r w:rsidR="007C4B93">
        <w:t>ies</w:t>
      </w:r>
      <w:r>
        <w:t xml:space="preserve"> I to IV and $2.7 million over six years for Strateg</w:t>
      </w:r>
      <w:r w:rsidR="007C4B93">
        <w:t>ies</w:t>
      </w:r>
      <w:r>
        <w:t xml:space="preserve"> Ia to IVb to treat CCALD with HSCT and to provide genetic counselling. </w:t>
      </w:r>
    </w:p>
    <w:p w14:paraId="38E6B537" w14:textId="5638A5FB" w:rsidR="00AD6F8D" w:rsidRDefault="00AD6F8D" w:rsidP="00B76655">
      <w:pPr>
        <w:pStyle w:val="Caption"/>
      </w:pPr>
      <w:bookmarkStart w:id="69" w:name="_Ref132820213"/>
      <w:r>
        <w:t xml:space="preserve">Table </w:t>
      </w:r>
      <w:r>
        <w:fldChar w:fldCharType="begin"/>
      </w:r>
      <w:r>
        <w:instrText>SEQ Table \* ARABIC</w:instrText>
      </w:r>
      <w:r>
        <w:fldChar w:fldCharType="separate"/>
      </w:r>
      <w:r w:rsidR="00253978">
        <w:rPr>
          <w:noProof/>
        </w:rPr>
        <w:t>17</w:t>
      </w:r>
      <w:r>
        <w:fldChar w:fldCharType="end"/>
      </w:r>
      <w:bookmarkEnd w:id="69"/>
      <w:r>
        <w:t>: Net financial implications to NBS</w:t>
      </w:r>
      <w:r w:rsidRPr="000563B4">
        <w:rPr>
          <w:vertAlign w:val="superscript"/>
        </w:rPr>
        <w:t>a</w:t>
      </w:r>
      <w:r>
        <w:t xml:space="preserve"> programs</w:t>
      </w:r>
      <w:r w:rsidR="00CB6336">
        <w:t xml:space="preserve"> and other government budgets</w:t>
      </w:r>
      <w:r>
        <w:t xml:space="preserve"> (PICO set 1)</w:t>
      </w:r>
    </w:p>
    <w:tbl>
      <w:tblPr>
        <w:tblStyle w:val="TableGrid1"/>
        <w:tblW w:w="9067" w:type="dxa"/>
        <w:tblLayout w:type="fixed"/>
        <w:tblCellMar>
          <w:left w:w="0" w:type="dxa"/>
          <w:right w:w="0" w:type="dxa"/>
        </w:tblCellMar>
        <w:tblLook w:val="04A0" w:firstRow="1" w:lastRow="0" w:firstColumn="1" w:lastColumn="0" w:noHBand="0" w:noVBand="1"/>
      </w:tblPr>
      <w:tblGrid>
        <w:gridCol w:w="2258"/>
        <w:gridCol w:w="1134"/>
        <w:gridCol w:w="1134"/>
        <w:gridCol w:w="1134"/>
        <w:gridCol w:w="1134"/>
        <w:gridCol w:w="1134"/>
        <w:gridCol w:w="1139"/>
      </w:tblGrid>
      <w:tr w:rsidR="0051088C" w:rsidRPr="006253B6" w14:paraId="37DFB066" w14:textId="77777777" w:rsidTr="00842945">
        <w:trPr>
          <w:cnfStyle w:val="100000000000" w:firstRow="1" w:lastRow="0" w:firstColumn="0" w:lastColumn="0" w:oddVBand="0" w:evenVBand="0" w:oddHBand="0" w:evenHBand="0" w:firstRowFirstColumn="0" w:firstRowLastColumn="0" w:lastRowFirstColumn="0" w:lastRowLastColumn="0"/>
          <w:tblHeader/>
        </w:trPr>
        <w:tc>
          <w:tcPr>
            <w:tcW w:w="2258" w:type="dxa"/>
            <w:tcMar>
              <w:top w:w="0" w:type="dxa"/>
              <w:left w:w="108" w:type="dxa"/>
              <w:bottom w:w="0" w:type="dxa"/>
              <w:right w:w="108" w:type="dxa"/>
            </w:tcMar>
          </w:tcPr>
          <w:p w14:paraId="5B460C81" w14:textId="77777777" w:rsidR="0051088C" w:rsidRPr="006253B6" w:rsidRDefault="0051088C" w:rsidP="000B7226">
            <w:pPr>
              <w:spacing w:before="40"/>
              <w:rPr>
                <w:rFonts w:ascii="Arial Narrow" w:hAnsi="Arial Narrow"/>
                <w:b/>
                <w:bCs/>
                <w:sz w:val="19"/>
                <w:szCs w:val="19"/>
              </w:rPr>
            </w:pPr>
            <w:r w:rsidRPr="006253B6">
              <w:rPr>
                <w:rFonts w:ascii="Arial Narrow" w:hAnsi="Arial Narrow"/>
                <w:b/>
                <w:bCs/>
                <w:sz w:val="19"/>
                <w:szCs w:val="19"/>
              </w:rPr>
              <w:t xml:space="preserve">Parameter </w:t>
            </w:r>
          </w:p>
        </w:tc>
        <w:tc>
          <w:tcPr>
            <w:tcW w:w="1134" w:type="dxa"/>
            <w:tcMar>
              <w:top w:w="0" w:type="dxa"/>
              <w:left w:w="108" w:type="dxa"/>
              <w:bottom w:w="0" w:type="dxa"/>
              <w:right w:w="108" w:type="dxa"/>
            </w:tcMar>
            <w:hideMark/>
          </w:tcPr>
          <w:p w14:paraId="295A9891" w14:textId="15BB2328" w:rsidR="0051088C" w:rsidRPr="006253B6" w:rsidRDefault="0051088C" w:rsidP="00C25359">
            <w:pPr>
              <w:spacing w:before="40"/>
              <w:jc w:val="center"/>
              <w:rPr>
                <w:rFonts w:ascii="Arial Narrow" w:hAnsi="Arial Narrow"/>
                <w:b/>
                <w:sz w:val="19"/>
                <w:szCs w:val="19"/>
              </w:rPr>
            </w:pPr>
            <w:r w:rsidRPr="006253B6">
              <w:rPr>
                <w:rFonts w:ascii="Arial Narrow" w:hAnsi="Arial Narrow"/>
                <w:b/>
                <w:sz w:val="19"/>
                <w:szCs w:val="19"/>
              </w:rPr>
              <w:t>Year 1</w:t>
            </w:r>
            <w:r w:rsidR="00796887">
              <w:rPr>
                <w:rFonts w:ascii="Arial Narrow" w:hAnsi="Arial Narrow"/>
                <w:b/>
                <w:sz w:val="19"/>
                <w:szCs w:val="19"/>
              </w:rPr>
              <w:br/>
              <w:t>(2024)</w:t>
            </w:r>
          </w:p>
        </w:tc>
        <w:tc>
          <w:tcPr>
            <w:tcW w:w="1134" w:type="dxa"/>
            <w:tcMar>
              <w:top w:w="0" w:type="dxa"/>
              <w:left w:w="108" w:type="dxa"/>
              <w:bottom w:w="0" w:type="dxa"/>
              <w:right w:w="108" w:type="dxa"/>
            </w:tcMar>
            <w:hideMark/>
          </w:tcPr>
          <w:p w14:paraId="139BB524" w14:textId="61567E48" w:rsidR="0051088C" w:rsidRPr="006253B6" w:rsidRDefault="0051088C" w:rsidP="00C25359">
            <w:pPr>
              <w:spacing w:before="40"/>
              <w:jc w:val="center"/>
              <w:rPr>
                <w:rFonts w:ascii="Arial Narrow" w:hAnsi="Arial Narrow"/>
                <w:b/>
                <w:bCs/>
                <w:sz w:val="19"/>
                <w:szCs w:val="19"/>
              </w:rPr>
            </w:pPr>
            <w:r w:rsidRPr="006253B6">
              <w:rPr>
                <w:rFonts w:ascii="Arial Narrow" w:hAnsi="Arial Narrow"/>
                <w:b/>
                <w:bCs/>
                <w:sz w:val="19"/>
                <w:szCs w:val="19"/>
              </w:rPr>
              <w:t>Year 2</w:t>
            </w:r>
            <w:r w:rsidR="00796887">
              <w:rPr>
                <w:rFonts w:ascii="Arial Narrow" w:hAnsi="Arial Narrow"/>
                <w:b/>
                <w:bCs/>
                <w:sz w:val="19"/>
                <w:szCs w:val="19"/>
              </w:rPr>
              <w:br/>
              <w:t>(2025)</w:t>
            </w:r>
          </w:p>
        </w:tc>
        <w:tc>
          <w:tcPr>
            <w:tcW w:w="1134" w:type="dxa"/>
            <w:tcMar>
              <w:top w:w="0" w:type="dxa"/>
              <w:left w:w="108" w:type="dxa"/>
              <w:bottom w:w="0" w:type="dxa"/>
              <w:right w:w="108" w:type="dxa"/>
            </w:tcMar>
            <w:hideMark/>
          </w:tcPr>
          <w:p w14:paraId="5780DDF9" w14:textId="777EE9F1" w:rsidR="0051088C" w:rsidRPr="006253B6" w:rsidRDefault="0051088C" w:rsidP="00C25359">
            <w:pPr>
              <w:spacing w:before="40"/>
              <w:jc w:val="center"/>
              <w:rPr>
                <w:rFonts w:ascii="Arial Narrow" w:hAnsi="Arial Narrow"/>
                <w:b/>
                <w:bCs/>
                <w:sz w:val="19"/>
                <w:szCs w:val="19"/>
              </w:rPr>
            </w:pPr>
            <w:r w:rsidRPr="006253B6">
              <w:rPr>
                <w:rFonts w:ascii="Arial Narrow" w:hAnsi="Arial Narrow"/>
                <w:b/>
                <w:bCs/>
                <w:sz w:val="19"/>
                <w:szCs w:val="19"/>
              </w:rPr>
              <w:t>Year 3</w:t>
            </w:r>
            <w:r w:rsidR="00796887">
              <w:rPr>
                <w:rFonts w:ascii="Arial Narrow" w:hAnsi="Arial Narrow"/>
                <w:b/>
                <w:bCs/>
                <w:sz w:val="19"/>
                <w:szCs w:val="19"/>
              </w:rPr>
              <w:br/>
              <w:t>(2026)</w:t>
            </w:r>
          </w:p>
        </w:tc>
        <w:tc>
          <w:tcPr>
            <w:tcW w:w="1134" w:type="dxa"/>
            <w:tcMar>
              <w:top w:w="0" w:type="dxa"/>
              <w:left w:w="108" w:type="dxa"/>
              <w:bottom w:w="0" w:type="dxa"/>
              <w:right w:w="108" w:type="dxa"/>
            </w:tcMar>
            <w:hideMark/>
          </w:tcPr>
          <w:p w14:paraId="05D086A2" w14:textId="793098EB" w:rsidR="0051088C" w:rsidRPr="006253B6" w:rsidRDefault="0051088C" w:rsidP="00C25359">
            <w:pPr>
              <w:spacing w:before="40"/>
              <w:jc w:val="center"/>
              <w:rPr>
                <w:rFonts w:ascii="Arial Narrow" w:hAnsi="Arial Narrow"/>
                <w:b/>
                <w:bCs/>
                <w:sz w:val="19"/>
                <w:szCs w:val="19"/>
              </w:rPr>
            </w:pPr>
            <w:r w:rsidRPr="006253B6">
              <w:rPr>
                <w:rFonts w:ascii="Arial Narrow" w:hAnsi="Arial Narrow"/>
                <w:b/>
                <w:bCs/>
                <w:sz w:val="19"/>
                <w:szCs w:val="19"/>
              </w:rPr>
              <w:t>Year 4</w:t>
            </w:r>
            <w:r w:rsidR="00796887">
              <w:rPr>
                <w:rFonts w:ascii="Arial Narrow" w:hAnsi="Arial Narrow"/>
                <w:b/>
                <w:bCs/>
                <w:sz w:val="19"/>
                <w:szCs w:val="19"/>
              </w:rPr>
              <w:br/>
              <w:t>(2027)</w:t>
            </w:r>
          </w:p>
        </w:tc>
        <w:tc>
          <w:tcPr>
            <w:tcW w:w="1134" w:type="dxa"/>
            <w:tcMar>
              <w:top w:w="0" w:type="dxa"/>
              <w:left w:w="108" w:type="dxa"/>
              <w:bottom w:w="0" w:type="dxa"/>
              <w:right w:w="108" w:type="dxa"/>
            </w:tcMar>
            <w:hideMark/>
          </w:tcPr>
          <w:p w14:paraId="2BC99AEB" w14:textId="3CE33496" w:rsidR="0051088C" w:rsidRPr="006253B6" w:rsidRDefault="0051088C" w:rsidP="00C25359">
            <w:pPr>
              <w:spacing w:before="40"/>
              <w:jc w:val="center"/>
              <w:rPr>
                <w:rFonts w:ascii="Arial Narrow" w:hAnsi="Arial Narrow"/>
                <w:b/>
                <w:bCs/>
                <w:sz w:val="19"/>
                <w:szCs w:val="19"/>
              </w:rPr>
            </w:pPr>
            <w:r w:rsidRPr="006253B6">
              <w:rPr>
                <w:rFonts w:ascii="Arial Narrow" w:hAnsi="Arial Narrow"/>
                <w:b/>
                <w:bCs/>
                <w:sz w:val="19"/>
                <w:szCs w:val="19"/>
              </w:rPr>
              <w:t>Year 5</w:t>
            </w:r>
            <w:r w:rsidR="00796887">
              <w:rPr>
                <w:rFonts w:ascii="Arial Narrow" w:hAnsi="Arial Narrow"/>
                <w:b/>
                <w:bCs/>
                <w:sz w:val="19"/>
                <w:szCs w:val="19"/>
              </w:rPr>
              <w:br/>
              <w:t>(2028)</w:t>
            </w:r>
          </w:p>
        </w:tc>
        <w:tc>
          <w:tcPr>
            <w:tcW w:w="1139" w:type="dxa"/>
            <w:tcMar>
              <w:top w:w="0" w:type="dxa"/>
              <w:left w:w="108" w:type="dxa"/>
              <w:bottom w:w="0" w:type="dxa"/>
              <w:right w:w="108" w:type="dxa"/>
            </w:tcMar>
            <w:hideMark/>
          </w:tcPr>
          <w:p w14:paraId="7048E756" w14:textId="41844FBB" w:rsidR="0051088C" w:rsidRPr="006253B6" w:rsidRDefault="0051088C" w:rsidP="00C25359">
            <w:pPr>
              <w:spacing w:before="40"/>
              <w:jc w:val="center"/>
              <w:rPr>
                <w:rFonts w:ascii="Arial Narrow" w:hAnsi="Arial Narrow"/>
                <w:b/>
                <w:bCs/>
                <w:sz w:val="19"/>
                <w:szCs w:val="19"/>
              </w:rPr>
            </w:pPr>
            <w:r w:rsidRPr="006253B6">
              <w:rPr>
                <w:rFonts w:ascii="Arial Narrow" w:hAnsi="Arial Narrow"/>
                <w:b/>
                <w:bCs/>
                <w:sz w:val="19"/>
                <w:szCs w:val="19"/>
              </w:rPr>
              <w:t>Year 6</w:t>
            </w:r>
            <w:r w:rsidR="00796887">
              <w:rPr>
                <w:rFonts w:ascii="Arial Narrow" w:hAnsi="Arial Narrow"/>
                <w:b/>
                <w:bCs/>
                <w:sz w:val="19"/>
                <w:szCs w:val="19"/>
              </w:rPr>
              <w:t xml:space="preserve"> </w:t>
            </w:r>
            <w:r w:rsidR="00796887">
              <w:rPr>
                <w:rFonts w:ascii="Arial Narrow" w:hAnsi="Arial Narrow"/>
                <w:b/>
                <w:bCs/>
                <w:sz w:val="19"/>
                <w:szCs w:val="19"/>
              </w:rPr>
              <w:br/>
              <w:t>(2029)</w:t>
            </w:r>
          </w:p>
        </w:tc>
      </w:tr>
      <w:tr w:rsidR="0051088C" w:rsidRPr="006253B6" w14:paraId="6DD95E37" w14:textId="77777777" w:rsidTr="00842945">
        <w:tc>
          <w:tcPr>
            <w:tcW w:w="9067" w:type="dxa"/>
            <w:gridSpan w:val="7"/>
            <w:tcMar>
              <w:top w:w="0" w:type="dxa"/>
              <w:left w:w="108" w:type="dxa"/>
              <w:bottom w:w="0" w:type="dxa"/>
              <w:right w:w="108" w:type="dxa"/>
            </w:tcMar>
            <w:hideMark/>
          </w:tcPr>
          <w:p w14:paraId="43D56D92" w14:textId="77777777" w:rsidR="0051088C" w:rsidRPr="006253B6" w:rsidRDefault="0051088C" w:rsidP="000B7226">
            <w:pPr>
              <w:spacing w:before="40"/>
              <w:rPr>
                <w:rFonts w:ascii="Arial Narrow" w:hAnsi="Arial Narrow"/>
                <w:sz w:val="19"/>
                <w:szCs w:val="19"/>
              </w:rPr>
            </w:pPr>
            <w:r w:rsidRPr="006253B6">
              <w:rPr>
                <w:rFonts w:ascii="Arial Narrow" w:hAnsi="Arial Narrow" w:cs="Calibri"/>
                <w:b/>
                <w:bCs/>
                <w:color w:val="000000"/>
                <w:sz w:val="19"/>
                <w:szCs w:val="19"/>
              </w:rPr>
              <w:t>Estimated use and cost of the proposed health technology</w:t>
            </w:r>
          </w:p>
        </w:tc>
      </w:tr>
      <w:tr w:rsidR="0051088C" w:rsidRPr="006253B6" w14:paraId="7A0CEBC3" w14:textId="77777777" w:rsidTr="00842945">
        <w:tc>
          <w:tcPr>
            <w:tcW w:w="2258" w:type="dxa"/>
            <w:tcMar>
              <w:top w:w="0" w:type="dxa"/>
              <w:left w:w="108" w:type="dxa"/>
              <w:bottom w:w="0" w:type="dxa"/>
              <w:right w:w="108" w:type="dxa"/>
            </w:tcMar>
          </w:tcPr>
          <w:p w14:paraId="47005E90" w14:textId="77777777" w:rsidR="0051088C" w:rsidRPr="006253B6" w:rsidRDefault="0051088C" w:rsidP="000B7226">
            <w:pPr>
              <w:spacing w:before="40"/>
              <w:rPr>
                <w:rFonts w:ascii="Arial Narrow" w:hAnsi="Arial Narrow"/>
                <w:b/>
                <w:bCs/>
                <w:sz w:val="19"/>
                <w:szCs w:val="19"/>
              </w:rPr>
            </w:pPr>
            <w:r w:rsidRPr="006253B6">
              <w:rPr>
                <w:rFonts w:ascii="Arial Narrow" w:hAnsi="Arial Narrow"/>
                <w:sz w:val="19"/>
                <w:szCs w:val="19"/>
              </w:rPr>
              <w:t>Number of newborns eligible for NBS for X-ALD</w:t>
            </w:r>
          </w:p>
        </w:tc>
        <w:tc>
          <w:tcPr>
            <w:tcW w:w="1134" w:type="dxa"/>
            <w:tcMar>
              <w:top w:w="0" w:type="dxa"/>
              <w:left w:w="108" w:type="dxa"/>
              <w:bottom w:w="0" w:type="dxa"/>
              <w:right w:w="108" w:type="dxa"/>
            </w:tcMar>
          </w:tcPr>
          <w:p w14:paraId="74389A71" w14:textId="77777777" w:rsidR="0051088C" w:rsidRPr="006253B6" w:rsidRDefault="0051088C" w:rsidP="000B7226">
            <w:pPr>
              <w:spacing w:before="40"/>
              <w:jc w:val="center"/>
              <w:rPr>
                <w:rFonts w:ascii="Arial Narrow" w:hAnsi="Arial Narrow"/>
                <w:sz w:val="19"/>
                <w:szCs w:val="19"/>
              </w:rPr>
            </w:pPr>
            <w:r w:rsidRPr="006253B6">
              <w:rPr>
                <w:rFonts w:ascii="Arial Narrow" w:hAnsi="Arial Narrow"/>
                <w:sz w:val="19"/>
                <w:szCs w:val="19"/>
              </w:rPr>
              <w:t>312,888</w:t>
            </w:r>
          </w:p>
        </w:tc>
        <w:tc>
          <w:tcPr>
            <w:tcW w:w="1134" w:type="dxa"/>
            <w:tcMar>
              <w:top w:w="0" w:type="dxa"/>
              <w:left w:w="108" w:type="dxa"/>
              <w:bottom w:w="0" w:type="dxa"/>
              <w:right w:w="108" w:type="dxa"/>
            </w:tcMar>
          </w:tcPr>
          <w:p w14:paraId="3A89E2FA" w14:textId="77777777" w:rsidR="0051088C" w:rsidRPr="006253B6" w:rsidRDefault="0051088C" w:rsidP="000B7226">
            <w:pPr>
              <w:spacing w:before="40"/>
              <w:jc w:val="center"/>
              <w:rPr>
                <w:rFonts w:ascii="Arial Narrow" w:hAnsi="Arial Narrow"/>
                <w:sz w:val="19"/>
                <w:szCs w:val="19"/>
              </w:rPr>
            </w:pPr>
            <w:r w:rsidRPr="006253B6">
              <w:rPr>
                <w:rFonts w:ascii="Arial Narrow" w:hAnsi="Arial Narrow"/>
                <w:sz w:val="19"/>
                <w:szCs w:val="19"/>
              </w:rPr>
              <w:t>313,858</w:t>
            </w:r>
          </w:p>
        </w:tc>
        <w:tc>
          <w:tcPr>
            <w:tcW w:w="1134" w:type="dxa"/>
            <w:tcMar>
              <w:top w:w="0" w:type="dxa"/>
              <w:left w:w="108" w:type="dxa"/>
              <w:bottom w:w="0" w:type="dxa"/>
              <w:right w:w="108" w:type="dxa"/>
            </w:tcMar>
          </w:tcPr>
          <w:p w14:paraId="56D56976" w14:textId="77777777" w:rsidR="0051088C" w:rsidRPr="006253B6" w:rsidRDefault="0051088C" w:rsidP="000B7226">
            <w:pPr>
              <w:spacing w:before="40"/>
              <w:jc w:val="center"/>
              <w:rPr>
                <w:rFonts w:ascii="Arial Narrow" w:hAnsi="Arial Narrow"/>
                <w:sz w:val="19"/>
                <w:szCs w:val="19"/>
              </w:rPr>
            </w:pPr>
            <w:r w:rsidRPr="006253B6">
              <w:rPr>
                <w:rFonts w:ascii="Arial Narrow" w:hAnsi="Arial Narrow"/>
                <w:sz w:val="19"/>
                <w:szCs w:val="19"/>
              </w:rPr>
              <w:t>314,831</w:t>
            </w:r>
          </w:p>
        </w:tc>
        <w:tc>
          <w:tcPr>
            <w:tcW w:w="1134" w:type="dxa"/>
            <w:tcMar>
              <w:top w:w="0" w:type="dxa"/>
              <w:left w:w="108" w:type="dxa"/>
              <w:bottom w:w="0" w:type="dxa"/>
              <w:right w:w="108" w:type="dxa"/>
            </w:tcMar>
          </w:tcPr>
          <w:p w14:paraId="543BA922" w14:textId="77777777" w:rsidR="0051088C" w:rsidRPr="006253B6" w:rsidRDefault="0051088C" w:rsidP="000B7226">
            <w:pPr>
              <w:spacing w:before="40"/>
              <w:jc w:val="center"/>
              <w:rPr>
                <w:rFonts w:ascii="Arial Narrow" w:hAnsi="Arial Narrow"/>
                <w:sz w:val="19"/>
                <w:szCs w:val="19"/>
              </w:rPr>
            </w:pPr>
            <w:r w:rsidRPr="006253B6">
              <w:rPr>
                <w:rFonts w:ascii="Arial Narrow" w:hAnsi="Arial Narrow"/>
                <w:sz w:val="19"/>
                <w:szCs w:val="19"/>
              </w:rPr>
              <w:t>315,807</w:t>
            </w:r>
          </w:p>
        </w:tc>
        <w:tc>
          <w:tcPr>
            <w:tcW w:w="1134" w:type="dxa"/>
            <w:tcMar>
              <w:top w:w="0" w:type="dxa"/>
              <w:left w:w="108" w:type="dxa"/>
              <w:bottom w:w="0" w:type="dxa"/>
              <w:right w:w="108" w:type="dxa"/>
            </w:tcMar>
          </w:tcPr>
          <w:p w14:paraId="0FD47251" w14:textId="77777777" w:rsidR="0051088C" w:rsidRPr="006253B6" w:rsidRDefault="0051088C" w:rsidP="000B7226">
            <w:pPr>
              <w:spacing w:before="40"/>
              <w:jc w:val="center"/>
              <w:rPr>
                <w:rFonts w:ascii="Arial Narrow" w:hAnsi="Arial Narrow"/>
                <w:sz w:val="19"/>
                <w:szCs w:val="19"/>
              </w:rPr>
            </w:pPr>
            <w:r w:rsidRPr="006253B6">
              <w:rPr>
                <w:rFonts w:ascii="Arial Narrow" w:hAnsi="Arial Narrow"/>
                <w:sz w:val="19"/>
                <w:szCs w:val="19"/>
              </w:rPr>
              <w:t>316,786</w:t>
            </w:r>
          </w:p>
        </w:tc>
        <w:tc>
          <w:tcPr>
            <w:tcW w:w="1139" w:type="dxa"/>
            <w:tcMar>
              <w:top w:w="0" w:type="dxa"/>
              <w:left w:w="108" w:type="dxa"/>
              <w:bottom w:w="0" w:type="dxa"/>
              <w:right w:w="108" w:type="dxa"/>
            </w:tcMar>
          </w:tcPr>
          <w:p w14:paraId="643255A8" w14:textId="77777777" w:rsidR="0051088C" w:rsidRPr="006253B6" w:rsidRDefault="0051088C" w:rsidP="000B7226">
            <w:pPr>
              <w:spacing w:before="40"/>
              <w:jc w:val="center"/>
              <w:rPr>
                <w:rFonts w:ascii="Arial Narrow" w:hAnsi="Arial Narrow"/>
                <w:sz w:val="19"/>
                <w:szCs w:val="19"/>
              </w:rPr>
            </w:pPr>
            <w:r w:rsidRPr="006253B6">
              <w:rPr>
                <w:rFonts w:ascii="Arial Narrow" w:hAnsi="Arial Narrow"/>
                <w:sz w:val="19"/>
                <w:szCs w:val="19"/>
              </w:rPr>
              <w:t>317,768</w:t>
            </w:r>
          </w:p>
        </w:tc>
      </w:tr>
      <w:tr w:rsidR="0051088C" w:rsidRPr="006253B6" w14:paraId="042A6FFD" w14:textId="77777777" w:rsidTr="00842945">
        <w:tc>
          <w:tcPr>
            <w:tcW w:w="2258" w:type="dxa"/>
            <w:tcMar>
              <w:top w:w="0" w:type="dxa"/>
              <w:left w:w="108" w:type="dxa"/>
              <w:bottom w:w="0" w:type="dxa"/>
              <w:right w:w="108" w:type="dxa"/>
            </w:tcMar>
          </w:tcPr>
          <w:p w14:paraId="5CBDA0F5" w14:textId="648225CF" w:rsidR="0051088C" w:rsidRPr="006253B6" w:rsidRDefault="0051088C" w:rsidP="000B7226">
            <w:pPr>
              <w:spacing w:before="40"/>
              <w:rPr>
                <w:rFonts w:ascii="Arial Narrow" w:hAnsi="Arial Narrow"/>
                <w:b/>
                <w:bCs/>
                <w:sz w:val="19"/>
                <w:szCs w:val="19"/>
              </w:rPr>
            </w:pPr>
            <w:r w:rsidRPr="006253B6">
              <w:rPr>
                <w:rFonts w:ascii="Arial Narrow" w:hAnsi="Arial Narrow"/>
                <w:sz w:val="19"/>
                <w:szCs w:val="19"/>
              </w:rPr>
              <w:t xml:space="preserve">Number of newborns who receive NBS for X-ALD (NBS uptake </w:t>
            </w:r>
            <w:r>
              <w:rPr>
                <w:rFonts w:ascii="Arial Narrow" w:hAnsi="Arial Narrow"/>
                <w:sz w:val="19"/>
                <w:szCs w:val="19"/>
              </w:rPr>
              <w:t>rate 99%</w:t>
            </w:r>
            <w:r w:rsidR="00793DB9">
              <w:rPr>
                <w:rFonts w:ascii="Arial Narrow" w:hAnsi="Arial Narrow"/>
                <w:sz w:val="19"/>
                <w:szCs w:val="19"/>
              </w:rPr>
              <w:t>)</w:t>
            </w:r>
          </w:p>
        </w:tc>
        <w:tc>
          <w:tcPr>
            <w:tcW w:w="1134" w:type="dxa"/>
            <w:tcMar>
              <w:top w:w="0" w:type="dxa"/>
              <w:left w:w="108" w:type="dxa"/>
              <w:bottom w:w="0" w:type="dxa"/>
              <w:right w:w="108" w:type="dxa"/>
            </w:tcMar>
          </w:tcPr>
          <w:p w14:paraId="71D4C06D" w14:textId="77777777" w:rsidR="0051088C" w:rsidRPr="006253B6" w:rsidRDefault="0051088C" w:rsidP="000B7226">
            <w:pPr>
              <w:spacing w:before="40"/>
              <w:jc w:val="center"/>
              <w:rPr>
                <w:rFonts w:ascii="Arial Narrow" w:hAnsi="Arial Narrow"/>
                <w:sz w:val="19"/>
                <w:szCs w:val="19"/>
              </w:rPr>
            </w:pPr>
            <w:r w:rsidRPr="006253B6">
              <w:rPr>
                <w:rFonts w:ascii="Arial Narrow" w:hAnsi="Arial Narrow"/>
                <w:sz w:val="19"/>
                <w:szCs w:val="19"/>
              </w:rPr>
              <w:t>309,759</w:t>
            </w:r>
          </w:p>
        </w:tc>
        <w:tc>
          <w:tcPr>
            <w:tcW w:w="1134" w:type="dxa"/>
            <w:tcMar>
              <w:top w:w="0" w:type="dxa"/>
              <w:left w:w="108" w:type="dxa"/>
              <w:bottom w:w="0" w:type="dxa"/>
              <w:right w:w="108" w:type="dxa"/>
            </w:tcMar>
          </w:tcPr>
          <w:p w14:paraId="09E7053F" w14:textId="77777777" w:rsidR="0051088C" w:rsidRPr="006253B6" w:rsidRDefault="0051088C" w:rsidP="000B7226">
            <w:pPr>
              <w:spacing w:before="40"/>
              <w:jc w:val="center"/>
              <w:rPr>
                <w:rFonts w:ascii="Arial Narrow" w:hAnsi="Arial Narrow"/>
                <w:sz w:val="19"/>
                <w:szCs w:val="19"/>
              </w:rPr>
            </w:pPr>
            <w:r w:rsidRPr="006253B6">
              <w:rPr>
                <w:rFonts w:ascii="Arial Narrow" w:hAnsi="Arial Narrow"/>
                <w:sz w:val="19"/>
                <w:szCs w:val="19"/>
              </w:rPr>
              <w:t>310,719</w:t>
            </w:r>
          </w:p>
        </w:tc>
        <w:tc>
          <w:tcPr>
            <w:tcW w:w="1134" w:type="dxa"/>
            <w:tcMar>
              <w:top w:w="0" w:type="dxa"/>
              <w:left w:w="108" w:type="dxa"/>
              <w:bottom w:w="0" w:type="dxa"/>
              <w:right w:w="108" w:type="dxa"/>
            </w:tcMar>
          </w:tcPr>
          <w:p w14:paraId="7EC0E7DF" w14:textId="77777777" w:rsidR="0051088C" w:rsidRPr="006253B6" w:rsidRDefault="0051088C" w:rsidP="000B7226">
            <w:pPr>
              <w:spacing w:before="40"/>
              <w:jc w:val="center"/>
              <w:rPr>
                <w:rFonts w:ascii="Arial Narrow" w:hAnsi="Arial Narrow"/>
                <w:sz w:val="19"/>
                <w:szCs w:val="19"/>
              </w:rPr>
            </w:pPr>
            <w:r w:rsidRPr="006253B6">
              <w:rPr>
                <w:rFonts w:ascii="Arial Narrow" w:hAnsi="Arial Narrow"/>
                <w:sz w:val="19"/>
                <w:szCs w:val="19"/>
              </w:rPr>
              <w:t>311,683</w:t>
            </w:r>
          </w:p>
        </w:tc>
        <w:tc>
          <w:tcPr>
            <w:tcW w:w="1134" w:type="dxa"/>
            <w:tcMar>
              <w:top w:w="0" w:type="dxa"/>
              <w:left w:w="108" w:type="dxa"/>
              <w:bottom w:w="0" w:type="dxa"/>
              <w:right w:w="108" w:type="dxa"/>
            </w:tcMar>
          </w:tcPr>
          <w:p w14:paraId="498C59BC" w14:textId="77777777" w:rsidR="0051088C" w:rsidRPr="006253B6" w:rsidRDefault="0051088C" w:rsidP="000B7226">
            <w:pPr>
              <w:spacing w:before="40"/>
              <w:jc w:val="center"/>
              <w:rPr>
                <w:rFonts w:ascii="Arial Narrow" w:hAnsi="Arial Narrow"/>
                <w:sz w:val="19"/>
                <w:szCs w:val="19"/>
              </w:rPr>
            </w:pPr>
            <w:r w:rsidRPr="006253B6">
              <w:rPr>
                <w:rFonts w:ascii="Arial Narrow" w:hAnsi="Arial Narrow"/>
                <w:sz w:val="19"/>
                <w:szCs w:val="19"/>
              </w:rPr>
              <w:t>312,649</w:t>
            </w:r>
          </w:p>
        </w:tc>
        <w:tc>
          <w:tcPr>
            <w:tcW w:w="1134" w:type="dxa"/>
            <w:tcMar>
              <w:top w:w="0" w:type="dxa"/>
              <w:left w:w="108" w:type="dxa"/>
              <w:bottom w:w="0" w:type="dxa"/>
              <w:right w:w="108" w:type="dxa"/>
            </w:tcMar>
          </w:tcPr>
          <w:p w14:paraId="285B67BA" w14:textId="77777777" w:rsidR="0051088C" w:rsidRPr="006253B6" w:rsidRDefault="0051088C" w:rsidP="000B7226">
            <w:pPr>
              <w:spacing w:before="40"/>
              <w:jc w:val="center"/>
              <w:rPr>
                <w:rFonts w:ascii="Arial Narrow" w:hAnsi="Arial Narrow"/>
                <w:sz w:val="19"/>
                <w:szCs w:val="19"/>
              </w:rPr>
            </w:pPr>
            <w:r w:rsidRPr="006253B6">
              <w:rPr>
                <w:rFonts w:ascii="Arial Narrow" w:hAnsi="Arial Narrow"/>
                <w:sz w:val="19"/>
                <w:szCs w:val="19"/>
              </w:rPr>
              <w:t>313,618</w:t>
            </w:r>
          </w:p>
        </w:tc>
        <w:tc>
          <w:tcPr>
            <w:tcW w:w="1139" w:type="dxa"/>
            <w:tcMar>
              <w:top w:w="0" w:type="dxa"/>
              <w:left w:w="108" w:type="dxa"/>
              <w:bottom w:w="0" w:type="dxa"/>
              <w:right w:w="108" w:type="dxa"/>
            </w:tcMar>
          </w:tcPr>
          <w:p w14:paraId="55A709A9" w14:textId="77777777" w:rsidR="0051088C" w:rsidRPr="006253B6" w:rsidRDefault="0051088C" w:rsidP="000B7226">
            <w:pPr>
              <w:spacing w:before="40"/>
              <w:jc w:val="center"/>
              <w:rPr>
                <w:rFonts w:ascii="Arial Narrow" w:hAnsi="Arial Narrow"/>
                <w:sz w:val="19"/>
                <w:szCs w:val="19"/>
              </w:rPr>
            </w:pPr>
            <w:r w:rsidRPr="006253B6">
              <w:rPr>
                <w:rFonts w:ascii="Arial Narrow" w:hAnsi="Arial Narrow"/>
                <w:sz w:val="19"/>
                <w:szCs w:val="19"/>
              </w:rPr>
              <w:t>314,590</w:t>
            </w:r>
          </w:p>
        </w:tc>
      </w:tr>
      <w:tr w:rsidR="0051088C" w:rsidRPr="006253B6" w14:paraId="5BA4B810" w14:textId="77777777" w:rsidTr="00842945">
        <w:tc>
          <w:tcPr>
            <w:tcW w:w="9067" w:type="dxa"/>
            <w:gridSpan w:val="7"/>
            <w:tcMar>
              <w:top w:w="0" w:type="dxa"/>
              <w:left w:w="108" w:type="dxa"/>
              <w:bottom w:w="0" w:type="dxa"/>
              <w:right w:w="108" w:type="dxa"/>
            </w:tcMar>
          </w:tcPr>
          <w:p w14:paraId="1AFC49B7" w14:textId="3CA35710" w:rsidR="0051088C" w:rsidRPr="006253B6" w:rsidRDefault="0051088C" w:rsidP="000B7226">
            <w:pPr>
              <w:spacing w:before="40"/>
              <w:rPr>
                <w:rFonts w:ascii="Arial Narrow" w:hAnsi="Arial Narrow"/>
                <w:sz w:val="19"/>
                <w:szCs w:val="19"/>
              </w:rPr>
            </w:pPr>
            <w:r w:rsidRPr="006253B6">
              <w:rPr>
                <w:rFonts w:ascii="Arial Narrow" w:hAnsi="Arial Narrow" w:cs="Calibri"/>
                <w:b/>
                <w:bCs/>
                <w:color w:val="000000" w:themeColor="text1"/>
                <w:sz w:val="19"/>
                <w:szCs w:val="19"/>
              </w:rPr>
              <w:t>Total cost to NBS programs (PICO set 1)</w:t>
            </w:r>
            <w:r w:rsidR="00F96F39">
              <w:rPr>
                <w:rFonts w:ascii="Arial Narrow" w:hAnsi="Arial Narrow" w:cs="Calibri"/>
                <w:b/>
                <w:bCs/>
                <w:color w:val="000000" w:themeColor="text1"/>
                <w:sz w:val="19"/>
                <w:szCs w:val="19"/>
              </w:rPr>
              <w:t xml:space="preserve"> – DCAR</w:t>
            </w:r>
          </w:p>
        </w:tc>
      </w:tr>
      <w:tr w:rsidR="0051088C" w:rsidRPr="006253B6" w14:paraId="4B13C16F" w14:textId="77777777" w:rsidTr="00842945">
        <w:tc>
          <w:tcPr>
            <w:tcW w:w="2258" w:type="dxa"/>
            <w:tcMar>
              <w:top w:w="0" w:type="dxa"/>
              <w:left w:w="108" w:type="dxa"/>
              <w:bottom w:w="0" w:type="dxa"/>
              <w:right w:w="108" w:type="dxa"/>
            </w:tcMar>
          </w:tcPr>
          <w:p w14:paraId="59361BB2" w14:textId="77777777" w:rsidR="0051088C" w:rsidRPr="006253B6" w:rsidRDefault="0051088C" w:rsidP="00C25359">
            <w:pPr>
              <w:spacing w:before="40"/>
              <w:rPr>
                <w:rFonts w:ascii="Arial Narrow" w:hAnsi="Arial Narrow"/>
                <w:sz w:val="19"/>
                <w:szCs w:val="19"/>
              </w:rPr>
            </w:pPr>
            <w:r w:rsidRPr="006253B6">
              <w:rPr>
                <w:rFonts w:ascii="Arial Narrow" w:hAnsi="Arial Narrow"/>
                <w:sz w:val="19"/>
                <w:szCs w:val="19"/>
              </w:rPr>
              <w:t>Strategy I</w:t>
            </w:r>
          </w:p>
        </w:tc>
        <w:tc>
          <w:tcPr>
            <w:tcW w:w="1134" w:type="dxa"/>
            <w:shd w:val="clear" w:color="auto" w:fill="auto"/>
            <w:tcMar>
              <w:top w:w="0" w:type="dxa"/>
              <w:left w:w="108" w:type="dxa"/>
              <w:bottom w:w="0" w:type="dxa"/>
              <w:right w:w="108" w:type="dxa"/>
            </w:tcMar>
            <w:vAlign w:val="center"/>
          </w:tcPr>
          <w:p w14:paraId="0BD16C5C"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$1,830,058</w:t>
            </w:r>
          </w:p>
        </w:tc>
        <w:tc>
          <w:tcPr>
            <w:tcW w:w="1134" w:type="dxa"/>
            <w:shd w:val="clear" w:color="auto" w:fill="auto"/>
            <w:tcMar>
              <w:top w:w="0" w:type="dxa"/>
              <w:left w:w="108" w:type="dxa"/>
              <w:bottom w:w="0" w:type="dxa"/>
              <w:right w:w="108" w:type="dxa"/>
            </w:tcMar>
            <w:vAlign w:val="center"/>
          </w:tcPr>
          <w:p w14:paraId="7C36C016"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$1,835,731</w:t>
            </w:r>
          </w:p>
        </w:tc>
        <w:tc>
          <w:tcPr>
            <w:tcW w:w="1134" w:type="dxa"/>
            <w:shd w:val="clear" w:color="auto" w:fill="auto"/>
            <w:tcMar>
              <w:top w:w="0" w:type="dxa"/>
              <w:left w:w="108" w:type="dxa"/>
              <w:bottom w:w="0" w:type="dxa"/>
              <w:right w:w="108" w:type="dxa"/>
            </w:tcMar>
            <w:vAlign w:val="center"/>
          </w:tcPr>
          <w:p w14:paraId="5B7414CF"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$1,841,422</w:t>
            </w:r>
          </w:p>
        </w:tc>
        <w:tc>
          <w:tcPr>
            <w:tcW w:w="1134" w:type="dxa"/>
            <w:shd w:val="clear" w:color="auto" w:fill="auto"/>
            <w:tcMar>
              <w:top w:w="0" w:type="dxa"/>
              <w:left w:w="108" w:type="dxa"/>
              <w:bottom w:w="0" w:type="dxa"/>
              <w:right w:w="108" w:type="dxa"/>
            </w:tcMar>
            <w:vAlign w:val="center"/>
          </w:tcPr>
          <w:p w14:paraId="0F4F3D1E"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$1,847,130</w:t>
            </w:r>
          </w:p>
        </w:tc>
        <w:tc>
          <w:tcPr>
            <w:tcW w:w="1134" w:type="dxa"/>
            <w:shd w:val="clear" w:color="auto" w:fill="auto"/>
            <w:tcMar>
              <w:top w:w="0" w:type="dxa"/>
              <w:left w:w="108" w:type="dxa"/>
              <w:bottom w:w="0" w:type="dxa"/>
              <w:right w:w="108" w:type="dxa"/>
            </w:tcMar>
            <w:vAlign w:val="center"/>
          </w:tcPr>
          <w:p w14:paraId="6DE85B4C"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$1,852,856</w:t>
            </w:r>
          </w:p>
        </w:tc>
        <w:tc>
          <w:tcPr>
            <w:tcW w:w="1139" w:type="dxa"/>
            <w:shd w:val="clear" w:color="auto" w:fill="auto"/>
            <w:tcMar>
              <w:top w:w="0" w:type="dxa"/>
              <w:left w:w="108" w:type="dxa"/>
              <w:bottom w:w="0" w:type="dxa"/>
              <w:right w:w="108" w:type="dxa"/>
            </w:tcMar>
            <w:vAlign w:val="center"/>
          </w:tcPr>
          <w:p w14:paraId="060363AE"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$1,858,600</w:t>
            </w:r>
          </w:p>
        </w:tc>
      </w:tr>
      <w:tr w:rsidR="006C463F" w:rsidRPr="006253B6" w14:paraId="79486CAC" w14:textId="77777777">
        <w:tc>
          <w:tcPr>
            <w:tcW w:w="2258" w:type="dxa"/>
            <w:tcMar>
              <w:top w:w="0" w:type="dxa"/>
              <w:left w:w="108" w:type="dxa"/>
              <w:bottom w:w="0" w:type="dxa"/>
              <w:right w:w="108" w:type="dxa"/>
            </w:tcMar>
          </w:tcPr>
          <w:p w14:paraId="7FAA07A0" w14:textId="77777777" w:rsidR="006C463F" w:rsidRPr="006253B6" w:rsidRDefault="006C463F">
            <w:pPr>
              <w:spacing w:before="40"/>
              <w:rPr>
                <w:rFonts w:ascii="Arial Narrow" w:hAnsi="Arial Narrow"/>
                <w:sz w:val="19"/>
                <w:szCs w:val="19"/>
              </w:rPr>
            </w:pPr>
            <w:r w:rsidRPr="006253B6">
              <w:rPr>
                <w:rFonts w:ascii="Arial Narrow" w:hAnsi="Arial Narrow"/>
                <w:sz w:val="19"/>
                <w:szCs w:val="19"/>
              </w:rPr>
              <w:t>Strategy Ia</w:t>
            </w:r>
          </w:p>
        </w:tc>
        <w:tc>
          <w:tcPr>
            <w:tcW w:w="1134" w:type="dxa"/>
            <w:shd w:val="clear" w:color="auto" w:fill="auto"/>
            <w:tcMar>
              <w:top w:w="0" w:type="dxa"/>
              <w:left w:w="108" w:type="dxa"/>
              <w:bottom w:w="0" w:type="dxa"/>
              <w:right w:w="108" w:type="dxa"/>
            </w:tcMar>
            <w:vAlign w:val="center"/>
          </w:tcPr>
          <w:p w14:paraId="38F384F4"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$3,056,145</w:t>
            </w:r>
          </w:p>
        </w:tc>
        <w:tc>
          <w:tcPr>
            <w:tcW w:w="1134" w:type="dxa"/>
            <w:shd w:val="clear" w:color="auto" w:fill="auto"/>
            <w:tcMar>
              <w:top w:w="0" w:type="dxa"/>
              <w:left w:w="108" w:type="dxa"/>
              <w:bottom w:w="0" w:type="dxa"/>
              <w:right w:w="108" w:type="dxa"/>
            </w:tcMar>
            <w:vAlign w:val="center"/>
          </w:tcPr>
          <w:p w14:paraId="7140655F"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$3,065,606</w:t>
            </w:r>
          </w:p>
        </w:tc>
        <w:tc>
          <w:tcPr>
            <w:tcW w:w="1134" w:type="dxa"/>
            <w:shd w:val="clear" w:color="auto" w:fill="auto"/>
            <w:tcMar>
              <w:top w:w="0" w:type="dxa"/>
              <w:left w:w="108" w:type="dxa"/>
              <w:bottom w:w="0" w:type="dxa"/>
              <w:right w:w="108" w:type="dxa"/>
            </w:tcMar>
            <w:vAlign w:val="center"/>
          </w:tcPr>
          <w:p w14:paraId="4E7DDA75"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$3,075,095</w:t>
            </w:r>
          </w:p>
        </w:tc>
        <w:tc>
          <w:tcPr>
            <w:tcW w:w="1134" w:type="dxa"/>
            <w:shd w:val="clear" w:color="auto" w:fill="auto"/>
            <w:tcMar>
              <w:top w:w="0" w:type="dxa"/>
              <w:left w:w="108" w:type="dxa"/>
              <w:bottom w:w="0" w:type="dxa"/>
              <w:right w:w="108" w:type="dxa"/>
            </w:tcMar>
            <w:vAlign w:val="center"/>
          </w:tcPr>
          <w:p w14:paraId="4D32988A"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$3,084,615</w:t>
            </w:r>
          </w:p>
        </w:tc>
        <w:tc>
          <w:tcPr>
            <w:tcW w:w="1134" w:type="dxa"/>
            <w:shd w:val="clear" w:color="auto" w:fill="auto"/>
            <w:tcMar>
              <w:top w:w="0" w:type="dxa"/>
              <w:left w:w="108" w:type="dxa"/>
              <w:bottom w:w="0" w:type="dxa"/>
              <w:right w:w="108" w:type="dxa"/>
            </w:tcMar>
            <w:vAlign w:val="center"/>
          </w:tcPr>
          <w:p w14:paraId="2912BE66"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$3,094,163</w:t>
            </w:r>
          </w:p>
        </w:tc>
        <w:tc>
          <w:tcPr>
            <w:tcW w:w="1139" w:type="dxa"/>
            <w:shd w:val="clear" w:color="auto" w:fill="auto"/>
            <w:tcMar>
              <w:top w:w="0" w:type="dxa"/>
              <w:left w:w="108" w:type="dxa"/>
              <w:bottom w:w="0" w:type="dxa"/>
              <w:right w:w="108" w:type="dxa"/>
            </w:tcMar>
            <w:vAlign w:val="center"/>
          </w:tcPr>
          <w:p w14:paraId="4F1F27D8"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$3,103,742</w:t>
            </w:r>
          </w:p>
        </w:tc>
      </w:tr>
      <w:tr w:rsidR="0051088C" w:rsidRPr="00F96F39" w14:paraId="5522C234" w14:textId="77777777" w:rsidTr="00842945">
        <w:tc>
          <w:tcPr>
            <w:tcW w:w="2258" w:type="dxa"/>
            <w:tcMar>
              <w:top w:w="0" w:type="dxa"/>
              <w:left w:w="108" w:type="dxa"/>
              <w:bottom w:w="0" w:type="dxa"/>
              <w:right w:w="108" w:type="dxa"/>
            </w:tcMar>
          </w:tcPr>
          <w:p w14:paraId="4FF09424" w14:textId="77777777" w:rsidR="0051088C" w:rsidRPr="00191E1B" w:rsidRDefault="0051088C" w:rsidP="00C25359">
            <w:pPr>
              <w:spacing w:before="40"/>
              <w:rPr>
                <w:rFonts w:ascii="Arial Narrow" w:hAnsi="Arial Narrow"/>
                <w:sz w:val="19"/>
              </w:rPr>
            </w:pPr>
            <w:r w:rsidRPr="00191E1B">
              <w:rPr>
                <w:rFonts w:ascii="Arial Narrow" w:hAnsi="Arial Narrow"/>
                <w:sz w:val="19"/>
              </w:rPr>
              <w:t>Strategy II</w:t>
            </w:r>
          </w:p>
        </w:tc>
        <w:tc>
          <w:tcPr>
            <w:tcW w:w="1134" w:type="dxa"/>
            <w:shd w:val="clear" w:color="auto" w:fill="auto"/>
            <w:tcMar>
              <w:top w:w="0" w:type="dxa"/>
              <w:left w:w="108" w:type="dxa"/>
              <w:bottom w:w="0" w:type="dxa"/>
              <w:right w:w="108" w:type="dxa"/>
            </w:tcMar>
            <w:vAlign w:val="center"/>
          </w:tcPr>
          <w:p w14:paraId="5B701A98" w14:textId="77777777" w:rsidR="0051088C" w:rsidRPr="00191E1B" w:rsidRDefault="0051088C" w:rsidP="00C95193">
            <w:pPr>
              <w:spacing w:before="40"/>
              <w:jc w:val="right"/>
              <w:rPr>
                <w:rFonts w:ascii="Arial Narrow" w:hAnsi="Arial Narrow"/>
                <w:sz w:val="19"/>
              </w:rPr>
            </w:pPr>
            <w:r w:rsidRPr="00191E1B">
              <w:rPr>
                <w:rFonts w:ascii="Arial Narrow" w:hAnsi="Arial Narrow"/>
                <w:color w:val="000000"/>
                <w:sz w:val="19"/>
              </w:rPr>
              <w:t>$10,422,944</w:t>
            </w:r>
          </w:p>
        </w:tc>
        <w:tc>
          <w:tcPr>
            <w:tcW w:w="1134" w:type="dxa"/>
            <w:shd w:val="clear" w:color="auto" w:fill="auto"/>
            <w:tcMar>
              <w:top w:w="0" w:type="dxa"/>
              <w:left w:w="108" w:type="dxa"/>
              <w:bottom w:w="0" w:type="dxa"/>
              <w:right w:w="108" w:type="dxa"/>
            </w:tcMar>
            <w:vAlign w:val="center"/>
          </w:tcPr>
          <w:p w14:paraId="76B91A2C" w14:textId="77777777" w:rsidR="0051088C" w:rsidRPr="00191E1B" w:rsidRDefault="0051088C" w:rsidP="00C95193">
            <w:pPr>
              <w:spacing w:before="40"/>
              <w:jc w:val="right"/>
              <w:rPr>
                <w:rFonts w:ascii="Arial Narrow" w:hAnsi="Arial Narrow"/>
                <w:sz w:val="19"/>
              </w:rPr>
            </w:pPr>
            <w:r w:rsidRPr="00191E1B">
              <w:rPr>
                <w:rFonts w:ascii="Arial Narrow" w:hAnsi="Arial Narrow"/>
                <w:color w:val="000000"/>
                <w:sz w:val="19"/>
              </w:rPr>
              <w:t>$10,455,255</w:t>
            </w:r>
          </w:p>
        </w:tc>
        <w:tc>
          <w:tcPr>
            <w:tcW w:w="1134" w:type="dxa"/>
            <w:shd w:val="clear" w:color="auto" w:fill="auto"/>
            <w:tcMar>
              <w:top w:w="0" w:type="dxa"/>
              <w:left w:w="108" w:type="dxa"/>
              <w:bottom w:w="0" w:type="dxa"/>
              <w:right w:w="108" w:type="dxa"/>
            </w:tcMar>
            <w:vAlign w:val="center"/>
          </w:tcPr>
          <w:p w14:paraId="362E0BD6" w14:textId="77777777" w:rsidR="0051088C" w:rsidRPr="00191E1B" w:rsidRDefault="0051088C" w:rsidP="00C95193">
            <w:pPr>
              <w:spacing w:before="40"/>
              <w:jc w:val="right"/>
              <w:rPr>
                <w:rFonts w:ascii="Arial Narrow" w:hAnsi="Arial Narrow"/>
                <w:sz w:val="19"/>
              </w:rPr>
            </w:pPr>
            <w:r w:rsidRPr="00191E1B">
              <w:rPr>
                <w:rFonts w:ascii="Arial Narrow" w:hAnsi="Arial Narrow"/>
                <w:color w:val="000000"/>
                <w:sz w:val="19"/>
              </w:rPr>
              <w:t>$10,487,667</w:t>
            </w:r>
          </w:p>
        </w:tc>
        <w:tc>
          <w:tcPr>
            <w:tcW w:w="1134" w:type="dxa"/>
            <w:shd w:val="clear" w:color="auto" w:fill="auto"/>
            <w:tcMar>
              <w:top w:w="0" w:type="dxa"/>
              <w:left w:w="108" w:type="dxa"/>
              <w:bottom w:w="0" w:type="dxa"/>
              <w:right w:w="108" w:type="dxa"/>
            </w:tcMar>
            <w:vAlign w:val="center"/>
          </w:tcPr>
          <w:p w14:paraId="1F88E257" w14:textId="77777777" w:rsidR="0051088C" w:rsidRPr="00191E1B" w:rsidRDefault="0051088C" w:rsidP="00C95193">
            <w:pPr>
              <w:spacing w:before="40"/>
              <w:jc w:val="right"/>
              <w:rPr>
                <w:rFonts w:ascii="Arial Narrow" w:hAnsi="Arial Narrow"/>
                <w:sz w:val="19"/>
              </w:rPr>
            </w:pPr>
            <w:r w:rsidRPr="00191E1B">
              <w:rPr>
                <w:rFonts w:ascii="Arial Narrow" w:hAnsi="Arial Narrow"/>
                <w:color w:val="000000"/>
                <w:sz w:val="19"/>
              </w:rPr>
              <w:t>$10,520,178</w:t>
            </w:r>
          </w:p>
        </w:tc>
        <w:tc>
          <w:tcPr>
            <w:tcW w:w="1134" w:type="dxa"/>
            <w:shd w:val="clear" w:color="auto" w:fill="auto"/>
            <w:tcMar>
              <w:top w:w="0" w:type="dxa"/>
              <w:left w:w="108" w:type="dxa"/>
              <w:bottom w:w="0" w:type="dxa"/>
              <w:right w:w="108" w:type="dxa"/>
            </w:tcMar>
            <w:vAlign w:val="center"/>
          </w:tcPr>
          <w:p w14:paraId="615FF606" w14:textId="77777777" w:rsidR="0051088C" w:rsidRPr="00191E1B" w:rsidRDefault="0051088C" w:rsidP="00C95193">
            <w:pPr>
              <w:spacing w:before="40"/>
              <w:jc w:val="right"/>
              <w:rPr>
                <w:rFonts w:ascii="Arial Narrow" w:hAnsi="Arial Narrow"/>
                <w:sz w:val="19"/>
              </w:rPr>
            </w:pPr>
            <w:r w:rsidRPr="00191E1B">
              <w:rPr>
                <w:rFonts w:ascii="Arial Narrow" w:hAnsi="Arial Narrow"/>
                <w:color w:val="000000"/>
                <w:sz w:val="19"/>
              </w:rPr>
              <w:t>$10,552,791</w:t>
            </w:r>
          </w:p>
        </w:tc>
        <w:tc>
          <w:tcPr>
            <w:tcW w:w="1139" w:type="dxa"/>
            <w:shd w:val="clear" w:color="auto" w:fill="auto"/>
            <w:tcMar>
              <w:top w:w="0" w:type="dxa"/>
              <w:left w:w="108" w:type="dxa"/>
              <w:bottom w:w="0" w:type="dxa"/>
              <w:right w:w="108" w:type="dxa"/>
            </w:tcMar>
            <w:vAlign w:val="center"/>
          </w:tcPr>
          <w:p w14:paraId="396E3CE4" w14:textId="77777777" w:rsidR="0051088C" w:rsidRPr="00191E1B" w:rsidRDefault="0051088C" w:rsidP="00C95193">
            <w:pPr>
              <w:spacing w:before="40"/>
              <w:jc w:val="right"/>
              <w:rPr>
                <w:rFonts w:ascii="Arial Narrow" w:hAnsi="Arial Narrow"/>
                <w:sz w:val="19"/>
              </w:rPr>
            </w:pPr>
            <w:r w:rsidRPr="00191E1B">
              <w:rPr>
                <w:rFonts w:ascii="Arial Narrow" w:hAnsi="Arial Narrow"/>
                <w:color w:val="000000"/>
                <w:sz w:val="19"/>
              </w:rPr>
              <w:t>$10,585,504</w:t>
            </w:r>
          </w:p>
        </w:tc>
      </w:tr>
      <w:tr w:rsidR="006C463F" w:rsidRPr="006253B6" w14:paraId="7BB89A4E" w14:textId="77777777">
        <w:tc>
          <w:tcPr>
            <w:tcW w:w="2258" w:type="dxa"/>
            <w:tcMar>
              <w:top w:w="0" w:type="dxa"/>
              <w:left w:w="108" w:type="dxa"/>
              <w:bottom w:w="0" w:type="dxa"/>
              <w:right w:w="108" w:type="dxa"/>
            </w:tcMar>
          </w:tcPr>
          <w:p w14:paraId="41FD4AF0" w14:textId="77777777" w:rsidR="006C463F" w:rsidRPr="006253B6" w:rsidRDefault="006C463F">
            <w:pPr>
              <w:spacing w:before="40"/>
              <w:rPr>
                <w:rFonts w:ascii="Arial Narrow" w:hAnsi="Arial Narrow"/>
                <w:sz w:val="19"/>
                <w:szCs w:val="19"/>
              </w:rPr>
            </w:pPr>
            <w:r w:rsidRPr="006253B6">
              <w:rPr>
                <w:rFonts w:ascii="Arial Narrow" w:hAnsi="Arial Narrow"/>
                <w:sz w:val="19"/>
                <w:szCs w:val="19"/>
              </w:rPr>
              <w:lastRenderedPageBreak/>
              <w:t>Strategy IIa</w:t>
            </w:r>
          </w:p>
        </w:tc>
        <w:tc>
          <w:tcPr>
            <w:tcW w:w="1134" w:type="dxa"/>
            <w:shd w:val="clear" w:color="auto" w:fill="auto"/>
            <w:tcMar>
              <w:top w:w="0" w:type="dxa"/>
              <w:left w:w="108" w:type="dxa"/>
              <w:bottom w:w="0" w:type="dxa"/>
              <w:right w:w="108" w:type="dxa"/>
            </w:tcMar>
            <w:vAlign w:val="center"/>
          </w:tcPr>
          <w:p w14:paraId="2D30AA56"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$7,464,296</w:t>
            </w:r>
          </w:p>
        </w:tc>
        <w:tc>
          <w:tcPr>
            <w:tcW w:w="1134" w:type="dxa"/>
            <w:shd w:val="clear" w:color="auto" w:fill="auto"/>
            <w:tcMar>
              <w:top w:w="0" w:type="dxa"/>
              <w:left w:w="108" w:type="dxa"/>
              <w:bottom w:w="0" w:type="dxa"/>
              <w:right w:w="108" w:type="dxa"/>
            </w:tcMar>
            <w:vAlign w:val="center"/>
          </w:tcPr>
          <w:p w14:paraId="3F037438"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$7,487,422</w:t>
            </w:r>
          </w:p>
        </w:tc>
        <w:tc>
          <w:tcPr>
            <w:tcW w:w="1134" w:type="dxa"/>
            <w:shd w:val="clear" w:color="auto" w:fill="auto"/>
            <w:tcMar>
              <w:top w:w="0" w:type="dxa"/>
              <w:left w:w="108" w:type="dxa"/>
              <w:bottom w:w="0" w:type="dxa"/>
              <w:right w:w="108" w:type="dxa"/>
            </w:tcMar>
            <w:vAlign w:val="center"/>
          </w:tcPr>
          <w:p w14:paraId="028E4D0F"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$7,510,619</w:t>
            </w:r>
          </w:p>
        </w:tc>
        <w:tc>
          <w:tcPr>
            <w:tcW w:w="1134" w:type="dxa"/>
            <w:shd w:val="clear" w:color="auto" w:fill="auto"/>
            <w:tcMar>
              <w:top w:w="0" w:type="dxa"/>
              <w:left w:w="108" w:type="dxa"/>
              <w:bottom w:w="0" w:type="dxa"/>
              <w:right w:w="108" w:type="dxa"/>
            </w:tcMar>
            <w:vAlign w:val="center"/>
          </w:tcPr>
          <w:p w14:paraId="282EDB38"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$7,533,888</w:t>
            </w:r>
          </w:p>
        </w:tc>
        <w:tc>
          <w:tcPr>
            <w:tcW w:w="1134" w:type="dxa"/>
            <w:shd w:val="clear" w:color="auto" w:fill="auto"/>
            <w:tcMar>
              <w:top w:w="0" w:type="dxa"/>
              <w:left w:w="108" w:type="dxa"/>
              <w:bottom w:w="0" w:type="dxa"/>
              <w:right w:w="108" w:type="dxa"/>
            </w:tcMar>
            <w:vAlign w:val="center"/>
          </w:tcPr>
          <w:p w14:paraId="289CB19D"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$7,557,230</w:t>
            </w:r>
          </w:p>
        </w:tc>
        <w:tc>
          <w:tcPr>
            <w:tcW w:w="1139" w:type="dxa"/>
            <w:shd w:val="clear" w:color="auto" w:fill="auto"/>
            <w:tcMar>
              <w:top w:w="0" w:type="dxa"/>
              <w:left w:w="108" w:type="dxa"/>
              <w:bottom w:w="0" w:type="dxa"/>
              <w:right w:w="108" w:type="dxa"/>
            </w:tcMar>
            <w:vAlign w:val="center"/>
          </w:tcPr>
          <w:p w14:paraId="1E569C58"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$7,580,644</w:t>
            </w:r>
          </w:p>
        </w:tc>
      </w:tr>
      <w:tr w:rsidR="0051088C" w:rsidRPr="006253B6" w14:paraId="3B6A08FD" w14:textId="77777777" w:rsidTr="00842945">
        <w:tc>
          <w:tcPr>
            <w:tcW w:w="2258" w:type="dxa"/>
            <w:tcMar>
              <w:top w:w="0" w:type="dxa"/>
              <w:left w:w="108" w:type="dxa"/>
              <w:bottom w:w="0" w:type="dxa"/>
              <w:right w:w="108" w:type="dxa"/>
            </w:tcMar>
          </w:tcPr>
          <w:p w14:paraId="31813AC1" w14:textId="77777777" w:rsidR="0051088C" w:rsidRPr="006253B6" w:rsidRDefault="0051088C" w:rsidP="00C25359">
            <w:pPr>
              <w:spacing w:before="40"/>
              <w:rPr>
                <w:rFonts w:ascii="Arial Narrow" w:hAnsi="Arial Narrow"/>
                <w:sz w:val="19"/>
                <w:szCs w:val="19"/>
              </w:rPr>
            </w:pPr>
            <w:r w:rsidRPr="006253B6">
              <w:rPr>
                <w:rFonts w:ascii="Arial Narrow" w:hAnsi="Arial Narrow"/>
                <w:sz w:val="19"/>
                <w:szCs w:val="19"/>
              </w:rPr>
              <w:t>Strategy III</w:t>
            </w:r>
          </w:p>
        </w:tc>
        <w:tc>
          <w:tcPr>
            <w:tcW w:w="1134" w:type="dxa"/>
            <w:shd w:val="clear" w:color="auto" w:fill="auto"/>
            <w:tcMar>
              <w:top w:w="0" w:type="dxa"/>
              <w:left w:w="108" w:type="dxa"/>
              <w:bottom w:w="0" w:type="dxa"/>
              <w:right w:w="108" w:type="dxa"/>
            </w:tcMar>
            <w:vAlign w:val="center"/>
          </w:tcPr>
          <w:p w14:paraId="45B7CD3D"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$4,220,737</w:t>
            </w:r>
          </w:p>
        </w:tc>
        <w:tc>
          <w:tcPr>
            <w:tcW w:w="1134" w:type="dxa"/>
            <w:shd w:val="clear" w:color="auto" w:fill="auto"/>
            <w:tcMar>
              <w:top w:w="0" w:type="dxa"/>
              <w:left w:w="108" w:type="dxa"/>
              <w:bottom w:w="0" w:type="dxa"/>
              <w:right w:w="108" w:type="dxa"/>
            </w:tcMar>
            <w:vAlign w:val="center"/>
          </w:tcPr>
          <w:p w14:paraId="37496FCF"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$4,233,822</w:t>
            </w:r>
          </w:p>
        </w:tc>
        <w:tc>
          <w:tcPr>
            <w:tcW w:w="1134" w:type="dxa"/>
            <w:shd w:val="clear" w:color="auto" w:fill="auto"/>
            <w:tcMar>
              <w:top w:w="0" w:type="dxa"/>
              <w:left w:w="108" w:type="dxa"/>
              <w:bottom w:w="0" w:type="dxa"/>
              <w:right w:w="108" w:type="dxa"/>
            </w:tcMar>
            <w:vAlign w:val="center"/>
          </w:tcPr>
          <w:p w14:paraId="17531917"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$4,246,947</w:t>
            </w:r>
          </w:p>
        </w:tc>
        <w:tc>
          <w:tcPr>
            <w:tcW w:w="1134" w:type="dxa"/>
            <w:shd w:val="clear" w:color="auto" w:fill="auto"/>
            <w:tcMar>
              <w:top w:w="0" w:type="dxa"/>
              <w:left w:w="108" w:type="dxa"/>
              <w:bottom w:w="0" w:type="dxa"/>
              <w:right w:w="108" w:type="dxa"/>
            </w:tcMar>
            <w:vAlign w:val="center"/>
          </w:tcPr>
          <w:p w14:paraId="69F6465E"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$4,260,112</w:t>
            </w:r>
          </w:p>
        </w:tc>
        <w:tc>
          <w:tcPr>
            <w:tcW w:w="1134" w:type="dxa"/>
            <w:shd w:val="clear" w:color="auto" w:fill="auto"/>
            <w:tcMar>
              <w:top w:w="0" w:type="dxa"/>
              <w:left w:w="108" w:type="dxa"/>
              <w:bottom w:w="0" w:type="dxa"/>
              <w:right w:w="108" w:type="dxa"/>
            </w:tcMar>
            <w:vAlign w:val="center"/>
          </w:tcPr>
          <w:p w14:paraId="27F67B23"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$4,273,318</w:t>
            </w:r>
          </w:p>
        </w:tc>
        <w:tc>
          <w:tcPr>
            <w:tcW w:w="1139" w:type="dxa"/>
            <w:shd w:val="clear" w:color="auto" w:fill="auto"/>
            <w:tcMar>
              <w:top w:w="0" w:type="dxa"/>
              <w:left w:w="108" w:type="dxa"/>
              <w:bottom w:w="0" w:type="dxa"/>
              <w:right w:w="108" w:type="dxa"/>
            </w:tcMar>
            <w:vAlign w:val="center"/>
          </w:tcPr>
          <w:p w14:paraId="35DEB246"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$4,286,566</w:t>
            </w:r>
          </w:p>
        </w:tc>
      </w:tr>
      <w:tr w:rsidR="006C463F" w:rsidRPr="006253B6" w14:paraId="37938701" w14:textId="77777777">
        <w:tc>
          <w:tcPr>
            <w:tcW w:w="2258" w:type="dxa"/>
            <w:tcMar>
              <w:top w:w="0" w:type="dxa"/>
              <w:left w:w="108" w:type="dxa"/>
              <w:bottom w:w="0" w:type="dxa"/>
              <w:right w:w="108" w:type="dxa"/>
            </w:tcMar>
          </w:tcPr>
          <w:p w14:paraId="4E639F3E" w14:textId="77777777" w:rsidR="006C463F" w:rsidRPr="006253B6" w:rsidRDefault="006C463F">
            <w:pPr>
              <w:spacing w:before="40"/>
              <w:rPr>
                <w:rFonts w:ascii="Arial Narrow" w:hAnsi="Arial Narrow"/>
                <w:sz w:val="19"/>
                <w:szCs w:val="19"/>
              </w:rPr>
            </w:pPr>
            <w:r w:rsidRPr="006253B6">
              <w:rPr>
                <w:rFonts w:ascii="Arial Narrow" w:hAnsi="Arial Narrow"/>
                <w:sz w:val="19"/>
                <w:szCs w:val="19"/>
              </w:rPr>
              <w:t>Strategy IIIa</w:t>
            </w:r>
          </w:p>
        </w:tc>
        <w:tc>
          <w:tcPr>
            <w:tcW w:w="1134" w:type="dxa"/>
            <w:shd w:val="clear" w:color="auto" w:fill="auto"/>
            <w:tcMar>
              <w:top w:w="0" w:type="dxa"/>
              <w:left w:w="108" w:type="dxa"/>
              <w:bottom w:w="0" w:type="dxa"/>
              <w:right w:w="108" w:type="dxa"/>
            </w:tcMar>
            <w:vAlign w:val="center"/>
          </w:tcPr>
          <w:p w14:paraId="5EE0E2A4"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$3,893,847</w:t>
            </w:r>
          </w:p>
        </w:tc>
        <w:tc>
          <w:tcPr>
            <w:tcW w:w="1134" w:type="dxa"/>
            <w:shd w:val="clear" w:color="auto" w:fill="auto"/>
            <w:tcMar>
              <w:top w:w="0" w:type="dxa"/>
              <w:left w:w="108" w:type="dxa"/>
              <w:bottom w:w="0" w:type="dxa"/>
              <w:right w:w="108" w:type="dxa"/>
            </w:tcMar>
            <w:vAlign w:val="center"/>
          </w:tcPr>
          <w:p w14:paraId="7463949A"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$3,905,905</w:t>
            </w:r>
          </w:p>
        </w:tc>
        <w:tc>
          <w:tcPr>
            <w:tcW w:w="1134" w:type="dxa"/>
            <w:shd w:val="clear" w:color="auto" w:fill="auto"/>
            <w:tcMar>
              <w:top w:w="0" w:type="dxa"/>
              <w:left w:w="108" w:type="dxa"/>
              <w:bottom w:w="0" w:type="dxa"/>
              <w:right w:w="108" w:type="dxa"/>
            </w:tcMar>
            <w:vAlign w:val="center"/>
          </w:tcPr>
          <w:p w14:paraId="2B48CEC8"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$3,917,999</w:t>
            </w:r>
          </w:p>
        </w:tc>
        <w:tc>
          <w:tcPr>
            <w:tcW w:w="1134" w:type="dxa"/>
            <w:shd w:val="clear" w:color="auto" w:fill="auto"/>
            <w:tcMar>
              <w:top w:w="0" w:type="dxa"/>
              <w:left w:w="108" w:type="dxa"/>
              <w:bottom w:w="0" w:type="dxa"/>
              <w:right w:w="108" w:type="dxa"/>
            </w:tcMar>
            <w:vAlign w:val="center"/>
          </w:tcPr>
          <w:p w14:paraId="2331ABCB"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$3,930,132</w:t>
            </w:r>
          </w:p>
        </w:tc>
        <w:tc>
          <w:tcPr>
            <w:tcW w:w="1134" w:type="dxa"/>
            <w:shd w:val="clear" w:color="auto" w:fill="auto"/>
            <w:tcMar>
              <w:top w:w="0" w:type="dxa"/>
              <w:left w:w="108" w:type="dxa"/>
              <w:bottom w:w="0" w:type="dxa"/>
              <w:right w:w="108" w:type="dxa"/>
            </w:tcMar>
            <w:vAlign w:val="center"/>
          </w:tcPr>
          <w:p w14:paraId="43985C1E"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$3,942,301</w:t>
            </w:r>
          </w:p>
        </w:tc>
        <w:tc>
          <w:tcPr>
            <w:tcW w:w="1139" w:type="dxa"/>
            <w:shd w:val="clear" w:color="auto" w:fill="auto"/>
            <w:tcMar>
              <w:top w:w="0" w:type="dxa"/>
              <w:left w:w="108" w:type="dxa"/>
              <w:bottom w:w="0" w:type="dxa"/>
              <w:right w:w="108" w:type="dxa"/>
            </w:tcMar>
            <w:vAlign w:val="center"/>
          </w:tcPr>
          <w:p w14:paraId="4712CEC7" w14:textId="77777777" w:rsidR="006C463F" w:rsidRPr="006253B6" w:rsidRDefault="006C463F">
            <w:pPr>
              <w:spacing w:before="40"/>
              <w:jc w:val="right"/>
              <w:rPr>
                <w:rFonts w:ascii="Arial Narrow" w:hAnsi="Arial Narrow"/>
                <w:sz w:val="19"/>
                <w:szCs w:val="19"/>
              </w:rPr>
            </w:pPr>
            <w:r w:rsidRPr="006253B6">
              <w:rPr>
                <w:rFonts w:ascii="Arial Narrow" w:hAnsi="Arial Narrow" w:cs="Calibri"/>
                <w:color w:val="000000"/>
                <w:sz w:val="19"/>
                <w:szCs w:val="19"/>
              </w:rPr>
              <w:t>$3,954,509</w:t>
            </w:r>
          </w:p>
        </w:tc>
      </w:tr>
      <w:tr w:rsidR="0051088C" w:rsidRPr="006253B6" w14:paraId="5CBDDE66" w14:textId="77777777" w:rsidTr="00842945">
        <w:tc>
          <w:tcPr>
            <w:tcW w:w="2258" w:type="dxa"/>
            <w:tcMar>
              <w:top w:w="0" w:type="dxa"/>
              <w:left w:w="108" w:type="dxa"/>
              <w:bottom w:w="0" w:type="dxa"/>
              <w:right w:w="108" w:type="dxa"/>
            </w:tcMar>
          </w:tcPr>
          <w:p w14:paraId="6DE7986A" w14:textId="77777777" w:rsidR="0051088C" w:rsidRPr="006253B6" w:rsidRDefault="0051088C" w:rsidP="00C25359">
            <w:pPr>
              <w:spacing w:before="40"/>
              <w:rPr>
                <w:rFonts w:ascii="Arial Narrow" w:hAnsi="Arial Narrow"/>
                <w:sz w:val="19"/>
                <w:szCs w:val="19"/>
              </w:rPr>
            </w:pPr>
            <w:r w:rsidRPr="006253B6">
              <w:rPr>
                <w:rFonts w:ascii="Arial Narrow" w:hAnsi="Arial Narrow"/>
                <w:sz w:val="19"/>
                <w:szCs w:val="19"/>
              </w:rPr>
              <w:t>Strategy IV</w:t>
            </w:r>
          </w:p>
        </w:tc>
        <w:tc>
          <w:tcPr>
            <w:tcW w:w="1134" w:type="dxa"/>
            <w:shd w:val="clear" w:color="auto" w:fill="auto"/>
            <w:tcMar>
              <w:top w:w="0" w:type="dxa"/>
              <w:left w:w="108" w:type="dxa"/>
              <w:bottom w:w="0" w:type="dxa"/>
              <w:right w:w="108" w:type="dxa"/>
            </w:tcMar>
            <w:vAlign w:val="center"/>
          </w:tcPr>
          <w:p w14:paraId="68CF17C9"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$1,869,973</w:t>
            </w:r>
          </w:p>
        </w:tc>
        <w:tc>
          <w:tcPr>
            <w:tcW w:w="1134" w:type="dxa"/>
            <w:shd w:val="clear" w:color="auto" w:fill="auto"/>
            <w:tcMar>
              <w:top w:w="0" w:type="dxa"/>
              <w:left w:w="108" w:type="dxa"/>
              <w:bottom w:w="0" w:type="dxa"/>
              <w:right w:w="108" w:type="dxa"/>
            </w:tcMar>
            <w:vAlign w:val="center"/>
          </w:tcPr>
          <w:p w14:paraId="6BD06ED5"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$1,875,770</w:t>
            </w:r>
          </w:p>
        </w:tc>
        <w:tc>
          <w:tcPr>
            <w:tcW w:w="1134" w:type="dxa"/>
            <w:shd w:val="clear" w:color="auto" w:fill="auto"/>
            <w:tcMar>
              <w:top w:w="0" w:type="dxa"/>
              <w:left w:w="108" w:type="dxa"/>
              <w:bottom w:w="0" w:type="dxa"/>
              <w:right w:w="108" w:type="dxa"/>
            </w:tcMar>
            <w:vAlign w:val="center"/>
          </w:tcPr>
          <w:p w14:paraId="3638C20A"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$1,881,585</w:t>
            </w:r>
          </w:p>
        </w:tc>
        <w:tc>
          <w:tcPr>
            <w:tcW w:w="1134" w:type="dxa"/>
            <w:shd w:val="clear" w:color="auto" w:fill="auto"/>
            <w:tcMar>
              <w:top w:w="0" w:type="dxa"/>
              <w:left w:w="108" w:type="dxa"/>
              <w:bottom w:w="0" w:type="dxa"/>
              <w:right w:w="108" w:type="dxa"/>
            </w:tcMar>
            <w:vAlign w:val="center"/>
          </w:tcPr>
          <w:p w14:paraId="3A78B966"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$1,887,418</w:t>
            </w:r>
          </w:p>
        </w:tc>
        <w:tc>
          <w:tcPr>
            <w:tcW w:w="1134" w:type="dxa"/>
            <w:shd w:val="clear" w:color="auto" w:fill="auto"/>
            <w:tcMar>
              <w:top w:w="0" w:type="dxa"/>
              <w:left w:w="108" w:type="dxa"/>
              <w:bottom w:w="0" w:type="dxa"/>
              <w:right w:w="108" w:type="dxa"/>
            </w:tcMar>
            <w:vAlign w:val="center"/>
          </w:tcPr>
          <w:p w14:paraId="446D47A2"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$1,893,269</w:t>
            </w:r>
          </w:p>
        </w:tc>
        <w:tc>
          <w:tcPr>
            <w:tcW w:w="1139" w:type="dxa"/>
            <w:shd w:val="clear" w:color="auto" w:fill="auto"/>
            <w:tcMar>
              <w:top w:w="0" w:type="dxa"/>
              <w:left w:w="108" w:type="dxa"/>
              <w:bottom w:w="0" w:type="dxa"/>
              <w:right w:w="108" w:type="dxa"/>
            </w:tcMar>
            <w:vAlign w:val="center"/>
          </w:tcPr>
          <w:p w14:paraId="2F61F9EE"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$1,899,138</w:t>
            </w:r>
          </w:p>
        </w:tc>
      </w:tr>
      <w:tr w:rsidR="0051088C" w:rsidRPr="006253B6" w14:paraId="0E5BF11C" w14:textId="77777777" w:rsidTr="00842945">
        <w:tc>
          <w:tcPr>
            <w:tcW w:w="2258" w:type="dxa"/>
            <w:tcMar>
              <w:top w:w="0" w:type="dxa"/>
              <w:left w:w="108" w:type="dxa"/>
              <w:bottom w:w="0" w:type="dxa"/>
              <w:right w:w="108" w:type="dxa"/>
            </w:tcMar>
          </w:tcPr>
          <w:p w14:paraId="01BA53D2" w14:textId="77777777" w:rsidR="0051088C" w:rsidRPr="006253B6" w:rsidRDefault="0051088C" w:rsidP="00C25359">
            <w:pPr>
              <w:spacing w:before="40"/>
              <w:rPr>
                <w:rFonts w:ascii="Arial Narrow" w:hAnsi="Arial Narrow"/>
                <w:sz w:val="19"/>
                <w:szCs w:val="19"/>
              </w:rPr>
            </w:pPr>
            <w:r w:rsidRPr="006253B6">
              <w:rPr>
                <w:rFonts w:ascii="Arial Narrow" w:hAnsi="Arial Narrow"/>
                <w:sz w:val="19"/>
                <w:szCs w:val="19"/>
              </w:rPr>
              <w:t>Strategy IVa</w:t>
            </w:r>
          </w:p>
        </w:tc>
        <w:tc>
          <w:tcPr>
            <w:tcW w:w="1134" w:type="dxa"/>
            <w:shd w:val="clear" w:color="auto" w:fill="auto"/>
            <w:tcMar>
              <w:top w:w="0" w:type="dxa"/>
              <w:left w:w="108" w:type="dxa"/>
              <w:bottom w:w="0" w:type="dxa"/>
              <w:right w:w="108" w:type="dxa"/>
            </w:tcMar>
            <w:vAlign w:val="center"/>
          </w:tcPr>
          <w:p w14:paraId="642E5948"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$3,076,622</w:t>
            </w:r>
          </w:p>
        </w:tc>
        <w:tc>
          <w:tcPr>
            <w:tcW w:w="1134" w:type="dxa"/>
            <w:shd w:val="clear" w:color="auto" w:fill="auto"/>
            <w:tcMar>
              <w:top w:w="0" w:type="dxa"/>
              <w:left w:w="108" w:type="dxa"/>
              <w:bottom w:w="0" w:type="dxa"/>
              <w:right w:w="108" w:type="dxa"/>
            </w:tcMar>
            <w:vAlign w:val="center"/>
          </w:tcPr>
          <w:p w14:paraId="61240FA0"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$3,086,146</w:t>
            </w:r>
          </w:p>
        </w:tc>
        <w:tc>
          <w:tcPr>
            <w:tcW w:w="1134" w:type="dxa"/>
            <w:shd w:val="clear" w:color="auto" w:fill="auto"/>
            <w:tcMar>
              <w:top w:w="0" w:type="dxa"/>
              <w:left w:w="108" w:type="dxa"/>
              <w:bottom w:w="0" w:type="dxa"/>
              <w:right w:w="108" w:type="dxa"/>
            </w:tcMar>
            <w:vAlign w:val="center"/>
          </w:tcPr>
          <w:p w14:paraId="3F785041"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$3,095,699</w:t>
            </w:r>
          </w:p>
        </w:tc>
        <w:tc>
          <w:tcPr>
            <w:tcW w:w="1134" w:type="dxa"/>
            <w:shd w:val="clear" w:color="auto" w:fill="auto"/>
            <w:tcMar>
              <w:top w:w="0" w:type="dxa"/>
              <w:left w:w="108" w:type="dxa"/>
              <w:bottom w:w="0" w:type="dxa"/>
              <w:right w:w="108" w:type="dxa"/>
            </w:tcMar>
            <w:vAlign w:val="center"/>
          </w:tcPr>
          <w:p w14:paraId="05ABB35F"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$3,105,282</w:t>
            </w:r>
          </w:p>
        </w:tc>
        <w:tc>
          <w:tcPr>
            <w:tcW w:w="1134" w:type="dxa"/>
            <w:shd w:val="clear" w:color="auto" w:fill="auto"/>
            <w:tcMar>
              <w:top w:w="0" w:type="dxa"/>
              <w:left w:w="108" w:type="dxa"/>
              <w:bottom w:w="0" w:type="dxa"/>
              <w:right w:w="108" w:type="dxa"/>
            </w:tcMar>
            <w:vAlign w:val="center"/>
          </w:tcPr>
          <w:p w14:paraId="270CEA40"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$3,114,895</w:t>
            </w:r>
          </w:p>
        </w:tc>
        <w:tc>
          <w:tcPr>
            <w:tcW w:w="1139" w:type="dxa"/>
            <w:shd w:val="clear" w:color="auto" w:fill="auto"/>
            <w:tcMar>
              <w:top w:w="0" w:type="dxa"/>
              <w:left w:w="108" w:type="dxa"/>
              <w:bottom w:w="0" w:type="dxa"/>
              <w:right w:w="108" w:type="dxa"/>
            </w:tcMar>
            <w:vAlign w:val="center"/>
          </w:tcPr>
          <w:p w14:paraId="35836F91"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$3,124,537</w:t>
            </w:r>
          </w:p>
        </w:tc>
      </w:tr>
      <w:tr w:rsidR="0051088C" w:rsidRPr="006253B6" w14:paraId="70EBE777" w14:textId="77777777" w:rsidTr="00842945">
        <w:tc>
          <w:tcPr>
            <w:tcW w:w="2258" w:type="dxa"/>
            <w:tcMar>
              <w:top w:w="0" w:type="dxa"/>
              <w:left w:w="108" w:type="dxa"/>
              <w:bottom w:w="0" w:type="dxa"/>
              <w:right w:w="108" w:type="dxa"/>
            </w:tcMar>
          </w:tcPr>
          <w:p w14:paraId="783D7411" w14:textId="77777777" w:rsidR="0051088C" w:rsidRPr="006253B6" w:rsidRDefault="0051088C" w:rsidP="00C25359">
            <w:pPr>
              <w:spacing w:before="40"/>
              <w:rPr>
                <w:rFonts w:ascii="Arial Narrow" w:hAnsi="Arial Narrow"/>
                <w:sz w:val="19"/>
                <w:szCs w:val="19"/>
              </w:rPr>
            </w:pPr>
            <w:r w:rsidRPr="006253B6">
              <w:rPr>
                <w:rFonts w:ascii="Arial Narrow" w:hAnsi="Arial Narrow"/>
                <w:sz w:val="19"/>
                <w:szCs w:val="19"/>
              </w:rPr>
              <w:t>Strategy IVb</w:t>
            </w:r>
          </w:p>
        </w:tc>
        <w:tc>
          <w:tcPr>
            <w:tcW w:w="1134" w:type="dxa"/>
            <w:shd w:val="clear" w:color="auto" w:fill="auto"/>
            <w:tcMar>
              <w:top w:w="0" w:type="dxa"/>
              <w:left w:w="108" w:type="dxa"/>
              <w:bottom w:w="0" w:type="dxa"/>
              <w:right w:w="108" w:type="dxa"/>
            </w:tcMar>
            <w:vAlign w:val="center"/>
          </w:tcPr>
          <w:p w14:paraId="689AB984"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$1,852,296</w:t>
            </w:r>
          </w:p>
        </w:tc>
        <w:tc>
          <w:tcPr>
            <w:tcW w:w="1134" w:type="dxa"/>
            <w:shd w:val="clear" w:color="auto" w:fill="auto"/>
            <w:tcMar>
              <w:top w:w="0" w:type="dxa"/>
              <w:left w:w="108" w:type="dxa"/>
              <w:bottom w:w="0" w:type="dxa"/>
              <w:right w:w="108" w:type="dxa"/>
            </w:tcMar>
            <w:vAlign w:val="center"/>
          </w:tcPr>
          <w:p w14:paraId="12CBFB36"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$1,858,025</w:t>
            </w:r>
          </w:p>
        </w:tc>
        <w:tc>
          <w:tcPr>
            <w:tcW w:w="1134" w:type="dxa"/>
            <w:shd w:val="clear" w:color="auto" w:fill="auto"/>
            <w:tcMar>
              <w:top w:w="0" w:type="dxa"/>
              <w:left w:w="108" w:type="dxa"/>
              <w:bottom w:w="0" w:type="dxa"/>
              <w:right w:w="108" w:type="dxa"/>
            </w:tcMar>
            <w:vAlign w:val="center"/>
          </w:tcPr>
          <w:p w14:paraId="3670FC91"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$1,863,771</w:t>
            </w:r>
          </w:p>
        </w:tc>
        <w:tc>
          <w:tcPr>
            <w:tcW w:w="1134" w:type="dxa"/>
            <w:shd w:val="clear" w:color="auto" w:fill="auto"/>
            <w:tcMar>
              <w:top w:w="0" w:type="dxa"/>
              <w:left w:w="108" w:type="dxa"/>
              <w:bottom w:w="0" w:type="dxa"/>
              <w:right w:w="108" w:type="dxa"/>
            </w:tcMar>
            <w:vAlign w:val="center"/>
          </w:tcPr>
          <w:p w14:paraId="27961820"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$1,869,535</w:t>
            </w:r>
          </w:p>
        </w:tc>
        <w:tc>
          <w:tcPr>
            <w:tcW w:w="1134" w:type="dxa"/>
            <w:shd w:val="clear" w:color="auto" w:fill="auto"/>
            <w:tcMar>
              <w:top w:w="0" w:type="dxa"/>
              <w:left w:w="108" w:type="dxa"/>
              <w:bottom w:w="0" w:type="dxa"/>
              <w:right w:w="108" w:type="dxa"/>
            </w:tcMar>
            <w:vAlign w:val="center"/>
          </w:tcPr>
          <w:p w14:paraId="4428481C"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$1,875,317</w:t>
            </w:r>
          </w:p>
        </w:tc>
        <w:tc>
          <w:tcPr>
            <w:tcW w:w="1139" w:type="dxa"/>
            <w:shd w:val="clear" w:color="auto" w:fill="auto"/>
            <w:tcMar>
              <w:top w:w="0" w:type="dxa"/>
              <w:left w:w="108" w:type="dxa"/>
              <w:bottom w:w="0" w:type="dxa"/>
              <w:right w:w="108" w:type="dxa"/>
            </w:tcMar>
            <w:vAlign w:val="center"/>
          </w:tcPr>
          <w:p w14:paraId="586334C2" w14:textId="77777777" w:rsidR="0051088C" w:rsidRPr="006253B6" w:rsidRDefault="0051088C" w:rsidP="00C95193">
            <w:pPr>
              <w:spacing w:before="40"/>
              <w:jc w:val="right"/>
              <w:rPr>
                <w:rFonts w:ascii="Arial Narrow" w:hAnsi="Arial Narrow"/>
                <w:sz w:val="19"/>
                <w:szCs w:val="19"/>
              </w:rPr>
            </w:pPr>
            <w:r w:rsidRPr="006253B6">
              <w:rPr>
                <w:rFonts w:ascii="Arial Narrow" w:hAnsi="Arial Narrow" w:cs="Calibri"/>
                <w:color w:val="000000"/>
                <w:sz w:val="19"/>
                <w:szCs w:val="19"/>
              </w:rPr>
              <w:t>$1,881,117</w:t>
            </w:r>
          </w:p>
        </w:tc>
      </w:tr>
      <w:tr w:rsidR="006962F3" w:rsidRPr="006962F3" w14:paraId="1557F414" w14:textId="77777777">
        <w:tc>
          <w:tcPr>
            <w:tcW w:w="9067" w:type="dxa"/>
            <w:gridSpan w:val="7"/>
            <w:tcMar>
              <w:top w:w="0" w:type="dxa"/>
              <w:left w:w="108" w:type="dxa"/>
              <w:bottom w:w="0" w:type="dxa"/>
              <w:right w:w="108" w:type="dxa"/>
            </w:tcMar>
          </w:tcPr>
          <w:p w14:paraId="6D7BFFFF" w14:textId="42E709B2" w:rsidR="00F96F39" w:rsidRPr="00191E1B" w:rsidRDefault="00F96F39">
            <w:pPr>
              <w:spacing w:before="40"/>
              <w:rPr>
                <w:rFonts w:ascii="Arial Narrow" w:hAnsi="Arial Narrow"/>
                <w:i/>
                <w:iCs/>
                <w:color w:val="0070C0"/>
                <w:sz w:val="19"/>
                <w:szCs w:val="19"/>
              </w:rPr>
            </w:pPr>
            <w:r w:rsidRPr="00191E1B">
              <w:rPr>
                <w:rFonts w:ascii="Arial Narrow" w:hAnsi="Arial Narrow" w:cs="Calibri"/>
                <w:b/>
                <w:bCs/>
                <w:i/>
                <w:iCs/>
                <w:color w:val="0070C0"/>
                <w:sz w:val="19"/>
                <w:szCs w:val="19"/>
              </w:rPr>
              <w:t>Total cost to NBS programs (PICO set 1) – analyses updated to reflect MSAC’s advice</w:t>
            </w:r>
          </w:p>
        </w:tc>
      </w:tr>
      <w:tr w:rsidR="002E429A" w:rsidRPr="006962F3" w14:paraId="4F6635C4" w14:textId="77777777" w:rsidTr="00191E1B">
        <w:tc>
          <w:tcPr>
            <w:tcW w:w="2258" w:type="dxa"/>
            <w:tcMar>
              <w:top w:w="0" w:type="dxa"/>
              <w:left w:w="108" w:type="dxa"/>
              <w:bottom w:w="0" w:type="dxa"/>
              <w:right w:w="108" w:type="dxa"/>
            </w:tcMar>
          </w:tcPr>
          <w:p w14:paraId="5775B55B" w14:textId="77777777" w:rsidR="002E429A" w:rsidRPr="00191E1B" w:rsidRDefault="002E429A" w:rsidP="002E429A">
            <w:pPr>
              <w:spacing w:before="40"/>
              <w:rPr>
                <w:rFonts w:ascii="Arial Narrow" w:hAnsi="Arial Narrow"/>
                <w:i/>
                <w:iCs/>
                <w:color w:val="0070C0"/>
                <w:sz w:val="19"/>
                <w:szCs w:val="19"/>
              </w:rPr>
            </w:pPr>
            <w:r w:rsidRPr="00191E1B">
              <w:rPr>
                <w:rFonts w:ascii="Arial Narrow" w:hAnsi="Arial Narrow"/>
                <w:i/>
                <w:iCs/>
                <w:color w:val="0070C0"/>
                <w:sz w:val="19"/>
                <w:szCs w:val="19"/>
              </w:rPr>
              <w:t>Strategy I</w:t>
            </w:r>
          </w:p>
        </w:tc>
        <w:tc>
          <w:tcPr>
            <w:tcW w:w="1134" w:type="dxa"/>
            <w:shd w:val="clear" w:color="auto" w:fill="auto"/>
            <w:tcMar>
              <w:top w:w="0" w:type="dxa"/>
              <w:left w:w="108" w:type="dxa"/>
              <w:bottom w:w="0" w:type="dxa"/>
              <w:right w:w="108" w:type="dxa"/>
            </w:tcMar>
          </w:tcPr>
          <w:p w14:paraId="59BB3894" w14:textId="19DB89DF" w:rsidR="002E429A" w:rsidRPr="00191E1B" w:rsidRDefault="002E429A" w:rsidP="002E429A">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$1,710,314</w:t>
            </w:r>
          </w:p>
        </w:tc>
        <w:tc>
          <w:tcPr>
            <w:tcW w:w="1134" w:type="dxa"/>
            <w:shd w:val="clear" w:color="auto" w:fill="auto"/>
            <w:tcMar>
              <w:top w:w="0" w:type="dxa"/>
              <w:left w:w="108" w:type="dxa"/>
              <w:bottom w:w="0" w:type="dxa"/>
              <w:right w:w="108" w:type="dxa"/>
            </w:tcMar>
          </w:tcPr>
          <w:p w14:paraId="7E765B68" w14:textId="1644DFAB" w:rsidR="002E429A" w:rsidRPr="00191E1B" w:rsidRDefault="002E429A" w:rsidP="002E429A">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$1,715,616</w:t>
            </w:r>
          </w:p>
        </w:tc>
        <w:tc>
          <w:tcPr>
            <w:tcW w:w="1134" w:type="dxa"/>
            <w:shd w:val="clear" w:color="auto" w:fill="auto"/>
            <w:tcMar>
              <w:top w:w="0" w:type="dxa"/>
              <w:left w:w="108" w:type="dxa"/>
              <w:bottom w:w="0" w:type="dxa"/>
              <w:right w:w="108" w:type="dxa"/>
            </w:tcMar>
          </w:tcPr>
          <w:p w14:paraId="1D9D963A" w14:textId="6B456AAD" w:rsidR="002E429A" w:rsidRPr="00191E1B" w:rsidRDefault="002E429A" w:rsidP="002E429A">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$1,720,935</w:t>
            </w:r>
          </w:p>
        </w:tc>
        <w:tc>
          <w:tcPr>
            <w:tcW w:w="1134" w:type="dxa"/>
            <w:shd w:val="clear" w:color="auto" w:fill="auto"/>
            <w:tcMar>
              <w:top w:w="0" w:type="dxa"/>
              <w:left w:w="108" w:type="dxa"/>
              <w:bottom w:w="0" w:type="dxa"/>
              <w:right w:w="108" w:type="dxa"/>
            </w:tcMar>
          </w:tcPr>
          <w:p w14:paraId="4198E2D9" w14:textId="611A5A98" w:rsidR="002E429A" w:rsidRPr="00191E1B" w:rsidRDefault="002E429A" w:rsidP="002E429A">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$1,726,270</w:t>
            </w:r>
          </w:p>
        </w:tc>
        <w:tc>
          <w:tcPr>
            <w:tcW w:w="1134" w:type="dxa"/>
            <w:shd w:val="clear" w:color="auto" w:fill="auto"/>
            <w:tcMar>
              <w:top w:w="0" w:type="dxa"/>
              <w:left w:w="108" w:type="dxa"/>
              <w:bottom w:w="0" w:type="dxa"/>
              <w:right w:w="108" w:type="dxa"/>
            </w:tcMar>
          </w:tcPr>
          <w:p w14:paraId="21436604" w14:textId="4B125ADA" w:rsidR="002E429A" w:rsidRPr="00191E1B" w:rsidRDefault="002E429A" w:rsidP="002E429A">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$1,731,621</w:t>
            </w:r>
          </w:p>
        </w:tc>
        <w:tc>
          <w:tcPr>
            <w:tcW w:w="1139" w:type="dxa"/>
            <w:shd w:val="clear" w:color="auto" w:fill="auto"/>
            <w:tcMar>
              <w:top w:w="0" w:type="dxa"/>
              <w:left w:w="108" w:type="dxa"/>
              <w:bottom w:w="0" w:type="dxa"/>
              <w:right w:w="108" w:type="dxa"/>
            </w:tcMar>
          </w:tcPr>
          <w:p w14:paraId="31AD705C" w14:textId="1A342AAC" w:rsidR="002E429A" w:rsidRPr="00191E1B" w:rsidRDefault="002E429A" w:rsidP="002E429A">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$1,736,989</w:t>
            </w:r>
          </w:p>
        </w:tc>
      </w:tr>
      <w:tr w:rsidR="002F0053" w:rsidRPr="006962F3" w14:paraId="4A8DAF33" w14:textId="77777777" w:rsidTr="00191E1B">
        <w:tc>
          <w:tcPr>
            <w:tcW w:w="2258" w:type="dxa"/>
            <w:tcMar>
              <w:top w:w="0" w:type="dxa"/>
              <w:left w:w="108" w:type="dxa"/>
              <w:bottom w:w="0" w:type="dxa"/>
              <w:right w:w="108" w:type="dxa"/>
            </w:tcMar>
          </w:tcPr>
          <w:p w14:paraId="034EF47A" w14:textId="77777777" w:rsidR="002F0053" w:rsidRPr="00191E1B" w:rsidRDefault="002F0053" w:rsidP="002F0053">
            <w:pPr>
              <w:spacing w:before="40"/>
              <w:rPr>
                <w:rFonts w:ascii="Arial Narrow" w:hAnsi="Arial Narrow"/>
                <w:i/>
                <w:iCs/>
                <w:color w:val="0070C0"/>
                <w:sz w:val="19"/>
                <w:szCs w:val="19"/>
              </w:rPr>
            </w:pPr>
            <w:r w:rsidRPr="00191E1B">
              <w:rPr>
                <w:rFonts w:ascii="Arial Narrow" w:hAnsi="Arial Narrow"/>
                <w:i/>
                <w:iCs/>
                <w:color w:val="0070C0"/>
                <w:sz w:val="19"/>
                <w:szCs w:val="19"/>
              </w:rPr>
              <w:t>Strategy Ia</w:t>
            </w:r>
          </w:p>
        </w:tc>
        <w:tc>
          <w:tcPr>
            <w:tcW w:w="1134" w:type="dxa"/>
            <w:shd w:val="clear" w:color="auto" w:fill="auto"/>
            <w:tcMar>
              <w:top w:w="0" w:type="dxa"/>
              <w:left w:w="108" w:type="dxa"/>
              <w:bottom w:w="0" w:type="dxa"/>
              <w:right w:w="108" w:type="dxa"/>
            </w:tcMar>
          </w:tcPr>
          <w:p w14:paraId="07058C3E" w14:textId="16538693" w:rsidR="002F0053" w:rsidRPr="00191E1B" w:rsidRDefault="002F0053" w:rsidP="002F0053">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$1,856,471</w:t>
            </w:r>
          </w:p>
        </w:tc>
        <w:tc>
          <w:tcPr>
            <w:tcW w:w="1134" w:type="dxa"/>
            <w:shd w:val="clear" w:color="auto" w:fill="auto"/>
            <w:tcMar>
              <w:top w:w="0" w:type="dxa"/>
              <w:left w:w="108" w:type="dxa"/>
              <w:bottom w:w="0" w:type="dxa"/>
              <w:right w:w="108" w:type="dxa"/>
            </w:tcMar>
          </w:tcPr>
          <w:p w14:paraId="7AE1E889" w14:textId="1D5E6FC6" w:rsidR="002F0053" w:rsidRPr="00191E1B" w:rsidRDefault="002F0053" w:rsidP="002F0053">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$1,862,213</w:t>
            </w:r>
          </w:p>
        </w:tc>
        <w:tc>
          <w:tcPr>
            <w:tcW w:w="1134" w:type="dxa"/>
            <w:shd w:val="clear" w:color="auto" w:fill="auto"/>
            <w:tcMar>
              <w:top w:w="0" w:type="dxa"/>
              <w:left w:w="108" w:type="dxa"/>
              <w:bottom w:w="0" w:type="dxa"/>
              <w:right w:w="108" w:type="dxa"/>
            </w:tcMar>
          </w:tcPr>
          <w:p w14:paraId="47A2C193" w14:textId="4AF2C583" w:rsidR="002F0053" w:rsidRPr="00191E1B" w:rsidRDefault="002F0053" w:rsidP="002F0053">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$1,867,972</w:t>
            </w:r>
          </w:p>
        </w:tc>
        <w:tc>
          <w:tcPr>
            <w:tcW w:w="1134" w:type="dxa"/>
            <w:shd w:val="clear" w:color="auto" w:fill="auto"/>
            <w:tcMar>
              <w:top w:w="0" w:type="dxa"/>
              <w:left w:w="108" w:type="dxa"/>
              <w:bottom w:w="0" w:type="dxa"/>
              <w:right w:w="108" w:type="dxa"/>
            </w:tcMar>
          </w:tcPr>
          <w:p w14:paraId="49E91206" w14:textId="5E901079" w:rsidR="002F0053" w:rsidRPr="00191E1B" w:rsidRDefault="002F0053" w:rsidP="002F0053">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$1,873,749</w:t>
            </w:r>
          </w:p>
        </w:tc>
        <w:tc>
          <w:tcPr>
            <w:tcW w:w="1134" w:type="dxa"/>
            <w:shd w:val="clear" w:color="auto" w:fill="auto"/>
            <w:tcMar>
              <w:top w:w="0" w:type="dxa"/>
              <w:left w:w="108" w:type="dxa"/>
              <w:bottom w:w="0" w:type="dxa"/>
              <w:right w:w="108" w:type="dxa"/>
            </w:tcMar>
          </w:tcPr>
          <w:p w14:paraId="0D65400F" w14:textId="57D4E2A6" w:rsidR="002F0053" w:rsidRPr="00191E1B" w:rsidRDefault="002F0053" w:rsidP="002F0053">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$1,879,544</w:t>
            </w:r>
          </w:p>
        </w:tc>
        <w:tc>
          <w:tcPr>
            <w:tcW w:w="1139" w:type="dxa"/>
            <w:shd w:val="clear" w:color="auto" w:fill="auto"/>
            <w:tcMar>
              <w:top w:w="0" w:type="dxa"/>
              <w:left w:w="108" w:type="dxa"/>
              <w:bottom w:w="0" w:type="dxa"/>
              <w:right w:w="108" w:type="dxa"/>
            </w:tcMar>
          </w:tcPr>
          <w:p w14:paraId="005724B1" w14:textId="1D07DB57" w:rsidR="002F0053" w:rsidRPr="00191E1B" w:rsidRDefault="002F0053" w:rsidP="002F0053">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$1,885,357</w:t>
            </w:r>
          </w:p>
        </w:tc>
      </w:tr>
      <w:tr w:rsidR="006962F3" w:rsidRPr="006962F3" w14:paraId="2087164F" w14:textId="77777777">
        <w:tc>
          <w:tcPr>
            <w:tcW w:w="2258" w:type="dxa"/>
            <w:tcMar>
              <w:top w:w="0" w:type="dxa"/>
              <w:left w:w="108" w:type="dxa"/>
              <w:bottom w:w="0" w:type="dxa"/>
              <w:right w:w="108" w:type="dxa"/>
            </w:tcMar>
          </w:tcPr>
          <w:p w14:paraId="12B16114" w14:textId="036F0404" w:rsidR="00F96F39" w:rsidRPr="006962F3" w:rsidRDefault="00F96F39">
            <w:pPr>
              <w:spacing w:before="40"/>
              <w:rPr>
                <w:rFonts w:ascii="Arial Narrow" w:hAnsi="Arial Narrow"/>
                <w:i/>
                <w:iCs/>
                <w:color w:val="0070C0"/>
                <w:sz w:val="19"/>
                <w:szCs w:val="19"/>
              </w:rPr>
            </w:pPr>
            <w:r w:rsidRPr="006962F3">
              <w:rPr>
                <w:rFonts w:ascii="Arial Narrow" w:hAnsi="Arial Narrow"/>
                <w:i/>
                <w:iCs/>
                <w:color w:val="0070C0"/>
                <w:sz w:val="19"/>
                <w:szCs w:val="19"/>
              </w:rPr>
              <w:t>Strategy II</w:t>
            </w:r>
          </w:p>
        </w:tc>
        <w:tc>
          <w:tcPr>
            <w:tcW w:w="1134" w:type="dxa"/>
            <w:shd w:val="clear" w:color="auto" w:fill="auto"/>
            <w:tcMar>
              <w:top w:w="0" w:type="dxa"/>
              <w:left w:w="108" w:type="dxa"/>
              <w:bottom w:w="0" w:type="dxa"/>
              <w:right w:w="108" w:type="dxa"/>
            </w:tcMar>
          </w:tcPr>
          <w:p w14:paraId="39E606F8" w14:textId="77777777" w:rsidR="00F96F39" w:rsidRPr="006962F3" w:rsidRDefault="00F96F39">
            <w:pPr>
              <w:spacing w:before="40"/>
              <w:jc w:val="right"/>
              <w:rPr>
                <w:rFonts w:ascii="Arial Narrow" w:hAnsi="Arial Narrow" w:cs="Calibri"/>
                <w:i/>
                <w:iCs/>
                <w:color w:val="0070C0"/>
                <w:sz w:val="19"/>
                <w:szCs w:val="19"/>
              </w:rPr>
            </w:pPr>
            <w:r w:rsidRPr="006962F3">
              <w:rPr>
                <w:rFonts w:ascii="Arial Narrow" w:hAnsi="Arial Narrow" w:cs="Calibri"/>
                <w:i/>
                <w:iCs/>
                <w:color w:val="0070C0"/>
                <w:sz w:val="19"/>
                <w:szCs w:val="19"/>
              </w:rPr>
              <w:t>$2,760,276</w:t>
            </w:r>
          </w:p>
        </w:tc>
        <w:tc>
          <w:tcPr>
            <w:tcW w:w="1134" w:type="dxa"/>
            <w:shd w:val="clear" w:color="auto" w:fill="auto"/>
            <w:tcMar>
              <w:top w:w="0" w:type="dxa"/>
              <w:left w:w="108" w:type="dxa"/>
              <w:bottom w:w="0" w:type="dxa"/>
              <w:right w:w="108" w:type="dxa"/>
            </w:tcMar>
          </w:tcPr>
          <w:p w14:paraId="48A6359B" w14:textId="77777777" w:rsidR="00F96F39" w:rsidRPr="006962F3" w:rsidRDefault="00F96F39">
            <w:pPr>
              <w:spacing w:before="40"/>
              <w:jc w:val="right"/>
              <w:rPr>
                <w:rFonts w:ascii="Arial Narrow" w:hAnsi="Arial Narrow" w:cs="Calibri"/>
                <w:i/>
                <w:iCs/>
                <w:color w:val="0070C0"/>
                <w:sz w:val="19"/>
                <w:szCs w:val="19"/>
              </w:rPr>
            </w:pPr>
            <w:r w:rsidRPr="006962F3">
              <w:rPr>
                <w:rFonts w:ascii="Arial Narrow" w:hAnsi="Arial Narrow" w:cs="Calibri"/>
                <w:i/>
                <w:iCs/>
                <w:color w:val="0070C0"/>
                <w:sz w:val="19"/>
                <w:szCs w:val="19"/>
              </w:rPr>
              <w:t>$2,768,833</w:t>
            </w:r>
          </w:p>
        </w:tc>
        <w:tc>
          <w:tcPr>
            <w:tcW w:w="1134" w:type="dxa"/>
            <w:shd w:val="clear" w:color="auto" w:fill="auto"/>
            <w:tcMar>
              <w:top w:w="0" w:type="dxa"/>
              <w:left w:w="108" w:type="dxa"/>
              <w:bottom w:w="0" w:type="dxa"/>
              <w:right w:w="108" w:type="dxa"/>
            </w:tcMar>
          </w:tcPr>
          <w:p w14:paraId="2B634929" w14:textId="77777777" w:rsidR="00F96F39" w:rsidRPr="006962F3" w:rsidRDefault="00F96F39">
            <w:pPr>
              <w:spacing w:before="40"/>
              <w:jc w:val="right"/>
              <w:rPr>
                <w:rFonts w:ascii="Arial Narrow" w:hAnsi="Arial Narrow" w:cs="Calibri"/>
                <w:i/>
                <w:iCs/>
                <w:color w:val="0070C0"/>
                <w:sz w:val="19"/>
                <w:szCs w:val="19"/>
              </w:rPr>
            </w:pPr>
            <w:r w:rsidRPr="006962F3">
              <w:rPr>
                <w:rFonts w:ascii="Arial Narrow" w:hAnsi="Arial Narrow" w:cs="Calibri"/>
                <w:i/>
                <w:iCs/>
                <w:color w:val="0070C0"/>
                <w:sz w:val="19"/>
                <w:szCs w:val="19"/>
              </w:rPr>
              <w:t>$2,777,416</w:t>
            </w:r>
          </w:p>
        </w:tc>
        <w:tc>
          <w:tcPr>
            <w:tcW w:w="1134" w:type="dxa"/>
            <w:shd w:val="clear" w:color="auto" w:fill="auto"/>
            <w:tcMar>
              <w:top w:w="0" w:type="dxa"/>
              <w:left w:w="108" w:type="dxa"/>
              <w:bottom w:w="0" w:type="dxa"/>
              <w:right w:w="108" w:type="dxa"/>
            </w:tcMar>
          </w:tcPr>
          <w:p w14:paraId="1AFA792C" w14:textId="77777777" w:rsidR="00F96F39" w:rsidRPr="006962F3" w:rsidRDefault="00F96F39">
            <w:pPr>
              <w:spacing w:before="40"/>
              <w:jc w:val="right"/>
              <w:rPr>
                <w:rFonts w:ascii="Arial Narrow" w:hAnsi="Arial Narrow" w:cs="Calibri"/>
                <w:i/>
                <w:iCs/>
                <w:color w:val="0070C0"/>
                <w:sz w:val="19"/>
                <w:szCs w:val="19"/>
              </w:rPr>
            </w:pPr>
            <w:r w:rsidRPr="006962F3">
              <w:rPr>
                <w:rFonts w:ascii="Arial Narrow" w:hAnsi="Arial Narrow" w:cs="Calibri"/>
                <w:i/>
                <w:iCs/>
                <w:color w:val="0070C0"/>
                <w:sz w:val="19"/>
                <w:szCs w:val="19"/>
              </w:rPr>
              <w:t>$2,786,026</w:t>
            </w:r>
          </w:p>
        </w:tc>
        <w:tc>
          <w:tcPr>
            <w:tcW w:w="1134" w:type="dxa"/>
            <w:shd w:val="clear" w:color="auto" w:fill="auto"/>
            <w:tcMar>
              <w:top w:w="0" w:type="dxa"/>
              <w:left w:w="108" w:type="dxa"/>
              <w:bottom w:w="0" w:type="dxa"/>
              <w:right w:w="108" w:type="dxa"/>
            </w:tcMar>
          </w:tcPr>
          <w:p w14:paraId="16074735" w14:textId="77777777" w:rsidR="00F96F39" w:rsidRPr="006962F3" w:rsidRDefault="00F96F39">
            <w:pPr>
              <w:spacing w:before="40"/>
              <w:jc w:val="right"/>
              <w:rPr>
                <w:rFonts w:ascii="Arial Narrow" w:hAnsi="Arial Narrow" w:cs="Calibri"/>
                <w:i/>
                <w:iCs/>
                <w:color w:val="0070C0"/>
                <w:sz w:val="19"/>
                <w:szCs w:val="19"/>
              </w:rPr>
            </w:pPr>
            <w:r w:rsidRPr="006962F3">
              <w:rPr>
                <w:rFonts w:ascii="Arial Narrow" w:hAnsi="Arial Narrow" w:cs="Calibri"/>
                <w:i/>
                <w:iCs/>
                <w:color w:val="0070C0"/>
                <w:sz w:val="19"/>
                <w:szCs w:val="19"/>
              </w:rPr>
              <w:t>$2,794,663</w:t>
            </w:r>
          </w:p>
        </w:tc>
        <w:tc>
          <w:tcPr>
            <w:tcW w:w="1139" w:type="dxa"/>
            <w:shd w:val="clear" w:color="auto" w:fill="auto"/>
            <w:tcMar>
              <w:top w:w="0" w:type="dxa"/>
              <w:left w:w="108" w:type="dxa"/>
              <w:bottom w:w="0" w:type="dxa"/>
              <w:right w:w="108" w:type="dxa"/>
            </w:tcMar>
          </w:tcPr>
          <w:p w14:paraId="304374E7" w14:textId="77777777" w:rsidR="00F96F39" w:rsidRPr="006962F3" w:rsidRDefault="00F96F39">
            <w:pPr>
              <w:spacing w:before="40"/>
              <w:jc w:val="right"/>
              <w:rPr>
                <w:rFonts w:ascii="Arial Narrow" w:hAnsi="Arial Narrow" w:cs="Calibri"/>
                <w:i/>
                <w:iCs/>
                <w:color w:val="0070C0"/>
                <w:sz w:val="19"/>
                <w:szCs w:val="19"/>
              </w:rPr>
            </w:pPr>
            <w:r w:rsidRPr="006962F3">
              <w:rPr>
                <w:rFonts w:ascii="Arial Narrow" w:hAnsi="Arial Narrow" w:cs="Calibri"/>
                <w:i/>
                <w:iCs/>
                <w:color w:val="0070C0"/>
                <w:sz w:val="19"/>
                <w:szCs w:val="19"/>
              </w:rPr>
              <w:t>$2,803,326</w:t>
            </w:r>
          </w:p>
        </w:tc>
      </w:tr>
      <w:tr w:rsidR="0013740B" w:rsidRPr="006962F3" w14:paraId="6902CAB3" w14:textId="77777777">
        <w:tc>
          <w:tcPr>
            <w:tcW w:w="2258" w:type="dxa"/>
            <w:tcMar>
              <w:top w:w="0" w:type="dxa"/>
              <w:left w:w="108" w:type="dxa"/>
              <w:bottom w:w="0" w:type="dxa"/>
              <w:right w:w="108" w:type="dxa"/>
            </w:tcMar>
          </w:tcPr>
          <w:p w14:paraId="40C3E027" w14:textId="77777777" w:rsidR="0013740B" w:rsidRPr="00191E1B" w:rsidRDefault="0013740B" w:rsidP="0013740B">
            <w:pPr>
              <w:spacing w:before="40"/>
              <w:rPr>
                <w:rFonts w:ascii="Arial Narrow" w:hAnsi="Arial Narrow"/>
                <w:i/>
                <w:iCs/>
                <w:color w:val="0070C0"/>
                <w:sz w:val="19"/>
                <w:szCs w:val="19"/>
              </w:rPr>
            </w:pPr>
            <w:r w:rsidRPr="00191E1B">
              <w:rPr>
                <w:rFonts w:ascii="Arial Narrow" w:hAnsi="Arial Narrow"/>
                <w:i/>
                <w:iCs/>
                <w:color w:val="0070C0"/>
                <w:sz w:val="19"/>
                <w:szCs w:val="19"/>
              </w:rPr>
              <w:t>Strategy IIa</w:t>
            </w:r>
          </w:p>
        </w:tc>
        <w:tc>
          <w:tcPr>
            <w:tcW w:w="1134" w:type="dxa"/>
            <w:shd w:val="clear" w:color="auto" w:fill="auto"/>
            <w:tcMar>
              <w:top w:w="0" w:type="dxa"/>
              <w:left w:w="108" w:type="dxa"/>
              <w:bottom w:w="0" w:type="dxa"/>
              <w:right w:w="108" w:type="dxa"/>
            </w:tcMar>
            <w:vAlign w:val="center"/>
          </w:tcPr>
          <w:p w14:paraId="357B203F" w14:textId="24BCFE79" w:rsidR="0013740B" w:rsidRPr="00191E1B" w:rsidRDefault="0013740B" w:rsidP="0013740B">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$2,395,102</w:t>
            </w:r>
          </w:p>
        </w:tc>
        <w:tc>
          <w:tcPr>
            <w:tcW w:w="1134" w:type="dxa"/>
            <w:shd w:val="clear" w:color="auto" w:fill="auto"/>
            <w:tcMar>
              <w:top w:w="0" w:type="dxa"/>
              <w:left w:w="108" w:type="dxa"/>
              <w:bottom w:w="0" w:type="dxa"/>
              <w:right w:w="108" w:type="dxa"/>
            </w:tcMar>
            <w:vAlign w:val="center"/>
          </w:tcPr>
          <w:p w14:paraId="4F90CFD3" w14:textId="017B27CD" w:rsidR="0013740B" w:rsidRPr="00191E1B" w:rsidRDefault="0013740B" w:rsidP="0013740B">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$2,402,513</w:t>
            </w:r>
          </w:p>
        </w:tc>
        <w:tc>
          <w:tcPr>
            <w:tcW w:w="1134" w:type="dxa"/>
            <w:shd w:val="clear" w:color="auto" w:fill="auto"/>
            <w:tcMar>
              <w:top w:w="0" w:type="dxa"/>
              <w:left w:w="108" w:type="dxa"/>
              <w:bottom w:w="0" w:type="dxa"/>
              <w:right w:w="108" w:type="dxa"/>
            </w:tcMar>
            <w:vAlign w:val="center"/>
          </w:tcPr>
          <w:p w14:paraId="0181C1AD" w14:textId="6CB28DA8" w:rsidR="0013740B" w:rsidRPr="00191E1B" w:rsidRDefault="0013740B" w:rsidP="0013740B">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$2,409,947</w:t>
            </w:r>
          </w:p>
        </w:tc>
        <w:tc>
          <w:tcPr>
            <w:tcW w:w="1134" w:type="dxa"/>
            <w:shd w:val="clear" w:color="auto" w:fill="auto"/>
            <w:tcMar>
              <w:top w:w="0" w:type="dxa"/>
              <w:left w:w="108" w:type="dxa"/>
              <w:bottom w:w="0" w:type="dxa"/>
              <w:right w:w="108" w:type="dxa"/>
            </w:tcMar>
            <w:vAlign w:val="center"/>
          </w:tcPr>
          <w:p w14:paraId="69EFAC2A" w14:textId="18F149FD" w:rsidR="0013740B" w:rsidRPr="00191E1B" w:rsidRDefault="0013740B" w:rsidP="0013740B">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$2,417,404</w:t>
            </w:r>
          </w:p>
        </w:tc>
        <w:tc>
          <w:tcPr>
            <w:tcW w:w="1134" w:type="dxa"/>
            <w:shd w:val="clear" w:color="auto" w:fill="auto"/>
            <w:tcMar>
              <w:top w:w="0" w:type="dxa"/>
              <w:left w:w="108" w:type="dxa"/>
              <w:bottom w:w="0" w:type="dxa"/>
              <w:right w:w="108" w:type="dxa"/>
            </w:tcMar>
            <w:vAlign w:val="center"/>
          </w:tcPr>
          <w:p w14:paraId="2AACA871" w14:textId="7BB039C3" w:rsidR="0013740B" w:rsidRPr="00191E1B" w:rsidRDefault="0013740B" w:rsidP="0013740B">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$2,424,885</w:t>
            </w:r>
          </w:p>
        </w:tc>
        <w:tc>
          <w:tcPr>
            <w:tcW w:w="1139" w:type="dxa"/>
            <w:shd w:val="clear" w:color="auto" w:fill="auto"/>
            <w:tcMar>
              <w:top w:w="0" w:type="dxa"/>
              <w:left w:w="108" w:type="dxa"/>
              <w:bottom w:w="0" w:type="dxa"/>
              <w:right w:w="108" w:type="dxa"/>
            </w:tcMar>
            <w:vAlign w:val="center"/>
          </w:tcPr>
          <w:p w14:paraId="3CC6CC8B" w14:textId="32A4D94A" w:rsidR="0013740B" w:rsidRPr="00191E1B" w:rsidRDefault="0013740B" w:rsidP="0013740B">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$2,432,388</w:t>
            </w:r>
          </w:p>
        </w:tc>
      </w:tr>
      <w:tr w:rsidR="00301340" w:rsidRPr="006962F3" w14:paraId="5487DECB" w14:textId="77777777">
        <w:tc>
          <w:tcPr>
            <w:tcW w:w="2258" w:type="dxa"/>
            <w:tcMar>
              <w:top w:w="0" w:type="dxa"/>
              <w:left w:w="108" w:type="dxa"/>
              <w:bottom w:w="0" w:type="dxa"/>
              <w:right w:w="108" w:type="dxa"/>
            </w:tcMar>
          </w:tcPr>
          <w:p w14:paraId="1F175F51" w14:textId="77777777" w:rsidR="00301340" w:rsidRPr="00191E1B" w:rsidRDefault="00301340" w:rsidP="00301340">
            <w:pPr>
              <w:spacing w:before="40"/>
              <w:rPr>
                <w:rFonts w:ascii="Arial Narrow" w:hAnsi="Arial Narrow"/>
                <w:i/>
                <w:iCs/>
                <w:color w:val="0070C0"/>
                <w:sz w:val="19"/>
                <w:szCs w:val="19"/>
              </w:rPr>
            </w:pPr>
            <w:r w:rsidRPr="00191E1B">
              <w:rPr>
                <w:rFonts w:ascii="Arial Narrow" w:hAnsi="Arial Narrow"/>
                <w:i/>
                <w:iCs/>
                <w:color w:val="0070C0"/>
                <w:sz w:val="19"/>
                <w:szCs w:val="19"/>
              </w:rPr>
              <w:t>Strategy IV</w:t>
            </w:r>
          </w:p>
        </w:tc>
        <w:tc>
          <w:tcPr>
            <w:tcW w:w="1134" w:type="dxa"/>
            <w:shd w:val="clear" w:color="auto" w:fill="auto"/>
            <w:tcMar>
              <w:top w:w="0" w:type="dxa"/>
              <w:left w:w="108" w:type="dxa"/>
              <w:bottom w:w="0" w:type="dxa"/>
              <w:right w:w="108" w:type="dxa"/>
            </w:tcMar>
            <w:vAlign w:val="center"/>
          </w:tcPr>
          <w:p w14:paraId="5EB0765F" w14:textId="0D3103AD" w:rsidR="00301340" w:rsidRPr="00191E1B" w:rsidRDefault="00301340" w:rsidP="00301340">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$1,715,192</w:t>
            </w:r>
          </w:p>
        </w:tc>
        <w:tc>
          <w:tcPr>
            <w:tcW w:w="1134" w:type="dxa"/>
            <w:shd w:val="clear" w:color="auto" w:fill="auto"/>
            <w:tcMar>
              <w:top w:w="0" w:type="dxa"/>
              <w:left w:w="108" w:type="dxa"/>
              <w:bottom w:w="0" w:type="dxa"/>
              <w:right w:w="108" w:type="dxa"/>
            </w:tcMar>
            <w:vAlign w:val="center"/>
          </w:tcPr>
          <w:p w14:paraId="32BA1372" w14:textId="2C66B0BB" w:rsidR="00301340" w:rsidRPr="00191E1B" w:rsidRDefault="00301340" w:rsidP="00301340">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$1,720,509</w:t>
            </w:r>
          </w:p>
        </w:tc>
        <w:tc>
          <w:tcPr>
            <w:tcW w:w="1134" w:type="dxa"/>
            <w:shd w:val="clear" w:color="auto" w:fill="auto"/>
            <w:tcMar>
              <w:top w:w="0" w:type="dxa"/>
              <w:left w:w="108" w:type="dxa"/>
              <w:bottom w:w="0" w:type="dxa"/>
              <w:right w:w="108" w:type="dxa"/>
            </w:tcMar>
            <w:vAlign w:val="center"/>
          </w:tcPr>
          <w:p w14:paraId="2788DCB3" w14:textId="7A96C834" w:rsidR="00301340" w:rsidRPr="00191E1B" w:rsidRDefault="00301340" w:rsidP="00301340">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$1,725,842</w:t>
            </w:r>
          </w:p>
        </w:tc>
        <w:tc>
          <w:tcPr>
            <w:tcW w:w="1134" w:type="dxa"/>
            <w:shd w:val="clear" w:color="auto" w:fill="auto"/>
            <w:tcMar>
              <w:top w:w="0" w:type="dxa"/>
              <w:left w:w="108" w:type="dxa"/>
              <w:bottom w:w="0" w:type="dxa"/>
              <w:right w:w="108" w:type="dxa"/>
            </w:tcMar>
            <w:vAlign w:val="center"/>
          </w:tcPr>
          <w:p w14:paraId="4887822A" w14:textId="058B5DAB" w:rsidR="00301340" w:rsidRPr="00191E1B" w:rsidRDefault="00301340" w:rsidP="00301340">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$1,731,192</w:t>
            </w:r>
          </w:p>
        </w:tc>
        <w:tc>
          <w:tcPr>
            <w:tcW w:w="1134" w:type="dxa"/>
            <w:shd w:val="clear" w:color="auto" w:fill="auto"/>
            <w:tcMar>
              <w:top w:w="0" w:type="dxa"/>
              <w:left w:w="108" w:type="dxa"/>
              <w:bottom w:w="0" w:type="dxa"/>
              <w:right w:w="108" w:type="dxa"/>
            </w:tcMar>
            <w:vAlign w:val="center"/>
          </w:tcPr>
          <w:p w14:paraId="11995582" w14:textId="4E951674" w:rsidR="00301340" w:rsidRPr="00191E1B" w:rsidRDefault="00301340" w:rsidP="00301340">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$1,736,559</w:t>
            </w:r>
          </w:p>
        </w:tc>
        <w:tc>
          <w:tcPr>
            <w:tcW w:w="1139" w:type="dxa"/>
            <w:shd w:val="clear" w:color="auto" w:fill="auto"/>
            <w:tcMar>
              <w:top w:w="0" w:type="dxa"/>
              <w:left w:w="108" w:type="dxa"/>
              <w:bottom w:w="0" w:type="dxa"/>
              <w:right w:w="108" w:type="dxa"/>
            </w:tcMar>
            <w:vAlign w:val="center"/>
          </w:tcPr>
          <w:p w14:paraId="4272244F" w14:textId="488B35DC" w:rsidR="00301340" w:rsidRPr="00191E1B" w:rsidRDefault="00301340" w:rsidP="00301340">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$1,741,942</w:t>
            </w:r>
          </w:p>
        </w:tc>
      </w:tr>
      <w:tr w:rsidR="00B93002" w:rsidRPr="006962F3" w14:paraId="7DC28EA4" w14:textId="77777777">
        <w:tc>
          <w:tcPr>
            <w:tcW w:w="2258" w:type="dxa"/>
            <w:tcMar>
              <w:top w:w="0" w:type="dxa"/>
              <w:left w:w="108" w:type="dxa"/>
              <w:bottom w:w="0" w:type="dxa"/>
              <w:right w:w="108" w:type="dxa"/>
            </w:tcMar>
          </w:tcPr>
          <w:p w14:paraId="67EA8522" w14:textId="77777777" w:rsidR="00B93002" w:rsidRPr="00191E1B" w:rsidRDefault="00B93002" w:rsidP="00B93002">
            <w:pPr>
              <w:spacing w:before="40"/>
              <w:rPr>
                <w:rFonts w:ascii="Arial Narrow" w:hAnsi="Arial Narrow"/>
                <w:i/>
                <w:iCs/>
                <w:color w:val="0070C0"/>
                <w:sz w:val="19"/>
                <w:szCs w:val="19"/>
              </w:rPr>
            </w:pPr>
            <w:r w:rsidRPr="00191E1B">
              <w:rPr>
                <w:rFonts w:ascii="Arial Narrow" w:hAnsi="Arial Narrow"/>
                <w:i/>
                <w:iCs/>
                <w:color w:val="0070C0"/>
                <w:sz w:val="19"/>
                <w:szCs w:val="19"/>
              </w:rPr>
              <w:t>Strategy IVa</w:t>
            </w:r>
          </w:p>
        </w:tc>
        <w:tc>
          <w:tcPr>
            <w:tcW w:w="1134" w:type="dxa"/>
            <w:shd w:val="clear" w:color="auto" w:fill="auto"/>
            <w:tcMar>
              <w:top w:w="0" w:type="dxa"/>
              <w:left w:w="108" w:type="dxa"/>
              <w:bottom w:w="0" w:type="dxa"/>
              <w:right w:w="108" w:type="dxa"/>
            </w:tcMar>
            <w:vAlign w:val="center"/>
          </w:tcPr>
          <w:p w14:paraId="2B0251E1" w14:textId="7E2B2BA4" w:rsidR="00B93002" w:rsidRPr="00191E1B" w:rsidRDefault="00B93002" w:rsidP="00B93002">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$1,858,973</w:t>
            </w:r>
          </w:p>
        </w:tc>
        <w:tc>
          <w:tcPr>
            <w:tcW w:w="1134" w:type="dxa"/>
            <w:shd w:val="clear" w:color="auto" w:fill="auto"/>
            <w:tcMar>
              <w:top w:w="0" w:type="dxa"/>
              <w:left w:w="108" w:type="dxa"/>
              <w:bottom w:w="0" w:type="dxa"/>
              <w:right w:w="108" w:type="dxa"/>
            </w:tcMar>
            <w:vAlign w:val="center"/>
          </w:tcPr>
          <w:p w14:paraId="130BE721" w14:textId="593626CA" w:rsidR="00B93002" w:rsidRPr="00191E1B" w:rsidRDefault="00B93002" w:rsidP="00B93002">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$1,864,723</w:t>
            </w:r>
          </w:p>
        </w:tc>
        <w:tc>
          <w:tcPr>
            <w:tcW w:w="1134" w:type="dxa"/>
            <w:shd w:val="clear" w:color="auto" w:fill="auto"/>
            <w:tcMar>
              <w:top w:w="0" w:type="dxa"/>
              <w:left w:w="108" w:type="dxa"/>
              <w:bottom w:w="0" w:type="dxa"/>
              <w:right w:w="108" w:type="dxa"/>
            </w:tcMar>
            <w:vAlign w:val="center"/>
          </w:tcPr>
          <w:p w14:paraId="4AAE8DEB" w14:textId="0D7B0919" w:rsidR="00B93002" w:rsidRPr="00191E1B" w:rsidRDefault="00B93002" w:rsidP="00B93002">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$1,870,490</w:t>
            </w:r>
          </w:p>
        </w:tc>
        <w:tc>
          <w:tcPr>
            <w:tcW w:w="1134" w:type="dxa"/>
            <w:shd w:val="clear" w:color="auto" w:fill="auto"/>
            <w:tcMar>
              <w:top w:w="0" w:type="dxa"/>
              <w:left w:w="108" w:type="dxa"/>
              <w:bottom w:w="0" w:type="dxa"/>
              <w:right w:w="108" w:type="dxa"/>
            </w:tcMar>
            <w:vAlign w:val="center"/>
          </w:tcPr>
          <w:p w14:paraId="25873B4D" w14:textId="4418C545" w:rsidR="00B93002" w:rsidRPr="00191E1B" w:rsidRDefault="00B93002" w:rsidP="00B93002">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$1,876,275</w:t>
            </w:r>
          </w:p>
        </w:tc>
        <w:tc>
          <w:tcPr>
            <w:tcW w:w="1134" w:type="dxa"/>
            <w:shd w:val="clear" w:color="auto" w:fill="auto"/>
            <w:tcMar>
              <w:top w:w="0" w:type="dxa"/>
              <w:left w:w="108" w:type="dxa"/>
              <w:bottom w:w="0" w:type="dxa"/>
              <w:right w:w="108" w:type="dxa"/>
            </w:tcMar>
            <w:vAlign w:val="center"/>
          </w:tcPr>
          <w:p w14:paraId="4FFAC506" w14:textId="0554C2F5" w:rsidR="00B93002" w:rsidRPr="00191E1B" w:rsidRDefault="00B93002" w:rsidP="00B93002">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$1,882,077</w:t>
            </w:r>
          </w:p>
        </w:tc>
        <w:tc>
          <w:tcPr>
            <w:tcW w:w="1139" w:type="dxa"/>
            <w:shd w:val="clear" w:color="auto" w:fill="auto"/>
            <w:tcMar>
              <w:top w:w="0" w:type="dxa"/>
              <w:left w:w="108" w:type="dxa"/>
              <w:bottom w:w="0" w:type="dxa"/>
              <w:right w:w="108" w:type="dxa"/>
            </w:tcMar>
            <w:vAlign w:val="center"/>
          </w:tcPr>
          <w:p w14:paraId="62655F07" w14:textId="1FC7F125" w:rsidR="00B93002" w:rsidRPr="00191E1B" w:rsidRDefault="00B93002" w:rsidP="00B93002">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$1,887,898</w:t>
            </w:r>
          </w:p>
        </w:tc>
      </w:tr>
      <w:tr w:rsidR="00B93002" w:rsidRPr="006962F3" w14:paraId="379D7BED" w14:textId="77777777">
        <w:tc>
          <w:tcPr>
            <w:tcW w:w="2258" w:type="dxa"/>
            <w:tcMar>
              <w:top w:w="0" w:type="dxa"/>
              <w:left w:w="108" w:type="dxa"/>
              <w:bottom w:w="0" w:type="dxa"/>
              <w:right w:w="108" w:type="dxa"/>
            </w:tcMar>
          </w:tcPr>
          <w:p w14:paraId="7D5C345A" w14:textId="77777777" w:rsidR="00B93002" w:rsidRPr="00191E1B" w:rsidRDefault="00B93002" w:rsidP="00B93002">
            <w:pPr>
              <w:spacing w:before="40"/>
              <w:rPr>
                <w:rFonts w:ascii="Arial Narrow" w:hAnsi="Arial Narrow"/>
                <w:i/>
                <w:iCs/>
                <w:color w:val="0070C0"/>
                <w:sz w:val="19"/>
                <w:szCs w:val="19"/>
              </w:rPr>
            </w:pPr>
            <w:r w:rsidRPr="00191E1B">
              <w:rPr>
                <w:rFonts w:ascii="Arial Narrow" w:hAnsi="Arial Narrow"/>
                <w:i/>
                <w:iCs/>
                <w:color w:val="0070C0"/>
                <w:sz w:val="19"/>
                <w:szCs w:val="19"/>
              </w:rPr>
              <w:t>Strategy IVb</w:t>
            </w:r>
          </w:p>
        </w:tc>
        <w:tc>
          <w:tcPr>
            <w:tcW w:w="1134" w:type="dxa"/>
            <w:shd w:val="clear" w:color="auto" w:fill="auto"/>
            <w:tcMar>
              <w:top w:w="0" w:type="dxa"/>
              <w:left w:w="108" w:type="dxa"/>
              <w:bottom w:w="0" w:type="dxa"/>
              <w:right w:w="108" w:type="dxa"/>
            </w:tcMar>
            <w:vAlign w:val="center"/>
          </w:tcPr>
          <w:p w14:paraId="55514E9D" w14:textId="547ADE80" w:rsidR="00B93002" w:rsidRPr="00191E1B" w:rsidRDefault="00B93002" w:rsidP="00B93002">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$1,709,373</w:t>
            </w:r>
          </w:p>
        </w:tc>
        <w:tc>
          <w:tcPr>
            <w:tcW w:w="1134" w:type="dxa"/>
            <w:shd w:val="clear" w:color="auto" w:fill="auto"/>
            <w:tcMar>
              <w:top w:w="0" w:type="dxa"/>
              <w:left w:w="108" w:type="dxa"/>
              <w:bottom w:w="0" w:type="dxa"/>
              <w:right w:w="108" w:type="dxa"/>
            </w:tcMar>
            <w:vAlign w:val="center"/>
          </w:tcPr>
          <w:p w14:paraId="2B41C8DC" w14:textId="08B6A7F9" w:rsidR="00B93002" w:rsidRPr="00191E1B" w:rsidRDefault="00B93002" w:rsidP="00B93002">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$1,714,659</w:t>
            </w:r>
          </w:p>
        </w:tc>
        <w:tc>
          <w:tcPr>
            <w:tcW w:w="1134" w:type="dxa"/>
            <w:shd w:val="clear" w:color="auto" w:fill="auto"/>
            <w:tcMar>
              <w:top w:w="0" w:type="dxa"/>
              <w:left w:w="108" w:type="dxa"/>
              <w:bottom w:w="0" w:type="dxa"/>
              <w:right w:w="108" w:type="dxa"/>
            </w:tcMar>
            <w:vAlign w:val="center"/>
          </w:tcPr>
          <w:p w14:paraId="15C36203" w14:textId="6256BC45" w:rsidR="00B93002" w:rsidRPr="00191E1B" w:rsidRDefault="00B93002" w:rsidP="00B93002">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$1,719,961</w:t>
            </w:r>
          </w:p>
        </w:tc>
        <w:tc>
          <w:tcPr>
            <w:tcW w:w="1134" w:type="dxa"/>
            <w:shd w:val="clear" w:color="auto" w:fill="auto"/>
            <w:tcMar>
              <w:top w:w="0" w:type="dxa"/>
              <w:left w:w="108" w:type="dxa"/>
              <w:bottom w:w="0" w:type="dxa"/>
              <w:right w:w="108" w:type="dxa"/>
            </w:tcMar>
            <w:vAlign w:val="center"/>
          </w:tcPr>
          <w:p w14:paraId="0393C883" w14:textId="3481817A" w:rsidR="00B93002" w:rsidRPr="00191E1B" w:rsidRDefault="00B93002" w:rsidP="00B93002">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$1,725,279</w:t>
            </w:r>
          </w:p>
        </w:tc>
        <w:tc>
          <w:tcPr>
            <w:tcW w:w="1134" w:type="dxa"/>
            <w:shd w:val="clear" w:color="auto" w:fill="auto"/>
            <w:tcMar>
              <w:top w:w="0" w:type="dxa"/>
              <w:left w:w="108" w:type="dxa"/>
              <w:bottom w:w="0" w:type="dxa"/>
              <w:right w:w="108" w:type="dxa"/>
            </w:tcMar>
            <w:vAlign w:val="center"/>
          </w:tcPr>
          <w:p w14:paraId="577FFEA3" w14:textId="6750FA10" w:rsidR="00B93002" w:rsidRPr="00191E1B" w:rsidRDefault="00B93002" w:rsidP="00B93002">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$1,730,614</w:t>
            </w:r>
          </w:p>
        </w:tc>
        <w:tc>
          <w:tcPr>
            <w:tcW w:w="1139" w:type="dxa"/>
            <w:shd w:val="clear" w:color="auto" w:fill="auto"/>
            <w:tcMar>
              <w:top w:w="0" w:type="dxa"/>
              <w:left w:w="108" w:type="dxa"/>
              <w:bottom w:w="0" w:type="dxa"/>
              <w:right w:w="108" w:type="dxa"/>
            </w:tcMar>
            <w:vAlign w:val="center"/>
          </w:tcPr>
          <w:p w14:paraId="6458A421" w14:textId="2896225D" w:rsidR="00B93002" w:rsidRPr="00191E1B" w:rsidRDefault="00B93002" w:rsidP="00B93002">
            <w:pPr>
              <w:spacing w:before="40"/>
              <w:jc w:val="right"/>
              <w:rPr>
                <w:rFonts w:ascii="Arial Narrow" w:hAnsi="Arial Narrow" w:cs="Calibri"/>
                <w:i/>
                <w:iCs/>
                <w:color w:val="0070C0"/>
                <w:sz w:val="19"/>
                <w:szCs w:val="19"/>
              </w:rPr>
            </w:pPr>
            <w:r w:rsidRPr="00191E1B">
              <w:rPr>
                <w:rFonts w:ascii="Arial Narrow" w:hAnsi="Arial Narrow" w:cs="Calibri"/>
                <w:i/>
                <w:iCs/>
                <w:color w:val="0070C0"/>
                <w:sz w:val="19"/>
                <w:szCs w:val="19"/>
              </w:rPr>
              <w:t>$1,735,965</w:t>
            </w:r>
          </w:p>
        </w:tc>
      </w:tr>
      <w:tr w:rsidR="0051088C" w:rsidRPr="006253B6" w14:paraId="3433B9C3" w14:textId="77777777" w:rsidTr="00842945">
        <w:trPr>
          <w:trHeight w:val="229"/>
        </w:trPr>
        <w:tc>
          <w:tcPr>
            <w:tcW w:w="9067" w:type="dxa"/>
            <w:gridSpan w:val="7"/>
            <w:tcMar>
              <w:top w:w="0" w:type="dxa"/>
              <w:left w:w="108" w:type="dxa"/>
              <w:bottom w:w="0" w:type="dxa"/>
              <w:right w:w="108" w:type="dxa"/>
            </w:tcMar>
          </w:tcPr>
          <w:p w14:paraId="251BBD23" w14:textId="77777777" w:rsidR="0051088C" w:rsidRPr="006253B6" w:rsidRDefault="0051088C" w:rsidP="000B7226">
            <w:pPr>
              <w:spacing w:before="0"/>
              <w:rPr>
                <w:rFonts w:ascii="Arial Narrow" w:hAnsi="Arial Narrow" w:cs="Calibri"/>
                <w:b/>
                <w:bCs/>
                <w:color w:val="000000"/>
                <w:sz w:val="19"/>
                <w:szCs w:val="19"/>
              </w:rPr>
            </w:pPr>
            <w:r w:rsidRPr="006253B6">
              <w:rPr>
                <w:rFonts w:ascii="Arial Narrow" w:hAnsi="Arial Narrow" w:cs="Calibri"/>
                <w:b/>
                <w:bCs/>
                <w:color w:val="000000"/>
                <w:sz w:val="19"/>
                <w:szCs w:val="19"/>
              </w:rPr>
              <w:t xml:space="preserve">Change in use and cost of other health technologies </w:t>
            </w:r>
            <w:r>
              <w:rPr>
                <w:rFonts w:ascii="Arial Narrow" w:hAnsi="Arial Narrow" w:cs="Calibri"/>
                <w:b/>
                <w:bCs/>
                <w:color w:val="000000"/>
                <w:sz w:val="19"/>
                <w:szCs w:val="19"/>
              </w:rPr>
              <w:t>(PICO set 1)</w:t>
            </w:r>
          </w:p>
        </w:tc>
      </w:tr>
      <w:tr w:rsidR="0051088C" w:rsidRPr="006253B6" w14:paraId="1BC570AA" w14:textId="77777777" w:rsidTr="00842945">
        <w:tc>
          <w:tcPr>
            <w:tcW w:w="2258" w:type="dxa"/>
            <w:shd w:val="clear" w:color="auto" w:fill="auto"/>
            <w:tcMar>
              <w:top w:w="0" w:type="dxa"/>
              <w:left w:w="108" w:type="dxa"/>
              <w:bottom w:w="0" w:type="dxa"/>
              <w:right w:w="108" w:type="dxa"/>
            </w:tcMar>
            <w:vAlign w:val="center"/>
          </w:tcPr>
          <w:p w14:paraId="290E6ED8" w14:textId="77777777" w:rsidR="0051088C" w:rsidRPr="0080195E" w:rsidRDefault="0051088C" w:rsidP="00C25359">
            <w:pPr>
              <w:spacing w:before="40"/>
              <w:rPr>
                <w:rFonts w:ascii="Arial Narrow" w:hAnsi="Arial Narrow" w:cs="Calibri"/>
                <w:color w:val="000000"/>
                <w:sz w:val="19"/>
                <w:szCs w:val="19"/>
              </w:rPr>
            </w:pPr>
            <w:r w:rsidRPr="0080195E">
              <w:rPr>
                <w:rFonts w:ascii="Arial Narrow" w:hAnsi="Arial Narrow" w:cs="Calibri"/>
                <w:color w:val="000000"/>
                <w:sz w:val="19"/>
                <w:szCs w:val="19"/>
              </w:rPr>
              <w:t>Total cost implications to the MBS</w:t>
            </w:r>
          </w:p>
        </w:tc>
        <w:tc>
          <w:tcPr>
            <w:tcW w:w="1134" w:type="dxa"/>
            <w:shd w:val="clear" w:color="auto" w:fill="auto"/>
            <w:tcMar>
              <w:top w:w="0" w:type="dxa"/>
              <w:left w:w="108" w:type="dxa"/>
              <w:bottom w:w="0" w:type="dxa"/>
              <w:right w:w="108" w:type="dxa"/>
            </w:tcMar>
          </w:tcPr>
          <w:p w14:paraId="29BF29AB" w14:textId="77777777" w:rsidR="0051088C" w:rsidRPr="0080195E" w:rsidRDefault="0051088C" w:rsidP="00C95193">
            <w:pPr>
              <w:spacing w:before="40"/>
              <w:jc w:val="right"/>
              <w:rPr>
                <w:rFonts w:ascii="Arial Narrow" w:hAnsi="Arial Narrow" w:cs="Calibri"/>
                <w:color w:val="000000"/>
                <w:sz w:val="19"/>
                <w:szCs w:val="19"/>
              </w:rPr>
            </w:pPr>
            <w:r w:rsidRPr="0080195E">
              <w:rPr>
                <w:rFonts w:ascii="Arial Narrow" w:hAnsi="Arial Narrow" w:cs="Calibri"/>
                <w:color w:val="000000"/>
                <w:sz w:val="19"/>
                <w:szCs w:val="19"/>
              </w:rPr>
              <w:t>$3,977</w:t>
            </w:r>
          </w:p>
        </w:tc>
        <w:tc>
          <w:tcPr>
            <w:tcW w:w="1134" w:type="dxa"/>
            <w:shd w:val="clear" w:color="auto" w:fill="auto"/>
            <w:tcMar>
              <w:top w:w="0" w:type="dxa"/>
              <w:left w:w="108" w:type="dxa"/>
              <w:bottom w:w="0" w:type="dxa"/>
              <w:right w:w="108" w:type="dxa"/>
            </w:tcMar>
          </w:tcPr>
          <w:p w14:paraId="25AE3D65" w14:textId="77777777" w:rsidR="0051088C" w:rsidRPr="0080195E" w:rsidRDefault="0051088C" w:rsidP="00C95193">
            <w:pPr>
              <w:spacing w:before="40"/>
              <w:jc w:val="right"/>
              <w:rPr>
                <w:rFonts w:ascii="Arial Narrow" w:hAnsi="Arial Narrow" w:cs="Calibri"/>
                <w:color w:val="000000"/>
                <w:sz w:val="19"/>
                <w:szCs w:val="19"/>
              </w:rPr>
            </w:pPr>
            <w:r w:rsidRPr="0080195E">
              <w:rPr>
                <w:rFonts w:ascii="Arial Narrow" w:hAnsi="Arial Narrow" w:cs="Calibri"/>
                <w:color w:val="000000"/>
                <w:sz w:val="19"/>
                <w:szCs w:val="19"/>
              </w:rPr>
              <w:t>$25,930</w:t>
            </w:r>
          </w:p>
        </w:tc>
        <w:tc>
          <w:tcPr>
            <w:tcW w:w="1134" w:type="dxa"/>
            <w:shd w:val="clear" w:color="auto" w:fill="auto"/>
            <w:tcMar>
              <w:top w:w="0" w:type="dxa"/>
              <w:left w:w="108" w:type="dxa"/>
              <w:bottom w:w="0" w:type="dxa"/>
              <w:right w:w="108" w:type="dxa"/>
            </w:tcMar>
          </w:tcPr>
          <w:p w14:paraId="28760EFB" w14:textId="77777777" w:rsidR="0051088C" w:rsidRPr="0080195E" w:rsidRDefault="0051088C" w:rsidP="00C95193">
            <w:pPr>
              <w:spacing w:before="40"/>
              <w:jc w:val="right"/>
              <w:rPr>
                <w:rFonts w:ascii="Arial Narrow" w:hAnsi="Arial Narrow" w:cs="Calibri"/>
                <w:color w:val="000000"/>
                <w:sz w:val="19"/>
                <w:szCs w:val="19"/>
              </w:rPr>
            </w:pPr>
            <w:r w:rsidRPr="0080195E">
              <w:rPr>
                <w:rFonts w:ascii="Arial Narrow" w:hAnsi="Arial Narrow" w:cs="Calibri"/>
                <w:color w:val="000000"/>
                <w:sz w:val="19"/>
                <w:szCs w:val="19"/>
              </w:rPr>
              <w:t>$47,951</w:t>
            </w:r>
          </w:p>
        </w:tc>
        <w:tc>
          <w:tcPr>
            <w:tcW w:w="1134" w:type="dxa"/>
            <w:shd w:val="clear" w:color="auto" w:fill="auto"/>
            <w:tcMar>
              <w:top w:w="0" w:type="dxa"/>
              <w:left w:w="108" w:type="dxa"/>
              <w:bottom w:w="0" w:type="dxa"/>
              <w:right w:w="108" w:type="dxa"/>
            </w:tcMar>
          </w:tcPr>
          <w:p w14:paraId="54296B01" w14:textId="77777777" w:rsidR="0051088C" w:rsidRPr="0080195E" w:rsidRDefault="0051088C" w:rsidP="00C95193">
            <w:pPr>
              <w:spacing w:before="40"/>
              <w:jc w:val="right"/>
              <w:rPr>
                <w:rFonts w:ascii="Arial Narrow" w:hAnsi="Arial Narrow" w:cs="Calibri"/>
                <w:color w:val="000000"/>
                <w:sz w:val="19"/>
                <w:szCs w:val="19"/>
              </w:rPr>
            </w:pPr>
            <w:r w:rsidRPr="0080195E">
              <w:rPr>
                <w:rFonts w:ascii="Arial Narrow" w:hAnsi="Arial Narrow" w:cs="Calibri"/>
                <w:color w:val="000000"/>
                <w:sz w:val="19"/>
                <w:szCs w:val="19"/>
              </w:rPr>
              <w:t>$70,040</w:t>
            </w:r>
          </w:p>
        </w:tc>
        <w:tc>
          <w:tcPr>
            <w:tcW w:w="1134" w:type="dxa"/>
            <w:shd w:val="clear" w:color="auto" w:fill="auto"/>
            <w:tcMar>
              <w:top w:w="0" w:type="dxa"/>
              <w:left w:w="108" w:type="dxa"/>
              <w:bottom w:w="0" w:type="dxa"/>
              <w:right w:w="108" w:type="dxa"/>
            </w:tcMar>
          </w:tcPr>
          <w:p w14:paraId="53FAEB91" w14:textId="77777777" w:rsidR="0051088C" w:rsidRPr="0080195E" w:rsidRDefault="0051088C" w:rsidP="00C95193">
            <w:pPr>
              <w:spacing w:before="40"/>
              <w:jc w:val="right"/>
              <w:rPr>
                <w:rFonts w:ascii="Arial Narrow" w:hAnsi="Arial Narrow" w:cs="Calibri"/>
                <w:color w:val="000000"/>
                <w:sz w:val="19"/>
                <w:szCs w:val="19"/>
              </w:rPr>
            </w:pPr>
            <w:r w:rsidRPr="0080195E">
              <w:rPr>
                <w:rFonts w:ascii="Arial Narrow" w:hAnsi="Arial Narrow" w:cs="Calibri"/>
                <w:color w:val="000000"/>
                <w:sz w:val="19"/>
                <w:szCs w:val="19"/>
              </w:rPr>
              <w:t>$92,197</w:t>
            </w:r>
          </w:p>
        </w:tc>
        <w:tc>
          <w:tcPr>
            <w:tcW w:w="1139" w:type="dxa"/>
            <w:shd w:val="clear" w:color="auto" w:fill="auto"/>
            <w:tcMar>
              <w:top w:w="0" w:type="dxa"/>
              <w:left w:w="108" w:type="dxa"/>
              <w:bottom w:w="0" w:type="dxa"/>
              <w:right w:w="108" w:type="dxa"/>
            </w:tcMar>
          </w:tcPr>
          <w:p w14:paraId="5C2BEA39" w14:textId="77777777" w:rsidR="0051088C" w:rsidRPr="0080195E" w:rsidRDefault="0051088C" w:rsidP="00C95193">
            <w:pPr>
              <w:spacing w:before="40"/>
              <w:jc w:val="right"/>
              <w:rPr>
                <w:rFonts w:ascii="Arial Narrow" w:hAnsi="Arial Narrow" w:cs="Calibri"/>
                <w:color w:val="000000"/>
                <w:sz w:val="19"/>
                <w:szCs w:val="19"/>
              </w:rPr>
            </w:pPr>
            <w:r w:rsidRPr="0080195E">
              <w:rPr>
                <w:rFonts w:ascii="Arial Narrow" w:hAnsi="Arial Narrow" w:cs="Calibri"/>
                <w:color w:val="000000"/>
                <w:sz w:val="19"/>
                <w:szCs w:val="19"/>
              </w:rPr>
              <w:t>$114,423</w:t>
            </w:r>
          </w:p>
        </w:tc>
      </w:tr>
      <w:tr w:rsidR="0051088C" w:rsidRPr="006253B6" w14:paraId="4F15E2AC" w14:textId="77777777" w:rsidTr="00842945">
        <w:tc>
          <w:tcPr>
            <w:tcW w:w="2258" w:type="dxa"/>
            <w:shd w:val="clear" w:color="auto" w:fill="auto"/>
            <w:tcMar>
              <w:top w:w="0" w:type="dxa"/>
              <w:left w:w="108" w:type="dxa"/>
              <w:bottom w:w="0" w:type="dxa"/>
              <w:right w:w="108" w:type="dxa"/>
            </w:tcMar>
            <w:vAlign w:val="bottom"/>
          </w:tcPr>
          <w:p w14:paraId="007FE914" w14:textId="77777777" w:rsidR="0051088C" w:rsidRPr="0080195E" w:rsidRDefault="0051088C" w:rsidP="00C25359">
            <w:pPr>
              <w:spacing w:before="40"/>
              <w:rPr>
                <w:rFonts w:ascii="Arial Narrow" w:hAnsi="Arial Narrow" w:cs="Calibri"/>
                <w:color w:val="000000"/>
                <w:sz w:val="19"/>
                <w:szCs w:val="19"/>
              </w:rPr>
            </w:pPr>
            <w:r w:rsidRPr="0080195E">
              <w:rPr>
                <w:rFonts w:ascii="Arial Narrow" w:hAnsi="Arial Narrow" w:cs="Calibri"/>
                <w:color w:val="000000"/>
                <w:sz w:val="19"/>
                <w:szCs w:val="19"/>
              </w:rPr>
              <w:t>Total cost implications to the PBS</w:t>
            </w:r>
          </w:p>
        </w:tc>
        <w:tc>
          <w:tcPr>
            <w:tcW w:w="1134" w:type="dxa"/>
            <w:shd w:val="clear" w:color="auto" w:fill="auto"/>
            <w:tcMar>
              <w:top w:w="0" w:type="dxa"/>
              <w:left w:w="108" w:type="dxa"/>
              <w:bottom w:w="0" w:type="dxa"/>
              <w:right w:w="108" w:type="dxa"/>
            </w:tcMar>
          </w:tcPr>
          <w:p w14:paraId="461D4409" w14:textId="77777777" w:rsidR="0051088C" w:rsidRPr="0080195E" w:rsidRDefault="0051088C" w:rsidP="00C95193">
            <w:pPr>
              <w:spacing w:before="40"/>
              <w:jc w:val="right"/>
              <w:rPr>
                <w:rFonts w:ascii="Arial Narrow" w:hAnsi="Arial Narrow" w:cs="Calibri"/>
                <w:color w:val="000000"/>
                <w:sz w:val="19"/>
                <w:szCs w:val="19"/>
              </w:rPr>
            </w:pPr>
            <w:r w:rsidRPr="0080195E">
              <w:rPr>
                <w:rFonts w:ascii="Arial Narrow" w:hAnsi="Arial Narrow" w:cs="Calibri"/>
                <w:color w:val="000000"/>
                <w:sz w:val="19"/>
                <w:szCs w:val="19"/>
              </w:rPr>
              <w:t>$2,733</w:t>
            </w:r>
          </w:p>
        </w:tc>
        <w:tc>
          <w:tcPr>
            <w:tcW w:w="1134" w:type="dxa"/>
            <w:shd w:val="clear" w:color="auto" w:fill="auto"/>
            <w:tcMar>
              <w:top w:w="0" w:type="dxa"/>
              <w:left w:w="108" w:type="dxa"/>
              <w:bottom w:w="0" w:type="dxa"/>
              <w:right w:w="108" w:type="dxa"/>
            </w:tcMar>
          </w:tcPr>
          <w:p w14:paraId="6BC7E7B5" w14:textId="77777777" w:rsidR="0051088C" w:rsidRPr="0080195E" w:rsidRDefault="0051088C" w:rsidP="00C95193">
            <w:pPr>
              <w:spacing w:before="40"/>
              <w:jc w:val="right"/>
              <w:rPr>
                <w:rFonts w:ascii="Arial Narrow" w:hAnsi="Arial Narrow" w:cs="Calibri"/>
                <w:color w:val="000000"/>
                <w:sz w:val="19"/>
                <w:szCs w:val="19"/>
              </w:rPr>
            </w:pPr>
            <w:r w:rsidRPr="0080195E">
              <w:rPr>
                <w:rFonts w:ascii="Arial Narrow" w:hAnsi="Arial Narrow" w:cs="Calibri"/>
                <w:color w:val="000000"/>
                <w:sz w:val="19"/>
                <w:szCs w:val="19"/>
              </w:rPr>
              <w:t>$3,155</w:t>
            </w:r>
          </w:p>
        </w:tc>
        <w:tc>
          <w:tcPr>
            <w:tcW w:w="1134" w:type="dxa"/>
            <w:shd w:val="clear" w:color="auto" w:fill="auto"/>
            <w:tcMar>
              <w:top w:w="0" w:type="dxa"/>
              <w:left w:w="108" w:type="dxa"/>
              <w:bottom w:w="0" w:type="dxa"/>
              <w:right w:w="108" w:type="dxa"/>
            </w:tcMar>
          </w:tcPr>
          <w:p w14:paraId="6F10F945" w14:textId="77777777" w:rsidR="0051088C" w:rsidRPr="0080195E" w:rsidRDefault="0051088C" w:rsidP="00C95193">
            <w:pPr>
              <w:spacing w:before="40"/>
              <w:jc w:val="right"/>
              <w:rPr>
                <w:rFonts w:ascii="Arial Narrow" w:hAnsi="Arial Narrow" w:cs="Calibri"/>
                <w:color w:val="000000"/>
                <w:sz w:val="19"/>
                <w:szCs w:val="19"/>
              </w:rPr>
            </w:pPr>
            <w:r w:rsidRPr="0080195E">
              <w:rPr>
                <w:rFonts w:ascii="Arial Narrow" w:hAnsi="Arial Narrow" w:cs="Calibri"/>
                <w:color w:val="000000"/>
                <w:sz w:val="19"/>
                <w:szCs w:val="19"/>
              </w:rPr>
              <w:t>$3,165</w:t>
            </w:r>
          </w:p>
        </w:tc>
        <w:tc>
          <w:tcPr>
            <w:tcW w:w="1134" w:type="dxa"/>
            <w:shd w:val="clear" w:color="auto" w:fill="auto"/>
            <w:tcMar>
              <w:top w:w="0" w:type="dxa"/>
              <w:left w:w="108" w:type="dxa"/>
              <w:bottom w:w="0" w:type="dxa"/>
              <w:right w:w="108" w:type="dxa"/>
            </w:tcMar>
          </w:tcPr>
          <w:p w14:paraId="7937C945" w14:textId="77777777" w:rsidR="0051088C" w:rsidRPr="0080195E" w:rsidRDefault="0051088C" w:rsidP="00C95193">
            <w:pPr>
              <w:spacing w:before="40"/>
              <w:jc w:val="right"/>
              <w:rPr>
                <w:rFonts w:ascii="Arial Narrow" w:hAnsi="Arial Narrow" w:cs="Calibri"/>
                <w:color w:val="000000"/>
                <w:sz w:val="19"/>
                <w:szCs w:val="19"/>
              </w:rPr>
            </w:pPr>
            <w:r w:rsidRPr="0080195E">
              <w:rPr>
                <w:rFonts w:ascii="Arial Narrow" w:hAnsi="Arial Narrow" w:cs="Calibri"/>
                <w:color w:val="000000"/>
                <w:sz w:val="19"/>
                <w:szCs w:val="19"/>
              </w:rPr>
              <w:t>$3,174</w:t>
            </w:r>
          </w:p>
        </w:tc>
        <w:tc>
          <w:tcPr>
            <w:tcW w:w="1134" w:type="dxa"/>
            <w:shd w:val="clear" w:color="auto" w:fill="auto"/>
            <w:tcMar>
              <w:top w:w="0" w:type="dxa"/>
              <w:left w:w="108" w:type="dxa"/>
              <w:bottom w:w="0" w:type="dxa"/>
              <w:right w:w="108" w:type="dxa"/>
            </w:tcMar>
          </w:tcPr>
          <w:p w14:paraId="6C3149FC" w14:textId="77777777" w:rsidR="0051088C" w:rsidRPr="0080195E" w:rsidRDefault="0051088C" w:rsidP="00C95193">
            <w:pPr>
              <w:spacing w:before="40"/>
              <w:jc w:val="right"/>
              <w:rPr>
                <w:rFonts w:ascii="Arial Narrow" w:hAnsi="Arial Narrow" w:cs="Calibri"/>
                <w:color w:val="000000"/>
                <w:sz w:val="19"/>
                <w:szCs w:val="19"/>
              </w:rPr>
            </w:pPr>
            <w:r w:rsidRPr="0080195E">
              <w:rPr>
                <w:rFonts w:ascii="Arial Narrow" w:hAnsi="Arial Narrow" w:cs="Calibri"/>
                <w:color w:val="000000"/>
                <w:sz w:val="19"/>
                <w:szCs w:val="19"/>
              </w:rPr>
              <w:t>$3,184</w:t>
            </w:r>
          </w:p>
        </w:tc>
        <w:tc>
          <w:tcPr>
            <w:tcW w:w="1139" w:type="dxa"/>
            <w:shd w:val="clear" w:color="auto" w:fill="auto"/>
            <w:tcMar>
              <w:top w:w="0" w:type="dxa"/>
              <w:left w:w="108" w:type="dxa"/>
              <w:bottom w:w="0" w:type="dxa"/>
              <w:right w:w="108" w:type="dxa"/>
            </w:tcMar>
          </w:tcPr>
          <w:p w14:paraId="39F0345F" w14:textId="77777777" w:rsidR="0051088C" w:rsidRPr="0080195E" w:rsidRDefault="0051088C" w:rsidP="00C95193">
            <w:pPr>
              <w:spacing w:before="40"/>
              <w:jc w:val="right"/>
              <w:rPr>
                <w:rFonts w:ascii="Arial Narrow" w:hAnsi="Arial Narrow" w:cs="Calibri"/>
                <w:color w:val="000000"/>
                <w:sz w:val="19"/>
                <w:szCs w:val="19"/>
              </w:rPr>
            </w:pPr>
            <w:r w:rsidRPr="0080195E">
              <w:rPr>
                <w:rFonts w:ascii="Arial Narrow" w:hAnsi="Arial Narrow" w:cs="Calibri"/>
                <w:color w:val="000000"/>
                <w:sz w:val="19"/>
                <w:szCs w:val="19"/>
              </w:rPr>
              <w:t>$3,194</w:t>
            </w:r>
          </w:p>
        </w:tc>
      </w:tr>
      <w:tr w:rsidR="0051088C" w:rsidRPr="006253B6" w14:paraId="12B77EEA" w14:textId="77777777" w:rsidTr="00842945">
        <w:tc>
          <w:tcPr>
            <w:tcW w:w="2258" w:type="dxa"/>
            <w:shd w:val="clear" w:color="auto" w:fill="auto"/>
            <w:tcMar>
              <w:top w:w="0" w:type="dxa"/>
              <w:left w:w="108" w:type="dxa"/>
              <w:bottom w:w="0" w:type="dxa"/>
              <w:right w:w="108" w:type="dxa"/>
            </w:tcMar>
            <w:vAlign w:val="center"/>
          </w:tcPr>
          <w:p w14:paraId="15A5C93D" w14:textId="47D4C942" w:rsidR="0051088C" w:rsidRPr="002C3142" w:rsidRDefault="0051088C" w:rsidP="00C25359">
            <w:pPr>
              <w:spacing w:before="40"/>
              <w:rPr>
                <w:rFonts w:ascii="Arial Narrow" w:hAnsi="Arial Narrow" w:cs="Calibri"/>
                <w:color w:val="000000"/>
                <w:sz w:val="19"/>
                <w:szCs w:val="19"/>
              </w:rPr>
            </w:pPr>
            <w:r w:rsidRPr="002C3142">
              <w:rPr>
                <w:rFonts w:ascii="Arial Narrow" w:hAnsi="Arial Narrow" w:cs="Calibri"/>
                <w:color w:val="000000"/>
                <w:sz w:val="19"/>
                <w:szCs w:val="19"/>
              </w:rPr>
              <w:t xml:space="preserve">Cost to </w:t>
            </w:r>
            <w:r w:rsidR="00D36449">
              <w:rPr>
                <w:rFonts w:ascii="Arial Narrow" w:hAnsi="Arial Narrow" w:cs="Calibri"/>
                <w:color w:val="000000"/>
                <w:sz w:val="19"/>
                <w:szCs w:val="19"/>
              </w:rPr>
              <w:t>s</w:t>
            </w:r>
            <w:r w:rsidRPr="002C3142">
              <w:rPr>
                <w:rFonts w:ascii="Arial Narrow" w:hAnsi="Arial Narrow" w:cs="Calibri"/>
                <w:color w:val="000000"/>
                <w:sz w:val="19"/>
                <w:szCs w:val="19"/>
              </w:rPr>
              <w:t xml:space="preserve">tate and </w:t>
            </w:r>
            <w:r w:rsidR="00D36449">
              <w:rPr>
                <w:rFonts w:ascii="Arial Narrow" w:hAnsi="Arial Narrow" w:cs="Calibri"/>
                <w:color w:val="000000"/>
                <w:sz w:val="19"/>
                <w:szCs w:val="19"/>
              </w:rPr>
              <w:t>t</w:t>
            </w:r>
            <w:r w:rsidRPr="002C3142">
              <w:rPr>
                <w:rFonts w:ascii="Arial Narrow" w:hAnsi="Arial Narrow" w:cs="Calibri"/>
                <w:color w:val="000000"/>
                <w:sz w:val="19"/>
                <w:szCs w:val="19"/>
              </w:rPr>
              <w:t>erritor</w:t>
            </w:r>
            <w:r w:rsidR="005C6FC5" w:rsidRPr="00C95193">
              <w:rPr>
                <w:rFonts w:ascii="Arial Narrow" w:hAnsi="Arial Narrow" w:cs="Calibri"/>
                <w:color w:val="000000"/>
                <w:sz w:val="19"/>
                <w:szCs w:val="19"/>
              </w:rPr>
              <w:t>y</w:t>
            </w:r>
            <w:r w:rsidRPr="002C3142">
              <w:rPr>
                <w:rFonts w:ascii="Arial Narrow" w:hAnsi="Arial Narrow" w:cs="Calibri"/>
                <w:color w:val="000000"/>
                <w:sz w:val="19"/>
                <w:szCs w:val="19"/>
              </w:rPr>
              <w:t xml:space="preserve"> Government (Strategy I to IV)</w:t>
            </w:r>
          </w:p>
        </w:tc>
        <w:tc>
          <w:tcPr>
            <w:tcW w:w="1134" w:type="dxa"/>
            <w:shd w:val="clear" w:color="auto" w:fill="auto"/>
            <w:tcMar>
              <w:top w:w="0" w:type="dxa"/>
              <w:left w:w="108" w:type="dxa"/>
              <w:bottom w:w="0" w:type="dxa"/>
              <w:right w:w="108" w:type="dxa"/>
            </w:tcMar>
          </w:tcPr>
          <w:p w14:paraId="1425DA17" w14:textId="77777777" w:rsidR="0051088C" w:rsidRPr="002C3142" w:rsidRDefault="0051088C" w:rsidP="00C95193">
            <w:pPr>
              <w:spacing w:before="40"/>
              <w:jc w:val="right"/>
              <w:rPr>
                <w:rFonts w:ascii="Arial Narrow" w:hAnsi="Arial Narrow" w:cs="Calibri"/>
                <w:color w:val="000000"/>
                <w:sz w:val="19"/>
                <w:szCs w:val="19"/>
              </w:rPr>
            </w:pPr>
            <w:r w:rsidRPr="002C3142">
              <w:rPr>
                <w:rFonts w:ascii="Arial Narrow" w:hAnsi="Arial Narrow" w:cs="Calibri"/>
                <w:color w:val="000000"/>
                <w:sz w:val="19"/>
                <w:szCs w:val="19"/>
              </w:rPr>
              <w:t>$145,533</w:t>
            </w:r>
          </w:p>
        </w:tc>
        <w:tc>
          <w:tcPr>
            <w:tcW w:w="1134" w:type="dxa"/>
            <w:shd w:val="clear" w:color="auto" w:fill="auto"/>
            <w:tcMar>
              <w:top w:w="0" w:type="dxa"/>
              <w:left w:w="108" w:type="dxa"/>
              <w:bottom w:w="0" w:type="dxa"/>
              <w:right w:w="108" w:type="dxa"/>
            </w:tcMar>
          </w:tcPr>
          <w:p w14:paraId="0B2C6F4A" w14:textId="77777777" w:rsidR="0051088C" w:rsidRPr="002C3142" w:rsidRDefault="0051088C" w:rsidP="00C95193">
            <w:pPr>
              <w:spacing w:before="40"/>
              <w:jc w:val="right"/>
              <w:rPr>
                <w:rFonts w:ascii="Arial Narrow" w:hAnsi="Arial Narrow" w:cs="Calibri"/>
                <w:color w:val="000000"/>
                <w:sz w:val="19"/>
                <w:szCs w:val="19"/>
              </w:rPr>
            </w:pPr>
            <w:r w:rsidRPr="002C3142">
              <w:rPr>
                <w:rFonts w:ascii="Arial Narrow" w:hAnsi="Arial Narrow" w:cs="Calibri"/>
                <w:color w:val="000000"/>
                <w:sz w:val="19"/>
                <w:szCs w:val="19"/>
              </w:rPr>
              <w:t>$524,411</w:t>
            </w:r>
          </w:p>
        </w:tc>
        <w:tc>
          <w:tcPr>
            <w:tcW w:w="1134" w:type="dxa"/>
            <w:shd w:val="clear" w:color="auto" w:fill="auto"/>
            <w:tcMar>
              <w:top w:w="0" w:type="dxa"/>
              <w:left w:w="108" w:type="dxa"/>
              <w:bottom w:w="0" w:type="dxa"/>
              <w:right w:w="108" w:type="dxa"/>
            </w:tcMar>
          </w:tcPr>
          <w:p w14:paraId="42B60F92" w14:textId="77777777" w:rsidR="0051088C" w:rsidRPr="002C3142" w:rsidRDefault="0051088C" w:rsidP="00C95193">
            <w:pPr>
              <w:spacing w:before="40"/>
              <w:jc w:val="right"/>
              <w:rPr>
                <w:rFonts w:ascii="Arial Narrow" w:hAnsi="Arial Narrow" w:cs="Calibri"/>
                <w:color w:val="000000"/>
                <w:sz w:val="19"/>
                <w:szCs w:val="19"/>
              </w:rPr>
            </w:pPr>
            <w:r w:rsidRPr="002C3142">
              <w:rPr>
                <w:rFonts w:ascii="Arial Narrow" w:hAnsi="Arial Narrow" w:cs="Calibri"/>
                <w:color w:val="000000"/>
                <w:sz w:val="19"/>
                <w:szCs w:val="19"/>
              </w:rPr>
              <w:t>$545,768</w:t>
            </w:r>
          </w:p>
        </w:tc>
        <w:tc>
          <w:tcPr>
            <w:tcW w:w="1134" w:type="dxa"/>
            <w:shd w:val="clear" w:color="auto" w:fill="auto"/>
            <w:tcMar>
              <w:top w:w="0" w:type="dxa"/>
              <w:left w:w="108" w:type="dxa"/>
              <w:bottom w:w="0" w:type="dxa"/>
              <w:right w:w="108" w:type="dxa"/>
            </w:tcMar>
          </w:tcPr>
          <w:p w14:paraId="5D803BE3" w14:textId="77777777" w:rsidR="0051088C" w:rsidRPr="002C3142" w:rsidRDefault="0051088C" w:rsidP="00C95193">
            <w:pPr>
              <w:spacing w:before="40"/>
              <w:jc w:val="right"/>
              <w:rPr>
                <w:rFonts w:ascii="Arial Narrow" w:hAnsi="Arial Narrow" w:cs="Calibri"/>
                <w:color w:val="000000"/>
                <w:sz w:val="19"/>
                <w:szCs w:val="19"/>
              </w:rPr>
            </w:pPr>
            <w:r w:rsidRPr="002C3142">
              <w:rPr>
                <w:rFonts w:ascii="Arial Narrow" w:hAnsi="Arial Narrow" w:cs="Calibri"/>
                <w:color w:val="000000"/>
                <w:sz w:val="19"/>
                <w:szCs w:val="19"/>
              </w:rPr>
              <w:t>$567,190</w:t>
            </w:r>
          </w:p>
        </w:tc>
        <w:tc>
          <w:tcPr>
            <w:tcW w:w="1134" w:type="dxa"/>
            <w:shd w:val="clear" w:color="auto" w:fill="auto"/>
            <w:tcMar>
              <w:top w:w="0" w:type="dxa"/>
              <w:left w:w="108" w:type="dxa"/>
              <w:bottom w:w="0" w:type="dxa"/>
              <w:right w:w="108" w:type="dxa"/>
            </w:tcMar>
          </w:tcPr>
          <w:p w14:paraId="1B866A3B" w14:textId="77777777" w:rsidR="0051088C" w:rsidRPr="002C3142" w:rsidRDefault="0051088C" w:rsidP="00C95193">
            <w:pPr>
              <w:spacing w:before="40"/>
              <w:jc w:val="right"/>
              <w:rPr>
                <w:rFonts w:ascii="Arial Narrow" w:hAnsi="Arial Narrow" w:cs="Calibri"/>
                <w:color w:val="000000"/>
                <w:sz w:val="19"/>
                <w:szCs w:val="19"/>
              </w:rPr>
            </w:pPr>
            <w:r w:rsidRPr="002C3142">
              <w:rPr>
                <w:rFonts w:ascii="Arial Narrow" w:hAnsi="Arial Narrow" w:cs="Calibri"/>
                <w:color w:val="000000"/>
                <w:sz w:val="19"/>
                <w:szCs w:val="19"/>
              </w:rPr>
              <w:t>$588,679</w:t>
            </w:r>
          </w:p>
        </w:tc>
        <w:tc>
          <w:tcPr>
            <w:tcW w:w="1139" w:type="dxa"/>
            <w:shd w:val="clear" w:color="auto" w:fill="auto"/>
            <w:tcMar>
              <w:top w:w="0" w:type="dxa"/>
              <w:left w:w="108" w:type="dxa"/>
              <w:bottom w:w="0" w:type="dxa"/>
              <w:right w:w="108" w:type="dxa"/>
            </w:tcMar>
          </w:tcPr>
          <w:p w14:paraId="0EA60917" w14:textId="77777777" w:rsidR="0051088C" w:rsidRPr="002C3142" w:rsidRDefault="0051088C" w:rsidP="00C95193">
            <w:pPr>
              <w:spacing w:before="40"/>
              <w:jc w:val="right"/>
              <w:rPr>
                <w:rFonts w:ascii="Arial Narrow" w:hAnsi="Arial Narrow" w:cs="Calibri"/>
                <w:color w:val="000000"/>
                <w:sz w:val="19"/>
                <w:szCs w:val="19"/>
              </w:rPr>
            </w:pPr>
            <w:r w:rsidRPr="002C3142">
              <w:rPr>
                <w:rFonts w:ascii="Arial Narrow" w:hAnsi="Arial Narrow" w:cs="Calibri"/>
                <w:color w:val="000000"/>
                <w:sz w:val="19"/>
                <w:szCs w:val="19"/>
              </w:rPr>
              <w:t>$610,235</w:t>
            </w:r>
          </w:p>
        </w:tc>
      </w:tr>
      <w:tr w:rsidR="0051088C" w:rsidRPr="006253B6" w14:paraId="69228E66" w14:textId="77777777" w:rsidTr="00842945">
        <w:tc>
          <w:tcPr>
            <w:tcW w:w="2258" w:type="dxa"/>
            <w:shd w:val="clear" w:color="auto" w:fill="auto"/>
            <w:tcMar>
              <w:top w:w="0" w:type="dxa"/>
              <w:left w:w="108" w:type="dxa"/>
              <w:bottom w:w="0" w:type="dxa"/>
              <w:right w:w="108" w:type="dxa"/>
            </w:tcMar>
            <w:vAlign w:val="center"/>
          </w:tcPr>
          <w:p w14:paraId="248C9C65" w14:textId="587C753F" w:rsidR="0051088C" w:rsidRPr="002C3142" w:rsidRDefault="0051088C" w:rsidP="00C25359">
            <w:pPr>
              <w:spacing w:before="40"/>
              <w:rPr>
                <w:rFonts w:ascii="Arial Narrow" w:hAnsi="Arial Narrow" w:cs="Calibri"/>
                <w:color w:val="000000"/>
                <w:sz w:val="19"/>
                <w:szCs w:val="19"/>
              </w:rPr>
            </w:pPr>
            <w:r w:rsidRPr="002C3142">
              <w:rPr>
                <w:rFonts w:ascii="Arial Narrow" w:hAnsi="Arial Narrow" w:cs="Calibri"/>
                <w:color w:val="000000"/>
                <w:sz w:val="19"/>
                <w:szCs w:val="19"/>
              </w:rPr>
              <w:t xml:space="preserve">Cost to </w:t>
            </w:r>
            <w:r w:rsidR="00D36449">
              <w:rPr>
                <w:rFonts w:ascii="Arial Narrow" w:hAnsi="Arial Narrow" w:cs="Calibri"/>
                <w:color w:val="000000"/>
                <w:sz w:val="19"/>
                <w:szCs w:val="19"/>
              </w:rPr>
              <w:t>s</w:t>
            </w:r>
            <w:r w:rsidR="00D36449" w:rsidRPr="002C3142">
              <w:rPr>
                <w:rFonts w:ascii="Arial Narrow" w:hAnsi="Arial Narrow" w:cs="Calibri"/>
                <w:color w:val="000000"/>
                <w:sz w:val="19"/>
                <w:szCs w:val="19"/>
              </w:rPr>
              <w:t xml:space="preserve">tate </w:t>
            </w:r>
            <w:r w:rsidRPr="002C3142">
              <w:rPr>
                <w:rFonts w:ascii="Arial Narrow" w:hAnsi="Arial Narrow" w:cs="Calibri"/>
                <w:color w:val="000000"/>
                <w:sz w:val="19"/>
                <w:szCs w:val="19"/>
              </w:rPr>
              <w:t xml:space="preserve">and </w:t>
            </w:r>
            <w:r w:rsidR="00D36449">
              <w:rPr>
                <w:rFonts w:ascii="Arial Narrow" w:hAnsi="Arial Narrow" w:cs="Calibri"/>
                <w:color w:val="000000"/>
                <w:sz w:val="19"/>
                <w:szCs w:val="19"/>
              </w:rPr>
              <w:t>t</w:t>
            </w:r>
            <w:r w:rsidRPr="002C3142">
              <w:rPr>
                <w:rFonts w:ascii="Arial Narrow" w:hAnsi="Arial Narrow" w:cs="Calibri"/>
                <w:color w:val="000000"/>
                <w:sz w:val="19"/>
                <w:szCs w:val="19"/>
              </w:rPr>
              <w:t>erritor</w:t>
            </w:r>
            <w:r w:rsidR="005C6FC5" w:rsidRPr="00C95193">
              <w:rPr>
                <w:rFonts w:ascii="Arial Narrow" w:hAnsi="Arial Narrow" w:cs="Calibri"/>
                <w:color w:val="000000"/>
                <w:sz w:val="19"/>
                <w:szCs w:val="19"/>
              </w:rPr>
              <w:t>y</w:t>
            </w:r>
            <w:r w:rsidRPr="002C3142">
              <w:rPr>
                <w:rFonts w:ascii="Arial Narrow" w:hAnsi="Arial Narrow" w:cs="Calibri"/>
                <w:color w:val="000000"/>
                <w:sz w:val="19"/>
                <w:szCs w:val="19"/>
              </w:rPr>
              <w:t xml:space="preserve"> Government (Strategy Ia to IVb)</w:t>
            </w:r>
          </w:p>
        </w:tc>
        <w:tc>
          <w:tcPr>
            <w:tcW w:w="1134" w:type="dxa"/>
            <w:shd w:val="clear" w:color="auto" w:fill="auto"/>
            <w:tcMar>
              <w:top w:w="0" w:type="dxa"/>
              <w:left w:w="108" w:type="dxa"/>
              <w:bottom w:w="0" w:type="dxa"/>
              <w:right w:w="108" w:type="dxa"/>
            </w:tcMar>
          </w:tcPr>
          <w:p w14:paraId="415889CF" w14:textId="77777777" w:rsidR="0051088C" w:rsidRPr="002C3142" w:rsidRDefault="0051088C" w:rsidP="00C95193">
            <w:pPr>
              <w:spacing w:before="40"/>
              <w:jc w:val="right"/>
              <w:rPr>
                <w:rFonts w:ascii="Arial Narrow" w:hAnsi="Arial Narrow" w:cs="Calibri"/>
                <w:color w:val="000000"/>
                <w:sz w:val="19"/>
                <w:szCs w:val="19"/>
              </w:rPr>
            </w:pPr>
            <w:r w:rsidRPr="002C3142">
              <w:rPr>
                <w:rFonts w:ascii="Arial Narrow" w:hAnsi="Arial Narrow" w:cs="Calibri"/>
                <w:color w:val="000000"/>
                <w:sz w:val="19"/>
                <w:szCs w:val="19"/>
              </w:rPr>
              <w:t>$92,720</w:t>
            </w:r>
          </w:p>
        </w:tc>
        <w:tc>
          <w:tcPr>
            <w:tcW w:w="1134" w:type="dxa"/>
            <w:shd w:val="clear" w:color="auto" w:fill="auto"/>
            <w:tcMar>
              <w:top w:w="0" w:type="dxa"/>
              <w:left w:w="108" w:type="dxa"/>
              <w:bottom w:w="0" w:type="dxa"/>
              <w:right w:w="108" w:type="dxa"/>
            </w:tcMar>
          </w:tcPr>
          <w:p w14:paraId="7CABB019" w14:textId="77777777" w:rsidR="0051088C" w:rsidRPr="002C3142" w:rsidRDefault="0051088C" w:rsidP="00C95193">
            <w:pPr>
              <w:spacing w:before="40"/>
              <w:jc w:val="right"/>
              <w:rPr>
                <w:rFonts w:ascii="Arial Narrow" w:hAnsi="Arial Narrow" w:cs="Calibri"/>
                <w:color w:val="000000"/>
                <w:sz w:val="19"/>
                <w:szCs w:val="19"/>
              </w:rPr>
            </w:pPr>
            <w:r w:rsidRPr="002C3142">
              <w:rPr>
                <w:rFonts w:ascii="Arial Narrow" w:hAnsi="Arial Narrow" w:cs="Calibri"/>
                <w:color w:val="000000"/>
                <w:sz w:val="19"/>
                <w:szCs w:val="19"/>
              </w:rPr>
              <w:t>$471,435</w:t>
            </w:r>
          </w:p>
        </w:tc>
        <w:tc>
          <w:tcPr>
            <w:tcW w:w="1134" w:type="dxa"/>
            <w:shd w:val="clear" w:color="auto" w:fill="auto"/>
            <w:tcMar>
              <w:top w:w="0" w:type="dxa"/>
              <w:left w:w="108" w:type="dxa"/>
              <w:bottom w:w="0" w:type="dxa"/>
              <w:right w:w="108" w:type="dxa"/>
            </w:tcMar>
          </w:tcPr>
          <w:p w14:paraId="618FB07B" w14:textId="77777777" w:rsidR="0051088C" w:rsidRPr="002C3142" w:rsidRDefault="0051088C" w:rsidP="00C95193">
            <w:pPr>
              <w:spacing w:before="40"/>
              <w:jc w:val="right"/>
              <w:rPr>
                <w:rFonts w:ascii="Arial Narrow" w:hAnsi="Arial Narrow" w:cs="Calibri"/>
                <w:color w:val="000000"/>
                <w:sz w:val="19"/>
                <w:szCs w:val="19"/>
              </w:rPr>
            </w:pPr>
            <w:r w:rsidRPr="002C3142">
              <w:rPr>
                <w:rFonts w:ascii="Arial Narrow" w:hAnsi="Arial Narrow" w:cs="Calibri"/>
                <w:color w:val="000000"/>
                <w:sz w:val="19"/>
                <w:szCs w:val="19"/>
              </w:rPr>
              <w:t>$492,627</w:t>
            </w:r>
          </w:p>
        </w:tc>
        <w:tc>
          <w:tcPr>
            <w:tcW w:w="1134" w:type="dxa"/>
            <w:shd w:val="clear" w:color="auto" w:fill="auto"/>
            <w:tcMar>
              <w:top w:w="0" w:type="dxa"/>
              <w:left w:w="108" w:type="dxa"/>
              <w:bottom w:w="0" w:type="dxa"/>
              <w:right w:w="108" w:type="dxa"/>
            </w:tcMar>
          </w:tcPr>
          <w:p w14:paraId="60725332" w14:textId="77777777" w:rsidR="0051088C" w:rsidRPr="002C3142" w:rsidRDefault="0051088C" w:rsidP="00C95193">
            <w:pPr>
              <w:spacing w:before="40"/>
              <w:jc w:val="right"/>
              <w:rPr>
                <w:rFonts w:ascii="Arial Narrow" w:hAnsi="Arial Narrow" w:cs="Calibri"/>
                <w:color w:val="000000"/>
                <w:sz w:val="19"/>
                <w:szCs w:val="19"/>
              </w:rPr>
            </w:pPr>
            <w:r w:rsidRPr="002C3142">
              <w:rPr>
                <w:rFonts w:ascii="Arial Narrow" w:hAnsi="Arial Narrow" w:cs="Calibri"/>
                <w:color w:val="000000"/>
                <w:sz w:val="19"/>
                <w:szCs w:val="19"/>
              </w:rPr>
              <w:t>$513,885</w:t>
            </w:r>
          </w:p>
        </w:tc>
        <w:tc>
          <w:tcPr>
            <w:tcW w:w="1134" w:type="dxa"/>
            <w:shd w:val="clear" w:color="auto" w:fill="auto"/>
            <w:tcMar>
              <w:top w:w="0" w:type="dxa"/>
              <w:left w:w="108" w:type="dxa"/>
              <w:bottom w:w="0" w:type="dxa"/>
              <w:right w:w="108" w:type="dxa"/>
            </w:tcMar>
          </w:tcPr>
          <w:p w14:paraId="1CEE9050" w14:textId="77777777" w:rsidR="0051088C" w:rsidRPr="002C3142" w:rsidRDefault="0051088C" w:rsidP="00C95193">
            <w:pPr>
              <w:spacing w:before="40"/>
              <w:jc w:val="right"/>
              <w:rPr>
                <w:rFonts w:ascii="Arial Narrow" w:hAnsi="Arial Narrow" w:cs="Calibri"/>
                <w:color w:val="000000"/>
                <w:sz w:val="19"/>
                <w:szCs w:val="19"/>
              </w:rPr>
            </w:pPr>
            <w:r w:rsidRPr="002C3142">
              <w:rPr>
                <w:rFonts w:ascii="Arial Narrow" w:hAnsi="Arial Narrow" w:cs="Calibri"/>
                <w:color w:val="000000"/>
                <w:sz w:val="19"/>
                <w:szCs w:val="19"/>
              </w:rPr>
              <w:t>$535,209</w:t>
            </w:r>
          </w:p>
        </w:tc>
        <w:tc>
          <w:tcPr>
            <w:tcW w:w="1139" w:type="dxa"/>
            <w:shd w:val="clear" w:color="auto" w:fill="auto"/>
            <w:tcMar>
              <w:top w:w="0" w:type="dxa"/>
              <w:left w:w="108" w:type="dxa"/>
              <w:bottom w:w="0" w:type="dxa"/>
              <w:right w:w="108" w:type="dxa"/>
            </w:tcMar>
          </w:tcPr>
          <w:p w14:paraId="07231D2A" w14:textId="77777777" w:rsidR="0051088C" w:rsidRPr="002C3142" w:rsidRDefault="0051088C" w:rsidP="00C95193">
            <w:pPr>
              <w:spacing w:before="40"/>
              <w:jc w:val="right"/>
              <w:rPr>
                <w:rFonts w:ascii="Arial Narrow" w:hAnsi="Arial Narrow" w:cs="Calibri"/>
                <w:color w:val="000000"/>
                <w:sz w:val="19"/>
                <w:szCs w:val="19"/>
              </w:rPr>
            </w:pPr>
            <w:r w:rsidRPr="002C3142">
              <w:rPr>
                <w:rFonts w:ascii="Arial Narrow" w:hAnsi="Arial Narrow" w:cs="Calibri"/>
                <w:color w:val="000000"/>
                <w:sz w:val="19"/>
                <w:szCs w:val="19"/>
              </w:rPr>
              <w:t>$556,599</w:t>
            </w:r>
          </w:p>
        </w:tc>
      </w:tr>
    </w:tbl>
    <w:p w14:paraId="4C98A678" w14:textId="35D30644" w:rsidR="0051088C" w:rsidRDefault="0051088C" w:rsidP="00C25359">
      <w:pPr>
        <w:tabs>
          <w:tab w:val="left" w:pos="284"/>
        </w:tabs>
        <w:spacing w:before="0" w:after="0" w:line="240" w:lineRule="auto"/>
        <w:rPr>
          <w:rFonts w:ascii="Arial Narrow" w:eastAsia="Times New Roman" w:hAnsi="Arial Narrow" w:cs="Arial"/>
          <w:snapToGrid w:val="0"/>
          <w:color w:val="000000" w:themeColor="text1"/>
          <w:sz w:val="18"/>
          <w:lang w:eastAsia="en-AU"/>
        </w:rPr>
      </w:pPr>
      <w:r w:rsidRPr="009F3230">
        <w:rPr>
          <w:rFonts w:ascii="Arial Narrow" w:eastAsia="Times New Roman" w:hAnsi="Arial Narrow" w:cs="Arial"/>
          <w:snapToGrid w:val="0"/>
          <w:color w:val="000000" w:themeColor="text1"/>
          <w:sz w:val="18"/>
          <w:lang w:eastAsia="en-AU"/>
        </w:rPr>
        <w:t xml:space="preserve">AI= Adrenal insufficiency; CCALD= Childhood cerebral adrenoleukodystrophy; HSCT= Haematopoietic stem cell transplant; MBS= Medicare Benefits Schedule; </w:t>
      </w:r>
      <w:r w:rsidRPr="000B7226">
        <w:rPr>
          <w:rFonts w:ascii="Arial Narrow" w:eastAsia="Times New Roman" w:hAnsi="Arial Narrow" w:cs="Arial"/>
          <w:snapToGrid w:val="0"/>
          <w:color w:val="000000" w:themeColor="text1"/>
          <w:sz w:val="18"/>
          <w:lang w:eastAsia="en-AU"/>
        </w:rPr>
        <w:t>NBS= Newborn Bloodspot Screening</w:t>
      </w:r>
      <w:r w:rsidR="00793DB9">
        <w:rPr>
          <w:rFonts w:ascii="Arial Narrow" w:eastAsia="Times New Roman" w:hAnsi="Arial Narrow" w:cs="Arial"/>
          <w:snapToGrid w:val="0"/>
          <w:color w:val="000000" w:themeColor="text1"/>
          <w:sz w:val="18"/>
          <w:lang w:eastAsia="en-AU"/>
        </w:rPr>
        <w:t>;</w:t>
      </w:r>
      <w:r w:rsidR="00793DB9" w:rsidRPr="00793DB9">
        <w:rPr>
          <w:rFonts w:ascii="Arial Narrow" w:eastAsia="Times New Roman" w:hAnsi="Arial Narrow" w:cs="Arial"/>
          <w:snapToGrid w:val="0"/>
          <w:color w:val="000000" w:themeColor="text1"/>
          <w:sz w:val="18"/>
          <w:lang w:eastAsia="en-AU"/>
        </w:rPr>
        <w:t xml:space="preserve"> </w:t>
      </w:r>
      <w:r w:rsidR="00793DB9" w:rsidRPr="009F3230">
        <w:rPr>
          <w:rFonts w:ascii="Arial Narrow" w:eastAsia="Times New Roman" w:hAnsi="Arial Narrow" w:cs="Arial"/>
          <w:snapToGrid w:val="0"/>
          <w:color w:val="000000" w:themeColor="text1"/>
          <w:sz w:val="18"/>
          <w:lang w:eastAsia="en-AU"/>
        </w:rPr>
        <w:t>PBS= Pharmaceutical Benefits Scheme</w:t>
      </w:r>
      <w:r w:rsidR="00793DB9">
        <w:rPr>
          <w:rFonts w:ascii="Arial Narrow" w:eastAsia="Times New Roman" w:hAnsi="Arial Narrow" w:cs="Arial"/>
          <w:snapToGrid w:val="0"/>
          <w:color w:val="000000" w:themeColor="text1"/>
          <w:sz w:val="18"/>
          <w:lang w:eastAsia="en-AU"/>
        </w:rPr>
        <w:t>;</w:t>
      </w:r>
      <w:r w:rsidR="00793DB9" w:rsidRPr="00793DB9">
        <w:rPr>
          <w:rFonts w:ascii="Arial Narrow" w:eastAsia="Times New Roman" w:hAnsi="Arial Narrow" w:cs="Arial"/>
          <w:snapToGrid w:val="0"/>
          <w:color w:val="000000" w:themeColor="text1"/>
          <w:sz w:val="18"/>
          <w:lang w:eastAsia="en-AU"/>
        </w:rPr>
        <w:t xml:space="preserve"> </w:t>
      </w:r>
      <w:r w:rsidR="00793DB9">
        <w:rPr>
          <w:rFonts w:ascii="Arial Narrow" w:eastAsia="Times New Roman" w:hAnsi="Arial Narrow" w:cs="Arial"/>
          <w:snapToGrid w:val="0"/>
          <w:color w:val="000000" w:themeColor="text1"/>
          <w:sz w:val="18"/>
          <w:lang w:eastAsia="en-AU"/>
        </w:rPr>
        <w:t>X-</w:t>
      </w:r>
      <w:r w:rsidR="00793DB9" w:rsidRPr="009F3230">
        <w:rPr>
          <w:rFonts w:ascii="Arial Narrow" w:eastAsia="Times New Roman" w:hAnsi="Arial Narrow" w:cs="Arial"/>
          <w:snapToGrid w:val="0"/>
          <w:color w:val="000000" w:themeColor="text1"/>
          <w:sz w:val="18"/>
          <w:lang w:eastAsia="en-AU"/>
        </w:rPr>
        <w:t xml:space="preserve">ALD= </w:t>
      </w:r>
      <w:r w:rsidR="00793DB9">
        <w:rPr>
          <w:rFonts w:ascii="Arial Narrow" w:eastAsia="Times New Roman" w:hAnsi="Arial Narrow" w:cs="Arial"/>
          <w:snapToGrid w:val="0"/>
          <w:color w:val="000000" w:themeColor="text1"/>
          <w:sz w:val="18"/>
          <w:lang w:eastAsia="en-AU"/>
        </w:rPr>
        <w:t>X-linked A</w:t>
      </w:r>
      <w:r w:rsidR="00793DB9" w:rsidRPr="009F3230">
        <w:rPr>
          <w:rFonts w:ascii="Arial Narrow" w:eastAsia="Times New Roman" w:hAnsi="Arial Narrow" w:cs="Arial"/>
          <w:snapToGrid w:val="0"/>
          <w:color w:val="000000" w:themeColor="text1"/>
          <w:sz w:val="18"/>
          <w:lang w:eastAsia="en-AU"/>
        </w:rPr>
        <w:t>drenoleukodystrophy</w:t>
      </w:r>
      <w:r>
        <w:rPr>
          <w:rFonts w:ascii="Arial Narrow" w:eastAsia="Times New Roman" w:hAnsi="Arial Narrow" w:cs="Arial"/>
          <w:snapToGrid w:val="0"/>
          <w:color w:val="000000" w:themeColor="text1"/>
          <w:sz w:val="18"/>
          <w:lang w:eastAsia="en-AU"/>
        </w:rPr>
        <w:t>.</w:t>
      </w:r>
      <w:r w:rsidRPr="000B7226">
        <w:rPr>
          <w:rFonts w:ascii="Arial Narrow" w:eastAsia="Times New Roman" w:hAnsi="Arial Narrow" w:cs="Arial"/>
          <w:snapToGrid w:val="0"/>
          <w:color w:val="000000" w:themeColor="text1"/>
          <w:sz w:val="18"/>
          <w:lang w:eastAsia="en-AU"/>
        </w:rPr>
        <w:t xml:space="preserve"> </w:t>
      </w:r>
    </w:p>
    <w:p w14:paraId="4BC72F48" w14:textId="77777777" w:rsidR="006B0C5D" w:rsidRDefault="0051088C" w:rsidP="00D36449">
      <w:pPr>
        <w:tabs>
          <w:tab w:val="left" w:pos="284"/>
        </w:tabs>
        <w:spacing w:before="0" w:after="0" w:line="240" w:lineRule="auto"/>
        <w:rPr>
          <w:rFonts w:ascii="Arial Narrow" w:eastAsia="Times New Roman" w:hAnsi="Arial Narrow" w:cs="Arial"/>
          <w:snapToGrid w:val="0"/>
          <w:color w:val="000000" w:themeColor="text1"/>
          <w:sz w:val="18"/>
          <w:lang w:eastAsia="en-AU"/>
        </w:rPr>
      </w:pPr>
      <w:r w:rsidRPr="000563B4">
        <w:rPr>
          <w:rFonts w:ascii="Arial Narrow" w:eastAsia="Times New Roman" w:hAnsi="Arial Narrow" w:cs="Arial"/>
          <w:snapToGrid w:val="0"/>
          <w:color w:val="000000" w:themeColor="text1"/>
          <w:sz w:val="18"/>
          <w:vertAlign w:val="superscript"/>
          <w:lang w:eastAsia="en-AU"/>
        </w:rPr>
        <w:t>a</w:t>
      </w:r>
      <w:r w:rsidRPr="000563B4">
        <w:t xml:space="preserve"> </w:t>
      </w:r>
      <w:r w:rsidRPr="000563B4">
        <w:rPr>
          <w:rFonts w:ascii="Arial Narrow" w:eastAsia="Times New Roman" w:hAnsi="Arial Narrow" w:cs="Arial"/>
          <w:snapToGrid w:val="0"/>
          <w:color w:val="000000" w:themeColor="text1"/>
          <w:sz w:val="18"/>
          <w:lang w:eastAsia="en-AU"/>
        </w:rPr>
        <w:t>NBS programs are overseen, funded and managed by state and territory governments and operate independently of each other. The Australian Government contributes funding to hospital services, including those for NBS</w:t>
      </w:r>
      <w:r>
        <w:rPr>
          <w:rFonts w:ascii="Arial Narrow" w:eastAsia="Times New Roman" w:hAnsi="Arial Narrow" w:cs="Arial"/>
          <w:snapToGrid w:val="0"/>
          <w:color w:val="000000" w:themeColor="text1"/>
          <w:sz w:val="18"/>
          <w:lang w:eastAsia="en-AU"/>
        </w:rPr>
        <w:t>,</w:t>
      </w:r>
      <w:r w:rsidRPr="000563B4">
        <w:rPr>
          <w:rFonts w:ascii="Arial Narrow" w:eastAsia="Times New Roman" w:hAnsi="Arial Narrow" w:cs="Arial"/>
          <w:snapToGrid w:val="0"/>
          <w:color w:val="000000" w:themeColor="text1"/>
          <w:sz w:val="18"/>
          <w:lang w:eastAsia="en-AU"/>
        </w:rPr>
        <w:t xml:space="preserve"> through the National Health Reform Agreement (NHRA). It also announced funding of $39.0 million under the 2022-23 Budget, some of which will be provided direct</w:t>
      </w:r>
      <w:r>
        <w:rPr>
          <w:rFonts w:ascii="Arial Narrow" w:eastAsia="Times New Roman" w:hAnsi="Arial Narrow" w:cs="Arial"/>
          <w:snapToGrid w:val="0"/>
          <w:color w:val="000000" w:themeColor="text1"/>
          <w:sz w:val="18"/>
          <w:lang w:eastAsia="en-AU"/>
        </w:rPr>
        <w:t>ly</w:t>
      </w:r>
      <w:r w:rsidRPr="000563B4">
        <w:rPr>
          <w:rFonts w:ascii="Arial Narrow" w:eastAsia="Times New Roman" w:hAnsi="Arial Narrow" w:cs="Arial"/>
          <w:snapToGrid w:val="0"/>
          <w:color w:val="000000" w:themeColor="text1"/>
          <w:sz w:val="18"/>
          <w:lang w:eastAsia="en-AU"/>
        </w:rPr>
        <w:t xml:space="preserve"> to states and territories to support </w:t>
      </w:r>
      <w:r>
        <w:rPr>
          <w:rFonts w:ascii="Arial Narrow" w:eastAsia="Times New Roman" w:hAnsi="Arial Narrow" w:cs="Arial"/>
          <w:snapToGrid w:val="0"/>
          <w:color w:val="000000" w:themeColor="text1"/>
          <w:sz w:val="18"/>
          <w:lang w:eastAsia="en-AU"/>
        </w:rPr>
        <w:t xml:space="preserve">the </w:t>
      </w:r>
      <w:r w:rsidRPr="000563B4">
        <w:rPr>
          <w:rFonts w:ascii="Arial Narrow" w:eastAsia="Times New Roman" w:hAnsi="Arial Narrow" w:cs="Arial"/>
          <w:snapToGrid w:val="0"/>
          <w:color w:val="000000" w:themeColor="text1"/>
          <w:sz w:val="18"/>
          <w:lang w:eastAsia="en-AU"/>
        </w:rPr>
        <w:t>expansion of NBS programs</w:t>
      </w:r>
      <w:r>
        <w:rPr>
          <w:rFonts w:ascii="Arial Narrow" w:eastAsia="Times New Roman" w:hAnsi="Arial Narrow" w:cs="Arial"/>
          <w:snapToGrid w:val="0"/>
          <w:color w:val="000000" w:themeColor="text1"/>
          <w:sz w:val="18"/>
          <w:lang w:eastAsia="en-AU"/>
        </w:rPr>
        <w:t>.</w:t>
      </w:r>
      <w:r w:rsidR="00623ADD">
        <w:rPr>
          <w:rFonts w:ascii="Arial Narrow" w:eastAsia="Times New Roman" w:hAnsi="Arial Narrow" w:cs="Arial"/>
          <w:snapToGrid w:val="0"/>
          <w:color w:val="000000" w:themeColor="text1"/>
          <w:sz w:val="18"/>
          <w:lang w:eastAsia="en-AU"/>
        </w:rPr>
        <w:t xml:space="preserve"> </w:t>
      </w:r>
    </w:p>
    <w:p w14:paraId="2DD584CC" w14:textId="07595099" w:rsidR="00D84EC1" w:rsidRPr="00901022" w:rsidRDefault="00D84EC1" w:rsidP="009F51B0">
      <w:pPr>
        <w:tabs>
          <w:tab w:val="left" w:pos="284"/>
        </w:tabs>
        <w:spacing w:before="0" w:after="0" w:line="240" w:lineRule="auto"/>
        <w:rPr>
          <w:rFonts w:ascii="Arial Narrow" w:eastAsia="Times New Roman" w:hAnsi="Arial Narrow" w:cs="Arial"/>
          <w:snapToGrid w:val="0"/>
          <w:color w:val="000000" w:themeColor="text1"/>
          <w:sz w:val="18"/>
          <w:lang w:eastAsia="en-AU"/>
        </w:rPr>
      </w:pPr>
      <w:r>
        <w:rPr>
          <w:rFonts w:ascii="Arial Narrow" w:eastAsia="Times New Roman" w:hAnsi="Arial Narrow" w:cs="Arial"/>
          <w:snapToGrid w:val="0"/>
          <w:color w:val="000000" w:themeColor="text1"/>
          <w:sz w:val="18"/>
          <w:lang w:eastAsia="en-AU"/>
        </w:rPr>
        <w:t>Source: DCAR Table 14</w:t>
      </w:r>
      <w:r w:rsidR="00623ADD">
        <w:rPr>
          <w:rFonts w:ascii="Arial Narrow" w:eastAsia="Times New Roman" w:hAnsi="Arial Narrow" w:cs="Arial"/>
          <w:snapToGrid w:val="0"/>
          <w:color w:val="000000" w:themeColor="text1"/>
          <w:sz w:val="18"/>
          <w:lang w:eastAsia="en-AU"/>
        </w:rPr>
        <w:t xml:space="preserve">, </w:t>
      </w:r>
      <w:r w:rsidR="009F51B0">
        <w:rPr>
          <w:rFonts w:ascii="Arial Narrow" w:eastAsia="Times New Roman" w:hAnsi="Arial Narrow" w:cs="Arial"/>
          <w:snapToGrid w:val="0"/>
          <w:color w:val="000000" w:themeColor="text1"/>
          <w:sz w:val="18"/>
          <w:lang w:eastAsia="en-AU"/>
        </w:rPr>
        <w:t>and</w:t>
      </w:r>
      <w:r w:rsidR="00F16ABA" w:rsidRPr="00F16ABA">
        <w:rPr>
          <w:rFonts w:ascii="Arial Narrow" w:eastAsia="Times New Roman" w:hAnsi="Arial Narrow" w:cs="Arial"/>
          <w:i/>
          <w:iCs/>
          <w:snapToGrid w:val="0"/>
          <w:color w:val="000000" w:themeColor="text1"/>
          <w:sz w:val="18"/>
          <w:lang w:eastAsia="en-AU"/>
        </w:rPr>
        <w:t xml:space="preserve"> </w:t>
      </w:r>
      <w:r w:rsidR="009F51B0" w:rsidRPr="00191E1B">
        <w:rPr>
          <w:rFonts w:ascii="Arial Narrow" w:eastAsia="Times New Roman" w:hAnsi="Arial Narrow" w:cs="Arial"/>
          <w:snapToGrid w:val="0"/>
          <w:color w:val="000000" w:themeColor="text1"/>
          <w:sz w:val="18"/>
          <w:lang w:eastAsia="en-AU"/>
        </w:rPr>
        <w:t>p</w:t>
      </w:r>
      <w:r w:rsidR="00F16ABA" w:rsidRPr="00191E1B">
        <w:rPr>
          <w:rFonts w:ascii="Arial Narrow" w:eastAsia="Times New Roman" w:hAnsi="Arial Narrow" w:cs="Arial"/>
          <w:snapToGrid w:val="0"/>
          <w:color w:val="000000" w:themeColor="text1"/>
          <w:sz w:val="18"/>
          <w:lang w:eastAsia="en-AU"/>
        </w:rPr>
        <w:t>ost-</w:t>
      </w:r>
      <w:r w:rsidR="00F16ABA" w:rsidRPr="00A908CD">
        <w:rPr>
          <w:rFonts w:ascii="Arial Narrow" w:hAnsi="Arial Narrow"/>
          <w:color w:val="000000" w:themeColor="text1"/>
          <w:sz w:val="18"/>
        </w:rPr>
        <w:t>MSAC</w:t>
      </w:r>
      <w:r w:rsidR="00F16ABA" w:rsidRPr="00191E1B">
        <w:rPr>
          <w:rFonts w:ascii="Arial Narrow" w:eastAsia="Times New Roman" w:hAnsi="Arial Narrow" w:cs="Arial"/>
          <w:snapToGrid w:val="0"/>
          <w:color w:val="000000" w:themeColor="text1"/>
          <w:sz w:val="18"/>
          <w:lang w:eastAsia="en-AU"/>
        </w:rPr>
        <w:t xml:space="preserve"> modelling results provided by the DCAR HTA group to align with MSAC’s advice: assuming FIA-MS/MS specificity increased from 78.33% to 99.5%</w:t>
      </w:r>
      <w:r w:rsidR="009F51B0">
        <w:rPr>
          <w:rFonts w:ascii="Arial Narrow" w:eastAsia="Times New Roman" w:hAnsi="Arial Narrow" w:cs="Arial"/>
          <w:snapToGrid w:val="0"/>
          <w:color w:val="000000" w:themeColor="text1"/>
          <w:sz w:val="18"/>
          <w:lang w:eastAsia="en-AU"/>
        </w:rPr>
        <w:t>, to</w:t>
      </w:r>
      <w:r w:rsidR="00F16ABA" w:rsidRPr="00F16ABA">
        <w:rPr>
          <w:rFonts w:ascii="Arial Narrow" w:eastAsia="Times New Roman" w:hAnsi="Arial Narrow" w:cs="Arial"/>
          <w:i/>
          <w:iCs/>
          <w:snapToGrid w:val="0"/>
          <w:color w:val="000000" w:themeColor="text1"/>
          <w:sz w:val="18"/>
          <w:lang w:eastAsia="en-AU"/>
        </w:rPr>
        <w:t xml:space="preserve"> </w:t>
      </w:r>
      <w:r w:rsidR="00CE110A">
        <w:rPr>
          <w:rFonts w:ascii="Arial Narrow" w:eastAsia="Times New Roman" w:hAnsi="Arial Narrow" w:cs="Arial"/>
          <w:snapToGrid w:val="0"/>
          <w:color w:val="000000" w:themeColor="text1"/>
          <w:sz w:val="18"/>
          <w:lang w:eastAsia="en-AU"/>
        </w:rPr>
        <w:t xml:space="preserve">reflect MSAC’s advice that </w:t>
      </w:r>
      <w:r w:rsidR="006B3AD2">
        <w:rPr>
          <w:rFonts w:ascii="Arial Narrow" w:eastAsia="Times New Roman" w:hAnsi="Arial Narrow" w:cs="Arial"/>
          <w:snapToGrid w:val="0"/>
          <w:color w:val="000000" w:themeColor="text1"/>
          <w:sz w:val="18"/>
          <w:lang w:eastAsia="en-AU"/>
        </w:rPr>
        <w:t xml:space="preserve">FIA-MS/MS </w:t>
      </w:r>
      <w:r w:rsidR="00FC74F9">
        <w:rPr>
          <w:rFonts w:ascii="Arial Narrow" w:eastAsia="Times New Roman" w:hAnsi="Arial Narrow" w:cs="Arial"/>
          <w:snapToGrid w:val="0"/>
          <w:color w:val="000000" w:themeColor="text1"/>
          <w:sz w:val="18"/>
          <w:lang w:eastAsia="en-AU"/>
        </w:rPr>
        <w:t xml:space="preserve">should be for multiple VLCFAs </w:t>
      </w:r>
      <w:r w:rsidR="006B0C5D">
        <w:rPr>
          <w:rFonts w:ascii="Arial Narrow" w:eastAsia="Times New Roman" w:hAnsi="Arial Narrow" w:cs="Arial"/>
          <w:snapToGrid w:val="0"/>
          <w:color w:val="000000" w:themeColor="text1"/>
          <w:sz w:val="18"/>
          <w:lang w:eastAsia="en-AU"/>
        </w:rPr>
        <w:t xml:space="preserve">(and their ratios) </w:t>
      </w:r>
      <w:r w:rsidR="00FC74F9">
        <w:rPr>
          <w:rFonts w:ascii="Arial Narrow" w:eastAsia="Times New Roman" w:hAnsi="Arial Narrow" w:cs="Arial"/>
          <w:snapToGrid w:val="0"/>
          <w:color w:val="000000" w:themeColor="text1"/>
          <w:sz w:val="18"/>
          <w:lang w:eastAsia="en-AU"/>
        </w:rPr>
        <w:t xml:space="preserve">as this </w:t>
      </w:r>
      <w:r w:rsidR="006B3AD2">
        <w:rPr>
          <w:rFonts w:ascii="Arial Narrow" w:eastAsia="Times New Roman" w:hAnsi="Arial Narrow" w:cs="Arial"/>
          <w:snapToGrid w:val="0"/>
          <w:color w:val="000000" w:themeColor="text1"/>
          <w:sz w:val="18"/>
          <w:lang w:eastAsia="en-AU"/>
        </w:rPr>
        <w:t xml:space="preserve">would have </w:t>
      </w:r>
      <w:r w:rsidR="00FC74F9">
        <w:rPr>
          <w:rFonts w:ascii="Arial Narrow" w:eastAsia="Times New Roman" w:hAnsi="Arial Narrow" w:cs="Arial"/>
          <w:snapToGrid w:val="0"/>
          <w:color w:val="000000" w:themeColor="text1"/>
          <w:sz w:val="18"/>
          <w:lang w:eastAsia="en-AU"/>
        </w:rPr>
        <w:t>much higher specificity than</w:t>
      </w:r>
      <w:r w:rsidR="006B0C5D">
        <w:rPr>
          <w:rFonts w:ascii="Arial Narrow" w:eastAsia="Times New Roman" w:hAnsi="Arial Narrow" w:cs="Arial"/>
          <w:snapToGrid w:val="0"/>
          <w:color w:val="000000" w:themeColor="text1"/>
          <w:sz w:val="18"/>
          <w:lang w:eastAsia="en-AU"/>
        </w:rPr>
        <w:t xml:space="preserve"> FIA-MS/MS</w:t>
      </w:r>
      <w:r w:rsidR="00FC74F9">
        <w:rPr>
          <w:rFonts w:ascii="Arial Narrow" w:eastAsia="Times New Roman" w:hAnsi="Arial Narrow" w:cs="Arial"/>
          <w:snapToGrid w:val="0"/>
          <w:color w:val="000000" w:themeColor="text1"/>
          <w:sz w:val="18"/>
          <w:lang w:eastAsia="en-AU"/>
        </w:rPr>
        <w:t xml:space="preserve"> for C26:0 alone</w:t>
      </w:r>
      <w:r w:rsidR="001612AA">
        <w:rPr>
          <w:rFonts w:ascii="Arial Narrow" w:eastAsia="Times New Roman" w:hAnsi="Arial Narrow" w:cs="Arial"/>
          <w:snapToGrid w:val="0"/>
          <w:color w:val="000000" w:themeColor="text1"/>
          <w:sz w:val="18"/>
          <w:lang w:eastAsia="en-AU"/>
        </w:rPr>
        <w:t>.</w:t>
      </w:r>
      <w:r w:rsidR="00FD7035">
        <w:rPr>
          <w:rFonts w:ascii="Arial Narrow" w:eastAsia="Times New Roman" w:hAnsi="Arial Narrow" w:cs="Arial"/>
          <w:snapToGrid w:val="0"/>
          <w:color w:val="000000" w:themeColor="text1"/>
          <w:sz w:val="18"/>
          <w:lang w:eastAsia="en-AU"/>
        </w:rPr>
        <w:t xml:space="preserve"> 99.5% specificity</w:t>
      </w:r>
      <w:r w:rsidR="00491FD8">
        <w:rPr>
          <w:rFonts w:ascii="Arial Narrow" w:eastAsia="Times New Roman" w:hAnsi="Arial Narrow" w:cs="Arial"/>
          <w:snapToGrid w:val="0"/>
          <w:color w:val="000000" w:themeColor="text1"/>
          <w:sz w:val="18"/>
          <w:lang w:eastAsia="en-AU"/>
        </w:rPr>
        <w:t xml:space="preserve"> of FIA-MS/MS</w:t>
      </w:r>
      <w:r w:rsidR="00FD7035">
        <w:rPr>
          <w:rFonts w:ascii="Arial Narrow" w:eastAsia="Times New Roman" w:hAnsi="Arial Narrow" w:cs="Arial"/>
          <w:snapToGrid w:val="0"/>
          <w:color w:val="000000" w:themeColor="text1"/>
          <w:sz w:val="18"/>
          <w:lang w:eastAsia="en-AU"/>
        </w:rPr>
        <w:t xml:space="preserve"> </w:t>
      </w:r>
      <w:r w:rsidR="000116A7">
        <w:rPr>
          <w:rFonts w:ascii="Arial Narrow" w:eastAsia="Times New Roman" w:hAnsi="Arial Narrow" w:cs="Arial"/>
          <w:snapToGrid w:val="0"/>
          <w:color w:val="000000" w:themeColor="text1"/>
          <w:sz w:val="18"/>
          <w:lang w:eastAsia="en-AU"/>
        </w:rPr>
        <w:t>result</w:t>
      </w:r>
      <w:r w:rsidR="009F51B0">
        <w:rPr>
          <w:rFonts w:ascii="Arial Narrow" w:eastAsia="Times New Roman" w:hAnsi="Arial Narrow" w:cs="Arial"/>
          <w:snapToGrid w:val="0"/>
          <w:color w:val="000000" w:themeColor="text1"/>
          <w:sz w:val="18"/>
          <w:lang w:eastAsia="en-AU"/>
        </w:rPr>
        <w:t>ed</w:t>
      </w:r>
      <w:r w:rsidR="000116A7">
        <w:rPr>
          <w:rFonts w:ascii="Arial Narrow" w:eastAsia="Times New Roman" w:hAnsi="Arial Narrow" w:cs="Arial"/>
          <w:snapToGrid w:val="0"/>
          <w:color w:val="000000" w:themeColor="text1"/>
          <w:sz w:val="18"/>
          <w:lang w:eastAsia="en-AU"/>
        </w:rPr>
        <w:t xml:space="preserve"> in a PPV of 2.17%, and 0.512% of newborns receiving second tier screening </w:t>
      </w:r>
      <w:r w:rsidR="00491FD8">
        <w:rPr>
          <w:rFonts w:ascii="Arial Narrow" w:eastAsia="Times New Roman" w:hAnsi="Arial Narrow" w:cs="Arial"/>
          <w:snapToGrid w:val="0"/>
          <w:color w:val="000000" w:themeColor="text1"/>
          <w:sz w:val="18"/>
          <w:lang w:eastAsia="en-AU"/>
        </w:rPr>
        <w:t>for strategy II</w:t>
      </w:r>
      <w:r w:rsidR="003D1A48">
        <w:rPr>
          <w:rFonts w:ascii="Arial Narrow" w:eastAsia="Times New Roman" w:hAnsi="Arial Narrow" w:cs="Arial"/>
          <w:snapToGrid w:val="0"/>
          <w:color w:val="000000" w:themeColor="text1"/>
          <w:sz w:val="18"/>
          <w:lang w:eastAsia="en-AU"/>
        </w:rPr>
        <w:t>.</w:t>
      </w:r>
      <w:r w:rsidR="00491FD8">
        <w:rPr>
          <w:rFonts w:ascii="Arial Narrow" w:eastAsia="Times New Roman" w:hAnsi="Arial Narrow" w:cs="Arial"/>
          <w:snapToGrid w:val="0"/>
          <w:color w:val="000000" w:themeColor="text1"/>
          <w:sz w:val="18"/>
          <w:lang w:eastAsia="en-AU"/>
        </w:rPr>
        <w:t xml:space="preserve"> </w:t>
      </w:r>
      <w:r w:rsidR="00301340">
        <w:rPr>
          <w:rFonts w:ascii="Arial Narrow" w:eastAsia="Times New Roman" w:hAnsi="Arial Narrow" w:cs="Arial"/>
          <w:snapToGrid w:val="0"/>
          <w:color w:val="000000" w:themeColor="text1"/>
          <w:sz w:val="18"/>
          <w:lang w:eastAsia="en-AU"/>
        </w:rPr>
        <w:t xml:space="preserve">Strategy III </w:t>
      </w:r>
      <w:r w:rsidR="00B93002">
        <w:rPr>
          <w:rFonts w:ascii="Arial Narrow" w:eastAsia="Times New Roman" w:hAnsi="Arial Narrow" w:cs="Arial"/>
          <w:snapToGrid w:val="0"/>
          <w:color w:val="000000" w:themeColor="text1"/>
          <w:sz w:val="18"/>
          <w:lang w:eastAsia="en-AU"/>
        </w:rPr>
        <w:t xml:space="preserve">and IIIa </w:t>
      </w:r>
      <w:r w:rsidR="00301340">
        <w:rPr>
          <w:rFonts w:ascii="Arial Narrow" w:eastAsia="Times New Roman" w:hAnsi="Arial Narrow" w:cs="Arial"/>
          <w:snapToGrid w:val="0"/>
          <w:color w:val="000000" w:themeColor="text1"/>
          <w:sz w:val="18"/>
          <w:lang w:eastAsia="en-AU"/>
        </w:rPr>
        <w:t xml:space="preserve">results </w:t>
      </w:r>
      <w:r w:rsidR="00B2754E">
        <w:rPr>
          <w:rFonts w:ascii="Arial Narrow" w:eastAsia="Times New Roman" w:hAnsi="Arial Narrow" w:cs="Arial"/>
          <w:snapToGrid w:val="0"/>
          <w:color w:val="000000" w:themeColor="text1"/>
          <w:sz w:val="18"/>
          <w:lang w:eastAsia="en-AU"/>
        </w:rPr>
        <w:t xml:space="preserve">were </w:t>
      </w:r>
      <w:r w:rsidR="009F51B0">
        <w:rPr>
          <w:rFonts w:ascii="Arial Narrow" w:eastAsia="Times New Roman" w:hAnsi="Arial Narrow" w:cs="Arial"/>
          <w:snapToGrid w:val="0"/>
          <w:color w:val="000000" w:themeColor="text1"/>
          <w:sz w:val="18"/>
          <w:lang w:eastAsia="en-AU"/>
        </w:rPr>
        <w:t>unchanged</w:t>
      </w:r>
      <w:r w:rsidR="00B2754E">
        <w:rPr>
          <w:rFonts w:ascii="Arial Narrow" w:eastAsia="Times New Roman" w:hAnsi="Arial Narrow" w:cs="Arial"/>
          <w:snapToGrid w:val="0"/>
          <w:color w:val="000000" w:themeColor="text1"/>
          <w:sz w:val="18"/>
          <w:lang w:eastAsia="en-AU"/>
        </w:rPr>
        <w:t xml:space="preserve"> </w:t>
      </w:r>
      <w:r w:rsidR="000C570F">
        <w:rPr>
          <w:rFonts w:ascii="Arial Narrow" w:eastAsia="Times New Roman" w:hAnsi="Arial Narrow" w:cs="Arial"/>
          <w:snapToGrid w:val="0"/>
          <w:color w:val="000000" w:themeColor="text1"/>
          <w:sz w:val="18"/>
          <w:lang w:eastAsia="en-AU"/>
        </w:rPr>
        <w:t xml:space="preserve">from those presented in the DCAR </w:t>
      </w:r>
      <w:r w:rsidR="00B2754E">
        <w:rPr>
          <w:rFonts w:ascii="Arial Narrow" w:eastAsia="Times New Roman" w:hAnsi="Arial Narrow" w:cs="Arial"/>
          <w:snapToGrid w:val="0"/>
          <w:color w:val="000000" w:themeColor="text1"/>
          <w:sz w:val="18"/>
          <w:lang w:eastAsia="en-AU"/>
        </w:rPr>
        <w:t>as these strategies do not include FIA-MS/MS.</w:t>
      </w:r>
    </w:p>
    <w:p w14:paraId="3B1A76B1" w14:textId="3DC08FD2" w:rsidR="0051088C" w:rsidRDefault="001F1C16" w:rsidP="00191E1B">
      <w:r>
        <w:fldChar w:fldCharType="begin"/>
      </w:r>
      <w:r>
        <w:instrText xml:space="preserve"> REF _Ref130227531 \h </w:instrText>
      </w:r>
      <w:r w:rsidR="005622B4">
        <w:instrText xml:space="preserve"> \* MERGEFORMAT </w:instrText>
      </w:r>
      <w:r>
        <w:fldChar w:fldCharType="separate"/>
      </w:r>
      <w:r w:rsidR="00253978">
        <w:t xml:space="preserve">Table </w:t>
      </w:r>
      <w:r w:rsidR="00253978">
        <w:rPr>
          <w:noProof/>
        </w:rPr>
        <w:t>18</w:t>
      </w:r>
      <w:r>
        <w:fldChar w:fldCharType="end"/>
      </w:r>
      <w:r w:rsidR="0051088C">
        <w:t xml:space="preserve"> </w:t>
      </w:r>
      <w:r w:rsidR="0051088C" w:rsidRPr="000B7226">
        <w:t xml:space="preserve">presents </w:t>
      </w:r>
      <w:r w:rsidR="0051088C">
        <w:t>n</w:t>
      </w:r>
      <w:r w:rsidR="0051088C" w:rsidRPr="00291204">
        <w:t xml:space="preserve">et financial implications </w:t>
      </w:r>
      <w:r w:rsidR="00DB7A41">
        <w:t>to</w:t>
      </w:r>
      <w:r w:rsidR="00DB7A41" w:rsidRPr="00291204">
        <w:t xml:space="preserve"> </w:t>
      </w:r>
      <w:r w:rsidR="0051088C" w:rsidRPr="00291204">
        <w:t>state and territor</w:t>
      </w:r>
      <w:r w:rsidR="00DB7A41">
        <w:t>y</w:t>
      </w:r>
      <w:r w:rsidR="0051088C" w:rsidRPr="00291204">
        <w:t xml:space="preserve"> government</w:t>
      </w:r>
      <w:r w:rsidR="00DB7A41">
        <w:t>s</w:t>
      </w:r>
      <w:r w:rsidR="0051088C" w:rsidRPr="00291204">
        <w:t xml:space="preserve"> associated with NBS for X-ALD (PICO set 2)</w:t>
      </w:r>
      <w:r w:rsidR="0051088C" w:rsidRPr="000B7226">
        <w:t xml:space="preserve">. </w:t>
      </w:r>
      <w:r w:rsidR="0086197F">
        <w:t>A</w:t>
      </w:r>
      <w:r w:rsidR="0051088C">
        <w:t xml:space="preserve">pproximately 180 </w:t>
      </w:r>
      <w:r w:rsidR="0086197F">
        <w:t xml:space="preserve">family members </w:t>
      </w:r>
      <w:r w:rsidR="00CA6C7F">
        <w:t>we</w:t>
      </w:r>
      <w:r w:rsidR="009C0176">
        <w:t xml:space="preserve">re </w:t>
      </w:r>
      <w:r w:rsidR="0051088C">
        <w:t>estimated to take</w:t>
      </w:r>
      <w:r w:rsidR="00CA6C7F">
        <w:t xml:space="preserve"> up</w:t>
      </w:r>
      <w:r w:rsidR="0051088C">
        <w:t xml:space="preserve"> genetic counselling and cascade testing</w:t>
      </w:r>
      <w:r w:rsidR="0086197F">
        <w:t xml:space="preserve">. </w:t>
      </w:r>
      <w:r w:rsidR="0051088C">
        <w:t>For Strateg</w:t>
      </w:r>
      <w:r w:rsidR="00CA6C7F">
        <w:t>ies</w:t>
      </w:r>
      <w:r w:rsidR="0051088C">
        <w:t xml:space="preserve"> I to IV, family members of both male and female newborns with positive </w:t>
      </w:r>
      <w:r w:rsidR="00222AA5">
        <w:t xml:space="preserve">diagnosis through NBS </w:t>
      </w:r>
      <w:r w:rsidR="0051088C">
        <w:t>would be eligible for genetic counselling and cascade testing. In contrast, with Strateg</w:t>
      </w:r>
      <w:r w:rsidR="00CA6C7F">
        <w:t>ies</w:t>
      </w:r>
      <w:r w:rsidR="0051088C">
        <w:t xml:space="preserve"> Ia to IVb, only </w:t>
      </w:r>
      <w:r w:rsidR="0086197F">
        <w:t>f</w:t>
      </w:r>
      <w:r w:rsidR="0051088C">
        <w:t xml:space="preserve">amily members of male newborns </w:t>
      </w:r>
      <w:r w:rsidR="0086197F">
        <w:t xml:space="preserve">with a positive </w:t>
      </w:r>
      <w:r w:rsidR="00E63A77">
        <w:t xml:space="preserve">diagnosis through NBS </w:t>
      </w:r>
      <w:r w:rsidR="0051088C">
        <w:t xml:space="preserve">would be eligible for </w:t>
      </w:r>
      <w:r w:rsidR="0051088C" w:rsidRPr="00901022">
        <w:t>genetic counselling and cascade testing</w:t>
      </w:r>
      <w:r w:rsidR="0051088C">
        <w:t xml:space="preserve">.  </w:t>
      </w:r>
    </w:p>
    <w:p w14:paraId="5A2058DA" w14:textId="70A62E69" w:rsidR="0086197F" w:rsidRDefault="0051088C" w:rsidP="00C95193">
      <w:r>
        <w:t>The e</w:t>
      </w:r>
      <w:r w:rsidRPr="002310E6">
        <w:t xml:space="preserve">stimated total cost to the </w:t>
      </w:r>
      <w:r>
        <w:t>s</w:t>
      </w:r>
      <w:r w:rsidRPr="002310E6">
        <w:t xml:space="preserve">tate and </w:t>
      </w:r>
      <w:r>
        <w:t>t</w:t>
      </w:r>
      <w:r w:rsidRPr="002310E6">
        <w:t>erritor</w:t>
      </w:r>
      <w:r w:rsidR="00CA6C7F">
        <w:t>y</w:t>
      </w:r>
      <w:r w:rsidRPr="002310E6">
        <w:t xml:space="preserve"> </w:t>
      </w:r>
      <w:r>
        <w:t>government</w:t>
      </w:r>
      <w:r w:rsidR="00CA6C7F">
        <w:t>s</w:t>
      </w:r>
      <w:r>
        <w:t xml:space="preserve"> </w:t>
      </w:r>
      <w:r w:rsidRPr="002310E6">
        <w:t xml:space="preserve">for PICO </w:t>
      </w:r>
      <w:r>
        <w:t xml:space="preserve">set </w:t>
      </w:r>
      <w:r w:rsidRPr="002310E6">
        <w:t xml:space="preserve">2 </w:t>
      </w:r>
      <w:r w:rsidR="00CA6C7F">
        <w:t>wa</w:t>
      </w:r>
      <w:r>
        <w:t xml:space="preserve">s $0.32 million for </w:t>
      </w:r>
      <w:r w:rsidRPr="002310E6">
        <w:t>Strateg</w:t>
      </w:r>
      <w:r w:rsidR="00CA6C7F">
        <w:t>ies</w:t>
      </w:r>
      <w:r w:rsidRPr="002310E6">
        <w:t xml:space="preserve"> I to IV</w:t>
      </w:r>
      <w:r>
        <w:t>, and $0.13 million for Strateg</w:t>
      </w:r>
      <w:r w:rsidR="00CA6C7F">
        <w:t>ies</w:t>
      </w:r>
      <w:r>
        <w:t xml:space="preserve"> Ia to IVb</w:t>
      </w:r>
      <w:r w:rsidRPr="002310E6">
        <w:t xml:space="preserve"> </w:t>
      </w:r>
      <w:r>
        <w:t xml:space="preserve">over six years. </w:t>
      </w:r>
    </w:p>
    <w:p w14:paraId="4C39D49A" w14:textId="2B87661C" w:rsidR="0051088C" w:rsidRPr="000B7226" w:rsidRDefault="0051088C" w:rsidP="00B76655">
      <w:pPr>
        <w:pStyle w:val="Caption"/>
      </w:pPr>
      <w:bookmarkStart w:id="70" w:name="_Ref130227531"/>
      <w:r>
        <w:lastRenderedPageBreak/>
        <w:t xml:space="preserve">Table </w:t>
      </w:r>
      <w:r>
        <w:fldChar w:fldCharType="begin"/>
      </w:r>
      <w:r>
        <w:instrText>SEQ Table \* ARABIC</w:instrText>
      </w:r>
      <w:r>
        <w:fldChar w:fldCharType="separate"/>
      </w:r>
      <w:r w:rsidR="00253978">
        <w:rPr>
          <w:noProof/>
        </w:rPr>
        <w:t>18</w:t>
      </w:r>
      <w:r>
        <w:fldChar w:fldCharType="end"/>
      </w:r>
      <w:bookmarkEnd w:id="70"/>
      <w:r>
        <w:t xml:space="preserve">: </w:t>
      </w:r>
      <w:r w:rsidRPr="000B7226">
        <w:t>Net financial implications</w:t>
      </w:r>
      <w:r>
        <w:t xml:space="preserve"> </w:t>
      </w:r>
      <w:r w:rsidR="00AB2B50">
        <w:t xml:space="preserve">to state and territory </w:t>
      </w:r>
      <w:r>
        <w:t>government</w:t>
      </w:r>
      <w:r w:rsidR="00AB2B50">
        <w:t xml:space="preserve"> budgets </w:t>
      </w:r>
      <w:r w:rsidRPr="000B7226">
        <w:t xml:space="preserve">associated with </w:t>
      </w:r>
      <w:r w:rsidR="00F27D1A">
        <w:t xml:space="preserve">cascade testing arising from </w:t>
      </w:r>
      <w:r w:rsidRPr="000B7226">
        <w:t xml:space="preserve">NBS for X-ALD (PICO </w:t>
      </w:r>
      <w:r>
        <w:t>set 2</w:t>
      </w:r>
      <w:r w:rsidRPr="000B7226">
        <w:t>)</w:t>
      </w:r>
    </w:p>
    <w:tbl>
      <w:tblPr>
        <w:tblStyle w:val="TableGrid1"/>
        <w:tblW w:w="0" w:type="auto"/>
        <w:tblCellMar>
          <w:left w:w="0" w:type="dxa"/>
          <w:right w:w="0" w:type="dxa"/>
        </w:tblCellMar>
        <w:tblLook w:val="04A0" w:firstRow="1" w:lastRow="0" w:firstColumn="1" w:lastColumn="0" w:noHBand="0" w:noVBand="1"/>
      </w:tblPr>
      <w:tblGrid>
        <w:gridCol w:w="3968"/>
        <w:gridCol w:w="809"/>
        <w:gridCol w:w="809"/>
        <w:gridCol w:w="809"/>
        <w:gridCol w:w="809"/>
        <w:gridCol w:w="901"/>
        <w:gridCol w:w="901"/>
      </w:tblGrid>
      <w:tr w:rsidR="005A1072" w:rsidRPr="000B7226" w14:paraId="605435D6" w14:textId="77777777" w:rsidTr="00C25359">
        <w:trPr>
          <w:cnfStyle w:val="100000000000" w:firstRow="1" w:lastRow="0" w:firstColumn="0" w:lastColumn="0" w:oddVBand="0" w:evenVBand="0" w:oddHBand="0" w:evenHBand="0" w:firstRowFirstColumn="0" w:firstRowLastColumn="0" w:lastRowFirstColumn="0" w:lastRowLastColumn="0"/>
          <w:tblHeader/>
        </w:trPr>
        <w:tc>
          <w:tcPr>
            <w:tcW w:w="3968" w:type="dxa"/>
            <w:tcMar>
              <w:top w:w="0" w:type="dxa"/>
              <w:left w:w="108" w:type="dxa"/>
              <w:bottom w:w="0" w:type="dxa"/>
              <w:right w:w="108" w:type="dxa"/>
            </w:tcMar>
          </w:tcPr>
          <w:p w14:paraId="619DFA40" w14:textId="77777777" w:rsidR="005A1072" w:rsidRPr="000B7226" w:rsidRDefault="005A1072" w:rsidP="005A1072">
            <w:pPr>
              <w:spacing w:before="40"/>
              <w:rPr>
                <w:rFonts w:ascii="Arial Narrow" w:hAnsi="Arial Narrow"/>
                <w:b/>
                <w:bCs/>
              </w:rPr>
            </w:pPr>
            <w:r w:rsidRPr="000B7226">
              <w:rPr>
                <w:rFonts w:ascii="Arial Narrow" w:hAnsi="Arial Narrow"/>
                <w:b/>
                <w:bCs/>
              </w:rPr>
              <w:t xml:space="preserve">Parameter </w:t>
            </w:r>
          </w:p>
        </w:tc>
        <w:tc>
          <w:tcPr>
            <w:tcW w:w="809" w:type="dxa"/>
            <w:tcMar>
              <w:top w:w="0" w:type="dxa"/>
              <w:left w:w="108" w:type="dxa"/>
              <w:bottom w:w="0" w:type="dxa"/>
              <w:right w:w="108" w:type="dxa"/>
            </w:tcMar>
            <w:hideMark/>
          </w:tcPr>
          <w:p w14:paraId="04965A8C" w14:textId="39AAD1A5" w:rsidR="005A1072" w:rsidRPr="000B7226" w:rsidRDefault="005A1072" w:rsidP="00C95193">
            <w:pPr>
              <w:spacing w:before="40"/>
              <w:jc w:val="center"/>
              <w:rPr>
                <w:rFonts w:ascii="Arial Narrow" w:hAnsi="Arial Narrow"/>
                <w:b/>
                <w:bCs/>
              </w:rPr>
            </w:pPr>
            <w:r w:rsidRPr="006253B6">
              <w:rPr>
                <w:rFonts w:ascii="Arial Narrow" w:hAnsi="Arial Narrow"/>
                <w:b/>
                <w:sz w:val="19"/>
                <w:szCs w:val="19"/>
              </w:rPr>
              <w:t>Year 1</w:t>
            </w:r>
            <w:r>
              <w:rPr>
                <w:rFonts w:ascii="Arial Narrow" w:hAnsi="Arial Narrow"/>
                <w:b/>
                <w:sz w:val="19"/>
                <w:szCs w:val="19"/>
              </w:rPr>
              <w:br/>
              <w:t>(2024)</w:t>
            </w:r>
          </w:p>
        </w:tc>
        <w:tc>
          <w:tcPr>
            <w:tcW w:w="809" w:type="dxa"/>
            <w:tcMar>
              <w:top w:w="0" w:type="dxa"/>
              <w:left w:w="108" w:type="dxa"/>
              <w:bottom w:w="0" w:type="dxa"/>
              <w:right w:w="108" w:type="dxa"/>
            </w:tcMar>
            <w:hideMark/>
          </w:tcPr>
          <w:p w14:paraId="171C528D" w14:textId="69398606" w:rsidR="005A1072" w:rsidRPr="000B7226" w:rsidRDefault="005A1072" w:rsidP="00C95193">
            <w:pPr>
              <w:spacing w:before="40"/>
              <w:jc w:val="center"/>
              <w:rPr>
                <w:rFonts w:ascii="Arial Narrow" w:hAnsi="Arial Narrow"/>
                <w:b/>
                <w:bCs/>
              </w:rPr>
            </w:pPr>
            <w:r w:rsidRPr="006253B6">
              <w:rPr>
                <w:rFonts w:ascii="Arial Narrow" w:hAnsi="Arial Narrow"/>
                <w:b/>
                <w:bCs/>
                <w:sz w:val="19"/>
                <w:szCs w:val="19"/>
              </w:rPr>
              <w:t>Year 2</w:t>
            </w:r>
            <w:r>
              <w:rPr>
                <w:rFonts w:ascii="Arial Narrow" w:hAnsi="Arial Narrow"/>
                <w:b/>
                <w:bCs/>
                <w:sz w:val="19"/>
                <w:szCs w:val="19"/>
              </w:rPr>
              <w:br/>
              <w:t>(2025)</w:t>
            </w:r>
          </w:p>
        </w:tc>
        <w:tc>
          <w:tcPr>
            <w:tcW w:w="809" w:type="dxa"/>
            <w:tcMar>
              <w:top w:w="0" w:type="dxa"/>
              <w:left w:w="108" w:type="dxa"/>
              <w:bottom w:w="0" w:type="dxa"/>
              <w:right w:w="108" w:type="dxa"/>
            </w:tcMar>
            <w:hideMark/>
          </w:tcPr>
          <w:p w14:paraId="3497ACB6" w14:textId="5ED78146" w:rsidR="005A1072" w:rsidRPr="000B7226" w:rsidRDefault="005A1072" w:rsidP="00C95193">
            <w:pPr>
              <w:spacing w:before="40"/>
              <w:jc w:val="center"/>
              <w:rPr>
                <w:rFonts w:ascii="Arial Narrow" w:hAnsi="Arial Narrow"/>
                <w:b/>
                <w:bCs/>
              </w:rPr>
            </w:pPr>
            <w:r w:rsidRPr="006253B6">
              <w:rPr>
                <w:rFonts w:ascii="Arial Narrow" w:hAnsi="Arial Narrow"/>
                <w:b/>
                <w:bCs/>
                <w:sz w:val="19"/>
                <w:szCs w:val="19"/>
              </w:rPr>
              <w:t>Year 3</w:t>
            </w:r>
            <w:r>
              <w:rPr>
                <w:rFonts w:ascii="Arial Narrow" w:hAnsi="Arial Narrow"/>
                <w:b/>
                <w:bCs/>
                <w:sz w:val="19"/>
                <w:szCs w:val="19"/>
              </w:rPr>
              <w:br/>
              <w:t>(2026)</w:t>
            </w:r>
          </w:p>
        </w:tc>
        <w:tc>
          <w:tcPr>
            <w:tcW w:w="809" w:type="dxa"/>
            <w:tcMar>
              <w:top w:w="0" w:type="dxa"/>
              <w:left w:w="108" w:type="dxa"/>
              <w:bottom w:w="0" w:type="dxa"/>
              <w:right w:w="108" w:type="dxa"/>
            </w:tcMar>
            <w:hideMark/>
          </w:tcPr>
          <w:p w14:paraId="39C99284" w14:textId="0C874641" w:rsidR="005A1072" w:rsidRPr="000B7226" w:rsidRDefault="005A1072" w:rsidP="00C95193">
            <w:pPr>
              <w:spacing w:before="40"/>
              <w:jc w:val="center"/>
              <w:rPr>
                <w:rFonts w:ascii="Arial Narrow" w:hAnsi="Arial Narrow"/>
                <w:b/>
                <w:bCs/>
              </w:rPr>
            </w:pPr>
            <w:r w:rsidRPr="006253B6">
              <w:rPr>
                <w:rFonts w:ascii="Arial Narrow" w:hAnsi="Arial Narrow"/>
                <w:b/>
                <w:bCs/>
                <w:sz w:val="19"/>
                <w:szCs w:val="19"/>
              </w:rPr>
              <w:t>Year 4</w:t>
            </w:r>
            <w:r>
              <w:rPr>
                <w:rFonts w:ascii="Arial Narrow" w:hAnsi="Arial Narrow"/>
                <w:b/>
                <w:bCs/>
                <w:sz w:val="19"/>
                <w:szCs w:val="19"/>
              </w:rPr>
              <w:br/>
              <w:t>(2027)</w:t>
            </w:r>
          </w:p>
        </w:tc>
        <w:tc>
          <w:tcPr>
            <w:tcW w:w="901" w:type="dxa"/>
            <w:tcMar>
              <w:top w:w="0" w:type="dxa"/>
              <w:left w:w="108" w:type="dxa"/>
              <w:bottom w:w="0" w:type="dxa"/>
              <w:right w:w="108" w:type="dxa"/>
            </w:tcMar>
            <w:hideMark/>
          </w:tcPr>
          <w:p w14:paraId="0506A7FA" w14:textId="3C9EEDB3" w:rsidR="005A1072" w:rsidRPr="000B7226" w:rsidRDefault="005A1072" w:rsidP="00C95193">
            <w:pPr>
              <w:spacing w:before="40"/>
              <w:jc w:val="center"/>
              <w:rPr>
                <w:rFonts w:ascii="Arial Narrow" w:hAnsi="Arial Narrow"/>
                <w:b/>
                <w:bCs/>
              </w:rPr>
            </w:pPr>
            <w:r w:rsidRPr="006253B6">
              <w:rPr>
                <w:rFonts w:ascii="Arial Narrow" w:hAnsi="Arial Narrow"/>
                <w:b/>
                <w:bCs/>
                <w:sz w:val="19"/>
                <w:szCs w:val="19"/>
              </w:rPr>
              <w:t>Year 5</w:t>
            </w:r>
            <w:r>
              <w:rPr>
                <w:rFonts w:ascii="Arial Narrow" w:hAnsi="Arial Narrow"/>
                <w:b/>
                <w:bCs/>
                <w:sz w:val="19"/>
                <w:szCs w:val="19"/>
              </w:rPr>
              <w:br/>
              <w:t>(2028)</w:t>
            </w:r>
          </w:p>
        </w:tc>
        <w:tc>
          <w:tcPr>
            <w:tcW w:w="901" w:type="dxa"/>
            <w:tcMar>
              <w:top w:w="0" w:type="dxa"/>
              <w:left w:w="108" w:type="dxa"/>
              <w:bottom w:w="0" w:type="dxa"/>
              <w:right w:w="108" w:type="dxa"/>
            </w:tcMar>
            <w:hideMark/>
          </w:tcPr>
          <w:p w14:paraId="6B66C303" w14:textId="3811CDCF" w:rsidR="005A1072" w:rsidRPr="000B7226" w:rsidRDefault="005A1072" w:rsidP="00C95193">
            <w:pPr>
              <w:spacing w:before="40"/>
              <w:jc w:val="center"/>
              <w:rPr>
                <w:rFonts w:ascii="Arial Narrow" w:hAnsi="Arial Narrow"/>
                <w:b/>
                <w:bCs/>
              </w:rPr>
            </w:pPr>
            <w:r w:rsidRPr="006253B6">
              <w:rPr>
                <w:rFonts w:ascii="Arial Narrow" w:hAnsi="Arial Narrow"/>
                <w:b/>
                <w:bCs/>
                <w:sz w:val="19"/>
                <w:szCs w:val="19"/>
              </w:rPr>
              <w:t>Year 6</w:t>
            </w:r>
            <w:r>
              <w:rPr>
                <w:rFonts w:ascii="Arial Narrow" w:hAnsi="Arial Narrow"/>
                <w:b/>
                <w:bCs/>
                <w:sz w:val="19"/>
                <w:szCs w:val="19"/>
              </w:rPr>
              <w:t xml:space="preserve"> </w:t>
            </w:r>
            <w:r>
              <w:rPr>
                <w:rFonts w:ascii="Arial Narrow" w:hAnsi="Arial Narrow"/>
                <w:b/>
                <w:bCs/>
                <w:sz w:val="19"/>
                <w:szCs w:val="19"/>
              </w:rPr>
              <w:br/>
              <w:t>(2029)</w:t>
            </w:r>
          </w:p>
        </w:tc>
      </w:tr>
      <w:tr w:rsidR="0051088C" w:rsidRPr="000B7226" w14:paraId="7EC01459" w14:textId="77777777" w:rsidTr="00C25359">
        <w:tc>
          <w:tcPr>
            <w:tcW w:w="9006" w:type="dxa"/>
            <w:gridSpan w:val="7"/>
            <w:tcMar>
              <w:top w:w="0" w:type="dxa"/>
              <w:left w:w="108" w:type="dxa"/>
              <w:bottom w:w="0" w:type="dxa"/>
              <w:right w:w="108" w:type="dxa"/>
            </w:tcMar>
            <w:hideMark/>
          </w:tcPr>
          <w:p w14:paraId="19A23460" w14:textId="77777777" w:rsidR="0051088C" w:rsidRPr="000B7226" w:rsidRDefault="0051088C" w:rsidP="000B7226">
            <w:pPr>
              <w:spacing w:before="40"/>
              <w:rPr>
                <w:rFonts w:ascii="Arial Narrow" w:hAnsi="Arial Narrow"/>
                <w:b/>
                <w:bCs/>
              </w:rPr>
            </w:pPr>
            <w:r w:rsidRPr="000B7226">
              <w:rPr>
                <w:rFonts w:ascii="Arial Narrow" w:hAnsi="Arial Narrow"/>
                <w:b/>
                <w:bCs/>
              </w:rPr>
              <w:t xml:space="preserve">Estimated use of </w:t>
            </w:r>
            <w:r>
              <w:rPr>
                <w:rFonts w:ascii="Arial Narrow" w:hAnsi="Arial Narrow"/>
                <w:b/>
                <w:bCs/>
              </w:rPr>
              <w:t>genetic counselling and cascade</w:t>
            </w:r>
            <w:r w:rsidRPr="000B7226">
              <w:rPr>
                <w:rFonts w:ascii="Arial Narrow" w:hAnsi="Arial Narrow"/>
                <w:b/>
                <w:bCs/>
              </w:rPr>
              <w:t xml:space="preserve"> </w:t>
            </w:r>
            <w:r>
              <w:rPr>
                <w:rFonts w:ascii="Arial Narrow" w:hAnsi="Arial Narrow"/>
                <w:b/>
                <w:bCs/>
              </w:rPr>
              <w:t>testing (PICO set 2)</w:t>
            </w:r>
          </w:p>
        </w:tc>
      </w:tr>
      <w:tr w:rsidR="0051088C" w:rsidRPr="000B7226" w14:paraId="104D6308" w14:textId="77777777" w:rsidTr="00C25359">
        <w:tc>
          <w:tcPr>
            <w:tcW w:w="3968" w:type="dxa"/>
            <w:tcMar>
              <w:top w:w="0" w:type="dxa"/>
              <w:left w:w="108" w:type="dxa"/>
              <w:bottom w:w="0" w:type="dxa"/>
              <w:right w:w="108" w:type="dxa"/>
            </w:tcMar>
            <w:vAlign w:val="center"/>
          </w:tcPr>
          <w:p w14:paraId="29D9937E" w14:textId="77777777" w:rsidR="0051088C" w:rsidRPr="000B7226" w:rsidRDefault="0051088C" w:rsidP="000B7226">
            <w:pPr>
              <w:spacing w:before="40"/>
              <w:rPr>
                <w:rFonts w:ascii="Arial Narrow" w:hAnsi="Arial Narrow"/>
                <w:b/>
                <w:bCs/>
              </w:rPr>
            </w:pPr>
            <w:r w:rsidRPr="000B7226">
              <w:rPr>
                <w:rFonts w:ascii="Arial Narrow" w:hAnsi="Arial Narrow" w:cs="Calibri"/>
                <w:color w:val="000000"/>
              </w:rPr>
              <w:t>Total number of newborns who receive NBS for X-ALD</w:t>
            </w:r>
          </w:p>
        </w:tc>
        <w:tc>
          <w:tcPr>
            <w:tcW w:w="809" w:type="dxa"/>
            <w:tcMar>
              <w:top w:w="0" w:type="dxa"/>
              <w:left w:w="108" w:type="dxa"/>
              <w:bottom w:w="0" w:type="dxa"/>
              <w:right w:w="108" w:type="dxa"/>
            </w:tcMar>
          </w:tcPr>
          <w:p w14:paraId="1AFC17AD" w14:textId="77777777" w:rsidR="0051088C" w:rsidRPr="000B7226" w:rsidRDefault="0051088C" w:rsidP="000B7226">
            <w:pPr>
              <w:spacing w:before="40"/>
              <w:jc w:val="center"/>
              <w:rPr>
                <w:rFonts w:ascii="Arial Narrow" w:hAnsi="Arial Narrow"/>
              </w:rPr>
            </w:pPr>
            <w:r w:rsidRPr="000B7226">
              <w:rPr>
                <w:rFonts w:ascii="Arial Narrow" w:hAnsi="Arial Narrow" w:cs="Calibri"/>
                <w:color w:val="000000"/>
              </w:rPr>
              <w:t>309,759</w:t>
            </w:r>
          </w:p>
        </w:tc>
        <w:tc>
          <w:tcPr>
            <w:tcW w:w="809" w:type="dxa"/>
            <w:tcMar>
              <w:top w:w="0" w:type="dxa"/>
              <w:left w:w="108" w:type="dxa"/>
              <w:bottom w:w="0" w:type="dxa"/>
              <w:right w:w="108" w:type="dxa"/>
            </w:tcMar>
          </w:tcPr>
          <w:p w14:paraId="54250596" w14:textId="77777777" w:rsidR="0051088C" w:rsidRPr="000B7226" w:rsidRDefault="0051088C" w:rsidP="000B7226">
            <w:pPr>
              <w:spacing w:before="40"/>
              <w:jc w:val="center"/>
              <w:rPr>
                <w:rFonts w:ascii="Arial Narrow" w:hAnsi="Arial Narrow"/>
              </w:rPr>
            </w:pPr>
            <w:r w:rsidRPr="000B7226">
              <w:rPr>
                <w:rFonts w:ascii="Arial Narrow" w:hAnsi="Arial Narrow" w:cs="Calibri"/>
                <w:color w:val="000000"/>
              </w:rPr>
              <w:t>310,719</w:t>
            </w:r>
          </w:p>
        </w:tc>
        <w:tc>
          <w:tcPr>
            <w:tcW w:w="809" w:type="dxa"/>
            <w:tcMar>
              <w:top w:w="0" w:type="dxa"/>
              <w:left w:w="108" w:type="dxa"/>
              <w:bottom w:w="0" w:type="dxa"/>
              <w:right w:w="108" w:type="dxa"/>
            </w:tcMar>
          </w:tcPr>
          <w:p w14:paraId="2B543F1C" w14:textId="77777777" w:rsidR="0051088C" w:rsidRPr="000B7226" w:rsidRDefault="0051088C" w:rsidP="000B7226">
            <w:pPr>
              <w:spacing w:before="40"/>
              <w:jc w:val="center"/>
              <w:rPr>
                <w:rFonts w:ascii="Arial Narrow" w:hAnsi="Arial Narrow"/>
              </w:rPr>
            </w:pPr>
            <w:r w:rsidRPr="000B7226">
              <w:rPr>
                <w:rFonts w:ascii="Arial Narrow" w:hAnsi="Arial Narrow" w:cs="Calibri"/>
                <w:color w:val="000000"/>
              </w:rPr>
              <w:t>311,683</w:t>
            </w:r>
          </w:p>
        </w:tc>
        <w:tc>
          <w:tcPr>
            <w:tcW w:w="809" w:type="dxa"/>
            <w:tcMar>
              <w:top w:w="0" w:type="dxa"/>
              <w:left w:w="108" w:type="dxa"/>
              <w:bottom w:w="0" w:type="dxa"/>
              <w:right w:w="108" w:type="dxa"/>
            </w:tcMar>
          </w:tcPr>
          <w:p w14:paraId="5A05D310" w14:textId="77777777" w:rsidR="0051088C" w:rsidRPr="000B7226" w:rsidRDefault="0051088C" w:rsidP="000B7226">
            <w:pPr>
              <w:spacing w:before="40"/>
              <w:jc w:val="center"/>
              <w:rPr>
                <w:rFonts w:ascii="Arial Narrow" w:hAnsi="Arial Narrow"/>
              </w:rPr>
            </w:pPr>
            <w:r w:rsidRPr="000B7226">
              <w:rPr>
                <w:rFonts w:ascii="Arial Narrow" w:hAnsi="Arial Narrow" w:cs="Calibri"/>
                <w:color w:val="000000"/>
              </w:rPr>
              <w:t>312,649</w:t>
            </w:r>
          </w:p>
        </w:tc>
        <w:tc>
          <w:tcPr>
            <w:tcW w:w="901" w:type="dxa"/>
            <w:tcMar>
              <w:top w:w="0" w:type="dxa"/>
              <w:left w:w="108" w:type="dxa"/>
              <w:bottom w:w="0" w:type="dxa"/>
              <w:right w:w="108" w:type="dxa"/>
            </w:tcMar>
          </w:tcPr>
          <w:p w14:paraId="2C7EE800" w14:textId="77777777" w:rsidR="0051088C" w:rsidRPr="000B7226" w:rsidRDefault="0051088C" w:rsidP="000B7226">
            <w:pPr>
              <w:spacing w:before="40"/>
              <w:jc w:val="center"/>
              <w:rPr>
                <w:rFonts w:ascii="Arial Narrow" w:hAnsi="Arial Narrow"/>
              </w:rPr>
            </w:pPr>
            <w:r w:rsidRPr="000B7226">
              <w:rPr>
                <w:rFonts w:ascii="Arial Narrow" w:hAnsi="Arial Narrow" w:cs="Calibri"/>
                <w:color w:val="000000"/>
              </w:rPr>
              <w:t>313,618</w:t>
            </w:r>
          </w:p>
        </w:tc>
        <w:tc>
          <w:tcPr>
            <w:tcW w:w="901" w:type="dxa"/>
            <w:tcMar>
              <w:top w:w="0" w:type="dxa"/>
              <w:left w:w="108" w:type="dxa"/>
              <w:bottom w:w="0" w:type="dxa"/>
              <w:right w:w="108" w:type="dxa"/>
            </w:tcMar>
          </w:tcPr>
          <w:p w14:paraId="1B972404" w14:textId="77777777" w:rsidR="0051088C" w:rsidRPr="000B7226" w:rsidRDefault="0051088C" w:rsidP="000B7226">
            <w:pPr>
              <w:spacing w:before="40"/>
              <w:jc w:val="center"/>
              <w:rPr>
                <w:rFonts w:ascii="Arial Narrow" w:hAnsi="Arial Narrow"/>
              </w:rPr>
            </w:pPr>
            <w:r w:rsidRPr="000B7226">
              <w:rPr>
                <w:rFonts w:ascii="Arial Narrow" w:hAnsi="Arial Narrow" w:cs="Calibri"/>
                <w:color w:val="000000"/>
              </w:rPr>
              <w:t>314,590</w:t>
            </w:r>
          </w:p>
        </w:tc>
      </w:tr>
      <w:tr w:rsidR="0051088C" w:rsidRPr="000B7226" w14:paraId="2764C373" w14:textId="77777777" w:rsidTr="00C25359">
        <w:tc>
          <w:tcPr>
            <w:tcW w:w="3968" w:type="dxa"/>
            <w:shd w:val="clear" w:color="auto" w:fill="auto"/>
            <w:tcMar>
              <w:top w:w="0" w:type="dxa"/>
              <w:left w:w="108" w:type="dxa"/>
              <w:bottom w:w="0" w:type="dxa"/>
              <w:right w:w="108" w:type="dxa"/>
            </w:tcMar>
            <w:vAlign w:val="center"/>
          </w:tcPr>
          <w:p w14:paraId="03DCD884" w14:textId="77777777" w:rsidR="0051088C" w:rsidRPr="000B7226" w:rsidRDefault="0051088C" w:rsidP="00C25359">
            <w:pPr>
              <w:spacing w:before="40"/>
              <w:rPr>
                <w:rFonts w:ascii="Arial Narrow" w:hAnsi="Arial Narrow" w:cs="Calibri"/>
                <w:color w:val="000000"/>
              </w:rPr>
            </w:pPr>
            <w:r>
              <w:rPr>
                <w:rFonts w:ascii="Arial Narrow" w:hAnsi="Arial Narrow" w:cs="Calibri"/>
                <w:color w:val="000000"/>
              </w:rPr>
              <w:t>Number of newborns who receive NBS for X-ALD and identified with positive genotype (11.05 per 100,000)</w:t>
            </w:r>
          </w:p>
        </w:tc>
        <w:tc>
          <w:tcPr>
            <w:tcW w:w="809" w:type="dxa"/>
            <w:shd w:val="clear" w:color="auto" w:fill="auto"/>
            <w:tcMar>
              <w:top w:w="0" w:type="dxa"/>
              <w:left w:w="108" w:type="dxa"/>
              <w:bottom w:w="0" w:type="dxa"/>
              <w:right w:w="108" w:type="dxa"/>
            </w:tcMar>
          </w:tcPr>
          <w:p w14:paraId="4A6AF2AE"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34</w:t>
            </w:r>
          </w:p>
        </w:tc>
        <w:tc>
          <w:tcPr>
            <w:tcW w:w="809" w:type="dxa"/>
            <w:shd w:val="clear" w:color="auto" w:fill="auto"/>
            <w:tcMar>
              <w:top w:w="0" w:type="dxa"/>
              <w:left w:w="108" w:type="dxa"/>
              <w:bottom w:w="0" w:type="dxa"/>
              <w:right w:w="108" w:type="dxa"/>
            </w:tcMar>
          </w:tcPr>
          <w:p w14:paraId="03ECD5EE"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34</w:t>
            </w:r>
          </w:p>
        </w:tc>
        <w:tc>
          <w:tcPr>
            <w:tcW w:w="809" w:type="dxa"/>
            <w:shd w:val="clear" w:color="auto" w:fill="auto"/>
            <w:tcMar>
              <w:top w:w="0" w:type="dxa"/>
              <w:left w:w="108" w:type="dxa"/>
              <w:bottom w:w="0" w:type="dxa"/>
              <w:right w:w="108" w:type="dxa"/>
            </w:tcMar>
          </w:tcPr>
          <w:p w14:paraId="2FD7C156"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34</w:t>
            </w:r>
          </w:p>
        </w:tc>
        <w:tc>
          <w:tcPr>
            <w:tcW w:w="809" w:type="dxa"/>
            <w:shd w:val="clear" w:color="auto" w:fill="auto"/>
            <w:tcMar>
              <w:top w:w="0" w:type="dxa"/>
              <w:left w:w="108" w:type="dxa"/>
              <w:bottom w:w="0" w:type="dxa"/>
              <w:right w:w="108" w:type="dxa"/>
            </w:tcMar>
          </w:tcPr>
          <w:p w14:paraId="0320CABA"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35</w:t>
            </w:r>
          </w:p>
        </w:tc>
        <w:tc>
          <w:tcPr>
            <w:tcW w:w="901" w:type="dxa"/>
            <w:shd w:val="clear" w:color="auto" w:fill="auto"/>
            <w:tcMar>
              <w:top w:w="0" w:type="dxa"/>
              <w:left w:w="108" w:type="dxa"/>
              <w:bottom w:w="0" w:type="dxa"/>
              <w:right w:w="108" w:type="dxa"/>
            </w:tcMar>
          </w:tcPr>
          <w:p w14:paraId="1C0DE3D1"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35</w:t>
            </w:r>
          </w:p>
        </w:tc>
        <w:tc>
          <w:tcPr>
            <w:tcW w:w="901" w:type="dxa"/>
            <w:shd w:val="clear" w:color="auto" w:fill="auto"/>
            <w:tcMar>
              <w:top w:w="0" w:type="dxa"/>
              <w:left w:w="108" w:type="dxa"/>
              <w:bottom w:w="0" w:type="dxa"/>
              <w:right w:w="108" w:type="dxa"/>
            </w:tcMar>
          </w:tcPr>
          <w:p w14:paraId="5BE97CC7"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35</w:t>
            </w:r>
          </w:p>
        </w:tc>
      </w:tr>
      <w:tr w:rsidR="0051088C" w:rsidRPr="000B7226" w14:paraId="1EA3372C" w14:textId="77777777" w:rsidTr="00C25359">
        <w:tc>
          <w:tcPr>
            <w:tcW w:w="3968" w:type="dxa"/>
            <w:shd w:val="clear" w:color="auto" w:fill="auto"/>
            <w:tcMar>
              <w:top w:w="0" w:type="dxa"/>
              <w:left w:w="108" w:type="dxa"/>
              <w:bottom w:w="0" w:type="dxa"/>
              <w:right w:w="108" w:type="dxa"/>
            </w:tcMar>
            <w:vAlign w:val="center"/>
          </w:tcPr>
          <w:p w14:paraId="5FAACE7E" w14:textId="77777777" w:rsidR="0051088C" w:rsidRPr="000B7226" w:rsidRDefault="0051088C" w:rsidP="00C25359">
            <w:pPr>
              <w:spacing w:before="40"/>
              <w:rPr>
                <w:rFonts w:ascii="Arial Narrow" w:hAnsi="Arial Narrow" w:cs="Calibri"/>
                <w:color w:val="000000"/>
              </w:rPr>
            </w:pPr>
            <w:r>
              <w:rPr>
                <w:rFonts w:ascii="Arial Narrow" w:hAnsi="Arial Narrow" w:cs="Calibri"/>
                <w:color w:val="000000"/>
              </w:rPr>
              <w:t xml:space="preserve">Number of male newborns </w:t>
            </w:r>
            <w:r w:rsidRPr="00B8658F">
              <w:rPr>
                <w:rFonts w:ascii="Arial Narrow" w:hAnsi="Arial Narrow" w:cs="Calibri"/>
                <w:color w:val="000000"/>
              </w:rPr>
              <w:t>identified with positive genotype</w:t>
            </w:r>
          </w:p>
        </w:tc>
        <w:tc>
          <w:tcPr>
            <w:tcW w:w="809" w:type="dxa"/>
            <w:shd w:val="clear" w:color="auto" w:fill="auto"/>
            <w:tcMar>
              <w:top w:w="0" w:type="dxa"/>
              <w:left w:w="108" w:type="dxa"/>
              <w:bottom w:w="0" w:type="dxa"/>
              <w:right w:w="108" w:type="dxa"/>
            </w:tcMar>
          </w:tcPr>
          <w:p w14:paraId="36C0AF0F"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18</w:t>
            </w:r>
          </w:p>
        </w:tc>
        <w:tc>
          <w:tcPr>
            <w:tcW w:w="809" w:type="dxa"/>
            <w:shd w:val="clear" w:color="auto" w:fill="auto"/>
            <w:tcMar>
              <w:top w:w="0" w:type="dxa"/>
              <w:left w:w="108" w:type="dxa"/>
              <w:bottom w:w="0" w:type="dxa"/>
              <w:right w:w="108" w:type="dxa"/>
            </w:tcMar>
          </w:tcPr>
          <w:p w14:paraId="1908B2E2"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18</w:t>
            </w:r>
          </w:p>
        </w:tc>
        <w:tc>
          <w:tcPr>
            <w:tcW w:w="809" w:type="dxa"/>
            <w:shd w:val="clear" w:color="auto" w:fill="auto"/>
            <w:tcMar>
              <w:top w:w="0" w:type="dxa"/>
              <w:left w:w="108" w:type="dxa"/>
              <w:bottom w:w="0" w:type="dxa"/>
              <w:right w:w="108" w:type="dxa"/>
            </w:tcMar>
          </w:tcPr>
          <w:p w14:paraId="7DC3592C"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18</w:t>
            </w:r>
          </w:p>
        </w:tc>
        <w:tc>
          <w:tcPr>
            <w:tcW w:w="809" w:type="dxa"/>
            <w:shd w:val="clear" w:color="auto" w:fill="auto"/>
            <w:tcMar>
              <w:top w:w="0" w:type="dxa"/>
              <w:left w:w="108" w:type="dxa"/>
              <w:bottom w:w="0" w:type="dxa"/>
              <w:right w:w="108" w:type="dxa"/>
            </w:tcMar>
          </w:tcPr>
          <w:p w14:paraId="4A40DB5A"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18</w:t>
            </w:r>
          </w:p>
        </w:tc>
        <w:tc>
          <w:tcPr>
            <w:tcW w:w="901" w:type="dxa"/>
            <w:shd w:val="clear" w:color="auto" w:fill="auto"/>
            <w:tcMar>
              <w:top w:w="0" w:type="dxa"/>
              <w:left w:w="108" w:type="dxa"/>
              <w:bottom w:w="0" w:type="dxa"/>
              <w:right w:w="108" w:type="dxa"/>
            </w:tcMar>
          </w:tcPr>
          <w:p w14:paraId="352BFAF7"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18</w:t>
            </w:r>
          </w:p>
        </w:tc>
        <w:tc>
          <w:tcPr>
            <w:tcW w:w="901" w:type="dxa"/>
            <w:shd w:val="clear" w:color="auto" w:fill="auto"/>
            <w:tcMar>
              <w:top w:w="0" w:type="dxa"/>
              <w:left w:w="108" w:type="dxa"/>
              <w:bottom w:w="0" w:type="dxa"/>
              <w:right w:w="108" w:type="dxa"/>
            </w:tcMar>
          </w:tcPr>
          <w:p w14:paraId="7347A574"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18</w:t>
            </w:r>
          </w:p>
        </w:tc>
      </w:tr>
      <w:tr w:rsidR="0051088C" w:rsidRPr="000B7226" w14:paraId="2AF627D1" w14:textId="77777777" w:rsidTr="00C25359">
        <w:tc>
          <w:tcPr>
            <w:tcW w:w="3968" w:type="dxa"/>
            <w:shd w:val="clear" w:color="auto" w:fill="auto"/>
            <w:tcMar>
              <w:top w:w="0" w:type="dxa"/>
              <w:left w:w="108" w:type="dxa"/>
              <w:bottom w:w="0" w:type="dxa"/>
              <w:right w:w="108" w:type="dxa"/>
            </w:tcMar>
            <w:vAlign w:val="center"/>
          </w:tcPr>
          <w:p w14:paraId="76885957" w14:textId="77777777" w:rsidR="0051088C" w:rsidRPr="000B7226" w:rsidRDefault="0051088C" w:rsidP="00C25359">
            <w:pPr>
              <w:spacing w:before="40"/>
              <w:rPr>
                <w:rFonts w:ascii="Arial Narrow" w:hAnsi="Arial Narrow" w:cs="Calibri"/>
                <w:color w:val="000000"/>
              </w:rPr>
            </w:pPr>
            <w:r>
              <w:rPr>
                <w:rFonts w:ascii="Arial Narrow" w:hAnsi="Arial Narrow" w:cs="Calibri"/>
                <w:color w:val="000000"/>
              </w:rPr>
              <w:t xml:space="preserve">Number of female </w:t>
            </w:r>
            <w:r w:rsidRPr="00B8658F">
              <w:rPr>
                <w:rFonts w:ascii="Arial Narrow" w:hAnsi="Arial Narrow" w:cs="Calibri"/>
                <w:color w:val="000000"/>
              </w:rPr>
              <w:t>newborns identified with positive genotype</w:t>
            </w:r>
          </w:p>
        </w:tc>
        <w:tc>
          <w:tcPr>
            <w:tcW w:w="809" w:type="dxa"/>
            <w:shd w:val="clear" w:color="auto" w:fill="auto"/>
            <w:tcMar>
              <w:top w:w="0" w:type="dxa"/>
              <w:left w:w="108" w:type="dxa"/>
              <w:bottom w:w="0" w:type="dxa"/>
              <w:right w:w="108" w:type="dxa"/>
            </w:tcMar>
          </w:tcPr>
          <w:p w14:paraId="67D84DF2"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17</w:t>
            </w:r>
          </w:p>
        </w:tc>
        <w:tc>
          <w:tcPr>
            <w:tcW w:w="809" w:type="dxa"/>
            <w:shd w:val="clear" w:color="auto" w:fill="auto"/>
            <w:tcMar>
              <w:top w:w="0" w:type="dxa"/>
              <w:left w:w="108" w:type="dxa"/>
              <w:bottom w:w="0" w:type="dxa"/>
              <w:right w:w="108" w:type="dxa"/>
            </w:tcMar>
          </w:tcPr>
          <w:p w14:paraId="70333A1E"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17</w:t>
            </w:r>
          </w:p>
        </w:tc>
        <w:tc>
          <w:tcPr>
            <w:tcW w:w="809" w:type="dxa"/>
            <w:shd w:val="clear" w:color="auto" w:fill="auto"/>
            <w:tcMar>
              <w:top w:w="0" w:type="dxa"/>
              <w:left w:w="108" w:type="dxa"/>
              <w:bottom w:w="0" w:type="dxa"/>
              <w:right w:w="108" w:type="dxa"/>
            </w:tcMar>
          </w:tcPr>
          <w:p w14:paraId="78497EBD"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17</w:t>
            </w:r>
          </w:p>
        </w:tc>
        <w:tc>
          <w:tcPr>
            <w:tcW w:w="809" w:type="dxa"/>
            <w:shd w:val="clear" w:color="auto" w:fill="auto"/>
            <w:tcMar>
              <w:top w:w="0" w:type="dxa"/>
              <w:left w:w="108" w:type="dxa"/>
              <w:bottom w:w="0" w:type="dxa"/>
              <w:right w:w="108" w:type="dxa"/>
            </w:tcMar>
          </w:tcPr>
          <w:p w14:paraId="369023F4"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17</w:t>
            </w:r>
          </w:p>
        </w:tc>
        <w:tc>
          <w:tcPr>
            <w:tcW w:w="901" w:type="dxa"/>
            <w:shd w:val="clear" w:color="auto" w:fill="auto"/>
            <w:tcMar>
              <w:top w:w="0" w:type="dxa"/>
              <w:left w:w="108" w:type="dxa"/>
              <w:bottom w:w="0" w:type="dxa"/>
              <w:right w:w="108" w:type="dxa"/>
            </w:tcMar>
          </w:tcPr>
          <w:p w14:paraId="52C014E4"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17</w:t>
            </w:r>
          </w:p>
        </w:tc>
        <w:tc>
          <w:tcPr>
            <w:tcW w:w="901" w:type="dxa"/>
            <w:shd w:val="clear" w:color="auto" w:fill="auto"/>
            <w:tcMar>
              <w:top w:w="0" w:type="dxa"/>
              <w:left w:w="108" w:type="dxa"/>
              <w:bottom w:w="0" w:type="dxa"/>
              <w:right w:w="108" w:type="dxa"/>
            </w:tcMar>
          </w:tcPr>
          <w:p w14:paraId="2DEE5315"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17</w:t>
            </w:r>
          </w:p>
        </w:tc>
      </w:tr>
      <w:tr w:rsidR="0051088C" w:rsidRPr="000B7226" w14:paraId="418E5E41" w14:textId="77777777" w:rsidTr="00C25359">
        <w:tc>
          <w:tcPr>
            <w:tcW w:w="3968" w:type="dxa"/>
            <w:shd w:val="clear" w:color="auto" w:fill="auto"/>
            <w:tcMar>
              <w:top w:w="0" w:type="dxa"/>
              <w:left w:w="108" w:type="dxa"/>
              <w:bottom w:w="0" w:type="dxa"/>
              <w:right w:w="108" w:type="dxa"/>
            </w:tcMar>
            <w:vAlign w:val="center"/>
          </w:tcPr>
          <w:p w14:paraId="406258F0" w14:textId="77777777" w:rsidR="0051088C" w:rsidRPr="000B7226" w:rsidRDefault="0051088C" w:rsidP="00C25359">
            <w:pPr>
              <w:spacing w:before="40"/>
              <w:rPr>
                <w:rFonts w:ascii="Arial Narrow" w:hAnsi="Arial Narrow" w:cs="Calibri"/>
                <w:color w:val="000000"/>
              </w:rPr>
            </w:pPr>
            <w:r>
              <w:rPr>
                <w:rFonts w:ascii="Arial Narrow" w:hAnsi="Arial Narrow" w:cs="Calibri"/>
                <w:color w:val="000000"/>
              </w:rPr>
              <w:t xml:space="preserve">Number of people eligible for cascade testing </w:t>
            </w:r>
          </w:p>
        </w:tc>
        <w:tc>
          <w:tcPr>
            <w:tcW w:w="809" w:type="dxa"/>
            <w:shd w:val="clear" w:color="auto" w:fill="auto"/>
            <w:tcMar>
              <w:top w:w="0" w:type="dxa"/>
              <w:left w:w="108" w:type="dxa"/>
              <w:bottom w:w="0" w:type="dxa"/>
              <w:right w:w="108" w:type="dxa"/>
            </w:tcMar>
          </w:tcPr>
          <w:p w14:paraId="17FACB21"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81</w:t>
            </w:r>
          </w:p>
        </w:tc>
        <w:tc>
          <w:tcPr>
            <w:tcW w:w="809" w:type="dxa"/>
            <w:shd w:val="clear" w:color="auto" w:fill="auto"/>
            <w:tcMar>
              <w:top w:w="0" w:type="dxa"/>
              <w:left w:w="108" w:type="dxa"/>
              <w:bottom w:w="0" w:type="dxa"/>
              <w:right w:w="108" w:type="dxa"/>
            </w:tcMar>
          </w:tcPr>
          <w:p w14:paraId="0B4F5F99"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81</w:t>
            </w:r>
          </w:p>
        </w:tc>
        <w:tc>
          <w:tcPr>
            <w:tcW w:w="809" w:type="dxa"/>
            <w:shd w:val="clear" w:color="auto" w:fill="auto"/>
            <w:tcMar>
              <w:top w:w="0" w:type="dxa"/>
              <w:left w:w="108" w:type="dxa"/>
              <w:bottom w:w="0" w:type="dxa"/>
              <w:right w:w="108" w:type="dxa"/>
            </w:tcMar>
          </w:tcPr>
          <w:p w14:paraId="7F13234E"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81</w:t>
            </w:r>
          </w:p>
        </w:tc>
        <w:tc>
          <w:tcPr>
            <w:tcW w:w="809" w:type="dxa"/>
            <w:shd w:val="clear" w:color="auto" w:fill="auto"/>
            <w:tcMar>
              <w:top w:w="0" w:type="dxa"/>
              <w:left w:w="108" w:type="dxa"/>
              <w:bottom w:w="0" w:type="dxa"/>
              <w:right w:w="108" w:type="dxa"/>
            </w:tcMar>
          </w:tcPr>
          <w:p w14:paraId="1C3E666B"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81</w:t>
            </w:r>
          </w:p>
        </w:tc>
        <w:tc>
          <w:tcPr>
            <w:tcW w:w="901" w:type="dxa"/>
            <w:shd w:val="clear" w:color="auto" w:fill="auto"/>
            <w:tcMar>
              <w:top w:w="0" w:type="dxa"/>
              <w:left w:w="108" w:type="dxa"/>
              <w:bottom w:w="0" w:type="dxa"/>
              <w:right w:w="108" w:type="dxa"/>
            </w:tcMar>
          </w:tcPr>
          <w:p w14:paraId="20EBCCBF"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82</w:t>
            </w:r>
          </w:p>
        </w:tc>
        <w:tc>
          <w:tcPr>
            <w:tcW w:w="901" w:type="dxa"/>
            <w:shd w:val="clear" w:color="auto" w:fill="auto"/>
            <w:tcMar>
              <w:top w:w="0" w:type="dxa"/>
              <w:left w:w="108" w:type="dxa"/>
              <w:bottom w:w="0" w:type="dxa"/>
              <w:right w:w="108" w:type="dxa"/>
            </w:tcMar>
          </w:tcPr>
          <w:p w14:paraId="111A85DE"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82</w:t>
            </w:r>
          </w:p>
        </w:tc>
      </w:tr>
      <w:tr w:rsidR="0051088C" w:rsidRPr="000B7226" w14:paraId="4D3312C9" w14:textId="77777777" w:rsidTr="00C25359">
        <w:tc>
          <w:tcPr>
            <w:tcW w:w="3968" w:type="dxa"/>
            <w:shd w:val="clear" w:color="auto" w:fill="auto"/>
            <w:tcMar>
              <w:top w:w="0" w:type="dxa"/>
              <w:left w:w="108" w:type="dxa"/>
              <w:bottom w:w="0" w:type="dxa"/>
              <w:right w:w="108" w:type="dxa"/>
            </w:tcMar>
            <w:vAlign w:val="center"/>
          </w:tcPr>
          <w:p w14:paraId="0DC2BDD5" w14:textId="77777777" w:rsidR="0051088C" w:rsidRPr="000B7226" w:rsidRDefault="0051088C" w:rsidP="00C25359">
            <w:pPr>
              <w:spacing w:before="40"/>
              <w:rPr>
                <w:rFonts w:ascii="Arial Narrow" w:hAnsi="Arial Narrow" w:cs="Calibri"/>
                <w:color w:val="000000"/>
              </w:rPr>
            </w:pPr>
            <w:r>
              <w:rPr>
                <w:rFonts w:ascii="Arial Narrow" w:hAnsi="Arial Narrow" w:cs="Calibri"/>
                <w:color w:val="000000"/>
              </w:rPr>
              <w:t xml:space="preserve">Number of people who receive cascade testing </w:t>
            </w:r>
          </w:p>
        </w:tc>
        <w:tc>
          <w:tcPr>
            <w:tcW w:w="809" w:type="dxa"/>
            <w:shd w:val="clear" w:color="auto" w:fill="auto"/>
            <w:tcMar>
              <w:top w:w="0" w:type="dxa"/>
              <w:left w:w="108" w:type="dxa"/>
              <w:bottom w:w="0" w:type="dxa"/>
              <w:right w:w="108" w:type="dxa"/>
            </w:tcMar>
          </w:tcPr>
          <w:p w14:paraId="02F93C2B" w14:textId="77777777" w:rsidR="0051088C" w:rsidRPr="000B7226" w:rsidRDefault="0051088C" w:rsidP="00C25359">
            <w:pPr>
              <w:spacing w:before="40"/>
              <w:jc w:val="center"/>
              <w:rPr>
                <w:rFonts w:ascii="Arial Narrow" w:hAnsi="Arial Narrow"/>
              </w:rPr>
            </w:pPr>
            <w:r>
              <w:rPr>
                <w:rFonts w:ascii="Arial Narrow" w:hAnsi="Arial Narrow" w:cs="Calibri"/>
                <w:color w:val="000000"/>
              </w:rPr>
              <w:t>30</w:t>
            </w:r>
          </w:p>
        </w:tc>
        <w:tc>
          <w:tcPr>
            <w:tcW w:w="809" w:type="dxa"/>
            <w:shd w:val="clear" w:color="auto" w:fill="auto"/>
            <w:tcMar>
              <w:top w:w="0" w:type="dxa"/>
              <w:left w:w="108" w:type="dxa"/>
              <w:bottom w:w="0" w:type="dxa"/>
              <w:right w:w="108" w:type="dxa"/>
            </w:tcMar>
          </w:tcPr>
          <w:p w14:paraId="2E860268" w14:textId="77777777" w:rsidR="0051088C" w:rsidRPr="000B7226" w:rsidRDefault="0051088C" w:rsidP="00C25359">
            <w:pPr>
              <w:spacing w:before="40"/>
              <w:jc w:val="center"/>
              <w:rPr>
                <w:rFonts w:ascii="Arial Narrow" w:hAnsi="Arial Narrow"/>
              </w:rPr>
            </w:pPr>
            <w:r>
              <w:rPr>
                <w:rFonts w:ascii="Arial Narrow" w:hAnsi="Arial Narrow" w:cs="Calibri"/>
                <w:color w:val="000000"/>
              </w:rPr>
              <w:t>30</w:t>
            </w:r>
          </w:p>
        </w:tc>
        <w:tc>
          <w:tcPr>
            <w:tcW w:w="809" w:type="dxa"/>
            <w:shd w:val="clear" w:color="auto" w:fill="auto"/>
            <w:tcMar>
              <w:top w:w="0" w:type="dxa"/>
              <w:left w:w="108" w:type="dxa"/>
              <w:bottom w:w="0" w:type="dxa"/>
              <w:right w:w="108" w:type="dxa"/>
            </w:tcMar>
          </w:tcPr>
          <w:p w14:paraId="66171FE1" w14:textId="77777777" w:rsidR="0051088C" w:rsidRPr="000B7226" w:rsidRDefault="0051088C" w:rsidP="00C25359">
            <w:pPr>
              <w:spacing w:before="40"/>
              <w:jc w:val="center"/>
              <w:rPr>
                <w:rFonts w:ascii="Arial Narrow" w:hAnsi="Arial Narrow"/>
              </w:rPr>
            </w:pPr>
            <w:r>
              <w:rPr>
                <w:rFonts w:ascii="Arial Narrow" w:hAnsi="Arial Narrow" w:cs="Calibri"/>
                <w:color w:val="000000"/>
              </w:rPr>
              <w:t>30</w:t>
            </w:r>
          </w:p>
        </w:tc>
        <w:tc>
          <w:tcPr>
            <w:tcW w:w="809" w:type="dxa"/>
            <w:shd w:val="clear" w:color="auto" w:fill="auto"/>
            <w:tcMar>
              <w:top w:w="0" w:type="dxa"/>
              <w:left w:w="108" w:type="dxa"/>
              <w:bottom w:w="0" w:type="dxa"/>
              <w:right w:w="108" w:type="dxa"/>
            </w:tcMar>
          </w:tcPr>
          <w:p w14:paraId="202EF240" w14:textId="77777777" w:rsidR="0051088C" w:rsidRPr="000B7226" w:rsidRDefault="0051088C" w:rsidP="00C25359">
            <w:pPr>
              <w:spacing w:before="40"/>
              <w:jc w:val="center"/>
              <w:rPr>
                <w:rFonts w:ascii="Arial Narrow" w:hAnsi="Arial Narrow"/>
              </w:rPr>
            </w:pPr>
            <w:r>
              <w:rPr>
                <w:rFonts w:ascii="Arial Narrow" w:hAnsi="Arial Narrow" w:cs="Calibri"/>
                <w:color w:val="000000"/>
              </w:rPr>
              <w:t>30</w:t>
            </w:r>
          </w:p>
        </w:tc>
        <w:tc>
          <w:tcPr>
            <w:tcW w:w="901" w:type="dxa"/>
            <w:shd w:val="clear" w:color="auto" w:fill="auto"/>
            <w:tcMar>
              <w:top w:w="0" w:type="dxa"/>
              <w:left w:w="108" w:type="dxa"/>
              <w:bottom w:w="0" w:type="dxa"/>
              <w:right w:w="108" w:type="dxa"/>
            </w:tcMar>
          </w:tcPr>
          <w:p w14:paraId="44105039" w14:textId="77777777" w:rsidR="0051088C" w:rsidRPr="000B7226" w:rsidRDefault="0051088C" w:rsidP="00C25359">
            <w:pPr>
              <w:spacing w:before="40"/>
              <w:jc w:val="center"/>
              <w:rPr>
                <w:rFonts w:ascii="Arial Narrow" w:hAnsi="Arial Narrow"/>
              </w:rPr>
            </w:pPr>
            <w:r>
              <w:rPr>
                <w:rFonts w:ascii="Arial Narrow" w:hAnsi="Arial Narrow" w:cs="Calibri"/>
                <w:color w:val="000000"/>
              </w:rPr>
              <w:t>30</w:t>
            </w:r>
          </w:p>
        </w:tc>
        <w:tc>
          <w:tcPr>
            <w:tcW w:w="901" w:type="dxa"/>
            <w:shd w:val="clear" w:color="auto" w:fill="auto"/>
            <w:tcMar>
              <w:top w:w="0" w:type="dxa"/>
              <w:left w:w="108" w:type="dxa"/>
              <w:bottom w:w="0" w:type="dxa"/>
              <w:right w:w="108" w:type="dxa"/>
            </w:tcMar>
          </w:tcPr>
          <w:p w14:paraId="40E285C8" w14:textId="77777777" w:rsidR="0051088C" w:rsidRPr="000B7226" w:rsidRDefault="0051088C" w:rsidP="00C25359">
            <w:pPr>
              <w:spacing w:before="40"/>
              <w:jc w:val="center"/>
              <w:rPr>
                <w:rFonts w:ascii="Arial Narrow" w:hAnsi="Arial Narrow"/>
              </w:rPr>
            </w:pPr>
            <w:r>
              <w:rPr>
                <w:rFonts w:ascii="Arial Narrow" w:hAnsi="Arial Narrow" w:cs="Calibri"/>
                <w:color w:val="000000"/>
              </w:rPr>
              <w:t>30</w:t>
            </w:r>
          </w:p>
        </w:tc>
      </w:tr>
      <w:tr w:rsidR="0051088C" w:rsidRPr="000B7226" w14:paraId="20621262" w14:textId="77777777" w:rsidTr="00C25359">
        <w:tc>
          <w:tcPr>
            <w:tcW w:w="3968" w:type="dxa"/>
            <w:shd w:val="clear" w:color="auto" w:fill="auto"/>
            <w:tcMar>
              <w:top w:w="0" w:type="dxa"/>
              <w:left w:w="108" w:type="dxa"/>
              <w:bottom w:w="0" w:type="dxa"/>
              <w:right w:w="108" w:type="dxa"/>
            </w:tcMar>
            <w:vAlign w:val="center"/>
          </w:tcPr>
          <w:p w14:paraId="3B648DA6" w14:textId="77777777" w:rsidR="0051088C" w:rsidRPr="000B7226" w:rsidRDefault="0051088C" w:rsidP="00C25359">
            <w:pPr>
              <w:spacing w:before="40"/>
              <w:rPr>
                <w:rFonts w:ascii="Arial Narrow" w:hAnsi="Arial Narrow" w:cs="Calibri"/>
                <w:color w:val="000000"/>
              </w:rPr>
            </w:pPr>
            <w:r>
              <w:rPr>
                <w:rFonts w:ascii="Arial Narrow" w:hAnsi="Arial Narrow" w:cs="Calibri"/>
                <w:color w:val="000000"/>
              </w:rPr>
              <w:t>Number of people eligible for genetic counselling</w:t>
            </w:r>
          </w:p>
        </w:tc>
        <w:tc>
          <w:tcPr>
            <w:tcW w:w="809" w:type="dxa"/>
            <w:shd w:val="clear" w:color="auto" w:fill="auto"/>
            <w:tcMar>
              <w:top w:w="0" w:type="dxa"/>
              <w:left w:w="108" w:type="dxa"/>
              <w:bottom w:w="0" w:type="dxa"/>
              <w:right w:w="108" w:type="dxa"/>
            </w:tcMar>
          </w:tcPr>
          <w:p w14:paraId="1B9AF0F9"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30</w:t>
            </w:r>
          </w:p>
        </w:tc>
        <w:tc>
          <w:tcPr>
            <w:tcW w:w="809" w:type="dxa"/>
            <w:shd w:val="clear" w:color="auto" w:fill="auto"/>
            <w:tcMar>
              <w:top w:w="0" w:type="dxa"/>
              <w:left w:w="108" w:type="dxa"/>
              <w:bottom w:w="0" w:type="dxa"/>
              <w:right w:w="108" w:type="dxa"/>
            </w:tcMar>
          </w:tcPr>
          <w:p w14:paraId="221B47DE"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30</w:t>
            </w:r>
          </w:p>
        </w:tc>
        <w:tc>
          <w:tcPr>
            <w:tcW w:w="809" w:type="dxa"/>
            <w:shd w:val="clear" w:color="auto" w:fill="auto"/>
            <w:tcMar>
              <w:top w:w="0" w:type="dxa"/>
              <w:left w:w="108" w:type="dxa"/>
              <w:bottom w:w="0" w:type="dxa"/>
              <w:right w:w="108" w:type="dxa"/>
            </w:tcMar>
          </w:tcPr>
          <w:p w14:paraId="0BA0C719"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30</w:t>
            </w:r>
          </w:p>
        </w:tc>
        <w:tc>
          <w:tcPr>
            <w:tcW w:w="809" w:type="dxa"/>
            <w:shd w:val="clear" w:color="auto" w:fill="auto"/>
            <w:tcMar>
              <w:top w:w="0" w:type="dxa"/>
              <w:left w:w="108" w:type="dxa"/>
              <w:bottom w:w="0" w:type="dxa"/>
              <w:right w:w="108" w:type="dxa"/>
            </w:tcMar>
          </w:tcPr>
          <w:p w14:paraId="3202CD72"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30</w:t>
            </w:r>
          </w:p>
        </w:tc>
        <w:tc>
          <w:tcPr>
            <w:tcW w:w="901" w:type="dxa"/>
            <w:shd w:val="clear" w:color="auto" w:fill="auto"/>
            <w:tcMar>
              <w:top w:w="0" w:type="dxa"/>
              <w:left w:w="108" w:type="dxa"/>
              <w:bottom w:w="0" w:type="dxa"/>
              <w:right w:w="108" w:type="dxa"/>
            </w:tcMar>
          </w:tcPr>
          <w:p w14:paraId="30904D35"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30</w:t>
            </w:r>
          </w:p>
        </w:tc>
        <w:tc>
          <w:tcPr>
            <w:tcW w:w="901" w:type="dxa"/>
            <w:shd w:val="clear" w:color="auto" w:fill="auto"/>
            <w:tcMar>
              <w:top w:w="0" w:type="dxa"/>
              <w:left w:w="108" w:type="dxa"/>
              <w:bottom w:w="0" w:type="dxa"/>
              <w:right w:w="108" w:type="dxa"/>
            </w:tcMar>
          </w:tcPr>
          <w:p w14:paraId="2AEEA5F9"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30</w:t>
            </w:r>
          </w:p>
        </w:tc>
      </w:tr>
      <w:tr w:rsidR="0051088C" w:rsidRPr="000B7226" w14:paraId="01CFC319" w14:textId="77777777" w:rsidTr="00C25359">
        <w:tc>
          <w:tcPr>
            <w:tcW w:w="3968" w:type="dxa"/>
            <w:shd w:val="clear" w:color="auto" w:fill="auto"/>
            <w:tcMar>
              <w:top w:w="0" w:type="dxa"/>
              <w:left w:w="108" w:type="dxa"/>
              <w:bottom w:w="0" w:type="dxa"/>
              <w:right w:w="108" w:type="dxa"/>
            </w:tcMar>
            <w:vAlign w:val="center"/>
          </w:tcPr>
          <w:p w14:paraId="6D67F3AB" w14:textId="77777777" w:rsidR="0051088C" w:rsidRPr="000B7226" w:rsidRDefault="0051088C" w:rsidP="00C25359">
            <w:pPr>
              <w:spacing w:before="40"/>
              <w:rPr>
                <w:rFonts w:ascii="Arial Narrow" w:hAnsi="Arial Narrow" w:cs="Calibri"/>
                <w:color w:val="000000"/>
              </w:rPr>
            </w:pPr>
            <w:r>
              <w:rPr>
                <w:rFonts w:ascii="Arial Narrow" w:hAnsi="Arial Narrow" w:cs="Calibri"/>
                <w:color w:val="000000"/>
              </w:rPr>
              <w:t xml:space="preserve">Number of people who receive genetic counselling </w:t>
            </w:r>
          </w:p>
        </w:tc>
        <w:tc>
          <w:tcPr>
            <w:tcW w:w="809" w:type="dxa"/>
            <w:shd w:val="clear" w:color="auto" w:fill="auto"/>
            <w:tcMar>
              <w:top w:w="0" w:type="dxa"/>
              <w:left w:w="108" w:type="dxa"/>
              <w:bottom w:w="0" w:type="dxa"/>
              <w:right w:w="108" w:type="dxa"/>
            </w:tcMar>
          </w:tcPr>
          <w:p w14:paraId="47FBDE8F"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30</w:t>
            </w:r>
          </w:p>
        </w:tc>
        <w:tc>
          <w:tcPr>
            <w:tcW w:w="809" w:type="dxa"/>
            <w:shd w:val="clear" w:color="auto" w:fill="auto"/>
            <w:tcMar>
              <w:top w:w="0" w:type="dxa"/>
              <w:left w:w="108" w:type="dxa"/>
              <w:bottom w:w="0" w:type="dxa"/>
              <w:right w:w="108" w:type="dxa"/>
            </w:tcMar>
          </w:tcPr>
          <w:p w14:paraId="2495DC1B"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30</w:t>
            </w:r>
          </w:p>
        </w:tc>
        <w:tc>
          <w:tcPr>
            <w:tcW w:w="809" w:type="dxa"/>
            <w:shd w:val="clear" w:color="auto" w:fill="auto"/>
            <w:tcMar>
              <w:top w:w="0" w:type="dxa"/>
              <w:left w:w="108" w:type="dxa"/>
              <w:bottom w:w="0" w:type="dxa"/>
              <w:right w:w="108" w:type="dxa"/>
            </w:tcMar>
          </w:tcPr>
          <w:p w14:paraId="2429CE94"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30</w:t>
            </w:r>
          </w:p>
        </w:tc>
        <w:tc>
          <w:tcPr>
            <w:tcW w:w="809" w:type="dxa"/>
            <w:shd w:val="clear" w:color="auto" w:fill="auto"/>
            <w:tcMar>
              <w:top w:w="0" w:type="dxa"/>
              <w:left w:w="108" w:type="dxa"/>
              <w:bottom w:w="0" w:type="dxa"/>
              <w:right w:w="108" w:type="dxa"/>
            </w:tcMar>
          </w:tcPr>
          <w:p w14:paraId="72E6C447"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30</w:t>
            </w:r>
          </w:p>
        </w:tc>
        <w:tc>
          <w:tcPr>
            <w:tcW w:w="901" w:type="dxa"/>
            <w:shd w:val="clear" w:color="auto" w:fill="auto"/>
            <w:tcMar>
              <w:top w:w="0" w:type="dxa"/>
              <w:left w:w="108" w:type="dxa"/>
              <w:bottom w:w="0" w:type="dxa"/>
              <w:right w:w="108" w:type="dxa"/>
            </w:tcMar>
          </w:tcPr>
          <w:p w14:paraId="1A04C0B2"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30</w:t>
            </w:r>
          </w:p>
        </w:tc>
        <w:tc>
          <w:tcPr>
            <w:tcW w:w="901" w:type="dxa"/>
            <w:shd w:val="clear" w:color="auto" w:fill="auto"/>
            <w:tcMar>
              <w:top w:w="0" w:type="dxa"/>
              <w:left w:w="108" w:type="dxa"/>
              <w:bottom w:w="0" w:type="dxa"/>
              <w:right w:w="108" w:type="dxa"/>
            </w:tcMar>
          </w:tcPr>
          <w:p w14:paraId="43612B87" w14:textId="77777777" w:rsidR="0051088C" w:rsidRPr="000B7226" w:rsidRDefault="0051088C" w:rsidP="00C25359">
            <w:pPr>
              <w:spacing w:before="40"/>
              <w:jc w:val="center"/>
              <w:rPr>
                <w:rFonts w:ascii="Arial Narrow" w:hAnsi="Arial Narrow" w:cs="Calibri"/>
                <w:color w:val="000000"/>
              </w:rPr>
            </w:pPr>
            <w:r>
              <w:rPr>
                <w:rFonts w:ascii="Arial Narrow" w:hAnsi="Arial Narrow" w:cs="Calibri"/>
                <w:color w:val="000000"/>
              </w:rPr>
              <w:t>30</w:t>
            </w:r>
          </w:p>
        </w:tc>
      </w:tr>
      <w:tr w:rsidR="0051088C" w:rsidRPr="000B7226" w14:paraId="2B2A9B21" w14:textId="77777777" w:rsidTr="00C25359">
        <w:tc>
          <w:tcPr>
            <w:tcW w:w="9006" w:type="dxa"/>
            <w:gridSpan w:val="7"/>
            <w:tcMar>
              <w:top w:w="0" w:type="dxa"/>
              <w:left w:w="108" w:type="dxa"/>
              <w:bottom w:w="0" w:type="dxa"/>
              <w:right w:w="108" w:type="dxa"/>
            </w:tcMar>
          </w:tcPr>
          <w:p w14:paraId="1A7C3C86" w14:textId="77777777" w:rsidR="0051088C" w:rsidRPr="000B7226" w:rsidRDefault="0051088C" w:rsidP="000B7226">
            <w:pPr>
              <w:spacing w:before="40"/>
              <w:rPr>
                <w:rFonts w:ascii="Arial Narrow" w:hAnsi="Arial Narrow" w:cs="Calibri"/>
                <w:b/>
                <w:bCs/>
                <w:color w:val="000000"/>
              </w:rPr>
            </w:pPr>
            <w:r w:rsidRPr="00291204">
              <w:rPr>
                <w:rFonts w:ascii="Arial Narrow" w:hAnsi="Arial Narrow" w:cs="Calibri"/>
                <w:b/>
                <w:bCs/>
                <w:color w:val="000000"/>
              </w:rPr>
              <w:t xml:space="preserve">Estimated total cost </w:t>
            </w:r>
            <w:r>
              <w:rPr>
                <w:rFonts w:ascii="Arial Narrow" w:hAnsi="Arial Narrow" w:cs="Calibri"/>
                <w:b/>
                <w:bCs/>
                <w:color w:val="000000"/>
              </w:rPr>
              <w:t>for PICO set 2</w:t>
            </w:r>
          </w:p>
        </w:tc>
      </w:tr>
      <w:tr w:rsidR="0051088C" w:rsidRPr="000B7226" w14:paraId="38478C2C" w14:textId="77777777" w:rsidTr="00C25359">
        <w:tc>
          <w:tcPr>
            <w:tcW w:w="39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8DFF2E" w14:textId="3E117C66" w:rsidR="0051088C" w:rsidRPr="000B7226" w:rsidRDefault="0051088C" w:rsidP="00C25359">
            <w:pPr>
              <w:spacing w:before="40"/>
              <w:rPr>
                <w:rFonts w:ascii="Arial Narrow" w:hAnsi="Arial Narrow" w:cs="Calibri"/>
                <w:color w:val="000000"/>
              </w:rPr>
            </w:pPr>
            <w:r>
              <w:rPr>
                <w:rFonts w:ascii="Arial Narrow" w:hAnsi="Arial Narrow" w:cs="Calibri"/>
                <w:color w:val="000000"/>
              </w:rPr>
              <w:t xml:space="preserve">Cost of cascade testing </w:t>
            </w:r>
            <w:r w:rsidR="00D72759">
              <w:rPr>
                <w:rFonts w:ascii="Arial Narrow" w:hAnsi="Arial Narrow" w:cs="Calibri"/>
                <w:color w:val="000000"/>
              </w:rPr>
              <w:t>–</w:t>
            </w:r>
            <w:r>
              <w:rPr>
                <w:rFonts w:ascii="Arial Narrow" w:hAnsi="Arial Narrow" w:cs="Calibri"/>
                <w:color w:val="000000"/>
              </w:rPr>
              <w:t xml:space="preserve"> </w:t>
            </w:r>
            <w:r w:rsidR="00D72759">
              <w:rPr>
                <w:rFonts w:ascii="Arial Narrow" w:hAnsi="Arial Narrow" w:cs="Calibri"/>
                <w:color w:val="000000"/>
              </w:rPr>
              <w:t>P</w:t>
            </w:r>
            <w:r w:rsidR="00ED2F10" w:rsidRPr="00ED2F10">
              <w:rPr>
                <w:rFonts w:ascii="Arial Narrow" w:hAnsi="Arial Narrow" w:cs="Calibri"/>
                <w:color w:val="000000"/>
              </w:rPr>
              <w:t>ositive</w:t>
            </w:r>
            <w:r w:rsidR="00D72759">
              <w:rPr>
                <w:rFonts w:ascii="Arial Narrow" w:hAnsi="Arial Narrow" w:cs="Calibri"/>
                <w:color w:val="000000"/>
              </w:rPr>
              <w:t>ly diagnosed</w:t>
            </w:r>
            <w:r w:rsidR="00ED2F10" w:rsidRPr="00ED2F10">
              <w:rPr>
                <w:rFonts w:ascii="Arial Narrow" w:hAnsi="Arial Narrow" w:cs="Calibri"/>
                <w:color w:val="000000"/>
              </w:rPr>
              <w:t xml:space="preserve"> </w:t>
            </w:r>
            <w:r w:rsidR="00ED2F10">
              <w:rPr>
                <w:rFonts w:ascii="Arial Narrow" w:hAnsi="Arial Narrow" w:cs="Calibri"/>
                <w:color w:val="000000"/>
              </w:rPr>
              <w:t>m</w:t>
            </w:r>
            <w:r>
              <w:rPr>
                <w:rFonts w:ascii="Arial Narrow" w:hAnsi="Arial Narrow" w:cs="Calibri"/>
                <w:color w:val="000000"/>
              </w:rPr>
              <w:t>ale</w:t>
            </w:r>
            <w:r w:rsidR="00ED2F10">
              <w:rPr>
                <w:rFonts w:ascii="Arial Narrow" w:hAnsi="Arial Narrow" w:cs="Calibri"/>
                <w:color w:val="000000"/>
              </w:rPr>
              <w:t>s</w:t>
            </w:r>
            <w:r>
              <w:rPr>
                <w:rFonts w:ascii="Arial Narrow" w:hAnsi="Arial Narrow" w:cs="Calibri"/>
                <w:color w:val="000000"/>
              </w:rPr>
              <w:t xml:space="preserve"> only (Strategy Ia to IVb) (</w:t>
            </w:r>
            <w:r w:rsidRPr="000563B4">
              <w:rPr>
                <w:rFonts w:ascii="Arial Narrow" w:hAnsi="Arial Narrow" w:cs="Calibri"/>
                <w:i/>
                <w:iCs/>
                <w:color w:val="000000"/>
              </w:rPr>
              <w:t>ABCD1</w:t>
            </w:r>
            <w:r>
              <w:rPr>
                <w:rFonts w:ascii="Arial Narrow" w:hAnsi="Arial Narrow" w:cs="Calibri"/>
                <w:color w:val="000000"/>
              </w:rPr>
              <w:t xml:space="preserve"> genetic test = $673.20)</w:t>
            </w:r>
          </w:p>
        </w:tc>
        <w:tc>
          <w:tcPr>
            <w:tcW w:w="8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0E835869" w14:textId="77777777" w:rsidR="0051088C" w:rsidRPr="000B7226" w:rsidRDefault="0051088C" w:rsidP="00D24D32">
            <w:pPr>
              <w:spacing w:before="40"/>
              <w:jc w:val="right"/>
              <w:rPr>
                <w:rFonts w:ascii="Arial Narrow" w:hAnsi="Arial Narrow" w:cs="Calibri"/>
                <w:color w:val="000000"/>
              </w:rPr>
            </w:pPr>
            <w:r>
              <w:rPr>
                <w:rFonts w:ascii="Arial Narrow" w:hAnsi="Arial Narrow" w:cs="Calibri"/>
                <w:color w:val="000000"/>
              </w:rPr>
              <w:t>$9,043</w:t>
            </w:r>
          </w:p>
        </w:tc>
        <w:tc>
          <w:tcPr>
            <w:tcW w:w="8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5FE37FAC" w14:textId="77777777" w:rsidR="0051088C" w:rsidRPr="000B7226" w:rsidRDefault="0051088C" w:rsidP="00D24D32">
            <w:pPr>
              <w:spacing w:before="40"/>
              <w:jc w:val="right"/>
              <w:rPr>
                <w:rFonts w:ascii="Arial Narrow" w:hAnsi="Arial Narrow" w:cs="Calibri"/>
                <w:color w:val="000000"/>
              </w:rPr>
            </w:pPr>
            <w:r>
              <w:rPr>
                <w:rFonts w:ascii="Arial Narrow" w:hAnsi="Arial Narrow" w:cs="Calibri"/>
                <w:color w:val="000000"/>
              </w:rPr>
              <w:t>$9,071</w:t>
            </w:r>
          </w:p>
        </w:tc>
        <w:tc>
          <w:tcPr>
            <w:tcW w:w="8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35A5C6EC" w14:textId="77777777" w:rsidR="0051088C" w:rsidRPr="000B7226" w:rsidRDefault="0051088C" w:rsidP="00D24D32">
            <w:pPr>
              <w:spacing w:before="40"/>
              <w:jc w:val="right"/>
              <w:rPr>
                <w:rFonts w:ascii="Arial Narrow" w:hAnsi="Arial Narrow" w:cs="Calibri"/>
                <w:color w:val="000000"/>
              </w:rPr>
            </w:pPr>
            <w:r>
              <w:rPr>
                <w:rFonts w:ascii="Arial Narrow" w:hAnsi="Arial Narrow" w:cs="Calibri"/>
                <w:color w:val="000000"/>
              </w:rPr>
              <w:t>$9,099</w:t>
            </w:r>
          </w:p>
        </w:tc>
        <w:tc>
          <w:tcPr>
            <w:tcW w:w="8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33CD129E" w14:textId="77777777" w:rsidR="0051088C" w:rsidRPr="000B7226" w:rsidRDefault="0051088C" w:rsidP="00D24D32">
            <w:pPr>
              <w:spacing w:before="40"/>
              <w:jc w:val="right"/>
              <w:rPr>
                <w:rFonts w:ascii="Arial Narrow" w:hAnsi="Arial Narrow" w:cs="Calibri"/>
                <w:color w:val="000000"/>
              </w:rPr>
            </w:pPr>
            <w:r>
              <w:rPr>
                <w:rFonts w:ascii="Arial Narrow" w:hAnsi="Arial Narrow" w:cs="Calibri"/>
                <w:color w:val="000000"/>
              </w:rPr>
              <w:t>$9,127</w:t>
            </w:r>
          </w:p>
        </w:tc>
        <w:tc>
          <w:tcPr>
            <w:tcW w:w="9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5D500ACB" w14:textId="77777777" w:rsidR="0051088C" w:rsidRPr="000B7226" w:rsidRDefault="0051088C" w:rsidP="00D24D32">
            <w:pPr>
              <w:spacing w:before="40"/>
              <w:jc w:val="right"/>
              <w:rPr>
                <w:rFonts w:ascii="Arial Narrow" w:hAnsi="Arial Narrow" w:cs="Calibri"/>
                <w:color w:val="000000"/>
              </w:rPr>
            </w:pPr>
            <w:r>
              <w:rPr>
                <w:rFonts w:ascii="Arial Narrow" w:hAnsi="Arial Narrow" w:cs="Calibri"/>
                <w:color w:val="000000"/>
              </w:rPr>
              <w:t>$9,155</w:t>
            </w:r>
          </w:p>
        </w:tc>
        <w:tc>
          <w:tcPr>
            <w:tcW w:w="9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62BAEDF4" w14:textId="77777777" w:rsidR="0051088C" w:rsidRPr="000B7226" w:rsidRDefault="0051088C" w:rsidP="00D24D32">
            <w:pPr>
              <w:spacing w:before="40"/>
              <w:jc w:val="right"/>
              <w:rPr>
                <w:rFonts w:ascii="Arial Narrow" w:hAnsi="Arial Narrow" w:cs="Calibri"/>
                <w:color w:val="000000"/>
              </w:rPr>
            </w:pPr>
            <w:r>
              <w:rPr>
                <w:rFonts w:ascii="Arial Narrow" w:hAnsi="Arial Narrow" w:cs="Calibri"/>
                <w:color w:val="000000"/>
              </w:rPr>
              <w:t>$9,184</w:t>
            </w:r>
          </w:p>
        </w:tc>
      </w:tr>
      <w:tr w:rsidR="0051088C" w:rsidRPr="000B7226" w14:paraId="521BAD88" w14:textId="77777777" w:rsidTr="00C25359">
        <w:tc>
          <w:tcPr>
            <w:tcW w:w="3968"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D9485B" w14:textId="48C583DB" w:rsidR="0051088C" w:rsidRPr="000B7226" w:rsidRDefault="0051088C" w:rsidP="00C25359">
            <w:pPr>
              <w:spacing w:before="40"/>
              <w:rPr>
                <w:rFonts w:ascii="Arial Narrow" w:hAnsi="Arial Narrow" w:cs="Calibri"/>
                <w:color w:val="000000"/>
              </w:rPr>
            </w:pPr>
            <w:r>
              <w:rPr>
                <w:rFonts w:ascii="Arial Narrow" w:hAnsi="Arial Narrow" w:cs="Calibri"/>
                <w:color w:val="000000"/>
              </w:rPr>
              <w:t xml:space="preserve">Cost of cascade testing - </w:t>
            </w:r>
            <w:r w:rsidR="00D72759">
              <w:rPr>
                <w:rFonts w:ascii="Arial Narrow" w:hAnsi="Arial Narrow" w:cs="Calibri"/>
                <w:color w:val="000000"/>
              </w:rPr>
              <w:t>P</w:t>
            </w:r>
            <w:r w:rsidR="00D72759" w:rsidRPr="00ED2F10">
              <w:rPr>
                <w:rFonts w:ascii="Arial Narrow" w:hAnsi="Arial Narrow" w:cs="Calibri"/>
                <w:color w:val="000000"/>
              </w:rPr>
              <w:t>ositive</w:t>
            </w:r>
            <w:r w:rsidR="00D72759">
              <w:rPr>
                <w:rFonts w:ascii="Arial Narrow" w:hAnsi="Arial Narrow" w:cs="Calibri"/>
                <w:color w:val="000000"/>
              </w:rPr>
              <w:t>ly diagnosed</w:t>
            </w:r>
            <w:r w:rsidR="00D72759" w:rsidRPr="00ED2F10">
              <w:rPr>
                <w:rFonts w:ascii="Arial Narrow" w:hAnsi="Arial Narrow" w:cs="Calibri"/>
                <w:color w:val="000000"/>
              </w:rPr>
              <w:t xml:space="preserve"> </w:t>
            </w:r>
            <w:r w:rsidR="00ED2F10">
              <w:rPr>
                <w:rFonts w:ascii="Arial Narrow" w:hAnsi="Arial Narrow" w:cs="Calibri"/>
                <w:color w:val="000000"/>
              </w:rPr>
              <w:t>f</w:t>
            </w:r>
            <w:r>
              <w:rPr>
                <w:rFonts w:ascii="Arial Narrow" w:hAnsi="Arial Narrow" w:cs="Calibri"/>
                <w:color w:val="000000"/>
              </w:rPr>
              <w:t>emale</w:t>
            </w:r>
            <w:r w:rsidR="00ED2F10">
              <w:rPr>
                <w:rFonts w:ascii="Arial Narrow" w:hAnsi="Arial Narrow" w:cs="Calibri"/>
                <w:color w:val="000000"/>
              </w:rPr>
              <w:t>s</w:t>
            </w:r>
            <w:r>
              <w:rPr>
                <w:rFonts w:ascii="Arial Narrow" w:hAnsi="Arial Narrow" w:cs="Calibri"/>
                <w:color w:val="000000"/>
              </w:rPr>
              <w:t xml:space="preserve"> only</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49B992C4"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$12,544</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6F403C85"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$12,583</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0E5EB9EC"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$12,622</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630F5319"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$12,661</w:t>
            </w:r>
          </w:p>
        </w:tc>
        <w:tc>
          <w:tcPr>
            <w:tcW w:w="901"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5DF3C10B"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$12,700</w:t>
            </w:r>
          </w:p>
        </w:tc>
        <w:tc>
          <w:tcPr>
            <w:tcW w:w="901"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6B41B077"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$12,740</w:t>
            </w:r>
          </w:p>
        </w:tc>
      </w:tr>
      <w:tr w:rsidR="0051088C" w:rsidRPr="000B7226" w14:paraId="38F1FD78" w14:textId="77777777" w:rsidTr="00C25359">
        <w:tc>
          <w:tcPr>
            <w:tcW w:w="3968"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DD0E41" w14:textId="77777777" w:rsidR="0051088C" w:rsidRPr="000B7226" w:rsidRDefault="0051088C" w:rsidP="00C25359">
            <w:pPr>
              <w:spacing w:before="40"/>
              <w:rPr>
                <w:rFonts w:ascii="Arial Narrow" w:hAnsi="Arial Narrow" w:cs="Calibri"/>
                <w:color w:val="000000"/>
              </w:rPr>
            </w:pPr>
            <w:r>
              <w:rPr>
                <w:rFonts w:ascii="Arial Narrow" w:hAnsi="Arial Narrow" w:cs="Calibri"/>
                <w:color w:val="000000"/>
              </w:rPr>
              <w:t xml:space="preserve">Cost of cascade testing - All persons (Strategy I to IV) </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5D7890E7"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$21,587</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755BDE15"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$21,653</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6063C89C"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$21,721</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6F13E19C"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$21,788</w:t>
            </w:r>
          </w:p>
        </w:tc>
        <w:tc>
          <w:tcPr>
            <w:tcW w:w="901"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68C30ED0"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$21,855</w:t>
            </w:r>
          </w:p>
        </w:tc>
        <w:tc>
          <w:tcPr>
            <w:tcW w:w="901"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1E1C2632"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$21,923</w:t>
            </w:r>
          </w:p>
        </w:tc>
      </w:tr>
      <w:tr w:rsidR="0051088C" w:rsidRPr="000B7226" w14:paraId="676CE26D" w14:textId="77777777" w:rsidTr="00C25359">
        <w:tc>
          <w:tcPr>
            <w:tcW w:w="3968"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95AC00" w14:textId="748F6CD6" w:rsidR="0051088C" w:rsidRPr="000B7226" w:rsidRDefault="0051088C" w:rsidP="00C25359">
            <w:pPr>
              <w:spacing w:before="40"/>
              <w:rPr>
                <w:rFonts w:ascii="Arial Narrow" w:hAnsi="Arial Narrow" w:cs="Calibri"/>
                <w:color w:val="000000"/>
              </w:rPr>
            </w:pPr>
            <w:r>
              <w:rPr>
                <w:rFonts w:ascii="Arial Narrow" w:hAnsi="Arial Narrow" w:cs="Calibri"/>
                <w:color w:val="000000"/>
              </w:rPr>
              <w:t xml:space="preserve">Cost of genetic counselling - </w:t>
            </w:r>
            <w:r w:rsidR="00D72759">
              <w:rPr>
                <w:rFonts w:ascii="Arial Narrow" w:hAnsi="Arial Narrow" w:cs="Calibri"/>
                <w:color w:val="000000"/>
              </w:rPr>
              <w:t>P</w:t>
            </w:r>
            <w:r w:rsidR="00D72759" w:rsidRPr="00ED2F10">
              <w:rPr>
                <w:rFonts w:ascii="Arial Narrow" w:hAnsi="Arial Narrow" w:cs="Calibri"/>
                <w:color w:val="000000"/>
              </w:rPr>
              <w:t>ositive</w:t>
            </w:r>
            <w:r w:rsidR="00D72759">
              <w:rPr>
                <w:rFonts w:ascii="Arial Narrow" w:hAnsi="Arial Narrow" w:cs="Calibri"/>
                <w:color w:val="000000"/>
              </w:rPr>
              <w:t>ly diagnosed</w:t>
            </w:r>
            <w:r w:rsidR="00D72759" w:rsidRPr="00ED2F10">
              <w:rPr>
                <w:rFonts w:ascii="Arial Narrow" w:hAnsi="Arial Narrow" w:cs="Calibri"/>
                <w:color w:val="000000"/>
              </w:rPr>
              <w:t xml:space="preserve"> </w:t>
            </w:r>
            <w:r w:rsidR="00ED2F10">
              <w:rPr>
                <w:rFonts w:ascii="Arial Narrow" w:hAnsi="Arial Narrow" w:cs="Calibri"/>
                <w:color w:val="000000"/>
              </w:rPr>
              <w:t>m</w:t>
            </w:r>
            <w:r>
              <w:rPr>
                <w:rFonts w:ascii="Arial Narrow" w:hAnsi="Arial Narrow" w:cs="Calibri"/>
                <w:color w:val="000000"/>
              </w:rPr>
              <w:t>ale</w:t>
            </w:r>
            <w:r w:rsidR="00BD2077">
              <w:rPr>
                <w:rFonts w:ascii="Arial Narrow" w:hAnsi="Arial Narrow" w:cs="Calibri"/>
                <w:color w:val="000000"/>
              </w:rPr>
              <w:t>s</w:t>
            </w:r>
            <w:r>
              <w:rPr>
                <w:rFonts w:ascii="Arial Narrow" w:hAnsi="Arial Narrow" w:cs="Calibri"/>
                <w:color w:val="000000"/>
              </w:rPr>
              <w:t xml:space="preserve"> only (Strategy Ia to IVb) (Cost of genetic counselling = $1056.09)</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26F459D0"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$13,205</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072643ED"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$13,246</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620899E3"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$13,287</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7F047B8B"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$13,328</w:t>
            </w:r>
          </w:p>
        </w:tc>
        <w:tc>
          <w:tcPr>
            <w:tcW w:w="901"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6A047AC8"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$13,369</w:t>
            </w:r>
          </w:p>
        </w:tc>
        <w:tc>
          <w:tcPr>
            <w:tcW w:w="901"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48E72B17"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$13,411</w:t>
            </w:r>
          </w:p>
        </w:tc>
      </w:tr>
      <w:tr w:rsidR="0051088C" w:rsidRPr="000B7226" w14:paraId="046E06C7" w14:textId="77777777" w:rsidTr="00C25359">
        <w:tc>
          <w:tcPr>
            <w:tcW w:w="3968"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375DF7" w14:textId="232F541D" w:rsidR="0051088C" w:rsidRPr="000B7226" w:rsidRDefault="0051088C" w:rsidP="00C25359">
            <w:pPr>
              <w:spacing w:before="40"/>
              <w:rPr>
                <w:rFonts w:ascii="Arial Narrow" w:hAnsi="Arial Narrow" w:cs="Calibri"/>
                <w:color w:val="000000"/>
              </w:rPr>
            </w:pPr>
            <w:r>
              <w:rPr>
                <w:rFonts w:ascii="Arial Narrow" w:hAnsi="Arial Narrow" w:cs="Calibri"/>
                <w:color w:val="000000"/>
              </w:rPr>
              <w:t xml:space="preserve">Cost of genetic counselling - </w:t>
            </w:r>
            <w:r w:rsidR="00D72759">
              <w:rPr>
                <w:rFonts w:ascii="Arial Narrow" w:hAnsi="Arial Narrow" w:cs="Calibri"/>
                <w:color w:val="000000"/>
              </w:rPr>
              <w:t>P</w:t>
            </w:r>
            <w:r w:rsidR="00D72759" w:rsidRPr="00ED2F10">
              <w:rPr>
                <w:rFonts w:ascii="Arial Narrow" w:hAnsi="Arial Narrow" w:cs="Calibri"/>
                <w:color w:val="000000"/>
              </w:rPr>
              <w:t>ositive</w:t>
            </w:r>
            <w:r w:rsidR="00D72759">
              <w:rPr>
                <w:rFonts w:ascii="Arial Narrow" w:hAnsi="Arial Narrow" w:cs="Calibri"/>
                <w:color w:val="000000"/>
              </w:rPr>
              <w:t>ly diagnosed</w:t>
            </w:r>
            <w:r w:rsidR="00D72759" w:rsidRPr="00ED2F10">
              <w:rPr>
                <w:rFonts w:ascii="Arial Narrow" w:hAnsi="Arial Narrow" w:cs="Calibri"/>
                <w:color w:val="000000"/>
              </w:rPr>
              <w:t xml:space="preserve"> </w:t>
            </w:r>
            <w:r w:rsidR="00BD2077">
              <w:rPr>
                <w:rFonts w:ascii="Arial Narrow" w:hAnsi="Arial Narrow" w:cs="Calibri"/>
                <w:color w:val="000000"/>
              </w:rPr>
              <w:t>f</w:t>
            </w:r>
            <w:r>
              <w:rPr>
                <w:rFonts w:ascii="Arial Narrow" w:hAnsi="Arial Narrow" w:cs="Calibri"/>
                <w:color w:val="000000"/>
              </w:rPr>
              <w:t>emale</w:t>
            </w:r>
            <w:r w:rsidR="00BD2077">
              <w:rPr>
                <w:rFonts w:ascii="Arial Narrow" w:hAnsi="Arial Narrow" w:cs="Calibri"/>
                <w:color w:val="000000"/>
              </w:rPr>
              <w:t>s</w:t>
            </w:r>
            <w:r>
              <w:rPr>
                <w:rFonts w:ascii="Arial Narrow" w:hAnsi="Arial Narrow" w:cs="Calibri"/>
                <w:color w:val="000000"/>
              </w:rPr>
              <w:t xml:space="preserve"> only</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021CBBEE"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$18,318</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23623BDB"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$18,375</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0A9F025A"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$18,432</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1129ED3F"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$18,489</w:t>
            </w:r>
          </w:p>
        </w:tc>
        <w:tc>
          <w:tcPr>
            <w:tcW w:w="901"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107F465B"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$18,546</w:t>
            </w:r>
          </w:p>
        </w:tc>
        <w:tc>
          <w:tcPr>
            <w:tcW w:w="901"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7DBADAEF"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$18,604</w:t>
            </w:r>
          </w:p>
        </w:tc>
      </w:tr>
      <w:tr w:rsidR="0051088C" w:rsidRPr="000B7226" w14:paraId="040CFA04" w14:textId="77777777" w:rsidTr="00C25359">
        <w:tc>
          <w:tcPr>
            <w:tcW w:w="3968"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06AED4" w14:textId="77777777" w:rsidR="0051088C" w:rsidRPr="000B7226" w:rsidRDefault="0051088C" w:rsidP="00C25359">
            <w:pPr>
              <w:spacing w:before="40"/>
              <w:rPr>
                <w:rFonts w:ascii="Arial Narrow" w:hAnsi="Arial Narrow" w:cs="Calibri"/>
                <w:color w:val="000000"/>
              </w:rPr>
            </w:pPr>
            <w:r>
              <w:rPr>
                <w:rFonts w:ascii="Arial Narrow" w:hAnsi="Arial Narrow" w:cs="Calibri"/>
                <w:color w:val="000000"/>
              </w:rPr>
              <w:t>Cost of genetic counselling - All persons (Strategy I to IV)</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776DA6C5"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$31,523</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44A3D6C4"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$31,621</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5C72F924"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$31,719</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41CCAF0C"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$31,817</w:t>
            </w:r>
          </w:p>
        </w:tc>
        <w:tc>
          <w:tcPr>
            <w:tcW w:w="901"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64643872"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$31,916</w:t>
            </w:r>
          </w:p>
        </w:tc>
        <w:tc>
          <w:tcPr>
            <w:tcW w:w="901"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73D66C7D" w14:textId="77777777" w:rsidR="0051088C" w:rsidRPr="00291204" w:rsidRDefault="0051088C" w:rsidP="00D24D32">
            <w:pPr>
              <w:spacing w:before="40"/>
              <w:jc w:val="right"/>
              <w:rPr>
                <w:rFonts w:ascii="Arial Narrow" w:hAnsi="Arial Narrow" w:cs="Calibri"/>
                <w:color w:val="000000"/>
              </w:rPr>
            </w:pPr>
            <w:r>
              <w:rPr>
                <w:rFonts w:ascii="Arial Narrow" w:hAnsi="Arial Narrow" w:cs="Calibri"/>
                <w:color w:val="000000"/>
              </w:rPr>
              <w:t>$32,014</w:t>
            </w:r>
          </w:p>
        </w:tc>
      </w:tr>
      <w:tr w:rsidR="0051088C" w:rsidRPr="000B7226" w14:paraId="6EB82B6F" w14:textId="77777777" w:rsidTr="00C25359">
        <w:tc>
          <w:tcPr>
            <w:tcW w:w="3968"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0E00FA6" w14:textId="58610894" w:rsidR="0051088C" w:rsidRPr="00D24D32" w:rsidRDefault="0051088C" w:rsidP="00C25359">
            <w:pPr>
              <w:spacing w:before="40"/>
              <w:rPr>
                <w:rFonts w:ascii="Arial Narrow" w:hAnsi="Arial Narrow" w:cs="Calibri"/>
                <w:b/>
                <w:bCs/>
                <w:color w:val="000000"/>
              </w:rPr>
            </w:pPr>
            <w:r w:rsidRPr="00D24D32">
              <w:rPr>
                <w:rFonts w:ascii="Arial Narrow" w:hAnsi="Arial Narrow" w:cs="Calibri"/>
                <w:b/>
                <w:bCs/>
                <w:color w:val="000000"/>
              </w:rPr>
              <w:t xml:space="preserve">Estimated total cost to </w:t>
            </w:r>
            <w:r w:rsidR="00D36449">
              <w:rPr>
                <w:rFonts w:ascii="Arial Narrow" w:hAnsi="Arial Narrow" w:cs="Calibri"/>
                <w:b/>
                <w:bCs/>
                <w:color w:val="000000"/>
              </w:rPr>
              <w:t>s</w:t>
            </w:r>
            <w:r w:rsidR="00D36449" w:rsidRPr="00D24D32">
              <w:rPr>
                <w:rFonts w:ascii="Arial Narrow" w:hAnsi="Arial Narrow" w:cs="Calibri"/>
                <w:b/>
                <w:bCs/>
                <w:color w:val="000000"/>
              </w:rPr>
              <w:t xml:space="preserve">tate </w:t>
            </w:r>
            <w:r w:rsidRPr="00D24D32">
              <w:rPr>
                <w:rFonts w:ascii="Arial Narrow" w:hAnsi="Arial Narrow" w:cs="Calibri"/>
                <w:b/>
                <w:bCs/>
                <w:color w:val="000000"/>
              </w:rPr>
              <w:t xml:space="preserve">and </w:t>
            </w:r>
            <w:r w:rsidR="00D36449">
              <w:rPr>
                <w:rFonts w:ascii="Arial Narrow" w:hAnsi="Arial Narrow" w:cs="Calibri"/>
                <w:b/>
                <w:bCs/>
                <w:color w:val="000000"/>
              </w:rPr>
              <w:t>t</w:t>
            </w:r>
            <w:r w:rsidR="00D36449" w:rsidRPr="00D24D32">
              <w:rPr>
                <w:rFonts w:ascii="Arial Narrow" w:hAnsi="Arial Narrow" w:cs="Calibri"/>
                <w:b/>
                <w:bCs/>
                <w:color w:val="000000"/>
              </w:rPr>
              <w:t>erritor</w:t>
            </w:r>
            <w:r w:rsidR="00D36449">
              <w:rPr>
                <w:rFonts w:ascii="Arial Narrow" w:hAnsi="Arial Narrow" w:cs="Calibri"/>
                <w:b/>
                <w:bCs/>
                <w:color w:val="000000"/>
              </w:rPr>
              <w:t xml:space="preserve">y </w:t>
            </w:r>
            <w:r w:rsidR="005C6FC5">
              <w:rPr>
                <w:rFonts w:ascii="Arial Narrow" w:hAnsi="Arial Narrow" w:cs="Calibri"/>
                <w:b/>
                <w:bCs/>
                <w:color w:val="000000"/>
              </w:rPr>
              <w:t>Government</w:t>
            </w:r>
            <w:r w:rsidRPr="00D24D32">
              <w:rPr>
                <w:rFonts w:ascii="Arial Narrow" w:hAnsi="Arial Narrow" w:cs="Calibri"/>
                <w:b/>
                <w:bCs/>
                <w:color w:val="000000"/>
              </w:rPr>
              <w:t xml:space="preserve"> for PICO set 2 (Strategy I to IV)</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2EC4FC84" w14:textId="77777777" w:rsidR="0051088C" w:rsidRPr="00D24D32" w:rsidRDefault="0051088C" w:rsidP="00D24D32">
            <w:pPr>
              <w:spacing w:before="40"/>
              <w:jc w:val="right"/>
              <w:rPr>
                <w:rFonts w:ascii="Arial Narrow" w:hAnsi="Arial Narrow" w:cs="Calibri"/>
                <w:b/>
                <w:bCs/>
                <w:color w:val="000000"/>
              </w:rPr>
            </w:pPr>
            <w:r w:rsidRPr="00D24D32">
              <w:rPr>
                <w:rFonts w:ascii="Arial Narrow" w:hAnsi="Arial Narrow" w:cs="Calibri"/>
                <w:b/>
                <w:bCs/>
                <w:color w:val="000000"/>
              </w:rPr>
              <w:t>$53,109</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56182A0C" w14:textId="77777777" w:rsidR="0051088C" w:rsidRPr="00D24D32" w:rsidRDefault="0051088C" w:rsidP="00D24D32">
            <w:pPr>
              <w:spacing w:before="40"/>
              <w:jc w:val="right"/>
              <w:rPr>
                <w:rFonts w:ascii="Arial Narrow" w:hAnsi="Arial Narrow" w:cs="Calibri"/>
                <w:b/>
                <w:bCs/>
                <w:color w:val="000000"/>
              </w:rPr>
            </w:pPr>
            <w:r w:rsidRPr="00D24D32">
              <w:rPr>
                <w:rFonts w:ascii="Arial Narrow" w:hAnsi="Arial Narrow" w:cs="Calibri"/>
                <w:b/>
                <w:bCs/>
                <w:color w:val="000000"/>
              </w:rPr>
              <w:t>$53,274</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7811E862" w14:textId="77777777" w:rsidR="0051088C" w:rsidRPr="00D24D32" w:rsidRDefault="0051088C" w:rsidP="00D24D32">
            <w:pPr>
              <w:spacing w:before="40"/>
              <w:jc w:val="right"/>
              <w:rPr>
                <w:rFonts w:ascii="Arial Narrow" w:hAnsi="Arial Narrow" w:cs="Calibri"/>
                <w:b/>
                <w:bCs/>
                <w:color w:val="000000"/>
              </w:rPr>
            </w:pPr>
            <w:r w:rsidRPr="00D24D32">
              <w:rPr>
                <w:rFonts w:ascii="Arial Narrow" w:hAnsi="Arial Narrow" w:cs="Calibri"/>
                <w:b/>
                <w:bCs/>
                <w:color w:val="000000"/>
              </w:rPr>
              <w:t>$53,439</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620CEDD6" w14:textId="77777777" w:rsidR="0051088C" w:rsidRPr="00D24D32" w:rsidRDefault="0051088C" w:rsidP="00D24D32">
            <w:pPr>
              <w:spacing w:before="40"/>
              <w:jc w:val="right"/>
              <w:rPr>
                <w:rFonts w:ascii="Arial Narrow" w:hAnsi="Arial Narrow" w:cs="Calibri"/>
                <w:b/>
                <w:bCs/>
                <w:color w:val="000000"/>
              </w:rPr>
            </w:pPr>
            <w:r w:rsidRPr="00D24D32">
              <w:rPr>
                <w:rFonts w:ascii="Arial Narrow" w:hAnsi="Arial Narrow" w:cs="Calibri"/>
                <w:b/>
                <w:bCs/>
                <w:color w:val="000000"/>
              </w:rPr>
              <w:t>$53,605</w:t>
            </w:r>
          </w:p>
        </w:tc>
        <w:tc>
          <w:tcPr>
            <w:tcW w:w="901"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250D1CDC" w14:textId="77777777" w:rsidR="0051088C" w:rsidRPr="00D24D32" w:rsidRDefault="0051088C" w:rsidP="00D24D32">
            <w:pPr>
              <w:spacing w:before="40"/>
              <w:jc w:val="right"/>
              <w:rPr>
                <w:rFonts w:ascii="Arial Narrow" w:hAnsi="Arial Narrow" w:cs="Calibri"/>
                <w:b/>
                <w:bCs/>
                <w:color w:val="000000"/>
              </w:rPr>
            </w:pPr>
            <w:r w:rsidRPr="00D24D32">
              <w:rPr>
                <w:rFonts w:ascii="Arial Narrow" w:hAnsi="Arial Narrow" w:cs="Calibri"/>
                <w:b/>
                <w:bCs/>
                <w:color w:val="000000"/>
              </w:rPr>
              <w:t>$53,771</w:t>
            </w:r>
          </w:p>
        </w:tc>
        <w:tc>
          <w:tcPr>
            <w:tcW w:w="901"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0318EFE7" w14:textId="77777777" w:rsidR="0051088C" w:rsidRPr="00D24D32" w:rsidRDefault="0051088C" w:rsidP="00D24D32">
            <w:pPr>
              <w:spacing w:before="40"/>
              <w:jc w:val="right"/>
              <w:rPr>
                <w:rFonts w:ascii="Arial Narrow" w:hAnsi="Arial Narrow" w:cs="Calibri"/>
                <w:b/>
                <w:bCs/>
                <w:color w:val="000000"/>
              </w:rPr>
            </w:pPr>
            <w:r w:rsidRPr="00D24D32">
              <w:rPr>
                <w:rFonts w:ascii="Arial Narrow" w:hAnsi="Arial Narrow" w:cs="Calibri"/>
                <w:b/>
                <w:bCs/>
                <w:color w:val="000000"/>
              </w:rPr>
              <w:t>$53,938</w:t>
            </w:r>
          </w:p>
        </w:tc>
      </w:tr>
      <w:tr w:rsidR="0051088C" w:rsidRPr="000B7226" w14:paraId="57BF7083" w14:textId="77777777" w:rsidTr="00C25359">
        <w:tc>
          <w:tcPr>
            <w:tcW w:w="3968"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A673C36" w14:textId="2CD5F2C1" w:rsidR="0051088C" w:rsidRPr="00D24D32" w:rsidRDefault="0051088C" w:rsidP="00C25359">
            <w:pPr>
              <w:spacing w:before="40"/>
              <w:rPr>
                <w:rFonts w:ascii="Arial Narrow" w:hAnsi="Arial Narrow" w:cs="Calibri"/>
                <w:b/>
                <w:bCs/>
                <w:color w:val="000000"/>
              </w:rPr>
            </w:pPr>
            <w:r w:rsidRPr="00D24D32">
              <w:rPr>
                <w:rFonts w:ascii="Arial Narrow" w:hAnsi="Arial Narrow" w:cs="Calibri"/>
                <w:b/>
                <w:bCs/>
                <w:color w:val="000000"/>
              </w:rPr>
              <w:t xml:space="preserve">Estimated total cost to the </w:t>
            </w:r>
            <w:r w:rsidR="00D36449">
              <w:rPr>
                <w:rFonts w:ascii="Arial Narrow" w:hAnsi="Arial Narrow" w:cs="Calibri"/>
                <w:b/>
                <w:bCs/>
                <w:color w:val="000000"/>
              </w:rPr>
              <w:t>s</w:t>
            </w:r>
            <w:r w:rsidR="00D36449" w:rsidRPr="00D24D32">
              <w:rPr>
                <w:rFonts w:ascii="Arial Narrow" w:hAnsi="Arial Narrow" w:cs="Calibri"/>
                <w:b/>
                <w:bCs/>
                <w:color w:val="000000"/>
              </w:rPr>
              <w:t xml:space="preserve">tate </w:t>
            </w:r>
            <w:r w:rsidRPr="00D24D32">
              <w:rPr>
                <w:rFonts w:ascii="Arial Narrow" w:hAnsi="Arial Narrow" w:cs="Calibri"/>
                <w:b/>
                <w:bCs/>
                <w:color w:val="000000"/>
              </w:rPr>
              <w:t xml:space="preserve">and </w:t>
            </w:r>
            <w:r w:rsidR="00D36449">
              <w:rPr>
                <w:rFonts w:ascii="Arial Narrow" w:hAnsi="Arial Narrow" w:cs="Calibri"/>
                <w:b/>
                <w:bCs/>
                <w:color w:val="000000"/>
              </w:rPr>
              <w:t>t</w:t>
            </w:r>
            <w:r w:rsidR="00D36449" w:rsidRPr="00D24D32">
              <w:rPr>
                <w:rFonts w:ascii="Arial Narrow" w:hAnsi="Arial Narrow" w:cs="Calibri"/>
                <w:b/>
                <w:bCs/>
                <w:color w:val="000000"/>
              </w:rPr>
              <w:t xml:space="preserve">erritories </w:t>
            </w:r>
            <w:r w:rsidRPr="00D24D32">
              <w:rPr>
                <w:rFonts w:ascii="Arial Narrow" w:hAnsi="Arial Narrow" w:cs="Calibri"/>
                <w:b/>
                <w:bCs/>
                <w:color w:val="000000"/>
              </w:rPr>
              <w:t>for PICO set 2 (Strategy Ia to IVb)</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557DA9F9" w14:textId="77777777" w:rsidR="0051088C" w:rsidRPr="00D24D32" w:rsidRDefault="0051088C" w:rsidP="00D24D32">
            <w:pPr>
              <w:spacing w:before="40"/>
              <w:jc w:val="right"/>
              <w:rPr>
                <w:rFonts w:ascii="Arial Narrow" w:hAnsi="Arial Narrow" w:cs="Calibri"/>
                <w:b/>
                <w:bCs/>
                <w:color w:val="000000"/>
              </w:rPr>
            </w:pPr>
            <w:r w:rsidRPr="00D24D32">
              <w:rPr>
                <w:rFonts w:ascii="Arial Narrow" w:hAnsi="Arial Narrow" w:cs="Calibri"/>
                <w:b/>
                <w:bCs/>
                <w:color w:val="000000"/>
              </w:rPr>
              <w:t>$22,248</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50EEA4CD" w14:textId="77777777" w:rsidR="0051088C" w:rsidRPr="00D24D32" w:rsidRDefault="0051088C" w:rsidP="00D24D32">
            <w:pPr>
              <w:spacing w:before="40"/>
              <w:jc w:val="right"/>
              <w:rPr>
                <w:rFonts w:ascii="Arial Narrow" w:hAnsi="Arial Narrow" w:cs="Calibri"/>
                <w:b/>
                <w:bCs/>
                <w:color w:val="000000"/>
              </w:rPr>
            </w:pPr>
            <w:r w:rsidRPr="00D24D32">
              <w:rPr>
                <w:rFonts w:ascii="Arial Narrow" w:hAnsi="Arial Narrow" w:cs="Calibri"/>
                <w:b/>
                <w:bCs/>
                <w:color w:val="000000"/>
              </w:rPr>
              <w:t>$22,317</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6E35232A" w14:textId="77777777" w:rsidR="0051088C" w:rsidRPr="00D24D32" w:rsidRDefault="0051088C" w:rsidP="00D24D32">
            <w:pPr>
              <w:spacing w:before="40"/>
              <w:jc w:val="right"/>
              <w:rPr>
                <w:rFonts w:ascii="Arial Narrow" w:hAnsi="Arial Narrow" w:cs="Calibri"/>
                <w:b/>
                <w:bCs/>
                <w:color w:val="000000"/>
              </w:rPr>
            </w:pPr>
            <w:r w:rsidRPr="00D24D32">
              <w:rPr>
                <w:rFonts w:ascii="Arial Narrow" w:hAnsi="Arial Narrow" w:cs="Calibri"/>
                <w:b/>
                <w:bCs/>
                <w:color w:val="000000"/>
              </w:rPr>
              <w:t>$22,386</w:t>
            </w:r>
          </w:p>
        </w:tc>
        <w:tc>
          <w:tcPr>
            <w:tcW w:w="809"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0792E22B" w14:textId="77777777" w:rsidR="0051088C" w:rsidRPr="00D24D32" w:rsidRDefault="0051088C" w:rsidP="00D24D32">
            <w:pPr>
              <w:spacing w:before="40"/>
              <w:jc w:val="right"/>
              <w:rPr>
                <w:rFonts w:ascii="Arial Narrow" w:hAnsi="Arial Narrow" w:cs="Calibri"/>
                <w:b/>
                <w:bCs/>
                <w:color w:val="000000"/>
              </w:rPr>
            </w:pPr>
            <w:r w:rsidRPr="00D24D32">
              <w:rPr>
                <w:rFonts w:ascii="Arial Narrow" w:hAnsi="Arial Narrow" w:cs="Calibri"/>
                <w:b/>
                <w:bCs/>
                <w:color w:val="000000"/>
              </w:rPr>
              <w:t>$22,455</w:t>
            </w:r>
          </w:p>
        </w:tc>
        <w:tc>
          <w:tcPr>
            <w:tcW w:w="901"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28FB5248" w14:textId="77777777" w:rsidR="0051088C" w:rsidRPr="00D24D32" w:rsidRDefault="0051088C" w:rsidP="00D24D32">
            <w:pPr>
              <w:spacing w:before="40"/>
              <w:jc w:val="right"/>
              <w:rPr>
                <w:rFonts w:ascii="Arial Narrow" w:hAnsi="Arial Narrow" w:cs="Calibri"/>
                <w:b/>
                <w:bCs/>
                <w:color w:val="000000"/>
              </w:rPr>
            </w:pPr>
            <w:r w:rsidRPr="00D24D32">
              <w:rPr>
                <w:rFonts w:ascii="Arial Narrow" w:hAnsi="Arial Narrow" w:cs="Calibri"/>
                <w:b/>
                <w:bCs/>
                <w:color w:val="000000"/>
              </w:rPr>
              <w:t>$22,525</w:t>
            </w:r>
          </w:p>
        </w:tc>
        <w:tc>
          <w:tcPr>
            <w:tcW w:w="901"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4C9052A5" w14:textId="77777777" w:rsidR="0051088C" w:rsidRPr="00D24D32" w:rsidRDefault="0051088C" w:rsidP="00D24D32">
            <w:pPr>
              <w:spacing w:before="40"/>
              <w:jc w:val="right"/>
              <w:rPr>
                <w:rFonts w:ascii="Arial Narrow" w:hAnsi="Arial Narrow" w:cs="Calibri"/>
                <w:b/>
                <w:bCs/>
                <w:color w:val="000000"/>
              </w:rPr>
            </w:pPr>
            <w:r w:rsidRPr="00D24D32">
              <w:rPr>
                <w:rFonts w:ascii="Arial Narrow" w:hAnsi="Arial Narrow" w:cs="Calibri"/>
                <w:b/>
                <w:bCs/>
                <w:color w:val="000000"/>
              </w:rPr>
              <w:t>$22,595</w:t>
            </w:r>
          </w:p>
        </w:tc>
      </w:tr>
    </w:tbl>
    <w:p w14:paraId="664C32FF" w14:textId="08B4CE0A" w:rsidR="0051088C" w:rsidRDefault="0097131F" w:rsidP="000B7226">
      <w:pPr>
        <w:widowControl w:val="0"/>
        <w:snapToGrid w:val="0"/>
        <w:spacing w:before="0" w:after="0" w:line="240" w:lineRule="auto"/>
        <w:contextualSpacing/>
        <w:jc w:val="both"/>
        <w:rPr>
          <w:rFonts w:ascii="Arial Narrow" w:eastAsia="Times New Roman" w:hAnsi="Arial Narrow" w:cs="Arial"/>
          <w:color w:val="000000" w:themeColor="text1"/>
          <w:sz w:val="18"/>
          <w:szCs w:val="20"/>
        </w:rPr>
      </w:pPr>
      <w:r w:rsidRPr="007E46F1">
        <w:rPr>
          <w:rFonts w:ascii="Arial Narrow" w:eastAsia="Times New Roman" w:hAnsi="Arial Narrow" w:cs="Arial"/>
          <w:i/>
          <w:iCs/>
          <w:sz w:val="18"/>
          <w:szCs w:val="20"/>
        </w:rPr>
        <w:t>ABCD1</w:t>
      </w:r>
      <w:r w:rsidRPr="00850EA0">
        <w:rPr>
          <w:rFonts w:ascii="Arial Narrow" w:eastAsia="Times New Roman" w:hAnsi="Arial Narrow" w:cs="Arial"/>
          <w:sz w:val="18"/>
          <w:szCs w:val="20"/>
        </w:rPr>
        <w:t>= ATP Binding Cassette Subfamily D Member 1</w:t>
      </w:r>
      <w:r>
        <w:rPr>
          <w:rFonts w:ascii="Arial Narrow" w:eastAsia="Times New Roman" w:hAnsi="Arial Narrow" w:cs="Arial"/>
          <w:sz w:val="18"/>
          <w:szCs w:val="20"/>
        </w:rPr>
        <w:t xml:space="preserve"> gene</w:t>
      </w:r>
      <w:r w:rsidRPr="00850EA0">
        <w:rPr>
          <w:rFonts w:ascii="Arial Narrow" w:eastAsia="Times New Roman" w:hAnsi="Arial Narrow" w:cs="Arial"/>
          <w:sz w:val="18"/>
          <w:szCs w:val="20"/>
        </w:rPr>
        <w:t xml:space="preserve">; </w:t>
      </w:r>
      <w:r w:rsidR="0051088C" w:rsidRPr="000B7226">
        <w:rPr>
          <w:rFonts w:ascii="Arial Narrow" w:eastAsia="Times New Roman" w:hAnsi="Arial Narrow" w:cs="Arial"/>
          <w:color w:val="000000" w:themeColor="text1"/>
          <w:sz w:val="18"/>
          <w:szCs w:val="20"/>
        </w:rPr>
        <w:t>NBS= newborn bloodspot screening</w:t>
      </w:r>
      <w:r>
        <w:rPr>
          <w:rFonts w:ascii="Arial Narrow" w:eastAsia="Times New Roman" w:hAnsi="Arial Narrow" w:cs="Arial"/>
          <w:color w:val="000000" w:themeColor="text1"/>
          <w:sz w:val="18"/>
          <w:szCs w:val="20"/>
        </w:rPr>
        <w:t>;</w:t>
      </w:r>
      <w:r w:rsidRPr="0097131F">
        <w:rPr>
          <w:rFonts w:ascii="Arial Narrow" w:eastAsia="Times New Roman" w:hAnsi="Arial Narrow" w:cs="Arial"/>
          <w:color w:val="000000" w:themeColor="text1"/>
          <w:sz w:val="18"/>
          <w:szCs w:val="20"/>
        </w:rPr>
        <w:t xml:space="preserve"> </w:t>
      </w:r>
      <w:r>
        <w:rPr>
          <w:rFonts w:ascii="Arial Narrow" w:eastAsia="Times New Roman" w:hAnsi="Arial Narrow" w:cs="Arial"/>
          <w:color w:val="000000" w:themeColor="text1"/>
          <w:sz w:val="18"/>
          <w:szCs w:val="20"/>
        </w:rPr>
        <w:t xml:space="preserve">X-ALD= X-linked </w:t>
      </w:r>
      <w:r w:rsidRPr="000300A4">
        <w:rPr>
          <w:rFonts w:ascii="Arial Narrow" w:eastAsia="Times New Roman" w:hAnsi="Arial Narrow" w:cs="Arial"/>
          <w:color w:val="000000" w:themeColor="text1"/>
          <w:sz w:val="18"/>
          <w:szCs w:val="20"/>
        </w:rPr>
        <w:t>adrenoleukodystrophy</w:t>
      </w:r>
      <w:r w:rsidR="0051088C">
        <w:rPr>
          <w:rFonts w:ascii="Arial Narrow" w:eastAsia="Times New Roman" w:hAnsi="Arial Narrow" w:cs="Arial"/>
          <w:color w:val="000000" w:themeColor="text1"/>
          <w:sz w:val="18"/>
          <w:szCs w:val="20"/>
        </w:rPr>
        <w:t>.</w:t>
      </w:r>
      <w:r w:rsidR="0051088C" w:rsidRPr="000B7226">
        <w:rPr>
          <w:rFonts w:ascii="Arial Narrow" w:eastAsia="Times New Roman" w:hAnsi="Arial Narrow" w:cs="Arial"/>
          <w:color w:val="000000" w:themeColor="text1"/>
          <w:sz w:val="18"/>
          <w:szCs w:val="20"/>
        </w:rPr>
        <w:t xml:space="preserve"> </w:t>
      </w:r>
    </w:p>
    <w:p w14:paraId="144D3F93" w14:textId="77777777" w:rsidR="0051088C" w:rsidRDefault="0051088C" w:rsidP="000B7226">
      <w:pPr>
        <w:widowControl w:val="0"/>
        <w:snapToGrid w:val="0"/>
        <w:spacing w:before="0" w:after="0" w:line="240" w:lineRule="auto"/>
        <w:contextualSpacing/>
        <w:jc w:val="both"/>
        <w:rPr>
          <w:rFonts w:ascii="Arial Narrow" w:eastAsia="Times New Roman" w:hAnsi="Arial Narrow" w:cs="Arial"/>
          <w:color w:val="000000" w:themeColor="text1"/>
          <w:sz w:val="18"/>
          <w:szCs w:val="20"/>
        </w:rPr>
      </w:pPr>
      <w:r>
        <w:rPr>
          <w:rFonts w:ascii="Arial Narrow" w:eastAsia="Times New Roman" w:hAnsi="Arial Narrow" w:cs="Arial"/>
          <w:color w:val="000000" w:themeColor="text1"/>
          <w:sz w:val="18"/>
          <w:szCs w:val="20"/>
        </w:rPr>
        <w:t xml:space="preserve">Note: Proportion of siblings who are eligible for cascade testing per newborn identified with a positive genotype is 0.7. Subsequent uptake rate of genetic counselling and cascade testing for PICO set 2 is 35%. </w:t>
      </w:r>
    </w:p>
    <w:p w14:paraId="2B5A6EA1" w14:textId="376A9F02" w:rsidR="00D84EC1" w:rsidRPr="000B7226" w:rsidRDefault="00D84EC1" w:rsidP="00D24D32">
      <w:pPr>
        <w:widowControl w:val="0"/>
        <w:snapToGrid w:val="0"/>
        <w:spacing w:before="0" w:line="240" w:lineRule="auto"/>
        <w:contextualSpacing/>
        <w:jc w:val="both"/>
        <w:rPr>
          <w:rFonts w:ascii="Arial Narrow" w:eastAsia="Times New Roman" w:hAnsi="Arial Narrow" w:cs="Arial"/>
          <w:color w:val="000000" w:themeColor="text1"/>
          <w:sz w:val="18"/>
          <w:szCs w:val="20"/>
        </w:rPr>
      </w:pPr>
      <w:r>
        <w:rPr>
          <w:rFonts w:ascii="Arial Narrow" w:eastAsia="Times New Roman" w:hAnsi="Arial Narrow" w:cs="Arial"/>
          <w:color w:val="000000" w:themeColor="text1"/>
          <w:sz w:val="18"/>
          <w:szCs w:val="20"/>
        </w:rPr>
        <w:t>Source: DCAR Table 15.</w:t>
      </w:r>
    </w:p>
    <w:p w14:paraId="728CA332" w14:textId="5DF126F9" w:rsidR="0051088C" w:rsidRDefault="0051088C" w:rsidP="00D24D32">
      <w:pPr>
        <w:spacing w:before="360"/>
      </w:pPr>
      <w:r>
        <w:t xml:space="preserve">There </w:t>
      </w:r>
      <w:r w:rsidR="00B17C55">
        <w:t>wa</w:t>
      </w:r>
      <w:r>
        <w:t xml:space="preserve">s some uncertainty in the financial estimates due to uncertain inputs for the prevalence of X-ALD in the Australian newborn population and the proportion of newborns expected to be positive after the FIA MS/MS test and the HPLC MS/MS tests. Increasing the prevalence of X-ALD from 0.01105% </w:t>
      </w:r>
      <w:r>
        <w:fldChar w:fldCharType="begin"/>
      </w:r>
      <w:r w:rsidR="00A72828">
        <w:instrText xml:space="preserve"> ADDIN EN.CITE &lt;EndNote&gt;&lt;Cite&gt;&lt;Author&gt;Matteson&lt;/Author&gt;&lt;Year&gt;2021&lt;/Year&gt;&lt;RecNum&gt;10455&lt;/RecNum&gt;&lt;DisplayText&gt;(Matteson et al., 2021)&lt;/DisplayText&gt;&lt;record&gt;&lt;rec-number&gt;10455&lt;/rec-number&gt;&lt;foreign-keys&gt;&lt;key app="EN" db-id="5p0vxwpf9wzvtiews9dpt0acffet2dft2xxv" timestamp="1678787923" guid="7f7be1ff-2420-45a9-b9cb-bdda97ac9907"&gt;10455&lt;/key&gt;&lt;/foreign-keys&gt;&lt;ref-type name="Journal Article"&gt;17&lt;/ref-type&gt;&lt;contributors&gt;&lt;authors&gt;&lt;author&gt;Matteson, Jamie&lt;/author&gt;&lt;author&gt;Sciortino, Stanley&lt;/author&gt;&lt;author&gt;Feuchtbaum, Lisa&lt;/author&gt;&lt;author&gt;Bishop, Tracey&lt;/author&gt;&lt;author&gt;Olney, Richard S.&lt;/author&gt;&lt;author&gt;Tang, Hao&lt;/author&gt;&lt;/authors&gt;&lt;/contributors&gt;&lt;titles&gt;&lt;title&gt;Adrenoleukodystrophy Newborn Screening in California Since 2016: Programmatic Outcomes and Follow-Up&lt;/title&gt;&lt;secondary-title&gt;International Journal of Neonatal Screening&lt;/secondary-title&gt;&lt;/titles&gt;&lt;periodical&gt;&lt;full-title&gt;Int J Neonatal Screen&lt;/full-title&gt;&lt;abbr-1&gt;International journal of neonatal screening&lt;/abbr-1&gt;&lt;/periodical&gt;&lt;volume&gt;7&lt;/volume&gt;&lt;number&gt;2&lt;/number&gt;&lt;section&gt;22&lt;/section&gt;&lt;dates&gt;&lt;year&gt;2021&lt;/year&gt;&lt;/dates&gt;&lt;isbn&gt;2409-515X&lt;/isbn&gt;&lt;urls&gt;&lt;/urls&gt;&lt;electronic-resource-num&gt;10.3390/ijns7020022&lt;/electronic-resource-num&gt;&lt;/record&gt;&lt;/Cite&gt;&lt;/EndNote&gt;</w:instrText>
      </w:r>
      <w:r>
        <w:fldChar w:fldCharType="separate"/>
      </w:r>
      <w:r>
        <w:rPr>
          <w:noProof/>
        </w:rPr>
        <w:t>(Matteson et al., 2021)</w:t>
      </w:r>
      <w:r>
        <w:fldChar w:fldCharType="end"/>
      </w:r>
      <w:r>
        <w:t xml:space="preserve"> to 0.01622% </w:t>
      </w:r>
      <w:r>
        <w:fldChar w:fldCharType="begin">
          <w:fldData xml:space="preserve">PEVuZE5vdGU+PENpdGU+PEF1dGhvcj5XaWVuczwvQXV0aG9yPjxZZWFyPjIwMTk8L1llYXI+PFJl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</w:fldData>
        </w:fldChar>
      </w:r>
      <w:r w:rsidR="00A72828">
        <w:instrText xml:space="preserve"> ADDIN EN.CITE </w:instrText>
      </w:r>
      <w:r w:rsidR="00A72828">
        <w:fldChar w:fldCharType="begin">
          <w:fldData xml:space="preserve">PEVuZE5vdGU+PENpdGU+PEF1dGhvcj5XaWVuczwvQXV0aG9yPjxZZWFyPjIwMTk8L1llYXI+PFJl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</w:fldData>
        </w:fldChar>
      </w:r>
      <w:r w:rsidR="00A72828">
        <w:instrText xml:space="preserve"> ADDIN EN.CITE.DATA </w:instrText>
      </w:r>
      <w:r w:rsidR="00A72828">
        <w:fldChar w:fldCharType="end"/>
      </w:r>
      <w:r>
        <w:fldChar w:fldCharType="separate"/>
      </w:r>
      <w:r w:rsidR="00A72828">
        <w:rPr>
          <w:noProof/>
        </w:rPr>
        <w:t>(Wiens et al., 2019)</w:t>
      </w:r>
      <w:r>
        <w:fldChar w:fldCharType="end"/>
      </w:r>
      <w:r>
        <w:t xml:space="preserve"> increased the net financial impact on the NBS programs by $0.02 million (Strategy I to IVb) over six years. Decreasing the prevalence to 0.00424% reduced </w:t>
      </w:r>
      <w:r w:rsidRPr="001E5879">
        <w:t xml:space="preserve">the net financial impact </w:t>
      </w:r>
      <w:r>
        <w:t>on the</w:t>
      </w:r>
      <w:r w:rsidRPr="001E5879">
        <w:t xml:space="preserve"> NBS programs by $0.0</w:t>
      </w:r>
      <w:r>
        <w:t>3</w:t>
      </w:r>
      <w:r w:rsidRPr="001E5879">
        <w:t xml:space="preserve"> million (Strategy I to IVb) over six years</w:t>
      </w:r>
      <w:r>
        <w:t>. In both these scenarios, Strategy I remain</w:t>
      </w:r>
      <w:r w:rsidR="00B17C55">
        <w:t>ed</w:t>
      </w:r>
      <w:r>
        <w:t xml:space="preserve"> the least costly option. </w:t>
      </w:r>
    </w:p>
    <w:p w14:paraId="185DA93B" w14:textId="08436864" w:rsidR="0051088C" w:rsidRDefault="0051088C" w:rsidP="00B76E8A">
      <w:pPr>
        <w:spacing w:after="120"/>
        <w:rPr>
          <w:rFonts w:eastAsiaTheme="minorEastAsia"/>
        </w:rPr>
      </w:pPr>
      <w:r w:rsidRPr="0D2FA58E">
        <w:rPr>
          <w:rFonts w:eastAsiaTheme="minorEastAsia"/>
        </w:rPr>
        <w:lastRenderedPageBreak/>
        <w:t xml:space="preserve">Reducing the proportion of newborns expected to be positive after the FIA MS/MS test from 4.19% </w:t>
      </w:r>
      <w:r>
        <w:rPr>
          <w:rFonts w:eastAsiaTheme="minorEastAsia"/>
        </w:rPr>
        <w:fldChar w:fldCharType="begin"/>
      </w:r>
      <w:r w:rsidR="00A72828">
        <w:rPr>
          <w:rFonts w:eastAsiaTheme="minorEastAsia"/>
        </w:rPr>
        <w:instrText xml:space="preserve"> ADDIN EN.CITE &lt;EndNote&gt;&lt;Cite&gt;&lt;Author&gt;Matteson&lt;/Author&gt;&lt;Year&gt;2021&lt;/Year&gt;&lt;RecNum&gt;10455&lt;/RecNum&gt;&lt;DisplayText&gt;(Matteson et al., 2021)&lt;/DisplayText&gt;&lt;record&gt;&lt;rec-number&gt;10455&lt;/rec-number&gt;&lt;foreign-keys&gt;&lt;key app="EN" db-id="5p0vxwpf9wzvtiews9dpt0acffet2dft2xxv" timestamp="1678787923" guid="7f7be1ff-2420-45a9-b9cb-bdda97ac9907"&gt;10455&lt;/key&gt;&lt;/foreign-keys&gt;&lt;ref-type name="Journal Article"&gt;17&lt;/ref-type&gt;&lt;contributors&gt;&lt;authors&gt;&lt;author&gt;Matteson, Jamie&lt;/author&gt;&lt;author&gt;Sciortino, Stanley&lt;/author&gt;&lt;author&gt;Feuchtbaum, Lisa&lt;/author&gt;&lt;author&gt;Bishop, Tracey&lt;/author&gt;&lt;author&gt;Olney, Richard S.&lt;/author&gt;&lt;author&gt;Tang, Hao&lt;/author&gt;&lt;/authors&gt;&lt;/contributors&gt;&lt;titles&gt;&lt;title&gt;Adrenoleukodystrophy Newborn Screening in California Since 2016: Programmatic Outcomes and Follow-Up&lt;/title&gt;&lt;secondary-title&gt;International Journal of Neonatal Screening&lt;/secondary-title&gt;&lt;/titles&gt;&lt;periodical&gt;&lt;full-title&gt;Int J Neonatal Screen&lt;/full-title&gt;&lt;abbr-1&gt;International journal of neonatal screening&lt;/abbr-1&gt;&lt;/periodical&gt;&lt;volume&gt;7&lt;/volume&gt;&lt;number&gt;2&lt;/number&gt;&lt;section&gt;22&lt;/section&gt;&lt;dates&gt;&lt;year&gt;2021&lt;/year&gt;&lt;/dates&gt;&lt;isbn&gt;2409-515X&lt;/isbn&gt;&lt;urls&gt;&lt;/urls&gt;&lt;electronic-resource-num&gt;10.3390/ijns7020022&lt;/electronic-resource-num&gt;&lt;/record&gt;&lt;/Cite&gt;&lt;/EndNote&gt;</w:instrText>
      </w:r>
      <w:r>
        <w:rPr>
          <w:rFonts w:eastAsiaTheme="minorEastAsia"/>
        </w:rPr>
        <w:fldChar w:fldCharType="separate"/>
      </w:r>
      <w:r>
        <w:rPr>
          <w:rFonts w:eastAsiaTheme="minorEastAsia"/>
          <w:noProof/>
        </w:rPr>
        <w:t>(Matteson et al., 2021)</w:t>
      </w:r>
      <w:r>
        <w:rPr>
          <w:rFonts w:eastAsiaTheme="minorEastAsia"/>
        </w:rPr>
        <w:fldChar w:fldCharType="end"/>
      </w:r>
      <w:r w:rsidRPr="0D2FA58E">
        <w:rPr>
          <w:rFonts w:eastAsiaTheme="minorEastAsia"/>
        </w:rPr>
        <w:t xml:space="preserve"> to 0.71% </w:t>
      </w:r>
      <w:r>
        <w:rPr>
          <w:rFonts w:eastAsiaTheme="minorEastAsia"/>
        </w:rPr>
        <w:fldChar w:fldCharType="begin">
          <w:fldData xml:space="preserve">PEVuZE5vdGU+PENpdGU+PEF1dGhvcj5BbGJlcnNlbjwvQXV0aG9yPjxZZWFyPjIwMjM8L1llYXI+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</w:fldData>
        </w:fldChar>
      </w:r>
      <w:r w:rsidR="00A72828">
        <w:rPr>
          <w:rFonts w:eastAsiaTheme="minorEastAsia"/>
        </w:rPr>
        <w:instrText xml:space="preserve"> ADDIN EN.CITE </w:instrText>
      </w:r>
      <w:r w:rsidR="00A72828">
        <w:rPr>
          <w:rFonts w:eastAsiaTheme="minorEastAsia"/>
        </w:rPr>
        <w:fldChar w:fldCharType="begin">
          <w:fldData xml:space="preserve">PEVuZE5vdGU+PENpdGU+PEF1dGhvcj5BbGJlcnNlbjwvQXV0aG9yPjxZZWFyPjIwMjM8L1llYXI+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</w:fldData>
        </w:fldChar>
      </w:r>
      <w:r w:rsidR="00A72828">
        <w:rPr>
          <w:rFonts w:eastAsiaTheme="minorEastAsia"/>
        </w:rPr>
        <w:instrText xml:space="preserve"> ADDIN EN.CITE.DATA </w:instrText>
      </w:r>
      <w:r w:rsidR="00A72828">
        <w:rPr>
          <w:rFonts w:eastAsiaTheme="minorEastAsia"/>
        </w:rPr>
      </w:r>
      <w:r w:rsidR="00A72828">
        <w:rPr>
          <w:rFonts w:eastAsiaTheme="minorEastAsia"/>
        </w:rPr>
        <w:fldChar w:fldCharType="end"/>
      </w:r>
      <w:r>
        <w:rPr>
          <w:rFonts w:eastAsiaTheme="minorEastAsia"/>
        </w:rPr>
      </w:r>
      <w:r>
        <w:rPr>
          <w:rFonts w:eastAsiaTheme="minorEastAsia"/>
        </w:rPr>
        <w:fldChar w:fldCharType="separate"/>
      </w:r>
      <w:r>
        <w:rPr>
          <w:rFonts w:eastAsiaTheme="minorEastAsia"/>
          <w:noProof/>
        </w:rPr>
        <w:t>(Albersen et al., 2023)</w:t>
      </w:r>
      <w:r>
        <w:rPr>
          <w:rFonts w:eastAsiaTheme="minorEastAsia"/>
        </w:rPr>
        <w:fldChar w:fldCharType="end"/>
      </w:r>
      <w:r>
        <w:rPr>
          <w:rFonts w:eastAsiaTheme="minorEastAsia"/>
        </w:rPr>
        <w:t xml:space="preserve"> </w:t>
      </w:r>
      <w:r w:rsidRPr="0D2FA58E">
        <w:rPr>
          <w:rFonts w:eastAsiaTheme="minorEastAsia"/>
        </w:rPr>
        <w:t xml:space="preserve">reduced the net financial impact </w:t>
      </w:r>
      <w:r>
        <w:rPr>
          <w:rFonts w:eastAsiaTheme="minorEastAsia"/>
        </w:rPr>
        <w:t>on</w:t>
      </w:r>
      <w:r w:rsidRPr="0D2FA58E">
        <w:rPr>
          <w:rFonts w:eastAsiaTheme="minorEastAsia"/>
        </w:rPr>
        <w:t xml:space="preserve"> NBS programs. However, Strategy I was still the least costly option at $1</w:t>
      </w:r>
      <w:r>
        <w:rPr>
          <w:rFonts w:eastAsiaTheme="minorEastAsia"/>
        </w:rPr>
        <w:t>0</w:t>
      </w:r>
      <w:r w:rsidRPr="0D2FA58E">
        <w:rPr>
          <w:rFonts w:eastAsiaTheme="minorEastAsia"/>
        </w:rPr>
        <w:t>.</w:t>
      </w:r>
      <w:r>
        <w:rPr>
          <w:rFonts w:eastAsiaTheme="minorEastAsia"/>
        </w:rPr>
        <w:t>3</w:t>
      </w:r>
      <w:r w:rsidRPr="0D2FA58E">
        <w:rPr>
          <w:rFonts w:eastAsiaTheme="minorEastAsia"/>
        </w:rPr>
        <w:t xml:space="preserve"> million over six years</w:t>
      </w:r>
      <w:r>
        <w:rPr>
          <w:rFonts w:eastAsiaTheme="minorEastAsia"/>
        </w:rPr>
        <w:t>, followed by Strategy IVb at $10.4 million</w:t>
      </w:r>
      <w:r w:rsidRPr="0D2FA58E">
        <w:rPr>
          <w:rFonts w:eastAsiaTheme="minorEastAsia"/>
        </w:rPr>
        <w:t xml:space="preserve">. Reducing the proportion of newborns expected to be positive after the HPLC MS/MS tests from 0.457% </w:t>
      </w:r>
      <w:r>
        <w:rPr>
          <w:rFonts w:eastAsiaTheme="minorEastAsia"/>
        </w:rPr>
        <w:fldChar w:fldCharType="begin"/>
      </w:r>
      <w:r w:rsidR="00A72828">
        <w:rPr>
          <w:rFonts w:eastAsiaTheme="minorEastAsia"/>
        </w:rPr>
        <w:instrText xml:space="preserve"> ADDIN EN.CITE &lt;EndNote&gt;&lt;Cite&gt;&lt;Author&gt;Matteson&lt;/Author&gt;&lt;Year&gt;2021&lt;/Year&gt;&lt;RecNum&gt;10455&lt;/RecNum&gt;&lt;DisplayText&gt;(Matteson et al., 2021)&lt;/DisplayText&gt;&lt;record&gt;&lt;rec-number&gt;10455&lt;/rec-number&gt;&lt;foreign-keys&gt;&lt;key app="EN" db-id="5p0vxwpf9wzvtiews9dpt0acffet2dft2xxv" timestamp="1678787923" guid="7f7be1ff-2420-45a9-b9cb-bdda97ac9907"&gt;10455&lt;/key&gt;&lt;/foreign-keys&gt;&lt;ref-type name="Journal Article"&gt;17&lt;/ref-type&gt;&lt;contributors&gt;&lt;authors&gt;&lt;author&gt;Matteson, Jamie&lt;/author&gt;&lt;author&gt;Sciortino, Stanley&lt;/author&gt;&lt;author&gt;Feuchtbaum, Lisa&lt;/author&gt;&lt;author&gt;Bishop, Tracey&lt;/author&gt;&lt;author&gt;Olney, Richard S.&lt;/author&gt;&lt;author&gt;Tang, Hao&lt;/author&gt;&lt;/authors&gt;&lt;/contributors&gt;&lt;titles&gt;&lt;title&gt;Adrenoleukodystrophy Newborn Screening in California Since 2016: Programmatic Outcomes and Follow-Up&lt;/title&gt;&lt;secondary-title&gt;International Journal of Neonatal Screening&lt;/secondary-title&gt;&lt;/titles&gt;&lt;periodical&gt;&lt;full-title&gt;Int J Neonatal Screen&lt;/full-title&gt;&lt;abbr-1&gt;International journal of neonatal screening&lt;/abbr-1&gt;&lt;/periodical&gt;&lt;volume&gt;7&lt;/volume&gt;&lt;number&gt;2&lt;/number&gt;&lt;section&gt;22&lt;/section&gt;&lt;dates&gt;&lt;year&gt;2021&lt;/year&gt;&lt;/dates&gt;&lt;isbn&gt;2409-515X&lt;/isbn&gt;&lt;urls&gt;&lt;/urls&gt;&lt;electronic-resource-num&gt;10.3390/ijns7020022&lt;/electronic-resource-num&gt;&lt;/record&gt;&lt;/Cite&gt;&lt;/EndNote&gt;</w:instrText>
      </w:r>
      <w:r>
        <w:rPr>
          <w:rFonts w:eastAsiaTheme="minorEastAsia"/>
        </w:rPr>
        <w:fldChar w:fldCharType="separate"/>
      </w:r>
      <w:r>
        <w:rPr>
          <w:rFonts w:eastAsiaTheme="minorEastAsia"/>
          <w:noProof/>
        </w:rPr>
        <w:t>(Matteson et al., 2021)</w:t>
      </w:r>
      <w:r>
        <w:rPr>
          <w:rFonts w:eastAsiaTheme="minorEastAsia"/>
        </w:rPr>
        <w:fldChar w:fldCharType="end"/>
      </w:r>
      <w:r>
        <w:rPr>
          <w:rFonts w:eastAsiaTheme="minorEastAsia"/>
        </w:rPr>
        <w:t xml:space="preserve"> </w:t>
      </w:r>
      <w:r w:rsidRPr="0D2FA58E">
        <w:rPr>
          <w:rFonts w:eastAsiaTheme="minorEastAsia"/>
        </w:rPr>
        <w:t xml:space="preserve">to 0.012% </w:t>
      </w:r>
      <w:r>
        <w:rPr>
          <w:rFonts w:eastAsiaTheme="minorEastAsia"/>
        </w:rPr>
        <w:fldChar w:fldCharType="begin">
          <w:fldData xml:space="preserve">PEVuZE5vdGU+PENpdGU+PEF1dGhvcj5CdXJ0b248L0F1dGhvcj48WWVhcj4yMDIyPC9ZZWFyPjxS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</w:fldData>
        </w:fldChar>
      </w:r>
      <w:r w:rsidR="00A72828">
        <w:rPr>
          <w:rFonts w:eastAsiaTheme="minorEastAsia"/>
        </w:rPr>
        <w:instrText xml:space="preserve"> ADDIN EN.CITE </w:instrText>
      </w:r>
      <w:r w:rsidR="00A72828">
        <w:rPr>
          <w:rFonts w:eastAsiaTheme="minorEastAsia"/>
        </w:rPr>
        <w:fldChar w:fldCharType="begin">
          <w:fldData xml:space="preserve">PEVuZE5vdGU+PENpdGU+PEF1dGhvcj5CdXJ0b248L0F1dGhvcj48WWVhcj4yMDIyPC9ZZWFyPjxS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</w:fldData>
        </w:fldChar>
      </w:r>
      <w:r w:rsidR="00A72828">
        <w:rPr>
          <w:rFonts w:eastAsiaTheme="minorEastAsia"/>
        </w:rPr>
        <w:instrText xml:space="preserve"> ADDIN EN.CITE.DATA </w:instrText>
      </w:r>
      <w:r w:rsidR="00A72828">
        <w:rPr>
          <w:rFonts w:eastAsiaTheme="minorEastAsia"/>
        </w:rPr>
      </w:r>
      <w:r w:rsidR="00A72828">
        <w:rPr>
          <w:rFonts w:eastAsiaTheme="minorEastAsia"/>
        </w:rPr>
        <w:fldChar w:fldCharType="end"/>
      </w:r>
      <w:r>
        <w:rPr>
          <w:rFonts w:eastAsiaTheme="minorEastAsia"/>
        </w:rPr>
      </w:r>
      <w:r>
        <w:rPr>
          <w:rFonts w:eastAsiaTheme="minorEastAsia"/>
        </w:rPr>
        <w:fldChar w:fldCharType="separate"/>
      </w:r>
      <w:r>
        <w:rPr>
          <w:rFonts w:eastAsiaTheme="minorEastAsia"/>
          <w:noProof/>
        </w:rPr>
        <w:t>(Burton et al., 2022</w:t>
      </w:r>
      <w:r w:rsidR="000F38E8">
        <w:rPr>
          <w:rStyle w:val="FootnoteReference"/>
          <w:rFonts w:eastAsiaTheme="minorEastAsia"/>
          <w:noProof/>
        </w:rPr>
        <w:footnoteReference w:id="39"/>
      </w:r>
      <w:r>
        <w:rPr>
          <w:rFonts w:eastAsiaTheme="minorEastAsia"/>
          <w:noProof/>
        </w:rPr>
        <w:t>)</w:t>
      </w:r>
      <w:r>
        <w:rPr>
          <w:rFonts w:eastAsiaTheme="minorEastAsia"/>
        </w:rPr>
        <w:fldChar w:fldCharType="end"/>
      </w:r>
      <w:r>
        <w:rPr>
          <w:rFonts w:eastAsiaTheme="minorEastAsia"/>
        </w:rPr>
        <w:t xml:space="preserve"> </w:t>
      </w:r>
      <w:r w:rsidRPr="0D2FA58E">
        <w:rPr>
          <w:rFonts w:eastAsiaTheme="minorEastAsia"/>
        </w:rPr>
        <w:t xml:space="preserve">reduced the net financial impact </w:t>
      </w:r>
      <w:r>
        <w:rPr>
          <w:rFonts w:eastAsiaTheme="minorEastAsia"/>
        </w:rPr>
        <w:t>on</w:t>
      </w:r>
      <w:r w:rsidRPr="0D2FA58E">
        <w:rPr>
          <w:rFonts w:eastAsiaTheme="minorEastAsia"/>
        </w:rPr>
        <w:t xml:space="preserve"> NBS programs. However, Strategy I remained the least costly at $</w:t>
      </w:r>
      <w:r>
        <w:rPr>
          <w:rFonts w:eastAsiaTheme="minorEastAsia"/>
        </w:rPr>
        <w:t>11.06</w:t>
      </w:r>
      <w:r w:rsidRPr="0D2FA58E">
        <w:rPr>
          <w:rFonts w:eastAsiaTheme="minorEastAsia"/>
        </w:rPr>
        <w:t xml:space="preserve"> million</w:t>
      </w:r>
      <w:r>
        <w:rPr>
          <w:rFonts w:eastAsiaTheme="minorEastAsia"/>
        </w:rPr>
        <w:t>, followed by Strategy IVb at $11.07 million</w:t>
      </w:r>
      <w:r w:rsidRPr="0D2FA58E">
        <w:rPr>
          <w:rFonts w:eastAsiaTheme="minorEastAsia"/>
        </w:rPr>
        <w:t xml:space="preserve"> over six years. </w:t>
      </w:r>
      <w:r w:rsidRPr="006C2E06">
        <w:rPr>
          <w:rFonts w:eastAsiaTheme="minorEastAsia"/>
        </w:rPr>
        <w:t xml:space="preserve">With the higher cost of the </w:t>
      </w:r>
      <w:r w:rsidRPr="00F17D0D">
        <w:rPr>
          <w:rFonts w:eastAsiaTheme="minorEastAsia"/>
          <w:i/>
          <w:iCs/>
        </w:rPr>
        <w:t>ABCD1</w:t>
      </w:r>
      <w:r w:rsidRPr="006C2E06">
        <w:rPr>
          <w:rFonts w:eastAsiaTheme="minorEastAsia"/>
        </w:rPr>
        <w:t xml:space="preserve"> genetic test ($721.25 and $1</w:t>
      </w:r>
      <w:r>
        <w:rPr>
          <w:rFonts w:eastAsiaTheme="minorEastAsia"/>
        </w:rPr>
        <w:t>,</w:t>
      </w:r>
      <w:r w:rsidRPr="006C2E06">
        <w:rPr>
          <w:rFonts w:eastAsiaTheme="minorEastAsia"/>
        </w:rPr>
        <w:t>200), Strategy I remain</w:t>
      </w:r>
      <w:r w:rsidR="00B17C55">
        <w:rPr>
          <w:rFonts w:eastAsiaTheme="minorEastAsia"/>
        </w:rPr>
        <w:t>ed</w:t>
      </w:r>
      <w:r w:rsidRPr="006C2E06">
        <w:rPr>
          <w:rFonts w:eastAsiaTheme="minorEastAsia"/>
        </w:rPr>
        <w:t xml:space="preserve"> the least costly option </w:t>
      </w:r>
      <w:r>
        <w:rPr>
          <w:rFonts w:eastAsiaTheme="minorEastAsia"/>
        </w:rPr>
        <w:t>(</w:t>
      </w:r>
      <w:r w:rsidRPr="006C2E06">
        <w:rPr>
          <w:rFonts w:eastAsiaTheme="minorEastAsia"/>
        </w:rPr>
        <w:t>as the strategy did not include the test</w:t>
      </w:r>
      <w:r w:rsidR="00816B3A">
        <w:rPr>
          <w:rFonts w:eastAsiaTheme="minorEastAsia"/>
        </w:rPr>
        <w:t>, which would still be funded by state governments for public patients seen in their genetics clinics</w:t>
      </w:r>
      <w:r>
        <w:rPr>
          <w:rFonts w:eastAsiaTheme="minorEastAsia"/>
        </w:rPr>
        <w:t>)</w:t>
      </w:r>
      <w:r w:rsidRPr="006C2E06">
        <w:rPr>
          <w:rFonts w:eastAsiaTheme="minorEastAsia"/>
        </w:rPr>
        <w:t>.</w:t>
      </w:r>
    </w:p>
    <w:p w14:paraId="04E43744" w14:textId="5F1A1334" w:rsidR="0051088C" w:rsidRDefault="0051088C" w:rsidP="00B76E8A">
      <w:pPr>
        <w:spacing w:after="120"/>
      </w:pPr>
      <w:r>
        <w:t>Reducing the uptake rate for genetic counselling to 50% reduce</w:t>
      </w:r>
      <w:r w:rsidR="00891737">
        <w:t>d</w:t>
      </w:r>
      <w:r>
        <w:t>, and increasing the uptake rate of cascade testing to 90% increase</w:t>
      </w:r>
      <w:r w:rsidR="00891737">
        <w:t>d,</w:t>
      </w:r>
      <w:r>
        <w:t xml:space="preserve"> </w:t>
      </w:r>
      <w:r w:rsidRPr="001E5879">
        <w:t>the cost implications for state and territor</w:t>
      </w:r>
      <w:r w:rsidR="00891737">
        <w:t>y</w:t>
      </w:r>
      <w:r>
        <w:t xml:space="preserve"> government</w:t>
      </w:r>
      <w:r w:rsidR="00891737">
        <w:t>s</w:t>
      </w:r>
      <w:r>
        <w:t>.</w:t>
      </w:r>
      <w:r w:rsidRPr="001E5879">
        <w:t xml:space="preserve"> </w:t>
      </w:r>
      <w:r>
        <w:t xml:space="preserve"> </w:t>
      </w:r>
      <w:r w:rsidRPr="007B3DC0">
        <w:rPr>
          <w:snapToGrid w:val="0"/>
        </w:rPr>
        <w:t xml:space="preserve">Cost implications for </w:t>
      </w:r>
      <w:r>
        <w:t>the s</w:t>
      </w:r>
      <w:r w:rsidRPr="000E0648">
        <w:t>tate and territor</w:t>
      </w:r>
      <w:r w:rsidR="00891737">
        <w:t>y</w:t>
      </w:r>
      <w:r>
        <w:t xml:space="preserve"> government</w:t>
      </w:r>
      <w:r w:rsidR="00891737">
        <w:t>s</w:t>
      </w:r>
      <w:r>
        <w:t xml:space="preserve"> </w:t>
      </w:r>
      <w:r w:rsidR="00891737">
        <w:t>we</w:t>
      </w:r>
      <w:r w:rsidRPr="000E0648">
        <w:t>re estimated to increase by $3.35 million over six years if all newborns with CCALD under</w:t>
      </w:r>
      <w:r w:rsidR="003250CD">
        <w:t>went</w:t>
      </w:r>
      <w:r w:rsidRPr="000E0648">
        <w:t xml:space="preserve"> HSCT</w:t>
      </w:r>
      <w:r>
        <w:t xml:space="preserve">. Increasing the number of </w:t>
      </w:r>
      <w:r w:rsidRPr="007B3DC0">
        <w:t>siblings eligible for cascade testing (</w:t>
      </w:r>
      <w:r w:rsidR="00891737">
        <w:t>per positive</w:t>
      </w:r>
      <w:r w:rsidR="00716A9A">
        <w:t>ly diagnosed</w:t>
      </w:r>
      <w:r w:rsidR="00891737">
        <w:t xml:space="preserve"> newborn</w:t>
      </w:r>
      <w:r w:rsidRPr="007B3DC0">
        <w:t>)</w:t>
      </w:r>
      <w:r>
        <w:t xml:space="preserve"> to 2 increase</w:t>
      </w:r>
      <w:r w:rsidR="003250CD">
        <w:t>d</w:t>
      </w:r>
      <w:r>
        <w:t xml:space="preserve"> the cost of state and territories government by $0.22 million (Strategy I to IV) and $0.12 million (Strategy Ia to IVb) over six years. Irrespective of the price of the X-counter test ($50 or $100), Strategy I ($11.0 million) remain</w:t>
      </w:r>
      <w:r w:rsidR="008A1B0A">
        <w:t>ed</w:t>
      </w:r>
      <w:r>
        <w:t xml:space="preserve"> the least costly option </w:t>
      </w:r>
      <w:r>
        <w:rPr>
          <w:rFonts w:eastAsiaTheme="minorEastAsia"/>
        </w:rPr>
        <w:t>(</w:t>
      </w:r>
      <w:r w:rsidRPr="006C2E06">
        <w:rPr>
          <w:rFonts w:eastAsiaTheme="minorEastAsia"/>
        </w:rPr>
        <w:t>as the strategy did not include the test</w:t>
      </w:r>
      <w:r>
        <w:rPr>
          <w:rFonts w:eastAsiaTheme="minorEastAsia"/>
        </w:rPr>
        <w:t>)</w:t>
      </w:r>
      <w:r>
        <w:t>, followed by Strategy IVb ($11.20 million or $11.24 million).</w:t>
      </w:r>
    </w:p>
    <w:p w14:paraId="07A805BF" w14:textId="0D94A760" w:rsidR="00850EA0" w:rsidRDefault="00850EA0" w:rsidP="00D24D32">
      <w:r>
        <w:t xml:space="preserve">Overall, Strategy I remained the least costly testing strategy </w:t>
      </w:r>
      <w:r w:rsidR="00647ED5">
        <w:t xml:space="preserve">to NBS programs </w:t>
      </w:r>
      <w:r>
        <w:t xml:space="preserve">and Strategy II remained the most costly testing strategy across all sensitivity </w:t>
      </w:r>
      <w:r w:rsidRPr="00850EA0">
        <w:t>analy</w:t>
      </w:r>
      <w:r w:rsidR="00647ED5">
        <w:t>ses</w:t>
      </w:r>
      <w:r w:rsidRPr="00850EA0">
        <w:t xml:space="preserve"> (see </w:t>
      </w:r>
      <w:r w:rsidRPr="00850EA0">
        <w:fldChar w:fldCharType="begin"/>
      </w:r>
      <w:r w:rsidRPr="00850EA0">
        <w:instrText xml:space="preserve"> REF _Ref132807479 \h </w:instrText>
      </w:r>
      <w:r>
        <w:instrText xml:space="preserve"> \* MERGEFORMAT </w:instrText>
      </w:r>
      <w:r w:rsidRPr="00850EA0">
        <w:fldChar w:fldCharType="separate"/>
      </w:r>
      <w:r w:rsidR="00253978" w:rsidRPr="00253978">
        <w:t>Table 19</w:t>
      </w:r>
      <w:r w:rsidRPr="00850EA0">
        <w:fldChar w:fldCharType="end"/>
      </w:r>
      <w:r w:rsidRPr="00850EA0">
        <w:t>).</w:t>
      </w:r>
    </w:p>
    <w:p w14:paraId="685E094D" w14:textId="411BA14D" w:rsidR="00850EA0" w:rsidRPr="00850EA0" w:rsidRDefault="00850EA0" w:rsidP="009B22F6">
      <w:pPr>
        <w:keepNext/>
        <w:spacing w:after="0" w:line="240" w:lineRule="auto"/>
        <w:rPr>
          <w:rFonts w:ascii="Arial Narrow" w:eastAsia="Times New Roman" w:hAnsi="Arial Narrow" w:cs="Times New Roman"/>
          <w:b/>
          <w:bCs/>
          <w:sz w:val="20"/>
          <w:szCs w:val="20"/>
        </w:rPr>
      </w:pPr>
      <w:bookmarkStart w:id="71" w:name="_Ref132807479"/>
      <w:r w:rsidRPr="00850EA0">
        <w:rPr>
          <w:rFonts w:ascii="Arial Narrow" w:eastAsia="Times New Roman" w:hAnsi="Arial Narrow" w:cs="Times New Roman"/>
          <w:b/>
          <w:bCs/>
          <w:sz w:val="20"/>
          <w:szCs w:val="20"/>
        </w:rPr>
        <w:t xml:space="preserve">Table </w:t>
      </w:r>
      <w:r w:rsidRPr="00850EA0">
        <w:rPr>
          <w:rFonts w:ascii="Arial Narrow" w:eastAsia="Times New Roman" w:hAnsi="Arial Narrow" w:cs="Times New Roman"/>
          <w:b/>
          <w:bCs/>
          <w:sz w:val="20"/>
          <w:szCs w:val="20"/>
        </w:rPr>
        <w:fldChar w:fldCharType="begin"/>
      </w:r>
      <w:r w:rsidRPr="00850EA0">
        <w:rPr>
          <w:rFonts w:ascii="Arial Narrow" w:eastAsia="Times New Roman" w:hAnsi="Arial Narrow" w:cs="Times New Roman"/>
          <w:b/>
          <w:bCs/>
          <w:sz w:val="20"/>
          <w:szCs w:val="20"/>
        </w:rPr>
        <w:instrText xml:space="preserve"> SEQ Table \* ARABIC </w:instrText>
      </w:r>
      <w:r w:rsidRPr="00850EA0">
        <w:rPr>
          <w:rFonts w:ascii="Arial Narrow" w:eastAsia="Times New Roman" w:hAnsi="Arial Narrow" w:cs="Times New Roman"/>
          <w:b/>
          <w:bCs/>
          <w:sz w:val="20"/>
          <w:szCs w:val="20"/>
        </w:rPr>
        <w:fldChar w:fldCharType="separate"/>
      </w:r>
      <w:r w:rsidR="00253978">
        <w:rPr>
          <w:rFonts w:ascii="Arial Narrow" w:eastAsia="Times New Roman" w:hAnsi="Arial Narrow" w:cs="Times New Roman"/>
          <w:b/>
          <w:bCs/>
          <w:noProof/>
          <w:sz w:val="20"/>
          <w:szCs w:val="20"/>
        </w:rPr>
        <w:t>19</w:t>
      </w:r>
      <w:r w:rsidRPr="00850EA0">
        <w:rPr>
          <w:rFonts w:ascii="Arial Narrow" w:eastAsia="Times New Roman" w:hAnsi="Arial Narrow" w:cs="Times New Roman"/>
          <w:b/>
          <w:bCs/>
          <w:noProof/>
          <w:sz w:val="20"/>
          <w:szCs w:val="20"/>
        </w:rPr>
        <w:fldChar w:fldCharType="end"/>
      </w:r>
      <w:bookmarkEnd w:id="71"/>
      <w:r w:rsidRPr="00850EA0">
        <w:rPr>
          <w:rFonts w:ascii="Arial Narrow" w:eastAsia="Times New Roman" w:hAnsi="Arial Narrow" w:cs="Times New Roman"/>
          <w:b/>
          <w:bCs/>
          <w:sz w:val="20"/>
          <w:szCs w:val="20"/>
        </w:rPr>
        <w:t>: Summary of sensitivity analysis impacts on least costly and most costly strategies to NBS programs</w:t>
      </w:r>
    </w:p>
    <w:tbl>
      <w:tblPr>
        <w:tblStyle w:val="TableGrid"/>
        <w:tblW w:w="9067" w:type="dxa"/>
        <w:tblLook w:val="04A0" w:firstRow="1" w:lastRow="0" w:firstColumn="1" w:lastColumn="0" w:noHBand="0" w:noVBand="1"/>
      </w:tblPr>
      <w:tblGrid>
        <w:gridCol w:w="2263"/>
        <w:gridCol w:w="1701"/>
        <w:gridCol w:w="1701"/>
        <w:gridCol w:w="1701"/>
        <w:gridCol w:w="1701"/>
      </w:tblGrid>
      <w:tr w:rsidR="00850EA0" w:rsidRPr="00850EA0" w14:paraId="54FC1A0C" w14:textId="77777777" w:rsidTr="00F17D0D">
        <w:trPr>
          <w:trHeight w:val="343"/>
          <w:tblHeader/>
        </w:trPr>
        <w:tc>
          <w:tcPr>
            <w:tcW w:w="2263" w:type="dxa"/>
            <w:noWrap/>
            <w:vAlign w:val="center"/>
            <w:hideMark/>
          </w:tcPr>
          <w:p w14:paraId="7A97BA0B" w14:textId="77777777" w:rsidR="00850EA0" w:rsidRPr="00850EA0" w:rsidRDefault="00850EA0" w:rsidP="003C749C">
            <w:pPr>
              <w:spacing w:before="0"/>
              <w:rPr>
                <w:rFonts w:ascii="Arial Narrow" w:eastAsia="Calibri" w:hAnsi="Arial Narrow" w:cs="Times New Roman"/>
                <w:b/>
                <w:bCs/>
                <w:sz w:val="19"/>
                <w:szCs w:val="19"/>
              </w:rPr>
            </w:pPr>
            <w:r w:rsidRPr="00850EA0">
              <w:rPr>
                <w:rFonts w:ascii="Arial Narrow" w:eastAsia="Calibri" w:hAnsi="Arial Narrow" w:cs="Times New Roman"/>
                <w:b/>
                <w:bCs/>
                <w:sz w:val="19"/>
                <w:szCs w:val="19"/>
              </w:rPr>
              <w:t xml:space="preserve">Input </w:t>
            </w:r>
          </w:p>
        </w:tc>
        <w:tc>
          <w:tcPr>
            <w:tcW w:w="1701" w:type="dxa"/>
            <w:vAlign w:val="center"/>
          </w:tcPr>
          <w:p w14:paraId="29C9277E" w14:textId="4FFAC860" w:rsidR="00850EA0" w:rsidRPr="00850EA0" w:rsidRDefault="00850EA0" w:rsidP="003C749C">
            <w:pPr>
              <w:spacing w:before="0"/>
              <w:rPr>
                <w:rFonts w:ascii="Arial Narrow" w:eastAsia="Calibri" w:hAnsi="Arial Narrow" w:cs="Times New Roman"/>
                <w:b/>
                <w:bCs/>
                <w:sz w:val="19"/>
                <w:szCs w:val="19"/>
              </w:rPr>
            </w:pPr>
            <w:r w:rsidRPr="00850EA0">
              <w:rPr>
                <w:rFonts w:ascii="Arial Narrow" w:eastAsia="Calibri" w:hAnsi="Arial Narrow" w:cs="Times New Roman"/>
                <w:b/>
                <w:bCs/>
                <w:sz w:val="19"/>
                <w:szCs w:val="19"/>
              </w:rPr>
              <w:t>Base case</w:t>
            </w:r>
            <w:r w:rsidR="005A1072">
              <w:rPr>
                <w:rFonts w:ascii="Arial Narrow" w:eastAsia="Calibri" w:hAnsi="Arial Narrow" w:cs="Times New Roman"/>
                <w:b/>
                <w:bCs/>
                <w:sz w:val="19"/>
                <w:szCs w:val="19"/>
              </w:rPr>
              <w:t xml:space="preserve"> value</w:t>
            </w:r>
          </w:p>
        </w:tc>
        <w:tc>
          <w:tcPr>
            <w:tcW w:w="1701" w:type="dxa"/>
            <w:noWrap/>
            <w:vAlign w:val="center"/>
          </w:tcPr>
          <w:p w14:paraId="24FCCB0A" w14:textId="77777777" w:rsidR="00850EA0" w:rsidRPr="00850EA0" w:rsidRDefault="00850EA0" w:rsidP="003C749C">
            <w:pPr>
              <w:spacing w:before="0"/>
              <w:rPr>
                <w:rFonts w:ascii="Arial Narrow" w:eastAsia="Calibri" w:hAnsi="Arial Narrow" w:cs="Times New Roman"/>
                <w:b/>
                <w:bCs/>
                <w:sz w:val="19"/>
                <w:szCs w:val="19"/>
              </w:rPr>
            </w:pPr>
            <w:r w:rsidRPr="00850EA0">
              <w:rPr>
                <w:rFonts w:ascii="Arial Narrow" w:eastAsia="Calibri" w:hAnsi="Arial Narrow" w:cs="Times New Roman"/>
                <w:b/>
                <w:bCs/>
                <w:sz w:val="19"/>
                <w:szCs w:val="19"/>
              </w:rPr>
              <w:t>SA value</w:t>
            </w:r>
          </w:p>
        </w:tc>
        <w:tc>
          <w:tcPr>
            <w:tcW w:w="1701" w:type="dxa"/>
            <w:vAlign w:val="center"/>
          </w:tcPr>
          <w:p w14:paraId="1106164D" w14:textId="77777777" w:rsidR="00850EA0" w:rsidRPr="00850EA0" w:rsidRDefault="00850EA0" w:rsidP="003C749C">
            <w:pPr>
              <w:spacing w:before="0"/>
              <w:rPr>
                <w:rFonts w:ascii="Arial Narrow" w:eastAsia="Calibri" w:hAnsi="Arial Narrow" w:cs="Times New Roman"/>
                <w:b/>
                <w:bCs/>
                <w:sz w:val="19"/>
                <w:szCs w:val="19"/>
              </w:rPr>
            </w:pPr>
            <w:r w:rsidRPr="00850EA0">
              <w:rPr>
                <w:rFonts w:ascii="Arial Narrow" w:eastAsia="Calibri" w:hAnsi="Arial Narrow" w:cs="Times New Roman"/>
                <w:b/>
                <w:bCs/>
                <w:sz w:val="19"/>
                <w:szCs w:val="19"/>
              </w:rPr>
              <w:t>Least costly</w:t>
            </w:r>
          </w:p>
        </w:tc>
        <w:tc>
          <w:tcPr>
            <w:tcW w:w="1701" w:type="dxa"/>
            <w:vAlign w:val="center"/>
          </w:tcPr>
          <w:p w14:paraId="31924F61" w14:textId="77777777" w:rsidR="00850EA0" w:rsidRPr="00850EA0" w:rsidRDefault="00850EA0" w:rsidP="003C749C">
            <w:pPr>
              <w:spacing w:before="0"/>
              <w:rPr>
                <w:rFonts w:ascii="Arial Narrow" w:eastAsia="Calibri" w:hAnsi="Arial Narrow" w:cs="Times New Roman"/>
                <w:b/>
                <w:bCs/>
                <w:sz w:val="19"/>
                <w:szCs w:val="19"/>
              </w:rPr>
            </w:pPr>
            <w:r w:rsidRPr="00850EA0">
              <w:rPr>
                <w:rFonts w:ascii="Arial Narrow" w:eastAsia="Calibri" w:hAnsi="Arial Narrow" w:cs="Times New Roman"/>
                <w:b/>
                <w:bCs/>
                <w:sz w:val="19"/>
                <w:szCs w:val="19"/>
              </w:rPr>
              <w:t>Most costly</w:t>
            </w:r>
          </w:p>
        </w:tc>
      </w:tr>
      <w:tr w:rsidR="00850EA0" w:rsidRPr="00850EA0" w14:paraId="2E113876" w14:textId="77777777" w:rsidTr="00D24D32">
        <w:trPr>
          <w:trHeight w:val="343"/>
        </w:trPr>
        <w:tc>
          <w:tcPr>
            <w:tcW w:w="2263" w:type="dxa"/>
            <w:vMerge w:val="restart"/>
            <w:shd w:val="clear" w:color="auto" w:fill="auto"/>
            <w:vAlign w:val="center"/>
            <w:hideMark/>
          </w:tcPr>
          <w:p w14:paraId="66802815"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hAnsi="Arial Narrow"/>
                <w:sz w:val="20"/>
              </w:rPr>
              <w:t>Prevalence of X-ALD in Australia</w:t>
            </w:r>
          </w:p>
        </w:tc>
        <w:tc>
          <w:tcPr>
            <w:tcW w:w="1701" w:type="dxa"/>
            <w:vMerge w:val="restart"/>
            <w:vAlign w:val="center"/>
          </w:tcPr>
          <w:p w14:paraId="5D8E92C8"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0.0111%</w:t>
            </w:r>
          </w:p>
        </w:tc>
        <w:tc>
          <w:tcPr>
            <w:tcW w:w="1701" w:type="dxa"/>
            <w:vAlign w:val="center"/>
          </w:tcPr>
          <w:p w14:paraId="41A1E4BD"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0.00424%</w:t>
            </w:r>
          </w:p>
        </w:tc>
        <w:tc>
          <w:tcPr>
            <w:tcW w:w="1701" w:type="dxa"/>
            <w:vAlign w:val="center"/>
          </w:tcPr>
          <w:p w14:paraId="7AD0F794"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w:t>
            </w:r>
          </w:p>
        </w:tc>
        <w:tc>
          <w:tcPr>
            <w:tcW w:w="1701" w:type="dxa"/>
            <w:vAlign w:val="center"/>
          </w:tcPr>
          <w:p w14:paraId="3DB6EF90"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II</w:t>
            </w:r>
          </w:p>
        </w:tc>
      </w:tr>
      <w:tr w:rsidR="00850EA0" w:rsidRPr="00850EA0" w14:paraId="584E0323" w14:textId="77777777" w:rsidTr="00D24D32">
        <w:trPr>
          <w:trHeight w:val="343"/>
        </w:trPr>
        <w:tc>
          <w:tcPr>
            <w:tcW w:w="2263" w:type="dxa"/>
            <w:vMerge/>
            <w:shd w:val="clear" w:color="auto" w:fill="auto"/>
            <w:vAlign w:val="center"/>
          </w:tcPr>
          <w:p w14:paraId="65AFD5D7" w14:textId="77777777" w:rsidR="00850EA0" w:rsidRPr="00850EA0" w:rsidRDefault="00850EA0" w:rsidP="003C749C">
            <w:pPr>
              <w:spacing w:before="0"/>
              <w:rPr>
                <w:rFonts w:ascii="Arial Narrow" w:hAnsi="Arial Narrow"/>
                <w:sz w:val="20"/>
              </w:rPr>
            </w:pPr>
          </w:p>
        </w:tc>
        <w:tc>
          <w:tcPr>
            <w:tcW w:w="1701" w:type="dxa"/>
            <w:vMerge/>
            <w:vAlign w:val="center"/>
          </w:tcPr>
          <w:p w14:paraId="25AB842E" w14:textId="77777777" w:rsidR="00850EA0" w:rsidRPr="00850EA0" w:rsidRDefault="00850EA0" w:rsidP="003C749C">
            <w:pPr>
              <w:spacing w:before="0"/>
              <w:rPr>
                <w:rFonts w:ascii="Arial Narrow" w:eastAsia="Calibri" w:hAnsi="Arial Narrow" w:cs="Times New Roman"/>
                <w:sz w:val="19"/>
                <w:szCs w:val="19"/>
              </w:rPr>
            </w:pPr>
          </w:p>
        </w:tc>
        <w:tc>
          <w:tcPr>
            <w:tcW w:w="1701" w:type="dxa"/>
            <w:vAlign w:val="center"/>
          </w:tcPr>
          <w:p w14:paraId="3FFAA1D7"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0.01622%</w:t>
            </w:r>
          </w:p>
        </w:tc>
        <w:tc>
          <w:tcPr>
            <w:tcW w:w="1701" w:type="dxa"/>
            <w:vAlign w:val="center"/>
          </w:tcPr>
          <w:p w14:paraId="0D1F99BD"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w:t>
            </w:r>
          </w:p>
        </w:tc>
        <w:tc>
          <w:tcPr>
            <w:tcW w:w="1701" w:type="dxa"/>
            <w:vAlign w:val="center"/>
          </w:tcPr>
          <w:p w14:paraId="105998F7"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II</w:t>
            </w:r>
          </w:p>
        </w:tc>
      </w:tr>
      <w:tr w:rsidR="00850EA0" w:rsidRPr="00850EA0" w14:paraId="03E31D83" w14:textId="77777777" w:rsidTr="00D24D32">
        <w:trPr>
          <w:trHeight w:val="343"/>
        </w:trPr>
        <w:tc>
          <w:tcPr>
            <w:tcW w:w="2263" w:type="dxa"/>
            <w:shd w:val="clear" w:color="auto" w:fill="auto"/>
            <w:vAlign w:val="center"/>
          </w:tcPr>
          <w:p w14:paraId="43DB3386" w14:textId="1E7D6962" w:rsidR="00850EA0" w:rsidRPr="00850EA0" w:rsidRDefault="00850EA0" w:rsidP="003C749C">
            <w:pPr>
              <w:spacing w:before="0"/>
              <w:rPr>
                <w:rFonts w:ascii="Arial Narrow" w:eastAsia="Calibri" w:hAnsi="Arial Narrow" w:cs="Times New Roman"/>
                <w:sz w:val="19"/>
                <w:szCs w:val="19"/>
              </w:rPr>
            </w:pPr>
            <w:r w:rsidRPr="00850EA0">
              <w:rPr>
                <w:rFonts w:ascii="Arial Narrow" w:hAnsi="Arial Narrow"/>
                <w:sz w:val="20"/>
              </w:rPr>
              <w:t>Proportion of patients positive after FI</w:t>
            </w:r>
            <w:r w:rsidR="0097131F">
              <w:rPr>
                <w:rFonts w:ascii="Arial Narrow" w:hAnsi="Arial Narrow"/>
                <w:sz w:val="20"/>
              </w:rPr>
              <w:t>A</w:t>
            </w:r>
            <w:r w:rsidRPr="00850EA0">
              <w:rPr>
                <w:rFonts w:ascii="Arial Narrow" w:hAnsi="Arial Narrow"/>
                <w:sz w:val="20"/>
              </w:rPr>
              <w:t>-MS/MS test</w:t>
            </w:r>
          </w:p>
        </w:tc>
        <w:tc>
          <w:tcPr>
            <w:tcW w:w="1701" w:type="dxa"/>
            <w:vAlign w:val="center"/>
          </w:tcPr>
          <w:p w14:paraId="4B548567"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4.19%</w:t>
            </w:r>
          </w:p>
        </w:tc>
        <w:tc>
          <w:tcPr>
            <w:tcW w:w="1701" w:type="dxa"/>
            <w:vAlign w:val="center"/>
          </w:tcPr>
          <w:p w14:paraId="048EA593"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0.71%</w:t>
            </w:r>
          </w:p>
        </w:tc>
        <w:tc>
          <w:tcPr>
            <w:tcW w:w="1701" w:type="dxa"/>
            <w:vAlign w:val="center"/>
          </w:tcPr>
          <w:p w14:paraId="6F72B41E"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w:t>
            </w:r>
          </w:p>
        </w:tc>
        <w:tc>
          <w:tcPr>
            <w:tcW w:w="1701" w:type="dxa"/>
            <w:vAlign w:val="center"/>
          </w:tcPr>
          <w:p w14:paraId="1E74DA30"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III</w:t>
            </w:r>
          </w:p>
        </w:tc>
      </w:tr>
      <w:tr w:rsidR="00850EA0" w:rsidRPr="00850EA0" w14:paraId="3E5272B1" w14:textId="77777777" w:rsidTr="00D24D32">
        <w:trPr>
          <w:trHeight w:val="343"/>
        </w:trPr>
        <w:tc>
          <w:tcPr>
            <w:tcW w:w="2263" w:type="dxa"/>
            <w:tcBorders>
              <w:bottom w:val="single" w:sz="4" w:space="0" w:color="auto"/>
            </w:tcBorders>
            <w:shd w:val="clear" w:color="auto" w:fill="auto"/>
            <w:vAlign w:val="center"/>
          </w:tcPr>
          <w:p w14:paraId="3AEFD54D" w14:textId="4C409677" w:rsidR="00850EA0" w:rsidRPr="00850EA0" w:rsidRDefault="00850EA0" w:rsidP="003C749C">
            <w:pPr>
              <w:spacing w:before="0"/>
              <w:rPr>
                <w:rFonts w:ascii="Arial Narrow" w:eastAsia="Calibri" w:hAnsi="Arial Narrow" w:cs="Times New Roman"/>
                <w:sz w:val="19"/>
                <w:szCs w:val="19"/>
              </w:rPr>
            </w:pPr>
            <w:r w:rsidRPr="00850EA0">
              <w:rPr>
                <w:rFonts w:ascii="Arial Narrow" w:hAnsi="Arial Narrow"/>
                <w:sz w:val="20"/>
              </w:rPr>
              <w:t>Proportion of patients positive after HPLC</w:t>
            </w:r>
            <w:r w:rsidR="0097131F">
              <w:rPr>
                <w:rFonts w:ascii="Arial Narrow" w:hAnsi="Arial Narrow"/>
                <w:sz w:val="20"/>
              </w:rPr>
              <w:t>-</w:t>
            </w:r>
            <w:r w:rsidRPr="00850EA0">
              <w:rPr>
                <w:rFonts w:ascii="Arial Narrow" w:hAnsi="Arial Narrow"/>
                <w:sz w:val="20"/>
              </w:rPr>
              <w:t>MS/MS test</w:t>
            </w:r>
          </w:p>
        </w:tc>
        <w:tc>
          <w:tcPr>
            <w:tcW w:w="1701" w:type="dxa"/>
            <w:vAlign w:val="center"/>
          </w:tcPr>
          <w:p w14:paraId="1DD6B2FB"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0.457%</w:t>
            </w:r>
          </w:p>
        </w:tc>
        <w:tc>
          <w:tcPr>
            <w:tcW w:w="1701" w:type="dxa"/>
            <w:vAlign w:val="center"/>
          </w:tcPr>
          <w:p w14:paraId="509D1003"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0.012%</w:t>
            </w:r>
          </w:p>
        </w:tc>
        <w:tc>
          <w:tcPr>
            <w:tcW w:w="1701" w:type="dxa"/>
            <w:vAlign w:val="center"/>
          </w:tcPr>
          <w:p w14:paraId="347C3236"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w:t>
            </w:r>
          </w:p>
        </w:tc>
        <w:tc>
          <w:tcPr>
            <w:tcW w:w="1701" w:type="dxa"/>
            <w:vAlign w:val="center"/>
          </w:tcPr>
          <w:p w14:paraId="1B9F0368"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II</w:t>
            </w:r>
          </w:p>
        </w:tc>
      </w:tr>
      <w:tr w:rsidR="00850EA0" w:rsidRPr="00850EA0" w14:paraId="139B1BE5" w14:textId="77777777" w:rsidTr="00D24D32">
        <w:trPr>
          <w:trHeight w:val="343"/>
        </w:trPr>
        <w:tc>
          <w:tcPr>
            <w:tcW w:w="2263" w:type="dxa"/>
            <w:tcBorders>
              <w:top w:val="nil"/>
            </w:tcBorders>
            <w:shd w:val="clear" w:color="auto" w:fill="auto"/>
            <w:vAlign w:val="center"/>
          </w:tcPr>
          <w:p w14:paraId="7C06B5D5"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hAnsi="Arial Narrow"/>
                <w:sz w:val="20"/>
              </w:rPr>
              <w:t>Uptake rate of cascade testing</w:t>
            </w:r>
          </w:p>
        </w:tc>
        <w:tc>
          <w:tcPr>
            <w:tcW w:w="1701" w:type="dxa"/>
            <w:vAlign w:val="center"/>
          </w:tcPr>
          <w:p w14:paraId="287A9BCD"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37%</w:t>
            </w:r>
          </w:p>
        </w:tc>
        <w:tc>
          <w:tcPr>
            <w:tcW w:w="1701" w:type="dxa"/>
            <w:vAlign w:val="center"/>
          </w:tcPr>
          <w:p w14:paraId="02B7BED9"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90%</w:t>
            </w:r>
          </w:p>
        </w:tc>
        <w:tc>
          <w:tcPr>
            <w:tcW w:w="1701" w:type="dxa"/>
            <w:vAlign w:val="center"/>
          </w:tcPr>
          <w:p w14:paraId="5E214739"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w:t>
            </w:r>
          </w:p>
        </w:tc>
        <w:tc>
          <w:tcPr>
            <w:tcW w:w="1701" w:type="dxa"/>
            <w:vAlign w:val="center"/>
          </w:tcPr>
          <w:p w14:paraId="3DB63EFC"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II</w:t>
            </w:r>
          </w:p>
        </w:tc>
      </w:tr>
      <w:tr w:rsidR="00850EA0" w:rsidRPr="00850EA0" w14:paraId="5510BD56" w14:textId="77777777" w:rsidTr="00D24D32">
        <w:trPr>
          <w:trHeight w:val="343"/>
        </w:trPr>
        <w:tc>
          <w:tcPr>
            <w:tcW w:w="2263" w:type="dxa"/>
            <w:shd w:val="clear" w:color="auto" w:fill="auto"/>
            <w:vAlign w:val="center"/>
          </w:tcPr>
          <w:p w14:paraId="4089EB92"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hAnsi="Arial Narrow"/>
                <w:sz w:val="20"/>
              </w:rPr>
              <w:t>Uptake rate of genetic counselling</w:t>
            </w:r>
          </w:p>
        </w:tc>
        <w:tc>
          <w:tcPr>
            <w:tcW w:w="1701" w:type="dxa"/>
            <w:vAlign w:val="center"/>
          </w:tcPr>
          <w:p w14:paraId="061F0F8B"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100%</w:t>
            </w:r>
          </w:p>
        </w:tc>
        <w:tc>
          <w:tcPr>
            <w:tcW w:w="1701" w:type="dxa"/>
            <w:vAlign w:val="center"/>
          </w:tcPr>
          <w:p w14:paraId="70A3F041"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50%</w:t>
            </w:r>
          </w:p>
        </w:tc>
        <w:tc>
          <w:tcPr>
            <w:tcW w:w="1701" w:type="dxa"/>
            <w:vAlign w:val="center"/>
          </w:tcPr>
          <w:p w14:paraId="5C44E69F"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w:t>
            </w:r>
          </w:p>
        </w:tc>
        <w:tc>
          <w:tcPr>
            <w:tcW w:w="1701" w:type="dxa"/>
            <w:vAlign w:val="center"/>
          </w:tcPr>
          <w:p w14:paraId="5A504916"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II</w:t>
            </w:r>
          </w:p>
        </w:tc>
      </w:tr>
      <w:tr w:rsidR="00850EA0" w:rsidRPr="00850EA0" w14:paraId="313876F6" w14:textId="77777777" w:rsidTr="00D24D32">
        <w:trPr>
          <w:trHeight w:val="343"/>
        </w:trPr>
        <w:tc>
          <w:tcPr>
            <w:tcW w:w="2263" w:type="dxa"/>
            <w:shd w:val="clear" w:color="auto" w:fill="auto"/>
            <w:vAlign w:val="center"/>
          </w:tcPr>
          <w:p w14:paraId="7E3C7F1B"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hAnsi="Arial Narrow"/>
                <w:sz w:val="20"/>
              </w:rPr>
              <w:t>Proportion CCALD newborn for whom HSCT is indicated and feasible</w:t>
            </w:r>
          </w:p>
        </w:tc>
        <w:tc>
          <w:tcPr>
            <w:tcW w:w="1701" w:type="dxa"/>
            <w:vAlign w:val="center"/>
          </w:tcPr>
          <w:p w14:paraId="71E51A1A"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35%</w:t>
            </w:r>
          </w:p>
        </w:tc>
        <w:tc>
          <w:tcPr>
            <w:tcW w:w="1701" w:type="dxa"/>
            <w:vAlign w:val="center"/>
          </w:tcPr>
          <w:p w14:paraId="7D275BD7"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100%</w:t>
            </w:r>
          </w:p>
        </w:tc>
        <w:tc>
          <w:tcPr>
            <w:tcW w:w="1701" w:type="dxa"/>
            <w:vAlign w:val="center"/>
          </w:tcPr>
          <w:p w14:paraId="69FB45CF"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w:t>
            </w:r>
          </w:p>
        </w:tc>
        <w:tc>
          <w:tcPr>
            <w:tcW w:w="1701" w:type="dxa"/>
            <w:vAlign w:val="center"/>
          </w:tcPr>
          <w:p w14:paraId="67B1F608"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II</w:t>
            </w:r>
          </w:p>
        </w:tc>
      </w:tr>
      <w:tr w:rsidR="00850EA0" w:rsidRPr="00850EA0" w14:paraId="5881FE13" w14:textId="77777777" w:rsidTr="00D24D32">
        <w:trPr>
          <w:trHeight w:val="343"/>
        </w:trPr>
        <w:tc>
          <w:tcPr>
            <w:tcW w:w="2263" w:type="dxa"/>
            <w:vMerge w:val="restart"/>
            <w:shd w:val="clear" w:color="auto" w:fill="auto"/>
            <w:vAlign w:val="center"/>
          </w:tcPr>
          <w:p w14:paraId="5E387DFA"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hAnsi="Arial Narrow"/>
                <w:sz w:val="20"/>
              </w:rPr>
              <w:t xml:space="preserve">X-counter test cost </w:t>
            </w:r>
          </w:p>
        </w:tc>
        <w:tc>
          <w:tcPr>
            <w:tcW w:w="1701" w:type="dxa"/>
            <w:vMerge w:val="restart"/>
            <w:vAlign w:val="center"/>
          </w:tcPr>
          <w:p w14:paraId="3845CC04"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$100</w:t>
            </w:r>
          </w:p>
        </w:tc>
        <w:tc>
          <w:tcPr>
            <w:tcW w:w="1701" w:type="dxa"/>
            <w:vAlign w:val="center"/>
          </w:tcPr>
          <w:p w14:paraId="68B09A61"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$50</w:t>
            </w:r>
          </w:p>
        </w:tc>
        <w:tc>
          <w:tcPr>
            <w:tcW w:w="1701" w:type="dxa"/>
            <w:vAlign w:val="center"/>
          </w:tcPr>
          <w:p w14:paraId="5A1F6EC7"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w:t>
            </w:r>
          </w:p>
        </w:tc>
        <w:tc>
          <w:tcPr>
            <w:tcW w:w="1701" w:type="dxa"/>
            <w:vAlign w:val="center"/>
          </w:tcPr>
          <w:p w14:paraId="02E9A595"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II</w:t>
            </w:r>
          </w:p>
        </w:tc>
      </w:tr>
      <w:tr w:rsidR="00850EA0" w:rsidRPr="00850EA0" w14:paraId="22D650F1" w14:textId="77777777" w:rsidTr="00D24D32">
        <w:trPr>
          <w:trHeight w:val="343"/>
        </w:trPr>
        <w:tc>
          <w:tcPr>
            <w:tcW w:w="2263" w:type="dxa"/>
            <w:vMerge/>
            <w:shd w:val="clear" w:color="auto" w:fill="auto"/>
            <w:vAlign w:val="center"/>
          </w:tcPr>
          <w:p w14:paraId="0DFCFA8C" w14:textId="77777777" w:rsidR="00850EA0" w:rsidRPr="00850EA0" w:rsidRDefault="00850EA0" w:rsidP="003C749C">
            <w:pPr>
              <w:spacing w:before="0"/>
              <w:rPr>
                <w:rFonts w:ascii="Arial Narrow" w:hAnsi="Arial Narrow"/>
                <w:sz w:val="20"/>
              </w:rPr>
            </w:pPr>
          </w:p>
        </w:tc>
        <w:tc>
          <w:tcPr>
            <w:tcW w:w="1701" w:type="dxa"/>
            <w:vMerge/>
            <w:vAlign w:val="center"/>
          </w:tcPr>
          <w:p w14:paraId="3D247698" w14:textId="77777777" w:rsidR="00850EA0" w:rsidRPr="00850EA0" w:rsidRDefault="00850EA0" w:rsidP="003C749C">
            <w:pPr>
              <w:spacing w:before="0"/>
              <w:rPr>
                <w:rFonts w:ascii="Arial Narrow" w:eastAsia="Calibri" w:hAnsi="Arial Narrow" w:cs="Times New Roman"/>
                <w:sz w:val="19"/>
                <w:szCs w:val="19"/>
              </w:rPr>
            </w:pPr>
          </w:p>
        </w:tc>
        <w:tc>
          <w:tcPr>
            <w:tcW w:w="1701" w:type="dxa"/>
            <w:vAlign w:val="center"/>
          </w:tcPr>
          <w:p w14:paraId="3AE685BA"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$150</w:t>
            </w:r>
          </w:p>
        </w:tc>
        <w:tc>
          <w:tcPr>
            <w:tcW w:w="1701" w:type="dxa"/>
            <w:vAlign w:val="center"/>
          </w:tcPr>
          <w:p w14:paraId="38A5089D"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w:t>
            </w:r>
          </w:p>
        </w:tc>
        <w:tc>
          <w:tcPr>
            <w:tcW w:w="1701" w:type="dxa"/>
            <w:vAlign w:val="center"/>
          </w:tcPr>
          <w:p w14:paraId="2E4832EC"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II</w:t>
            </w:r>
          </w:p>
        </w:tc>
      </w:tr>
      <w:tr w:rsidR="00850EA0" w:rsidRPr="00850EA0" w14:paraId="5D27E944" w14:textId="77777777" w:rsidTr="00D24D32">
        <w:trPr>
          <w:trHeight w:val="343"/>
        </w:trPr>
        <w:tc>
          <w:tcPr>
            <w:tcW w:w="2263" w:type="dxa"/>
            <w:tcBorders>
              <w:bottom w:val="single" w:sz="4" w:space="0" w:color="auto"/>
            </w:tcBorders>
            <w:shd w:val="clear" w:color="auto" w:fill="auto"/>
            <w:vAlign w:val="center"/>
          </w:tcPr>
          <w:p w14:paraId="12EBF2CA"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hAnsi="Arial Narrow"/>
                <w:sz w:val="20"/>
              </w:rPr>
              <w:t>Number of siblings eligible for cascade testing</w:t>
            </w:r>
          </w:p>
        </w:tc>
        <w:tc>
          <w:tcPr>
            <w:tcW w:w="1701" w:type="dxa"/>
            <w:vAlign w:val="center"/>
          </w:tcPr>
          <w:p w14:paraId="00CDDC92"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0.7</w:t>
            </w:r>
          </w:p>
        </w:tc>
        <w:tc>
          <w:tcPr>
            <w:tcW w:w="1701" w:type="dxa"/>
            <w:vAlign w:val="center"/>
          </w:tcPr>
          <w:p w14:paraId="74936E74"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2</w:t>
            </w:r>
          </w:p>
        </w:tc>
        <w:tc>
          <w:tcPr>
            <w:tcW w:w="1701" w:type="dxa"/>
            <w:vAlign w:val="center"/>
          </w:tcPr>
          <w:p w14:paraId="570158CB"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w:t>
            </w:r>
          </w:p>
        </w:tc>
        <w:tc>
          <w:tcPr>
            <w:tcW w:w="1701" w:type="dxa"/>
            <w:vAlign w:val="center"/>
          </w:tcPr>
          <w:p w14:paraId="69B8447A"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II</w:t>
            </w:r>
          </w:p>
        </w:tc>
      </w:tr>
      <w:tr w:rsidR="00850EA0" w:rsidRPr="00850EA0" w14:paraId="2BB0B74B" w14:textId="77777777" w:rsidTr="00D24D32">
        <w:trPr>
          <w:trHeight w:val="343"/>
        </w:trPr>
        <w:tc>
          <w:tcPr>
            <w:tcW w:w="2263" w:type="dxa"/>
            <w:vMerge w:val="restart"/>
            <w:shd w:val="clear" w:color="auto" w:fill="auto"/>
            <w:vAlign w:val="center"/>
          </w:tcPr>
          <w:p w14:paraId="5F2CB396"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hAnsi="Arial Narrow"/>
                <w:sz w:val="20"/>
              </w:rPr>
              <w:t xml:space="preserve">Cost of </w:t>
            </w:r>
            <w:r w:rsidRPr="00850EA0">
              <w:rPr>
                <w:rFonts w:ascii="Arial Narrow" w:hAnsi="Arial Narrow"/>
                <w:i/>
                <w:iCs/>
                <w:sz w:val="20"/>
              </w:rPr>
              <w:t>ABCD1</w:t>
            </w:r>
            <w:r w:rsidRPr="00850EA0">
              <w:rPr>
                <w:rFonts w:ascii="Arial Narrow" w:hAnsi="Arial Narrow"/>
                <w:sz w:val="20"/>
              </w:rPr>
              <w:t xml:space="preserve"> genetic test</w:t>
            </w:r>
          </w:p>
        </w:tc>
        <w:tc>
          <w:tcPr>
            <w:tcW w:w="1701" w:type="dxa"/>
            <w:vMerge w:val="restart"/>
            <w:vAlign w:val="center"/>
          </w:tcPr>
          <w:p w14:paraId="50F2722F" w14:textId="38692291"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$673.2</w:t>
            </w:r>
            <w:r w:rsidR="00414ADD">
              <w:rPr>
                <w:rFonts w:ascii="Arial Narrow" w:eastAsia="Calibri" w:hAnsi="Arial Narrow" w:cs="Times New Roman"/>
                <w:sz w:val="19"/>
                <w:szCs w:val="19"/>
              </w:rPr>
              <w:t>0</w:t>
            </w:r>
          </w:p>
        </w:tc>
        <w:tc>
          <w:tcPr>
            <w:tcW w:w="1701" w:type="dxa"/>
            <w:vAlign w:val="center"/>
          </w:tcPr>
          <w:p w14:paraId="0013561C"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$721.25</w:t>
            </w:r>
          </w:p>
        </w:tc>
        <w:tc>
          <w:tcPr>
            <w:tcW w:w="1701" w:type="dxa"/>
            <w:vAlign w:val="center"/>
          </w:tcPr>
          <w:p w14:paraId="00DB2C45"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w:t>
            </w:r>
          </w:p>
        </w:tc>
        <w:tc>
          <w:tcPr>
            <w:tcW w:w="1701" w:type="dxa"/>
            <w:vAlign w:val="center"/>
          </w:tcPr>
          <w:p w14:paraId="733DFA1A"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II</w:t>
            </w:r>
          </w:p>
        </w:tc>
      </w:tr>
      <w:tr w:rsidR="00850EA0" w:rsidRPr="00850EA0" w14:paraId="56AFB94F" w14:textId="77777777" w:rsidTr="00D24D32">
        <w:trPr>
          <w:trHeight w:val="343"/>
        </w:trPr>
        <w:tc>
          <w:tcPr>
            <w:tcW w:w="2263" w:type="dxa"/>
            <w:vMerge/>
            <w:tcBorders>
              <w:bottom w:val="single" w:sz="4" w:space="0" w:color="auto"/>
            </w:tcBorders>
            <w:shd w:val="clear" w:color="auto" w:fill="auto"/>
            <w:vAlign w:val="center"/>
          </w:tcPr>
          <w:p w14:paraId="35747A1C" w14:textId="77777777" w:rsidR="00850EA0" w:rsidRPr="00850EA0" w:rsidRDefault="00850EA0" w:rsidP="003C749C">
            <w:pPr>
              <w:spacing w:before="0"/>
              <w:rPr>
                <w:rFonts w:ascii="Arial Narrow" w:hAnsi="Arial Narrow"/>
                <w:sz w:val="20"/>
              </w:rPr>
            </w:pPr>
          </w:p>
        </w:tc>
        <w:tc>
          <w:tcPr>
            <w:tcW w:w="1701" w:type="dxa"/>
            <w:vMerge/>
            <w:vAlign w:val="center"/>
          </w:tcPr>
          <w:p w14:paraId="507D510C" w14:textId="77777777" w:rsidR="00850EA0" w:rsidRPr="00850EA0" w:rsidRDefault="00850EA0" w:rsidP="003C749C">
            <w:pPr>
              <w:spacing w:before="0"/>
              <w:rPr>
                <w:rFonts w:ascii="Arial Narrow" w:eastAsia="Calibri" w:hAnsi="Arial Narrow" w:cs="Times New Roman"/>
                <w:sz w:val="19"/>
                <w:szCs w:val="19"/>
              </w:rPr>
            </w:pPr>
          </w:p>
        </w:tc>
        <w:tc>
          <w:tcPr>
            <w:tcW w:w="1701" w:type="dxa"/>
            <w:vAlign w:val="center"/>
          </w:tcPr>
          <w:p w14:paraId="729B2122" w14:textId="2B60363C"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$1,200</w:t>
            </w:r>
            <w:r w:rsidR="00414ADD">
              <w:rPr>
                <w:rFonts w:ascii="Arial Narrow" w:eastAsia="Calibri" w:hAnsi="Arial Narrow" w:cs="Times New Roman"/>
                <w:sz w:val="19"/>
                <w:szCs w:val="19"/>
              </w:rPr>
              <w:t>.00</w:t>
            </w:r>
          </w:p>
        </w:tc>
        <w:tc>
          <w:tcPr>
            <w:tcW w:w="1701" w:type="dxa"/>
            <w:vAlign w:val="center"/>
          </w:tcPr>
          <w:p w14:paraId="44530525"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w:t>
            </w:r>
          </w:p>
        </w:tc>
        <w:tc>
          <w:tcPr>
            <w:tcW w:w="1701" w:type="dxa"/>
            <w:vAlign w:val="center"/>
          </w:tcPr>
          <w:p w14:paraId="3FF93695" w14:textId="77777777" w:rsidR="00850EA0" w:rsidRPr="00850EA0" w:rsidRDefault="00850EA0" w:rsidP="003C749C">
            <w:pPr>
              <w:spacing w:before="0"/>
              <w:rPr>
                <w:rFonts w:ascii="Arial Narrow" w:eastAsia="Calibri" w:hAnsi="Arial Narrow" w:cs="Times New Roman"/>
                <w:sz w:val="19"/>
                <w:szCs w:val="19"/>
              </w:rPr>
            </w:pPr>
            <w:r w:rsidRPr="00850EA0">
              <w:rPr>
                <w:rFonts w:ascii="Arial Narrow" w:eastAsia="Calibri" w:hAnsi="Arial Narrow" w:cs="Times New Roman"/>
                <w:sz w:val="19"/>
                <w:szCs w:val="19"/>
              </w:rPr>
              <w:t>Strategy II</w:t>
            </w:r>
          </w:p>
        </w:tc>
      </w:tr>
    </w:tbl>
    <w:p w14:paraId="3F36BF5F" w14:textId="6EE8241E" w:rsidR="00D84EC1" w:rsidRPr="00354296" w:rsidRDefault="00850EA0" w:rsidP="00354296">
      <w:pPr>
        <w:widowControl w:val="0"/>
        <w:snapToGrid w:val="0"/>
        <w:spacing w:after="240" w:line="240" w:lineRule="auto"/>
        <w:contextualSpacing/>
        <w:rPr>
          <w:rFonts w:ascii="Arial Narrow" w:eastAsia="Times New Roman" w:hAnsi="Arial Narrow" w:cs="Arial"/>
          <w:sz w:val="16"/>
          <w:szCs w:val="16"/>
        </w:rPr>
      </w:pPr>
      <w:r w:rsidRPr="00354296">
        <w:rPr>
          <w:rFonts w:ascii="Arial Narrow" w:eastAsia="Times New Roman" w:hAnsi="Arial Narrow" w:cs="Arial"/>
          <w:i/>
          <w:iCs/>
          <w:sz w:val="16"/>
          <w:szCs w:val="16"/>
        </w:rPr>
        <w:t>ABCD1</w:t>
      </w:r>
      <w:r w:rsidRPr="00354296">
        <w:rPr>
          <w:rFonts w:ascii="Arial Narrow" w:eastAsia="Times New Roman" w:hAnsi="Arial Narrow" w:cs="Arial"/>
          <w:sz w:val="16"/>
          <w:szCs w:val="16"/>
        </w:rPr>
        <w:t>= ATP Binding Cassette Subfamily D Member 1</w:t>
      </w:r>
      <w:r w:rsidR="007B7624" w:rsidRPr="00354296">
        <w:rPr>
          <w:rFonts w:ascii="Arial Narrow" w:eastAsia="Times New Roman" w:hAnsi="Arial Narrow" w:cs="Arial"/>
          <w:sz w:val="16"/>
          <w:szCs w:val="16"/>
        </w:rPr>
        <w:t xml:space="preserve"> gene</w:t>
      </w:r>
      <w:r w:rsidRPr="00354296">
        <w:rPr>
          <w:rFonts w:ascii="Arial Narrow" w:eastAsia="Times New Roman" w:hAnsi="Arial Narrow" w:cs="Arial"/>
          <w:sz w:val="16"/>
          <w:szCs w:val="16"/>
        </w:rPr>
        <w:t>; ALD= Adrenoleukodystrophy; CCALD=</w:t>
      </w:r>
      <w:r w:rsidR="007B7624" w:rsidRPr="00354296">
        <w:rPr>
          <w:rFonts w:ascii="Arial Narrow" w:eastAsia="Times New Roman" w:hAnsi="Arial Narrow" w:cs="Arial"/>
          <w:sz w:val="16"/>
          <w:szCs w:val="16"/>
        </w:rPr>
        <w:t xml:space="preserve"> </w:t>
      </w:r>
      <w:r w:rsidR="007B7624" w:rsidRPr="00354296">
        <w:rPr>
          <w:rFonts w:ascii="Arial Narrow" w:eastAsia="Times New Roman" w:hAnsi="Arial Narrow" w:cs="Arial"/>
          <w:snapToGrid w:val="0"/>
          <w:color w:val="000000" w:themeColor="text1"/>
          <w:sz w:val="16"/>
          <w:szCs w:val="16"/>
          <w:lang w:eastAsia="en-AU"/>
        </w:rPr>
        <w:t>Childhood cerebral adrenoleukodystrophy</w:t>
      </w:r>
      <w:r w:rsidRPr="00354296">
        <w:rPr>
          <w:rFonts w:ascii="Arial Narrow" w:eastAsia="Times New Roman" w:hAnsi="Arial Narrow" w:cs="Arial"/>
          <w:sz w:val="16"/>
          <w:szCs w:val="16"/>
        </w:rPr>
        <w:t xml:space="preserve">;  HSCT= </w:t>
      </w:r>
      <w:r w:rsidR="007B7624" w:rsidRPr="00354296">
        <w:rPr>
          <w:rFonts w:ascii="Arial Narrow" w:eastAsia="Times New Roman" w:hAnsi="Arial Narrow" w:cs="Arial"/>
          <w:snapToGrid w:val="0"/>
          <w:color w:val="000000" w:themeColor="text1"/>
          <w:sz w:val="16"/>
          <w:szCs w:val="16"/>
          <w:lang w:eastAsia="en-AU"/>
        </w:rPr>
        <w:t xml:space="preserve">Haematopoietic stem cell transplant; </w:t>
      </w:r>
      <w:r w:rsidRPr="00354296">
        <w:rPr>
          <w:rFonts w:ascii="Arial Narrow" w:eastAsia="Times New Roman" w:hAnsi="Arial Narrow" w:cs="Arial"/>
          <w:sz w:val="16"/>
          <w:szCs w:val="16"/>
        </w:rPr>
        <w:t xml:space="preserve">FIA= Flow-injection analysis; HPLC-MS/MS= </w:t>
      </w:r>
      <w:r w:rsidR="0038111A" w:rsidRPr="00354296">
        <w:rPr>
          <w:rFonts w:ascii="Arial Narrow" w:eastAsia="Times New Roman" w:hAnsi="Arial Narrow" w:cs="Arial"/>
          <w:sz w:val="16"/>
          <w:szCs w:val="16"/>
        </w:rPr>
        <w:t xml:space="preserve">high performance liquid chromatography </w:t>
      </w:r>
      <w:r w:rsidRPr="00354296">
        <w:rPr>
          <w:rFonts w:ascii="Arial Narrow" w:eastAsia="Times New Roman" w:hAnsi="Arial Narrow" w:cs="Arial"/>
          <w:sz w:val="16"/>
          <w:szCs w:val="16"/>
        </w:rPr>
        <w:t>tandem mass spectrometry; MS/MS= Tandem mass spectrometry</w:t>
      </w:r>
      <w:r w:rsidR="00997162" w:rsidRPr="00354296">
        <w:rPr>
          <w:rFonts w:ascii="Arial Narrow" w:eastAsia="Times New Roman" w:hAnsi="Arial Narrow" w:cs="Arial"/>
          <w:sz w:val="16"/>
          <w:szCs w:val="16"/>
        </w:rPr>
        <w:t>; SA = sensitivity analysis</w:t>
      </w:r>
      <w:r w:rsidRPr="00354296">
        <w:rPr>
          <w:rFonts w:ascii="Arial Narrow" w:eastAsia="Times New Roman" w:hAnsi="Arial Narrow" w:cs="Arial"/>
          <w:sz w:val="16"/>
          <w:szCs w:val="16"/>
        </w:rPr>
        <w:t>.</w:t>
      </w:r>
      <w:r w:rsidR="00D84EC1" w:rsidRPr="00354296">
        <w:rPr>
          <w:rFonts w:ascii="Arial Narrow" w:eastAsia="Times New Roman" w:hAnsi="Arial Narrow" w:cs="Arial"/>
          <w:sz w:val="16"/>
          <w:szCs w:val="16"/>
        </w:rPr>
        <w:t>Source: DCAR Table 16.</w:t>
      </w:r>
    </w:p>
    <w:p w14:paraId="6AEB9783" w14:textId="1DBCE7B7" w:rsidR="00DC73F8" w:rsidRPr="00CE28E3" w:rsidRDefault="00DC73F8" w:rsidP="000C02FE">
      <w:pPr>
        <w:pStyle w:val="Heading2"/>
        <w:numPr>
          <w:ilvl w:val="0"/>
          <w:numId w:val="0"/>
        </w:numPr>
      </w:pPr>
      <w:bookmarkStart w:id="72" w:name="_Toc133221400"/>
      <w:r>
        <w:lastRenderedPageBreak/>
        <w:t>1</w:t>
      </w:r>
      <w:r w:rsidR="009653B7">
        <w:t>5</w:t>
      </w:r>
      <w:r>
        <w:t>.</w:t>
      </w:r>
      <w:r>
        <w:tab/>
      </w:r>
      <w:r w:rsidRPr="00CE28E3">
        <w:t xml:space="preserve">Other relevant </w:t>
      </w:r>
      <w:r>
        <w:t>information</w:t>
      </w:r>
      <w:bookmarkEnd w:id="67"/>
      <w:bookmarkEnd w:id="68"/>
      <w:bookmarkEnd w:id="72"/>
    </w:p>
    <w:p w14:paraId="6B20790B" w14:textId="0F4D1886" w:rsidR="00DC73F8" w:rsidRDefault="00DC73F8" w:rsidP="00D24D32">
      <w:r>
        <w:t xml:space="preserve">Other relevant considerations for this application included ethical issues, the value of knowing, patient and social aspects, organisational aspects and fulfilment of the Newborn Bloodspot Screening National Policy Framework (NBS NPF) criteria. </w:t>
      </w:r>
    </w:p>
    <w:p w14:paraId="1B4EB5DB" w14:textId="77777777" w:rsidR="00DC73F8" w:rsidRDefault="00DC73F8" w:rsidP="00D24D32">
      <w:pPr>
        <w:pStyle w:val="Heading3"/>
        <w:jc w:val="left"/>
      </w:pPr>
      <w:bookmarkStart w:id="73" w:name="_Toc133221401"/>
      <w:r>
        <w:t>Ethical issues</w:t>
      </w:r>
      <w:bookmarkEnd w:id="73"/>
    </w:p>
    <w:p w14:paraId="35A3637B" w14:textId="3747BA96" w:rsidR="00DC73F8" w:rsidRDefault="00DC73F8" w:rsidP="00D24D32">
      <w:r>
        <w:t xml:space="preserve">Ethical issues in undertaking newborn bloodspot screening (NBS) for X-ALD can be considered against a backdrop of screening ethics </w:t>
      </w:r>
      <w:r w:rsidR="00376827">
        <w:t xml:space="preserve">in general and </w:t>
      </w:r>
      <w:r w:rsidR="009229A8">
        <w:t>specifically related to the use of genetics in screening,</w:t>
      </w:r>
      <w:r>
        <w:t xml:space="preserve"> and the overarching ethical issues in NBS. Analysis of ethical issues involves a consideration of a theoretical claim or position that has been made, e.g., whether something ought to be done. For NBS, the ethical framing draws predominantly on public health ethics, although as a screening participant moves from screening to follow-up diagnosis (if indicated), then considerations of clinical ethics will also become relevant. </w:t>
      </w:r>
    </w:p>
    <w:p w14:paraId="582C461D" w14:textId="2B575579" w:rsidR="00DC73F8" w:rsidRDefault="00DC73F8" w:rsidP="00D24D32">
      <w:r>
        <w:t xml:space="preserve">For NBS as a program, public health ethics as applied to other forms of screening is generally appropriate because the concepts and issues that form the focus for analysis reflect the status of the intervention as a population-level health program; one that needs to be sustainable to deliver to a whole population at high quality. However, in contrast to many other forms of screening, the target population is unable to give consent. This means that the health of the newborn is considered as the primary benefit of screening.  </w:t>
      </w:r>
    </w:p>
    <w:p w14:paraId="358ABDF9" w14:textId="540858B7" w:rsidR="00DC73F8" w:rsidRDefault="00DC73F8" w:rsidP="00D24D32">
      <w:r>
        <w:t xml:space="preserve">There are multiple ethical considerations relevant to population screening. The overarching consideration is preventing collective harm by identifying those who may benefit from follow-up monitoring or treatment. At the same time, harm is also prevented by not identifying those who will not benefit (or may be harmed) by follow-up monitoring. </w:t>
      </w:r>
      <w:r w:rsidR="004D70B6">
        <w:t>G</w:t>
      </w:r>
      <w:r>
        <w:t xml:space="preserve">etting this balance right may be challenging for X-ALD. </w:t>
      </w:r>
    </w:p>
    <w:p w14:paraId="26A6C177" w14:textId="77777777" w:rsidR="00DC73F8" w:rsidRDefault="00DC73F8" w:rsidP="00D24D32">
      <w:r>
        <w:t xml:space="preserve">Further considerations relating to screening ethics include the tension between public health and clinical ethics, getting the balance right between severity and prevalence in a screening context (i.e., if detecting a very rare but severe condition gives rise to excessive costs), tensions between screening program sustainability and the welfare of individuals who participate in that program, and the importance of defining appropriate and defensible goals for screening; ones that balance individual and societal interests. </w:t>
      </w:r>
    </w:p>
    <w:p w14:paraId="6658BB0F" w14:textId="26DE62E5" w:rsidR="00DC73F8" w:rsidRDefault="00DC73F8" w:rsidP="00D24D32">
      <w:r>
        <w:t>NBS is a very successful screening program with high uptake and high public trust. Ethical considerations in NBS relate to choosing appropriate conditions to screen, ensuring appropriate consent, providing support post-screening and managing bloodspot collections appropriately.</w:t>
      </w:r>
    </w:p>
    <w:p w14:paraId="750D1D91" w14:textId="581C16CF" w:rsidR="00DC73F8" w:rsidRDefault="00DC73F8" w:rsidP="00D24D32">
      <w:r>
        <w:t>The question of whether to add X-ALD to NBS raises ethical questions. A comparison of benefits and harms illustrates the complexity involved. The main benefit of detecting X-ALD via NBS is the identification of male children who, if not identified, would have developed the most severe cerebral form of X-ALD (leading to significant morbidity and/or mortality). NBS will enable monitoring and treatment as required, aiming to achieve better survival rates for these children (e.g., through a reduced clinical presentation with adrenal crisis). This small group of newborns and their families may also avoid a diagnostic odyssey and/or psychological or financial harm through delayed diagnosis. While treatment (hematopoietic stem cell transplant; or HSCT) may not necessarily have to take place early in life, screening in the newborn period (as part of NBS rather than as a separate stand-alone screening program) will ensure high screening coverage. Additional benefits include adding to the evidence base about genetics and X-ALD, enabling innovation in screening, and increasing professional and public awareness of this condition.</w:t>
      </w:r>
    </w:p>
    <w:p w14:paraId="13342BD4" w14:textId="7EA4AFDA" w:rsidR="00DC73F8" w:rsidRDefault="00DC73F8" w:rsidP="00D24D32">
      <w:r>
        <w:lastRenderedPageBreak/>
        <w:t>The main harms of NBS for X-ALD identified were the lack of treatment intervention in early childhood (as would usually be the case for other conditions detected on NBS), that not all male newborns detected as at risk will necessarily be able to access treatment such as HSCT, and the possibility that screening will place a family into uncertainty, which may cause psychological distress. Further, screening is also likely to identify a proportionally large number of newborns who will never go on to develop the cerebral form of the disease. Identifying males will also make their mothers presumptive carriers, which will inform them of a risk to their own health later in life. Receiving such information is less common in NBS, although (as noted in the following paragraph) it could also inform subsequent reproductive decisions</w:t>
      </w:r>
      <w:r w:rsidR="00E62FDE">
        <w:t xml:space="preserve"> of the children identified through NBS and</w:t>
      </w:r>
      <w:r w:rsidR="00634734">
        <w:t xml:space="preserve">, </w:t>
      </w:r>
      <w:r w:rsidR="00E62FDE">
        <w:t xml:space="preserve">more </w:t>
      </w:r>
      <w:r w:rsidR="00634734">
        <w:t>immediately, their parents (</w:t>
      </w:r>
      <w:r w:rsidR="000B5531">
        <w:t xml:space="preserve">this information </w:t>
      </w:r>
      <w:r w:rsidR="007F7337">
        <w:t xml:space="preserve">is arguably warranted </w:t>
      </w:r>
      <w:r w:rsidR="00634734">
        <w:t xml:space="preserve">irrespective of whether the child identified is </w:t>
      </w:r>
      <w:r w:rsidR="00230112">
        <w:t>male or female)</w:t>
      </w:r>
      <w:r>
        <w:t>.</w:t>
      </w:r>
      <w:r w:rsidR="00230112">
        <w:t xml:space="preserve"> </w:t>
      </w:r>
      <w:r w:rsidR="00215C2A">
        <w:t>P</w:t>
      </w:r>
      <w:r w:rsidR="00230112">
        <w:t xml:space="preserve">reimplantation genetic diagnosis and IVF </w:t>
      </w:r>
      <w:r w:rsidR="007C2944">
        <w:t>are</w:t>
      </w:r>
      <w:r w:rsidR="00230112">
        <w:t xml:space="preserve"> currently MBS</w:t>
      </w:r>
      <w:r w:rsidR="007C2944">
        <w:t>-funded</w:t>
      </w:r>
      <w:r w:rsidR="00230112">
        <w:t xml:space="preserve"> where a family has an affected child identified.</w:t>
      </w:r>
      <w:r>
        <w:t xml:space="preserve"> Additional harms include possible loss to follow-up, the incidental detection of other non-target conditions that would not meet NBS NPF screening criteria, and incomplete penetrance.</w:t>
      </w:r>
    </w:p>
    <w:p w14:paraId="53822A13" w14:textId="64A29897" w:rsidR="00DC73F8" w:rsidRDefault="00DC73F8" w:rsidP="00E917D9">
      <w:r>
        <w:t>One key issue in whether to screen for X-ALD in NBS is whether a test should be used to exclude females from such screening. If females are not excluded, the question is, then, whether results should be reported. There are no implications for a carrier female newborn’s health in childhood</w:t>
      </w:r>
      <w:r w:rsidR="00C80C52">
        <w:t xml:space="preserve"> </w:t>
      </w:r>
      <w:r>
        <w:t xml:space="preserve">and several states raised concerns with reporting results for females. However, this information can also benefit parents of screen-positive female newborns, as they may use it in future reproductive decisions, and evidence in other countries suggests parents are in favour of being told. And while it would be unusual to routinely provide this information without consent so early in life, newborn females themselves could also use this knowledge to inform their own future reproductive decision-making. However, the information is something that adults have the right </w:t>
      </w:r>
      <w:r>
        <w:rPr>
          <w:i/>
          <w:iCs/>
        </w:rPr>
        <w:t>not</w:t>
      </w:r>
      <w:r>
        <w:t xml:space="preserve"> to know about. </w:t>
      </w:r>
    </w:p>
    <w:p w14:paraId="4394EE5F" w14:textId="32454C28" w:rsidR="00DC73F8" w:rsidRDefault="00DC73F8" w:rsidP="00D24D32">
      <w:r>
        <w:t xml:space="preserve">One overseas jurisdiction has shown it is feasible to include an X-counter in NBS, enabling the reporting of X-ALD results for males only. While this may cost more in the lab, identifying female carriers carries greater genetic counselling costs. Limiting reporting to male newborns also mitigates harm. While the penetrance of X-ALD is incomplete in both males and females, in females it will also be detecting an incompletely penetrant, adult-onset condition and so </w:t>
      </w:r>
      <w:r w:rsidR="000138C3">
        <w:t xml:space="preserve">seems </w:t>
      </w:r>
      <w:r>
        <w:t>unlikely to meet NBS NPF criteria. Not reporting an adult-onset condition is also consistent with the approach in clinical practice – endorsed by professional societies – not to undertake carrier testing in young people who cannot consent to receive such information.</w:t>
      </w:r>
    </w:p>
    <w:p w14:paraId="438999B0" w14:textId="22977747" w:rsidR="00DC73F8" w:rsidRDefault="00DC73F8" w:rsidP="00D24D32">
      <w:r>
        <w:t>An additional issue is whether to offer cascade testing to older female siblings of screen-positive newborns. As above, carrier testing is not routinely offered to young people (here, females; as testing in males would be considered diagnostic). However, family communication and education about risk factors should be encouraged, as should access to continuing care with relevant health providers.</w:t>
      </w:r>
    </w:p>
    <w:p w14:paraId="10D9D35A" w14:textId="13FFF8EF" w:rsidR="00DC73F8" w:rsidRDefault="00DC73F8" w:rsidP="00D24D32">
      <w:r>
        <w:t>Concerns about information from screening being ‘withheld’ can be partially addressed by reiterating the screening paradigm, including that it is not the point of screening to identify and report all information. Rather, the aim is to provide a feasible and sustainable, high-quality test to implement at a population scale. Upholding feasibility could include not reporting variants of uncertain significance (around 19% of variants are of this type) because of the uncertainty regarding how to manage care for the child in light of this information. The incidence of VUS may decrease with time as knowledge improves.</w:t>
      </w:r>
    </w:p>
    <w:p w14:paraId="0F8DD214" w14:textId="77777777" w:rsidR="00DC73F8" w:rsidRDefault="00DC73F8" w:rsidP="00D24D32">
      <w:pPr>
        <w:pStyle w:val="Heading3"/>
        <w:jc w:val="left"/>
      </w:pPr>
      <w:bookmarkStart w:id="74" w:name="_Toc133221402"/>
      <w:r>
        <w:t>Value of knowing</w:t>
      </w:r>
      <w:bookmarkEnd w:id="74"/>
    </w:p>
    <w:p w14:paraId="4EC10D73" w14:textId="5096D2BF" w:rsidR="00DC73F8" w:rsidRDefault="00DC73F8" w:rsidP="00D24D32">
      <w:r>
        <w:t xml:space="preserve">The potential value of knowing information about X-ALD from NBS had three elements: (i) shortening the diagnostic odyssey with the aim of mitigating morbidity and/or mortality, (ii) </w:t>
      </w:r>
      <w:r>
        <w:lastRenderedPageBreak/>
        <w:t xml:space="preserve">enabling cascade testing and (iii) informing future reproductive decisions. Regarding the latter two, cascade testing is important and potentially valuable, yet not as developed in the health system as it could be. Cascade testing should not be assumed to be an efficient or perfect process. The follow-on costs of additional testing and counselling are also relevant. Any justification of NBS for X-ALD on the grounds that it informs future reproductive decisions should be made while also recognising the </w:t>
      </w:r>
      <w:r w:rsidRPr="006D6B3A">
        <w:rPr>
          <w:i/>
          <w:iCs/>
        </w:rPr>
        <w:t>ABCD1</w:t>
      </w:r>
      <w:r>
        <w:t xml:space="preserve"> gene’s incomplete penetrance and variable expressivity, and the impact this may have on reproductive confidence. There is also some evidence (in relation to other conditions) that reproductive intentions following receipt of information from NBS actually have limited influence on future reproductive behaviours.</w:t>
      </w:r>
    </w:p>
    <w:p w14:paraId="5F2DD9DB" w14:textId="77777777" w:rsidR="00DC73F8" w:rsidRDefault="00DC73F8" w:rsidP="00D24D32">
      <w:pPr>
        <w:pStyle w:val="Heading3"/>
        <w:jc w:val="left"/>
      </w:pPr>
      <w:bookmarkStart w:id="75" w:name="_Toc133221403"/>
      <w:r>
        <w:t>Patient and social aspects</w:t>
      </w:r>
      <w:bookmarkEnd w:id="75"/>
    </w:p>
    <w:p w14:paraId="7D0B81AB" w14:textId="77777777" w:rsidR="00DC73F8" w:rsidRDefault="00DC73F8" w:rsidP="00D24D32">
      <w:r>
        <w:t xml:space="preserve">Existing (but limited) evidence on the patient and social aspects of NBS for X-ALD suggested that </w:t>
      </w:r>
      <w:r w:rsidRPr="008B62D6">
        <w:t xml:space="preserve">patients and carriers generally support NBS for X-ALD and desire maximal information, but </w:t>
      </w:r>
      <w:r>
        <w:t xml:space="preserve">that </w:t>
      </w:r>
      <w:r w:rsidRPr="008B62D6">
        <w:t xml:space="preserve">they may not fully understand the complexity of screening. Evidence about harm from earlier detection is limited, with one study suggesting that parental depression may be lower in those whose child's diagnosis was made via NBS. </w:t>
      </w:r>
      <w:r>
        <w:t>Stress levels, however, were the same regardless of when a child was diagnosed.</w:t>
      </w:r>
      <w:r w:rsidRPr="008B62D6">
        <w:t xml:space="preserve"> </w:t>
      </w:r>
    </w:p>
    <w:p w14:paraId="3D7A7887" w14:textId="77777777" w:rsidR="00DC73F8" w:rsidRDefault="00DC73F8" w:rsidP="00D24D32">
      <w:r w:rsidRPr="008B62D6">
        <w:t>NBS for X-ALD presents unique challenges in counselling families,</w:t>
      </w:r>
      <w:r>
        <w:t xml:space="preserve"> as</w:t>
      </w:r>
      <w:r w:rsidRPr="008B62D6">
        <w:t xml:space="preserve"> families may experience anticipatory anxiety</w:t>
      </w:r>
      <w:r>
        <w:t xml:space="preserve"> due to incomplete penetrance</w:t>
      </w:r>
      <w:r w:rsidRPr="008B62D6">
        <w:t>.</w:t>
      </w:r>
      <w:r>
        <w:t xml:space="preserve"> </w:t>
      </w:r>
      <w:r w:rsidRPr="006D0F60">
        <w:t xml:space="preserve">A psychosocial study conducted </w:t>
      </w:r>
      <w:r>
        <w:t>i</w:t>
      </w:r>
      <w:r w:rsidRPr="006D0F60">
        <w:t>n parents who participated in NBS for Duchenne Muscular Dystrophy in Wales showed that they supported the availability of screening for preparedness and reproductive choice, and there was no significant impact on parent-child bonding.</w:t>
      </w:r>
    </w:p>
    <w:p w14:paraId="1E6EB32E" w14:textId="77777777" w:rsidR="00DC73F8" w:rsidRDefault="00DC73F8" w:rsidP="00D24D32">
      <w:pPr>
        <w:pStyle w:val="Heading3"/>
        <w:jc w:val="left"/>
      </w:pPr>
      <w:bookmarkStart w:id="76" w:name="_Toc133221404"/>
      <w:r>
        <w:t>Organisational aspects</w:t>
      </w:r>
      <w:bookmarkEnd w:id="76"/>
    </w:p>
    <w:p w14:paraId="17DCA0EA" w14:textId="62087350" w:rsidR="00DC73F8" w:rsidRDefault="00DC73F8" w:rsidP="00D24D32">
      <w:r>
        <w:t xml:space="preserve">Organisational aspects of NBS for X-ALD included standard considerations relating to laboratory resourcing, staff expertise, follow-up </w:t>
      </w:r>
      <w:r w:rsidR="00816B3A">
        <w:t xml:space="preserve">genetic </w:t>
      </w:r>
      <w:r>
        <w:t xml:space="preserve">counselling and so on. A specific consideration related to whether NBS for X-ALD should have separate consent (i.e., as a means to address some of the ethical issues, or to engage with parents about an X-counter test if one is used). A separate consent process would introduce additional costs while being unlikely, on balance, to make a significant difference to uptake rates. A rationale for separate consent may be better supported if a decision is made to report results for females, given that the information being provided is something that will not have relevance for many years, and that reporting carrier status in the newborn period is contentious. </w:t>
      </w:r>
    </w:p>
    <w:p w14:paraId="7B13A307" w14:textId="4EF105A7" w:rsidR="00354296" w:rsidRDefault="00DC73F8" w:rsidP="00354296">
      <w:r>
        <w:t>A further consideration relates to reanalysis. Overall, screening is a ‘point in time’ test. With reanalysis and reinterpretation still in the early stages of development, it may not yet be feasible to do this in a screening context (given the volume of results). However, as innovations such as automated reanalysis becomes a reality, this could make the reanalysis of results more feasible.</w:t>
      </w:r>
      <w:r w:rsidR="00354296">
        <w:br w:type="page"/>
      </w:r>
    </w:p>
    <w:bookmarkEnd w:id="1"/>
    <w:p w14:paraId="2A91374B" w14:textId="2B4C7F02" w:rsidR="009349B9" w:rsidRDefault="009653B7" w:rsidP="009653B7">
      <w:pPr>
        <w:pStyle w:val="Heading2"/>
        <w:numPr>
          <w:ilvl w:val="0"/>
          <w:numId w:val="0"/>
        </w:numPr>
      </w:pPr>
      <w:r>
        <w:lastRenderedPageBreak/>
        <w:t>16.</w:t>
      </w:r>
      <w:r>
        <w:tab/>
        <w:t>Key issues from ESC to MSAC</w:t>
      </w:r>
    </w:p>
    <w:p w14:paraId="5631F7EF" w14:textId="77777777" w:rsidR="00DF30FD" w:rsidRDefault="00DF30FD" w:rsidP="00DF30FD">
      <w:pPr>
        <w:pStyle w:val="BoxName0"/>
      </w:pPr>
      <w:r>
        <w:t>Main issues for MSAC consideration</w:t>
      </w:r>
    </w:p>
    <w:p w14:paraId="56016669" w14:textId="77777777" w:rsidR="00DF30FD" w:rsidRDefault="00DF30FD" w:rsidP="00DF30FD">
      <w:pPr>
        <w:pStyle w:val="BoxHeading"/>
      </w:pPr>
      <w:r>
        <w:t>Clinical issues:</w:t>
      </w:r>
    </w:p>
    <w:p w14:paraId="0EC2BB24" w14:textId="77777777" w:rsidR="00DF30FD" w:rsidRPr="009C53C8" w:rsidRDefault="00DF30FD">
      <w:pPr>
        <w:pStyle w:val="BoxBullet"/>
      </w:pPr>
      <w:r>
        <w:t xml:space="preserve">A three-tiered approach to screening (strategy IV) appeared preferable to two-tiered screening, because the first two tiers combined provide evidence of a newborn having elevated very long chain fatty acid levels, which would increase confidence in the pathogenicity of any VUSs detected, given most X-ALD genetic variants are ‘private’ (family-specific). </w:t>
      </w:r>
    </w:p>
    <w:p w14:paraId="5F920441" w14:textId="77777777" w:rsidR="00DF30FD" w:rsidRPr="009C53C8" w:rsidRDefault="00DF30FD">
      <w:pPr>
        <w:pStyle w:val="BoxBullet"/>
      </w:pPr>
      <w:r>
        <w:t xml:space="preserve">X-ALD is an X-linked condition: many female carriers will not develop symptoms, and those who do will generally do so in adulthood and receive best supportive care. The majority of consultation input received was against reporting results for female newborns, as reporting results for female newborns may not meet the NBS NPF criteria of screening in order to identify an individual for whom intervention is required in early childhood. Reporting results for screened male newborns only may, on balance, be preferable, although whether results should be reported for males only versus all newborns is a complex ethical issue that requires fulsome consideration. The reporting of NBS results for males only would preclude information for parental reproductive decision-making where the first born children are carrier females, but with risk for affected males in subsequent pregnancies. On the other hand, reporting results for all newborns would enable all families to make informed reproductive decisions for future pregnancies via cascade testing –the NBS NPF allows for the consideration of this benefit to the family, however it is secondary to the benefit to the newborn. If reporting results for screened females is deemed inappropriate, then the X-counter test would need to be included at any point after the first tier FIA-MS/MS. </w:t>
      </w:r>
    </w:p>
    <w:p w14:paraId="7FBA29F2" w14:textId="77777777" w:rsidR="00DF30FD" w:rsidRDefault="00DF30FD">
      <w:pPr>
        <w:pStyle w:val="BoxBullet"/>
        <w:rPr>
          <w:b/>
          <w:bCs/>
        </w:rPr>
      </w:pPr>
      <w:r>
        <w:t>Cascade testing of the parents of infants identified through NBS would facilitate informed reproductive decision-making, and enable identification of a familial variant in asymptomatic mothers who may become symptomatic in the future.</w:t>
      </w:r>
    </w:p>
    <w:p w14:paraId="23E81E2E" w14:textId="77777777" w:rsidR="00DF30FD" w:rsidRDefault="00DF30FD">
      <w:pPr>
        <w:pStyle w:val="BoxBullet"/>
        <w:rPr>
          <w:b/>
          <w:bCs/>
        </w:rPr>
      </w:pPr>
      <w:r>
        <w:t>There were limited data from Australia and overseas on X-ALD prevalence and change in management as a result of NBS for X-ALD.</w:t>
      </w:r>
    </w:p>
    <w:p w14:paraId="1ADA8888" w14:textId="77777777" w:rsidR="00DF30FD" w:rsidRDefault="00DF30FD" w:rsidP="00DF30FD">
      <w:pPr>
        <w:pStyle w:val="BoxHeading"/>
      </w:pPr>
      <w:r>
        <w:t>Economic issues:</w:t>
      </w:r>
    </w:p>
    <w:p w14:paraId="4CB47743" w14:textId="77777777" w:rsidR="00DF30FD" w:rsidRDefault="00DF30FD">
      <w:pPr>
        <w:pStyle w:val="BoxBullet"/>
      </w:pPr>
      <w:r>
        <w:t>Four strategies (plus variations to include an X-counter) were assessed, and NBS for X-ALD appeared to be cost-effective compared to no NBS for X-ALD for at least some strategies. Cost-effectiveness differed between the strategies: strategies I and IV were the most cost-effective.</w:t>
      </w:r>
    </w:p>
    <w:p w14:paraId="42502579" w14:textId="77777777" w:rsidR="00DF30FD" w:rsidRDefault="00DF30FD">
      <w:pPr>
        <w:pStyle w:val="BoxBullet"/>
      </w:pPr>
      <w:r>
        <w:t>When an X-counter was included NBS appeared to remain cost-effective, although the cost-effectiveness was determined by the test(s) preceding the X-counter. The most cost-effective strategies that included an X-counter were strategies Ia, IVa and IVb.</w:t>
      </w:r>
    </w:p>
    <w:p w14:paraId="17BA6E86" w14:textId="61DEA719" w:rsidR="00DF30FD" w:rsidRDefault="00816B3A">
      <w:pPr>
        <w:pStyle w:val="BoxBullet"/>
      </w:pPr>
      <w:r>
        <w:t>Using the original DCAR data, t</w:t>
      </w:r>
      <w:r w:rsidR="00DF30FD">
        <w:t>he cost-effectiveness was most sensitive to the sensitivity, specificity and cost of the tests used in screening, because X-ALD is a rare condition.</w:t>
      </w:r>
      <w:r w:rsidR="00DF30FD" w:rsidRPr="000D7372">
        <w:t xml:space="preserve"> </w:t>
      </w:r>
      <w:r w:rsidR="00DF30FD">
        <w:t xml:space="preserve">Most QALY gains arose from early access to HSCT (between 4 and 8 years), which was associated with an increase in utility  post HSCT, until death occurs in the model. </w:t>
      </w:r>
    </w:p>
    <w:p w14:paraId="662EBCCE" w14:textId="77777777" w:rsidR="00DF30FD" w:rsidRDefault="00DF30FD">
      <w:pPr>
        <w:pStyle w:val="BoxBullet"/>
      </w:pPr>
      <w:r>
        <w:t xml:space="preserve">The structure and approach of the model were consistent with the literature, however in the context of X-ALD being a rare disease, the model was overcomplicated, which made it hard to interrogate and interpret the results. MSAC may wish to consider that the uncertainty in the ICER be considered in the context of evidence generation challenges associated with rare diseases.   </w:t>
      </w:r>
    </w:p>
    <w:p w14:paraId="2A0E1888" w14:textId="77777777" w:rsidR="00DF30FD" w:rsidRDefault="00DF30FD">
      <w:pPr>
        <w:pStyle w:val="BoxBullet"/>
      </w:pPr>
      <w:r>
        <w:t xml:space="preserve">The DCAR reported lower QALYs for strategy III compared to no NBS, which differed from strategy II although the basis for the difference could not be identified. The reported reduced effectiveness could not be verified by ESC’s validation of the model, and so ESC considered </w:t>
      </w:r>
      <w:r>
        <w:lastRenderedPageBreak/>
        <w:t>the reported cost-effectiveness of strategy III to be unreliable. The reported negative effectiveness was perhaps a result of natural variation in the microsimulation draws due to very small numbers because X-ALD is a rare disease, or may relate to slightly different death rates for this strategy. The ICER for strategy III should be interpreted with caution.</w:t>
      </w:r>
    </w:p>
    <w:p w14:paraId="79CFF03F" w14:textId="77777777" w:rsidR="00DF30FD" w:rsidRDefault="00DF30FD">
      <w:pPr>
        <w:pStyle w:val="BoxBullet"/>
      </w:pPr>
      <w:r>
        <w:t>Key uncertainties in the economic model included the estimated prevalence of X-ALD positive diagnosis through NBS, which had a wide range of estimates (including estimates based on small sample sizes, and none from Australia). There were also limited data to inform estimates of the  proportion of patients receiving early HSCT, and different data sources of death rates for X-ALD and HSCT, but these had minimal effect on the ICER.</w:t>
      </w:r>
    </w:p>
    <w:p w14:paraId="39408EBB" w14:textId="77777777" w:rsidR="00DF30FD" w:rsidRDefault="00DF30FD">
      <w:pPr>
        <w:pStyle w:val="BoxBullet"/>
      </w:pPr>
      <w:r>
        <w:t>There were limited data to inform the economic model for cascade testing arising from NBS, which made the results inherently uncertain. Cascade testing improved in cost-effectiveness when an X-counter was included.</w:t>
      </w:r>
    </w:p>
    <w:p w14:paraId="7CB080DC" w14:textId="77777777" w:rsidR="00DF30FD" w:rsidRDefault="00DF30FD" w:rsidP="00DF30FD">
      <w:pPr>
        <w:pStyle w:val="BoxHeading"/>
      </w:pPr>
      <w:r>
        <w:t>Financial issues:</w:t>
      </w:r>
    </w:p>
    <w:p w14:paraId="1A4C6B77" w14:textId="77777777" w:rsidR="00DF30FD" w:rsidRDefault="00DF30FD">
      <w:pPr>
        <w:pStyle w:val="BoxBullet"/>
      </w:pPr>
      <w:r>
        <w:t xml:space="preserve">There was considerable uncertainty in the financial estimates. This was because of uncertainty in the prevalence of a positive diagnosis of X-ALD through NBS, cost of </w:t>
      </w:r>
      <w:r>
        <w:rPr>
          <w:i/>
          <w:iCs/>
        </w:rPr>
        <w:t xml:space="preserve">ABCD1 </w:t>
      </w:r>
      <w:r>
        <w:t>genetic testing and the X-counter, positive predictive value of FIA-MS/MS and HPLC-MS/MS, proportion of newborns for whom HSCT would be feasible, and the uptake rate of cascade testing.</w:t>
      </w:r>
    </w:p>
    <w:p w14:paraId="00C36B4F" w14:textId="77777777" w:rsidR="00DF30FD" w:rsidRDefault="00DF30FD" w:rsidP="00DF30FD">
      <w:pPr>
        <w:pStyle w:val="BoxHeading"/>
      </w:pPr>
      <w:r>
        <w:t>Other relevant information:</w:t>
      </w:r>
    </w:p>
    <w:p w14:paraId="63F85637" w14:textId="77777777" w:rsidR="00DF30FD" w:rsidRPr="001659B7" w:rsidRDefault="00DF30FD">
      <w:pPr>
        <w:pStyle w:val="BoxBullet"/>
      </w:pPr>
      <w:r>
        <w:t xml:space="preserve">While a comprehensive narrative summary of the ethical issues was presented, a formal ethical analysis may be necessary to inform over-arching consideration of the ethical aspects of NBS for X-ALD, especially for the complex ethical issue of whether results should be reported for males only versus all </w:t>
      </w:r>
      <w:r w:rsidRPr="00B27B90">
        <w:t>newborns.</w:t>
      </w:r>
      <w:r>
        <w:t xml:space="preserve"> </w:t>
      </w:r>
    </w:p>
    <w:p w14:paraId="491075BD" w14:textId="77777777" w:rsidR="00DF30FD" w:rsidRDefault="00DF30FD">
      <w:pPr>
        <w:pStyle w:val="BoxBullet"/>
      </w:pPr>
      <w:r>
        <w:t xml:space="preserve">The low penetrance of </w:t>
      </w:r>
      <w:r w:rsidRPr="00296A5D">
        <w:rPr>
          <w:i/>
          <w:iCs/>
        </w:rPr>
        <w:t xml:space="preserve">ABCD1 </w:t>
      </w:r>
      <w:r>
        <w:t>variants to cause clinical X-ALD may result in psychological distress for male individuals and their families due to the need for surveillance monitoring. NBS for X-ALD could also be harmful because the incomplete penetrance of a positive result through NBS means many ‘positive’ female newborns will not develop X-ALD until adulthood, if at all, which may cause psychological distress for their families. Harm could also arise from the lack of currently registered treatment options for some disease manifestations.</w:t>
      </w:r>
    </w:p>
    <w:p w14:paraId="1781BF56" w14:textId="77777777" w:rsidR="00DF30FD" w:rsidRDefault="00DF30FD" w:rsidP="00DF30FD">
      <w:pPr>
        <w:spacing w:before="240"/>
        <w:rPr>
          <w:rStyle w:val="Strong"/>
          <w:rFonts w:cs="Times New Roman"/>
          <w:color w:val="000000"/>
          <w:szCs w:val="20"/>
          <w:lang w:eastAsia="en-AU"/>
        </w:rPr>
      </w:pPr>
      <w:r>
        <w:rPr>
          <w:rStyle w:val="Strong"/>
        </w:rPr>
        <w:t>ESC discussion</w:t>
      </w:r>
    </w:p>
    <w:p w14:paraId="6795FA64" w14:textId="77777777" w:rsidR="00DF30FD" w:rsidRDefault="00DF30FD" w:rsidP="00DF30FD">
      <w:r>
        <w:t>ESC noted that this application from the Leukodystrophy Resource &amp; Research Organisation Inc was for including X-linked adrenoleukodystrophy (X-ALD) in Australia’s newborn bloodspot screening (NBS) programs. ESC noted that with the dissolution of the Standing Committee on Screening (SCoS) applications for inclusion/removal of conditions from NBS programs are now considered by MSAC, and that applications 1710 and 1737 were the first NBS applications to be considered by ESC and MSAC.</w:t>
      </w:r>
    </w:p>
    <w:p w14:paraId="7FB3B859" w14:textId="1932AEE6" w:rsidR="00DF30FD" w:rsidRDefault="00DF30FD" w:rsidP="00DF30FD">
      <w:r>
        <w:t xml:space="preserve">ESC noted that the genetic basis for X-ALD is variants in the </w:t>
      </w:r>
      <w:r w:rsidRPr="1B3B0518">
        <w:rPr>
          <w:i/>
          <w:iCs/>
        </w:rPr>
        <w:t>ABCD1</w:t>
      </w:r>
      <w:r>
        <w:t xml:space="preserve"> gene, which is located on the X chromosome. Patients with X-ALD have very high levels of certain fatty acids, particularly C26:0-lysophosphatidylcholine (C26:0 LPC), however most </w:t>
      </w:r>
      <w:r w:rsidRPr="1B3B0518">
        <w:rPr>
          <w:i/>
          <w:iCs/>
        </w:rPr>
        <w:t xml:space="preserve">ABCD1 </w:t>
      </w:r>
      <w:r>
        <w:t>variants are ‘private’ (family-specific), with almost every kindred having a different variant. ESC noted the genotype–phenotype correlation is weak, with many people who have a genetic variant not developing clinical signs or symptoms of X-ALD, and in some cases the same variant causing different presentation, severity and onset even within the same kindred. ESC noted that although the variation in X-ALD clinical phenotypes is great, neurologic manifestations are present in nearly all males by adulthood</w:t>
      </w:r>
      <w:r w:rsidRPr="009703C7">
        <w:rPr>
          <w:rStyle w:val="FootnoteReference"/>
        </w:rPr>
        <w:footnoteReference w:id="40"/>
      </w:r>
      <w:r>
        <w:t xml:space="preserve">, and considered that it is difficult to estimate at which age males will become symptomatic, and if </w:t>
      </w:r>
      <w:r>
        <w:lastRenderedPageBreak/>
        <w:t xml:space="preserve">symptomatic what their phenotype will be. ESC considered that the applicability of the DCAR’s penetrance estimates </w:t>
      </w:r>
      <w:r w:rsidRPr="00B21044">
        <w:t>(</w:t>
      </w:r>
      <w:r w:rsidR="00393F98">
        <w:fldChar w:fldCharType="begin"/>
      </w:r>
      <w:r w:rsidR="00393F98">
        <w:instrText xml:space="preserve"> REF _Ref139007295 </w:instrText>
      </w:r>
      <w:r w:rsidR="00393F98">
        <w:fldChar w:fldCharType="separate"/>
      </w:r>
      <w:r w:rsidR="00253978">
        <w:t xml:space="preserve">Table </w:t>
      </w:r>
      <w:r w:rsidR="00253978">
        <w:rPr>
          <w:noProof/>
        </w:rPr>
        <w:t>5</w:t>
      </w:r>
      <w:r w:rsidR="00393F98">
        <w:rPr>
          <w:noProof/>
        </w:rPr>
        <w:fldChar w:fldCharType="end"/>
      </w:r>
      <w:r w:rsidRPr="00B21044">
        <w:t>)</w:t>
      </w:r>
      <w:r>
        <w:t xml:space="preserve"> depended on the test method(s) used to define the population in whom manifestation was subsequently examined. Onset of disease in males (or more correctly, in individuals with one X chromosome – hereafter referred to as males for simplicity) can occur at various stages of childhood or adulthood, and with various degrees of severity of phenotype. The three main phenotypes in males are childhood cerebral ALD (CCALD, also known as CALD), adrenomyeloneuropathy (AMN) and adrenal insufficiency (AI, also known as Addison’s disease). The signs and symptoms of AMN may include progressive stiffness and weakness of the legs (paraparesis), ataxia, speech difficulties, sexual dysfunction and loss of bladder or bowel control. Male onset of AMN often occurs in the early twenties to late thirties and in a</w:t>
      </w:r>
      <w:r w:rsidRPr="00F70956">
        <w:t xml:space="preserve">pproximately 40% </w:t>
      </w:r>
      <w:r>
        <w:t xml:space="preserve">AMN affected males the disease may </w:t>
      </w:r>
      <w:r w:rsidRPr="00F70956">
        <w:t xml:space="preserve">progress to </w:t>
      </w:r>
      <w:r>
        <w:t xml:space="preserve">have </w:t>
      </w:r>
      <w:r w:rsidRPr="00F70956">
        <w:t>cerebral involvement</w:t>
      </w:r>
      <w:r>
        <w:t xml:space="preserve">. Treatment for CCALD is by haematopoietic stem cell transplant (HSCT) if diagnosed early. HSCT does not prevent AMN or reverse AI, although AI can be managed in other ways. Around 50% of females with an X-ALD genotype develop mild symptoms later in life. </w:t>
      </w:r>
    </w:p>
    <w:p w14:paraId="2CB42F5C" w14:textId="77777777" w:rsidR="00DF30FD" w:rsidRDefault="00DF30FD" w:rsidP="00DF30FD">
      <w:r>
        <w:t>ESC noted that NBS programs are delivered by state and territory governments, and that screening takes place in five laboratories across Australia. The Australian Government contributes funding to hospital services, including those for NBS, through the National Health Reform Agreement (NHRA). The Australian Government also announced funding of $39.0 million in the 2022–23 Budget, of which $25.3 million has been offered directly to states and territories through a Schedule under the Federation Funding Agreement – Health to support expanding the number of conditions included in NBS programs and increasing consistency between the states and territories. ESC also noted the NBS National Policy Framework (NBS NPF)</w:t>
      </w:r>
      <w:r>
        <w:rPr>
          <w:rStyle w:val="FootnoteReference"/>
        </w:rPr>
        <w:footnoteReference w:id="41"/>
      </w:r>
      <w:r>
        <w:t xml:space="preserve"> and its decision-making criteria, which provided context for ESC’s consideration of this application.</w:t>
      </w:r>
    </w:p>
    <w:p w14:paraId="1789AE2C" w14:textId="133F71B3" w:rsidR="00DF30FD" w:rsidRDefault="00DF30FD" w:rsidP="00DF30FD">
      <w:r>
        <w:t xml:space="preserve">ESC noted that the UK National Screening Committee had assessed NBS for X-ALD in 2021 but did not recommend screening because there was very limited information on the outcome of treatment and its comparative effectiveness in asymptomatic individuals versus symptomatic individuals. Also, the UK Committee was uncertain regarding the impact of early diagnosis, especially for individuals who would be directed to undergo surveillance monitoring but will not develop CCALD, and separately, for babies that could be identified with other disorders of fatty acid oxidation but for which there are no treatments. However, ESC also noted that the Netherlands (reporting of results for males only) and some US states (reporting of results for all newborns, on the basis of supporting reproductive planning) </w:t>
      </w:r>
      <w:r w:rsidR="00816B3A">
        <w:t xml:space="preserve">have </w:t>
      </w:r>
      <w:r>
        <w:t>opted to include X-ALD in their NBS programs.</w:t>
      </w:r>
    </w:p>
    <w:p w14:paraId="17EB87FB" w14:textId="3278866D" w:rsidR="00DF30FD" w:rsidRDefault="00DF30FD" w:rsidP="00DF30FD">
      <w:r>
        <w:t xml:space="preserve">ESC noted that the PICO proposed assessing the risk of X-ALD through quantification of the fatty acid C26:0-lysophosphatidylcholine (C26:0-LPC) in newborn dried bloodspots, by flow-injection analysis (FIA) tandem mass spectrometry (MS/MS) and/or (high-performance) liquid chromatography ((HP)LC)-MS/MS, and/or </w:t>
      </w:r>
      <w:r>
        <w:rPr>
          <w:i/>
          <w:iCs/>
        </w:rPr>
        <w:t>ABCD1</w:t>
      </w:r>
      <w:r>
        <w:t xml:space="preserve"> genetic testing (PICO set 1). The PICO also included options for an X-counter test, which determines the number of X chromosomes. ESC noted the resulting nine screening strategies that were assessed (</w:t>
      </w:r>
      <w:r>
        <w:fldChar w:fldCharType="begin"/>
      </w:r>
      <w:r>
        <w:instrText xml:space="preserve"> REF _Ref132389792 \h </w:instrText>
      </w:r>
      <w:r>
        <w:fldChar w:fldCharType="separate"/>
      </w:r>
      <w:r w:rsidR="00253978">
        <w:t xml:space="preserve">Figure </w:t>
      </w:r>
      <w:r w:rsidR="00253978">
        <w:rPr>
          <w:noProof/>
        </w:rPr>
        <w:t>1</w:t>
      </w:r>
      <w:r>
        <w:fldChar w:fldCharType="end"/>
      </w:r>
      <w:r>
        <w:t xml:space="preserve">) included variations on if and when an X-counter was included, based around four screening strategies: </w:t>
      </w:r>
    </w:p>
    <w:p w14:paraId="41CC724A" w14:textId="77777777" w:rsidR="00DF30FD" w:rsidRDefault="00DF30FD">
      <w:pPr>
        <w:pStyle w:val="ListParagraph"/>
        <w:numPr>
          <w:ilvl w:val="0"/>
          <w:numId w:val="15"/>
        </w:numPr>
      </w:pPr>
      <w:r>
        <w:t>FIA-MS/MS, then HPLC-MS/MS</w:t>
      </w:r>
    </w:p>
    <w:p w14:paraId="5B494D02" w14:textId="77777777" w:rsidR="00DF30FD" w:rsidRDefault="00DF30FD">
      <w:pPr>
        <w:pStyle w:val="ListParagraph"/>
        <w:numPr>
          <w:ilvl w:val="0"/>
          <w:numId w:val="15"/>
        </w:numPr>
      </w:pPr>
      <w:r>
        <w:t xml:space="preserve">FIA-MS/MS, then </w:t>
      </w:r>
      <w:r>
        <w:rPr>
          <w:i/>
          <w:iCs/>
        </w:rPr>
        <w:t xml:space="preserve">ABCD1 </w:t>
      </w:r>
      <w:r>
        <w:t>genetic testing</w:t>
      </w:r>
    </w:p>
    <w:p w14:paraId="261C348C" w14:textId="77777777" w:rsidR="00DF30FD" w:rsidRDefault="00DF30FD">
      <w:pPr>
        <w:pStyle w:val="ListParagraph"/>
        <w:numPr>
          <w:ilvl w:val="0"/>
          <w:numId w:val="15"/>
        </w:numPr>
      </w:pPr>
      <w:r>
        <w:t xml:space="preserve">HPLC-MS/MS, then </w:t>
      </w:r>
      <w:r>
        <w:rPr>
          <w:i/>
          <w:iCs/>
        </w:rPr>
        <w:t xml:space="preserve">ABCD1 </w:t>
      </w:r>
      <w:r>
        <w:t>genetic testing</w:t>
      </w:r>
    </w:p>
    <w:p w14:paraId="2318AB23" w14:textId="77777777" w:rsidR="00DF30FD" w:rsidRDefault="00DF30FD">
      <w:pPr>
        <w:pStyle w:val="ListParagraph"/>
        <w:numPr>
          <w:ilvl w:val="0"/>
          <w:numId w:val="15"/>
        </w:numPr>
      </w:pPr>
      <w:r>
        <w:t xml:space="preserve">FIA-MS/MS, then HPLC-MS/MS, then </w:t>
      </w:r>
      <w:r w:rsidRPr="00071D3A">
        <w:rPr>
          <w:i/>
          <w:iCs/>
        </w:rPr>
        <w:t xml:space="preserve">ABCD1 </w:t>
      </w:r>
      <w:r>
        <w:t>genetic testing</w:t>
      </w:r>
    </w:p>
    <w:p w14:paraId="046A341C" w14:textId="5C03A813" w:rsidR="00DF30FD" w:rsidRDefault="00DF30FD" w:rsidP="00DF30FD">
      <w:r>
        <w:lastRenderedPageBreak/>
        <w:t xml:space="preserve">ESC considered that strategy I, which was the UK-based strategy described in some literature, was fast and reliable, although had a higher rate of false positives because of the lower specificity of FIA-MS/MS. ESC noted C26:0-LPC is also elevated in other peroxisomal disorders, such as Zellweger spectrum disorder. ESC considered that strategies II and III  that included the “gold standard” </w:t>
      </w:r>
      <w:r>
        <w:rPr>
          <w:i/>
          <w:iCs/>
        </w:rPr>
        <w:t xml:space="preserve">ABCD1 </w:t>
      </w:r>
      <w:r>
        <w:t>genetic testing for confirming a genetic diagnosis, and may ameliorate any potential false positive issues arising in strategy I. ESC noted that strategy IV was for three-tiered screening, which had a higher positive predictive value (PPV) in international studies</w:t>
      </w:r>
      <w:r w:rsidR="00816B3A">
        <w:t>, but required access to a different mass spectrometer</w:t>
      </w:r>
      <w:r>
        <w:t>.</w:t>
      </w:r>
    </w:p>
    <w:p w14:paraId="795DDA34" w14:textId="77777777" w:rsidR="00DF30FD" w:rsidRDefault="00DF30FD" w:rsidP="00DF30FD">
      <w:r>
        <w:t xml:space="preserve">ESC considered the clinical benefit of X-ALD NBS was primarily to shorten or prevent diagnostic delay, allowing earlier ongoing monitoring and potentially early HSCT. ESC noted that overall survival appeared higher in patients who received early HSCT than late or no HSCT, but that this treatment was only for the 31-35% of males developing the CCALD phenotype of X-ALD at age 3-10. ESC noted the potential benefits of early diagnosis and HSCT for males with CCALD phenotype, however considered the availability of treatment </w:t>
      </w:r>
      <w:r w:rsidRPr="00D95761">
        <w:t>only available once symptomatic for other disease manifestations</w:t>
      </w:r>
      <w:r>
        <w:t xml:space="preserve"> (and females), and the potential for psychological distress for families due to uncertainty about symptom onset arising from incomplete penetrance of </w:t>
      </w:r>
      <w:r w:rsidRPr="1B3B0518">
        <w:rPr>
          <w:i/>
          <w:iCs/>
        </w:rPr>
        <w:t>ABCD1</w:t>
      </w:r>
      <w:r>
        <w:t xml:space="preserve"> variants are potential harms. ESC considered X-ALD NBS would also enable cascade testing, and support informed future reproductive decisions of both the children identified through NBS and (more immediately) their parents. However, the incomplete penetrance, impact on reproductive confidence, and potential limited influence on future reproductive behaviours are uncertain.</w:t>
      </w:r>
    </w:p>
    <w:p w14:paraId="2088FA66" w14:textId="77777777" w:rsidR="00DF30FD" w:rsidRDefault="00DF30FD" w:rsidP="00DF30FD">
      <w:r>
        <w:t xml:space="preserve">ESC noted that where NBS identifies a newborn as being at risk of X-ALD (through high fatty acid levels for strategy I and through a genetic diagnosis for strategies II-IV), clinical practice is to next test the biological relatives of the newborn to see if they are also at risk of X-ALD (PICO set 2). ESC noted that the comparator for cascade testing of newborns detected as being at risk of X-ALD through NBS was cascade testing of the relatives of patients clinically presenting with X-ALD. ESC noted that 4.1% of X-ALD variants arise </w:t>
      </w:r>
      <w:r w:rsidRPr="000E2803">
        <w:rPr>
          <w:i/>
          <w:iCs/>
        </w:rPr>
        <w:t>de novo</w:t>
      </w:r>
      <w:r>
        <w:t xml:space="preserve"> (i.e., are not inherited), which it considered supported the need for cascade testing of the mother following a positive diagnosis through NBS (and if results for females were also to be reported, then also cascade testing of the father to identify men with a genetic variant that has not led to X-ALD manifesting), then other first-degree relatives of the parent as applicable. ESC noted PASC had considered cascade testing was not appropriate when a variant of uncertain significance (VUS) is identified in the newborn, however ESC considered that evidence of the newborn having high fatty acid levels (from the one or two previous tiers of screening) may provide sufficient functional evidence to classify VUSs as pathogenic or likely pathogenic (P/LP) variants. ESC considered genetic counselling would support families following a positive diagnosis through NBS.</w:t>
      </w:r>
    </w:p>
    <w:p w14:paraId="41FAD81F" w14:textId="77777777" w:rsidR="00DF30FD" w:rsidRDefault="00DF30FD" w:rsidP="00DF30FD">
      <w:r>
        <w:t xml:space="preserve">ESC noted the consultation feedback described the advantages of early diagnosis and treatment, but also the disadvantages of false positive results, which can lead to psychological distress. Consultation comments included that NBS aims to identify diseases that present in early childhood, which is not the case for X-ALD in females, so results should be reported for males only. ESC noted that consultation comments had been received mostly from professional organisations, and considered the perspectives of parents of children with X-ALD were underrepresented in consultation comments. ESC considered that while the DCAR included a narrative summary of the ethical issues for this application, a formal ethical analysis may be necessary to inform over-arching consideration of the ethical aspects of NBS for X-ALD, especially for the complex ethical issue of whether results should be reported for males only versus all </w:t>
      </w:r>
      <w:r w:rsidRPr="00B27B90">
        <w:t>newborns.</w:t>
      </w:r>
      <w:r>
        <w:t xml:space="preserve"> </w:t>
      </w:r>
      <w:r w:rsidRPr="00B27B90">
        <w:t>ESC considered input from people who are living with or affected by X-ALD, including parents of affected children, would help inform further discussion of ethical issues.</w:t>
      </w:r>
      <w:r>
        <w:t xml:space="preserve"> ESC considered a further issue for consumers was potential inequity of access if the follow-on monitoring and treatment required after a diagnosis were not available nationwide, including remote and rural areas in particular. Also if NBS for X-ALD were not implemented nationwide, this </w:t>
      </w:r>
      <w:r>
        <w:lastRenderedPageBreak/>
        <w:t>also risks inequity for families in accessing effective screening services. Further accessibility concerns were around access to genetic counselling and clinical expertise in remote and rural areas.</w:t>
      </w:r>
    </w:p>
    <w:p w14:paraId="4F41F886" w14:textId="77777777" w:rsidR="00DF30FD" w:rsidRDefault="00DF30FD" w:rsidP="00DF30FD">
      <w:r>
        <w:t xml:space="preserve">ESC considered the comparator of no NBS was appropriate. ESC considered that fatty acid-based screening was likely preferable for X-ALD, because of the weak genotype-phenotype correlation, and the increased difficulty of identifying </w:t>
      </w:r>
      <w:r>
        <w:rPr>
          <w:i/>
          <w:iCs/>
        </w:rPr>
        <w:t xml:space="preserve">ABCD1 </w:t>
      </w:r>
      <w:r>
        <w:t xml:space="preserve">genetic variants as pathogenic or likely pathogenic when most variants in this gene are private. ESC considered that it was likely preferable to use a three-tiered screening approach: using FIA-MS/MS, followed by HPLC-MS/MS, then </w:t>
      </w:r>
      <w:r>
        <w:rPr>
          <w:i/>
          <w:iCs/>
        </w:rPr>
        <w:t>ABCD1</w:t>
      </w:r>
      <w:r>
        <w:t xml:space="preserve"> genetic testing (strategy IV). A three-tiered approach appeared preferable because the first two tiers combined would provide evidence of raised fatty acid levels to increase confidence in the pathogenicity of any VUSs identified in the third tier, given most X-ALD genetic variants are private. Three-tier screening would also be more accurate because testing for C26:0-LPC can give false positives. ESC also noted expert consultation input that FIA-MS/MS followed by HPLC-MS/MS fits into existing laboratory workflows. ESC noted PASC’s advice that t</w:t>
      </w:r>
      <w:r w:rsidRPr="004A76D5">
        <w:t xml:space="preserve">he X-counter test </w:t>
      </w:r>
      <w:r>
        <w:t>wa</w:t>
      </w:r>
      <w:r w:rsidRPr="004A76D5">
        <w:t>s unsuitable for Tier 1 screening for a rare disorder</w:t>
      </w:r>
      <w:r>
        <w:t>, and agreed that if an X-counter is to be included it should be used at some point after the first tier. ESC considered the</w:t>
      </w:r>
      <w:r w:rsidRPr="00691C82">
        <w:t xml:space="preserve"> </w:t>
      </w:r>
      <w:r>
        <w:t>preferred location of the X-counter test in the screening sequence may differ between laboratories.</w:t>
      </w:r>
    </w:p>
    <w:p w14:paraId="30E80FA9" w14:textId="77777777" w:rsidR="00DF30FD" w:rsidRDefault="00DF30FD" w:rsidP="00DF30FD">
      <w:r>
        <w:t xml:space="preserve">ESC discussed the appropriateness of reporting results for female newborns, and the need to consider both public health ethics of screening and the ethics for diagnosed individuals and their families. ESC noted that the aim of NBS is to identify early childhood disease where there is a benefit to detection in the newborn period and secondary benefit to inform reproductive decision-making. ESC noted that females do not show symptoms until adulthood when they can make their own decisions about being tested for X-ALD, and there is no treatment for females beyond symptomatic treatment, but given the typical age of symptom onset her diagnosis may only be made after she has had children. ESC noted the majority of consultation input received was against reporting results for female newborns, and that the screening program in the Netherlands only reports X-ALD results for males. ESC considered that reporting results for females may not meet the NBS NPF criteria, in relation to the needs of the individual being screened. ESC queried whether screening but not reporting a female carrier result may create medicolegal risk for the provider, although considered this was unlikely because laboratories routinely do not report full results, for example because it is more efficient to run a panel test even when only one test on the panel is requested. On the other hand, ESC noted that if a female carrier is identified by NBS then a male infant in a subsequent pregnancy of the same reproductive partners has a 50% risk of being hemizygous for X-ALD, and considered that reporting results for all newborns would better support families to make informed reproductive decisions for future pregnancies. ESC noted comments that NBS would provide forewarning of adulthood disease in women, but considered this was a weak reason not aligned with the purpose of NBS, however would provide her the opportunity for informing reproductive decision-making if she were a carrier. Overall, ESC considered reporting results for males only may be preferable, although whether results should be reported for males only versus all newborns is a complex ethical issue that requires fulsome consideration. ESC noted that assessment of external genitalia in newborns as a surrogate for the number of X chromosomes can be unreliable, so an X-counter test (or equivalent) would be required if results for females were to not be reported. </w:t>
      </w:r>
    </w:p>
    <w:p w14:paraId="51AD9E36" w14:textId="77777777" w:rsidR="00DF30FD" w:rsidRDefault="00DF30FD" w:rsidP="00DF30FD">
      <w:r>
        <w:t>ESC noted that NBS was the focus of the application, and considered the economic model for the NBS component (PICO set 1) comprehensively assessed the nine proposed screening strategies.</w:t>
      </w:r>
      <w:r w:rsidRPr="00617DBE">
        <w:t xml:space="preserve"> </w:t>
      </w:r>
      <w:r>
        <w:t xml:space="preserve">ESC noted that the model was a two-step model: a decision tree including microsimulation, followed by a Markov state transition model including five health states. ESC considered the </w:t>
      </w:r>
      <w:r>
        <w:lastRenderedPageBreak/>
        <w:t>decision tree structure was based on a published model for the UK (Bessey 2018</w:t>
      </w:r>
      <w:r>
        <w:rPr>
          <w:rStyle w:val="FootnoteReference"/>
        </w:rPr>
        <w:footnoteReference w:id="42"/>
      </w:r>
      <w:r>
        <w:t>) with expansions to include microsimulation to account for heterogeneity in the inputs, and to explore the multiple proposed strategies. However, ESC considered that while this approach was consistent with the literature, the complex model overcomplicated the assessment and made it difficult to interpret results, particularly in the context of X-ALD being a rare disease, where there is often substantial uncertainty in the inputs. ESC noted both NBS applications being considered at this meeting had highly uncertain inputs, and contrasted the complex and longer time horizon model with substantial uncertainty for 1710, with the simpler and shorter time horizon model for NBS application 1737.</w:t>
      </w:r>
    </w:p>
    <w:p w14:paraId="0C9B52F7" w14:textId="5ED3C009" w:rsidR="00DF30FD" w:rsidRDefault="00DF30FD" w:rsidP="00DF30FD">
      <w:r>
        <w:t>ESC considered the model showed that most utility gains and losses arose from early access to HSCT (</w:t>
      </w:r>
      <w:r w:rsidR="00393F98">
        <w:fldChar w:fldCharType="begin"/>
      </w:r>
      <w:r w:rsidR="00393F98">
        <w:instrText xml:space="preserve"> REF _Re</w:instrText>
      </w:r>
      <w:r w:rsidR="00393F98">
        <w:instrText xml:space="preserve">f138069497 </w:instrText>
      </w:r>
      <w:r w:rsidR="00393F98">
        <w:fldChar w:fldCharType="separate"/>
      </w:r>
      <w:r w:rsidR="00253978">
        <w:t xml:space="preserve">Table </w:t>
      </w:r>
      <w:r w:rsidR="00253978">
        <w:rPr>
          <w:noProof/>
        </w:rPr>
        <w:t>20</w:t>
      </w:r>
      <w:r w:rsidR="00393F98">
        <w:rPr>
          <w:noProof/>
        </w:rPr>
        <w:fldChar w:fldCharType="end"/>
      </w:r>
      <w:r>
        <w:t>). ESC considered that with NBS, a smaller proportion of people were in the asymptomatic state because of early HSCT. ESC considered the utility gains arose mainly from higher post-HSCT quality of life (QoL) and fewer deaths. Given the rare condition, ESC considered that while the results showed higher utility post-HSCT, this was for a small number of overall patients.</w:t>
      </w:r>
    </w:p>
    <w:p w14:paraId="3DCA7CF0" w14:textId="4F30BDAE" w:rsidR="00DF30FD" w:rsidRDefault="00DF30FD" w:rsidP="00DF30FD">
      <w:pPr>
        <w:pStyle w:val="TableHeading0"/>
      </w:pPr>
      <w:bookmarkStart w:id="77" w:name="_Ref138069497"/>
      <w:r>
        <w:t xml:space="preserve">Table </w:t>
      </w:r>
      <w:r>
        <w:fldChar w:fldCharType="begin"/>
      </w:r>
      <w:r>
        <w:instrText>SEQ Table \* ARABIC</w:instrText>
      </w:r>
      <w:r>
        <w:fldChar w:fldCharType="separate"/>
      </w:r>
      <w:r w:rsidR="00253978">
        <w:rPr>
          <w:noProof/>
        </w:rPr>
        <w:t>20</w:t>
      </w:r>
      <w:r>
        <w:fldChar w:fldCharType="end"/>
      </w:r>
      <w:bookmarkEnd w:id="77"/>
      <w:r>
        <w:t xml:space="preserve"> Incremental utility across health states in the economic model (PICO set 1)</w:t>
      </w:r>
    </w:p>
    <w:tbl>
      <w:tblPr>
        <w:tblStyle w:val="TableGrid1"/>
        <w:tblW w:w="4950" w:type="pct"/>
        <w:tblLook w:val="04A0" w:firstRow="1" w:lastRow="0" w:firstColumn="1" w:lastColumn="0" w:noHBand="0" w:noVBand="1"/>
      </w:tblPr>
      <w:tblGrid>
        <w:gridCol w:w="2263"/>
        <w:gridCol w:w="1755"/>
        <w:gridCol w:w="1755"/>
        <w:gridCol w:w="3153"/>
      </w:tblGrid>
      <w:tr w:rsidR="00DF30FD" w:rsidRPr="00CE28E3" w14:paraId="4BF429EF" w14:textId="77777777">
        <w:trPr>
          <w:cnfStyle w:val="100000000000" w:firstRow="1" w:lastRow="0" w:firstColumn="0" w:lastColumn="0" w:oddVBand="0" w:evenVBand="0" w:oddHBand="0" w:evenHBand="0" w:firstRowFirstColumn="0" w:firstRowLastColumn="0" w:lastRowFirstColumn="0" w:lastRowLastColumn="0"/>
          <w:tblHeader/>
        </w:trPr>
        <w:tc>
          <w:tcPr>
            <w:tcW w:w="1268" w:type="pct"/>
            <w:vMerge w:val="restart"/>
            <w:tcBorders>
              <w:top w:val="single" w:sz="4" w:space="0" w:color="auto"/>
              <w:left w:val="single" w:sz="4" w:space="0" w:color="auto"/>
              <w:right w:val="single" w:sz="4" w:space="0" w:color="auto"/>
            </w:tcBorders>
            <w:vAlign w:val="center"/>
          </w:tcPr>
          <w:p w14:paraId="1C27C74D" w14:textId="77777777" w:rsidR="00DF30FD" w:rsidRDefault="00DF30FD">
            <w:pPr>
              <w:pStyle w:val="TableText"/>
              <w:keepNext/>
              <w:rPr>
                <w:b/>
              </w:rPr>
            </w:pPr>
            <w:r>
              <w:rPr>
                <w:b/>
              </w:rPr>
              <w:t>Health state</w:t>
            </w:r>
          </w:p>
        </w:tc>
        <w:tc>
          <w:tcPr>
            <w:tcW w:w="1966" w:type="pct"/>
            <w:gridSpan w:val="2"/>
            <w:tcBorders>
              <w:top w:val="single" w:sz="4" w:space="0" w:color="auto"/>
              <w:left w:val="single" w:sz="4" w:space="0" w:color="auto"/>
              <w:bottom w:val="single" w:sz="4" w:space="0" w:color="auto"/>
              <w:right w:val="single" w:sz="4" w:space="0" w:color="auto"/>
            </w:tcBorders>
            <w:vAlign w:val="center"/>
          </w:tcPr>
          <w:p w14:paraId="3D158CB8" w14:textId="77777777" w:rsidR="00DF30FD" w:rsidRDefault="00DF30FD">
            <w:pPr>
              <w:pStyle w:val="TableText"/>
              <w:keepNext/>
              <w:jc w:val="center"/>
              <w:rPr>
                <w:b/>
              </w:rPr>
            </w:pPr>
            <w:r>
              <w:rPr>
                <w:b/>
              </w:rPr>
              <w:t>Utility of health state</w:t>
            </w:r>
          </w:p>
        </w:tc>
        <w:tc>
          <w:tcPr>
            <w:tcW w:w="1766" w:type="pct"/>
            <w:vMerge w:val="restart"/>
            <w:tcBorders>
              <w:top w:val="single" w:sz="4" w:space="0" w:color="auto"/>
              <w:left w:val="single" w:sz="4" w:space="0" w:color="auto"/>
              <w:right w:val="single" w:sz="4" w:space="0" w:color="auto"/>
            </w:tcBorders>
            <w:vAlign w:val="center"/>
          </w:tcPr>
          <w:p w14:paraId="7EC44E13" w14:textId="77777777" w:rsidR="00DF30FD" w:rsidRDefault="00DF30FD">
            <w:pPr>
              <w:pStyle w:val="TableText"/>
              <w:keepNext/>
              <w:jc w:val="center"/>
              <w:rPr>
                <w:b/>
              </w:rPr>
            </w:pPr>
            <w:r>
              <w:rPr>
                <w:b/>
              </w:rPr>
              <w:t>Average incremental utility change with screening (Strategy II)</w:t>
            </w:r>
          </w:p>
        </w:tc>
      </w:tr>
      <w:tr w:rsidR="00DF30FD" w:rsidRPr="00CE28E3" w14:paraId="469BDEFA" w14:textId="77777777">
        <w:trPr>
          <w:cnfStyle w:val="100000000000" w:firstRow="1" w:lastRow="0" w:firstColumn="0" w:lastColumn="0" w:oddVBand="0" w:evenVBand="0" w:oddHBand="0" w:evenHBand="0" w:firstRowFirstColumn="0" w:firstRowLastColumn="0" w:lastRowFirstColumn="0" w:lastRowLastColumn="0"/>
          <w:tblHeader/>
        </w:trPr>
        <w:tc>
          <w:tcPr>
            <w:tcW w:w="1268" w:type="pct"/>
            <w:vMerge/>
            <w:tcBorders>
              <w:left w:val="single" w:sz="4" w:space="0" w:color="auto"/>
              <w:bottom w:val="single" w:sz="4" w:space="0" w:color="auto"/>
              <w:right w:val="single" w:sz="4" w:space="0" w:color="auto"/>
            </w:tcBorders>
            <w:vAlign w:val="center"/>
          </w:tcPr>
          <w:p w14:paraId="70F9998D" w14:textId="77777777" w:rsidR="00DF30FD" w:rsidRPr="00CE28E3" w:rsidRDefault="00DF30FD">
            <w:pPr>
              <w:pStyle w:val="TableText"/>
              <w:keepNext/>
              <w:rPr>
                <w:b/>
              </w:rPr>
            </w:pPr>
          </w:p>
        </w:tc>
        <w:tc>
          <w:tcPr>
            <w:tcW w:w="983" w:type="pct"/>
            <w:tcBorders>
              <w:top w:val="single" w:sz="4" w:space="0" w:color="auto"/>
              <w:left w:val="single" w:sz="4" w:space="0" w:color="auto"/>
              <w:bottom w:val="single" w:sz="4" w:space="0" w:color="auto"/>
              <w:right w:val="single" w:sz="4" w:space="0" w:color="auto"/>
            </w:tcBorders>
            <w:vAlign w:val="center"/>
          </w:tcPr>
          <w:p w14:paraId="3284AD5C" w14:textId="77777777" w:rsidR="00DF30FD" w:rsidRPr="00CE28E3" w:rsidRDefault="00DF30FD">
            <w:pPr>
              <w:pStyle w:val="TableText"/>
              <w:keepNext/>
              <w:jc w:val="center"/>
              <w:rPr>
                <w:b/>
              </w:rPr>
            </w:pPr>
            <w:r>
              <w:rPr>
                <w:b/>
              </w:rPr>
              <w:t>Comparator</w:t>
            </w:r>
          </w:p>
        </w:tc>
        <w:tc>
          <w:tcPr>
            <w:tcW w:w="983" w:type="pct"/>
            <w:tcBorders>
              <w:top w:val="single" w:sz="4" w:space="0" w:color="auto"/>
              <w:left w:val="single" w:sz="4" w:space="0" w:color="auto"/>
              <w:bottom w:val="single" w:sz="4" w:space="0" w:color="auto"/>
              <w:right w:val="single" w:sz="4" w:space="0" w:color="auto"/>
            </w:tcBorders>
            <w:vAlign w:val="center"/>
          </w:tcPr>
          <w:p w14:paraId="26FB7512" w14:textId="77777777" w:rsidR="00DF30FD" w:rsidRPr="00CE28E3" w:rsidRDefault="00DF30FD">
            <w:pPr>
              <w:pStyle w:val="TableText"/>
              <w:keepNext/>
              <w:jc w:val="center"/>
              <w:rPr>
                <w:b/>
              </w:rPr>
            </w:pPr>
            <w:r>
              <w:rPr>
                <w:b/>
              </w:rPr>
              <w:t>With screening</w:t>
            </w:r>
          </w:p>
        </w:tc>
        <w:tc>
          <w:tcPr>
            <w:tcW w:w="1766" w:type="pct"/>
            <w:vMerge/>
            <w:tcBorders>
              <w:left w:val="single" w:sz="4" w:space="0" w:color="auto"/>
              <w:bottom w:val="single" w:sz="4" w:space="0" w:color="auto"/>
              <w:right w:val="single" w:sz="4" w:space="0" w:color="auto"/>
            </w:tcBorders>
            <w:vAlign w:val="center"/>
          </w:tcPr>
          <w:p w14:paraId="17C6F46E" w14:textId="77777777" w:rsidR="00DF30FD" w:rsidRPr="00CE28E3" w:rsidRDefault="00DF30FD">
            <w:pPr>
              <w:pStyle w:val="TableText"/>
              <w:keepNext/>
              <w:jc w:val="center"/>
              <w:rPr>
                <w:b/>
              </w:rPr>
            </w:pPr>
          </w:p>
        </w:tc>
      </w:tr>
      <w:tr w:rsidR="00DF30FD" w:rsidRPr="00CE28E3" w14:paraId="5E89335B" w14:textId="77777777">
        <w:tc>
          <w:tcPr>
            <w:tcW w:w="1268" w:type="pct"/>
            <w:tcBorders>
              <w:top w:val="single" w:sz="4" w:space="0" w:color="auto"/>
              <w:left w:val="single" w:sz="4" w:space="0" w:color="auto"/>
              <w:bottom w:val="single" w:sz="4" w:space="0" w:color="auto"/>
              <w:right w:val="single" w:sz="4" w:space="0" w:color="auto"/>
            </w:tcBorders>
          </w:tcPr>
          <w:p w14:paraId="64C5ED71" w14:textId="77777777" w:rsidR="00DF30FD" w:rsidRPr="0046464D" w:rsidRDefault="00DF30FD">
            <w:pPr>
              <w:pStyle w:val="TableText"/>
            </w:pPr>
            <w:r>
              <w:t>Asymptomatic</w:t>
            </w:r>
          </w:p>
        </w:tc>
        <w:tc>
          <w:tcPr>
            <w:tcW w:w="983" w:type="pct"/>
            <w:tcBorders>
              <w:top w:val="single" w:sz="4" w:space="0" w:color="auto"/>
              <w:left w:val="single" w:sz="4" w:space="0" w:color="auto"/>
              <w:bottom w:val="single" w:sz="4" w:space="0" w:color="auto"/>
              <w:right w:val="single" w:sz="4" w:space="0" w:color="auto"/>
            </w:tcBorders>
            <w:vAlign w:val="center"/>
          </w:tcPr>
          <w:p w14:paraId="1832F2FA" w14:textId="77777777" w:rsidR="00DF30FD" w:rsidRPr="00CE28E3" w:rsidRDefault="00DF30FD">
            <w:pPr>
              <w:pStyle w:val="TableText"/>
              <w:keepNext/>
              <w:jc w:val="center"/>
            </w:pPr>
            <w:r>
              <w:t>0.96</w:t>
            </w:r>
          </w:p>
        </w:tc>
        <w:tc>
          <w:tcPr>
            <w:tcW w:w="983" w:type="pct"/>
            <w:tcBorders>
              <w:top w:val="single" w:sz="4" w:space="0" w:color="auto"/>
              <w:left w:val="single" w:sz="4" w:space="0" w:color="auto"/>
              <w:bottom w:val="single" w:sz="4" w:space="0" w:color="auto"/>
              <w:right w:val="single" w:sz="4" w:space="0" w:color="auto"/>
            </w:tcBorders>
            <w:vAlign w:val="center"/>
          </w:tcPr>
          <w:p w14:paraId="75A01C03" w14:textId="77777777" w:rsidR="00DF30FD" w:rsidRPr="004A522F" w:rsidRDefault="00DF30FD">
            <w:pPr>
              <w:pStyle w:val="TableText"/>
              <w:keepNext/>
              <w:jc w:val="center"/>
              <w:rPr>
                <w:highlight w:val="red"/>
              </w:rPr>
            </w:pPr>
            <w:r w:rsidRPr="005523FB">
              <w:t>0.96</w:t>
            </w:r>
          </w:p>
        </w:tc>
        <w:tc>
          <w:tcPr>
            <w:tcW w:w="1766" w:type="pct"/>
            <w:tcBorders>
              <w:top w:val="single" w:sz="4" w:space="0" w:color="auto"/>
              <w:left w:val="single" w:sz="4" w:space="0" w:color="auto"/>
              <w:bottom w:val="single" w:sz="4" w:space="0" w:color="auto"/>
              <w:right w:val="single" w:sz="4" w:space="0" w:color="auto"/>
            </w:tcBorders>
            <w:vAlign w:val="center"/>
          </w:tcPr>
          <w:p w14:paraId="1A5F8BF7" w14:textId="77777777" w:rsidR="00DF30FD" w:rsidRPr="00CE28E3" w:rsidRDefault="00DF30FD">
            <w:pPr>
              <w:pStyle w:val="TableText"/>
              <w:keepNext/>
              <w:jc w:val="center"/>
            </w:pPr>
            <w:r>
              <w:t>-0.002</w:t>
            </w:r>
          </w:p>
        </w:tc>
      </w:tr>
      <w:tr w:rsidR="00DF30FD" w:rsidRPr="00CE28E3" w14:paraId="340FE15E" w14:textId="77777777">
        <w:tc>
          <w:tcPr>
            <w:tcW w:w="1268" w:type="pct"/>
            <w:tcBorders>
              <w:top w:val="single" w:sz="4" w:space="0" w:color="auto"/>
              <w:left w:val="single" w:sz="4" w:space="0" w:color="auto"/>
              <w:bottom w:val="single" w:sz="4" w:space="0" w:color="auto"/>
              <w:right w:val="single" w:sz="4" w:space="0" w:color="auto"/>
            </w:tcBorders>
          </w:tcPr>
          <w:p w14:paraId="508425D7" w14:textId="77777777" w:rsidR="00DF30FD" w:rsidRPr="0046464D" w:rsidRDefault="00DF30FD">
            <w:pPr>
              <w:pStyle w:val="TableText"/>
            </w:pPr>
            <w:r>
              <w:t>Symptomatic pre-HSCT</w:t>
            </w:r>
          </w:p>
        </w:tc>
        <w:tc>
          <w:tcPr>
            <w:tcW w:w="983" w:type="pct"/>
            <w:tcBorders>
              <w:top w:val="single" w:sz="4" w:space="0" w:color="auto"/>
              <w:left w:val="single" w:sz="4" w:space="0" w:color="auto"/>
              <w:bottom w:val="single" w:sz="4" w:space="0" w:color="auto"/>
              <w:right w:val="single" w:sz="4" w:space="0" w:color="auto"/>
            </w:tcBorders>
            <w:vAlign w:val="center"/>
          </w:tcPr>
          <w:p w14:paraId="78AC85A4" w14:textId="77777777" w:rsidR="00DF30FD" w:rsidRPr="00CE28E3" w:rsidRDefault="00DF30FD">
            <w:pPr>
              <w:pStyle w:val="TableText"/>
              <w:keepNext/>
              <w:jc w:val="center"/>
            </w:pPr>
            <w:r>
              <w:t>0.3145</w:t>
            </w:r>
          </w:p>
        </w:tc>
        <w:tc>
          <w:tcPr>
            <w:tcW w:w="983" w:type="pct"/>
            <w:tcBorders>
              <w:top w:val="single" w:sz="4" w:space="0" w:color="auto"/>
              <w:left w:val="single" w:sz="4" w:space="0" w:color="auto"/>
              <w:bottom w:val="single" w:sz="4" w:space="0" w:color="auto"/>
              <w:right w:val="single" w:sz="4" w:space="0" w:color="auto"/>
            </w:tcBorders>
            <w:vAlign w:val="center"/>
          </w:tcPr>
          <w:p w14:paraId="0D8FCAEF" w14:textId="77777777" w:rsidR="00DF30FD" w:rsidRDefault="00DF30FD">
            <w:pPr>
              <w:pStyle w:val="TableText"/>
              <w:keepNext/>
              <w:jc w:val="center"/>
            </w:pPr>
            <w:r>
              <w:t>0.3145</w:t>
            </w:r>
          </w:p>
        </w:tc>
        <w:tc>
          <w:tcPr>
            <w:tcW w:w="1766" w:type="pct"/>
            <w:tcBorders>
              <w:top w:val="single" w:sz="4" w:space="0" w:color="auto"/>
              <w:left w:val="single" w:sz="4" w:space="0" w:color="auto"/>
              <w:bottom w:val="single" w:sz="4" w:space="0" w:color="auto"/>
              <w:right w:val="single" w:sz="4" w:space="0" w:color="auto"/>
            </w:tcBorders>
            <w:vAlign w:val="center"/>
          </w:tcPr>
          <w:p w14:paraId="6068EB18" w14:textId="77777777" w:rsidR="00DF30FD" w:rsidRPr="00CE28E3" w:rsidRDefault="00DF30FD">
            <w:pPr>
              <w:pStyle w:val="TableText"/>
              <w:keepNext/>
              <w:jc w:val="center"/>
            </w:pPr>
            <w:r>
              <w:t>-0.017</w:t>
            </w:r>
          </w:p>
        </w:tc>
      </w:tr>
      <w:tr w:rsidR="00DF30FD" w:rsidRPr="00CE28E3" w14:paraId="1863FF86" w14:textId="77777777">
        <w:tc>
          <w:tcPr>
            <w:tcW w:w="1268" w:type="pct"/>
            <w:tcBorders>
              <w:top w:val="single" w:sz="4" w:space="0" w:color="auto"/>
              <w:left w:val="single" w:sz="4" w:space="0" w:color="auto"/>
              <w:bottom w:val="single" w:sz="4" w:space="0" w:color="auto"/>
              <w:right w:val="single" w:sz="4" w:space="0" w:color="auto"/>
            </w:tcBorders>
          </w:tcPr>
          <w:p w14:paraId="6045B155" w14:textId="77777777" w:rsidR="00DF30FD" w:rsidRPr="0046464D" w:rsidRDefault="00DF30FD">
            <w:pPr>
              <w:pStyle w:val="TableText"/>
            </w:pPr>
            <w:r>
              <w:t>HSCT (1 year)</w:t>
            </w:r>
          </w:p>
        </w:tc>
        <w:tc>
          <w:tcPr>
            <w:tcW w:w="983" w:type="pct"/>
            <w:tcBorders>
              <w:top w:val="single" w:sz="4" w:space="0" w:color="auto"/>
              <w:left w:val="single" w:sz="4" w:space="0" w:color="auto"/>
              <w:bottom w:val="single" w:sz="4" w:space="0" w:color="auto"/>
              <w:right w:val="single" w:sz="4" w:space="0" w:color="auto"/>
            </w:tcBorders>
            <w:vAlign w:val="center"/>
          </w:tcPr>
          <w:p w14:paraId="6CB0F014" w14:textId="77777777" w:rsidR="00DF30FD" w:rsidRPr="00CE28E3" w:rsidRDefault="00DF30FD">
            <w:pPr>
              <w:pStyle w:val="TableText"/>
              <w:keepNext/>
              <w:jc w:val="center"/>
            </w:pPr>
            <w:r>
              <w:t>0.1645</w:t>
            </w:r>
          </w:p>
        </w:tc>
        <w:tc>
          <w:tcPr>
            <w:tcW w:w="983" w:type="pct"/>
            <w:tcBorders>
              <w:top w:val="single" w:sz="4" w:space="0" w:color="auto"/>
              <w:left w:val="single" w:sz="4" w:space="0" w:color="auto"/>
              <w:bottom w:val="single" w:sz="4" w:space="0" w:color="auto"/>
              <w:right w:val="single" w:sz="4" w:space="0" w:color="auto"/>
            </w:tcBorders>
            <w:vAlign w:val="center"/>
          </w:tcPr>
          <w:p w14:paraId="5AF7262D" w14:textId="77777777" w:rsidR="00DF30FD" w:rsidRDefault="00DF30FD">
            <w:pPr>
              <w:pStyle w:val="TableText"/>
              <w:keepNext/>
              <w:jc w:val="center"/>
            </w:pPr>
            <w:r>
              <w:t>0.1645</w:t>
            </w:r>
          </w:p>
        </w:tc>
        <w:tc>
          <w:tcPr>
            <w:tcW w:w="1766" w:type="pct"/>
            <w:tcBorders>
              <w:top w:val="single" w:sz="4" w:space="0" w:color="auto"/>
              <w:left w:val="single" w:sz="4" w:space="0" w:color="auto"/>
              <w:bottom w:val="single" w:sz="4" w:space="0" w:color="auto"/>
              <w:right w:val="single" w:sz="4" w:space="0" w:color="auto"/>
            </w:tcBorders>
            <w:vAlign w:val="center"/>
          </w:tcPr>
          <w:p w14:paraId="56807060" w14:textId="77777777" w:rsidR="00DF30FD" w:rsidRPr="00CE28E3" w:rsidRDefault="00DF30FD">
            <w:pPr>
              <w:pStyle w:val="TableText"/>
              <w:keepNext/>
              <w:jc w:val="center"/>
            </w:pPr>
            <w:r>
              <w:t>0.001</w:t>
            </w:r>
          </w:p>
        </w:tc>
      </w:tr>
      <w:tr w:rsidR="00DF30FD" w:rsidRPr="00CE28E3" w14:paraId="2B5A17F1" w14:textId="77777777">
        <w:tc>
          <w:tcPr>
            <w:tcW w:w="1268" w:type="pct"/>
            <w:tcBorders>
              <w:top w:val="single" w:sz="4" w:space="0" w:color="auto"/>
              <w:left w:val="single" w:sz="4" w:space="0" w:color="auto"/>
              <w:bottom w:val="single" w:sz="4" w:space="0" w:color="auto"/>
              <w:right w:val="single" w:sz="4" w:space="0" w:color="auto"/>
            </w:tcBorders>
          </w:tcPr>
          <w:p w14:paraId="4F4E79B1" w14:textId="77777777" w:rsidR="00DF30FD" w:rsidRPr="0046464D" w:rsidRDefault="00DF30FD">
            <w:pPr>
              <w:pStyle w:val="TableText"/>
            </w:pPr>
            <w:r>
              <w:t>Symptomatic post-HSCT</w:t>
            </w:r>
          </w:p>
        </w:tc>
        <w:tc>
          <w:tcPr>
            <w:tcW w:w="983" w:type="pct"/>
            <w:tcBorders>
              <w:top w:val="single" w:sz="4" w:space="0" w:color="auto"/>
              <w:left w:val="single" w:sz="4" w:space="0" w:color="auto"/>
              <w:bottom w:val="single" w:sz="4" w:space="0" w:color="auto"/>
              <w:right w:val="single" w:sz="4" w:space="0" w:color="auto"/>
            </w:tcBorders>
            <w:vAlign w:val="center"/>
          </w:tcPr>
          <w:p w14:paraId="109F561E" w14:textId="77777777" w:rsidR="00DF30FD" w:rsidRPr="00CE28E3" w:rsidRDefault="00DF30FD">
            <w:pPr>
              <w:pStyle w:val="TableText"/>
              <w:keepNext/>
              <w:jc w:val="center"/>
            </w:pPr>
            <w:r>
              <w:t>0.5985</w:t>
            </w:r>
          </w:p>
        </w:tc>
        <w:tc>
          <w:tcPr>
            <w:tcW w:w="983" w:type="pct"/>
            <w:tcBorders>
              <w:top w:val="single" w:sz="4" w:space="0" w:color="auto"/>
              <w:left w:val="single" w:sz="4" w:space="0" w:color="auto"/>
              <w:bottom w:val="single" w:sz="4" w:space="0" w:color="auto"/>
              <w:right w:val="single" w:sz="4" w:space="0" w:color="auto"/>
            </w:tcBorders>
            <w:vAlign w:val="center"/>
          </w:tcPr>
          <w:p w14:paraId="4BB77611" w14:textId="77777777" w:rsidR="00DF30FD" w:rsidRDefault="00DF30FD">
            <w:pPr>
              <w:pStyle w:val="TableText"/>
              <w:keepNext/>
              <w:jc w:val="center"/>
            </w:pPr>
            <w:r>
              <w:t>0.62755</w:t>
            </w:r>
          </w:p>
        </w:tc>
        <w:tc>
          <w:tcPr>
            <w:tcW w:w="1766" w:type="pct"/>
            <w:tcBorders>
              <w:top w:val="single" w:sz="4" w:space="0" w:color="auto"/>
              <w:left w:val="single" w:sz="4" w:space="0" w:color="auto"/>
              <w:bottom w:val="single" w:sz="4" w:space="0" w:color="auto"/>
              <w:right w:val="single" w:sz="4" w:space="0" w:color="auto"/>
            </w:tcBorders>
            <w:vAlign w:val="center"/>
          </w:tcPr>
          <w:p w14:paraId="58395AB8" w14:textId="77777777" w:rsidR="00DF30FD" w:rsidRPr="00CE28E3" w:rsidRDefault="00DF30FD">
            <w:pPr>
              <w:pStyle w:val="TableText"/>
              <w:keepNext/>
              <w:jc w:val="center"/>
            </w:pPr>
            <w:r>
              <w:t>0.056</w:t>
            </w:r>
          </w:p>
        </w:tc>
      </w:tr>
      <w:tr w:rsidR="00DF30FD" w:rsidRPr="00CE28E3" w14:paraId="04571B42" w14:textId="77777777">
        <w:tc>
          <w:tcPr>
            <w:tcW w:w="1268" w:type="pct"/>
            <w:tcBorders>
              <w:top w:val="single" w:sz="4" w:space="0" w:color="auto"/>
              <w:left w:val="single" w:sz="4" w:space="0" w:color="auto"/>
              <w:bottom w:val="single" w:sz="4" w:space="0" w:color="auto"/>
              <w:right w:val="single" w:sz="4" w:space="0" w:color="auto"/>
            </w:tcBorders>
          </w:tcPr>
          <w:p w14:paraId="3A553CE3" w14:textId="77777777" w:rsidR="00DF30FD" w:rsidRPr="0046464D" w:rsidRDefault="00DF30FD">
            <w:pPr>
              <w:pStyle w:val="TableText"/>
            </w:pPr>
            <w:r>
              <w:t>Death</w:t>
            </w:r>
          </w:p>
        </w:tc>
        <w:tc>
          <w:tcPr>
            <w:tcW w:w="983" w:type="pct"/>
            <w:tcBorders>
              <w:top w:val="single" w:sz="4" w:space="0" w:color="auto"/>
              <w:left w:val="single" w:sz="4" w:space="0" w:color="auto"/>
              <w:bottom w:val="single" w:sz="4" w:space="0" w:color="auto"/>
              <w:right w:val="single" w:sz="4" w:space="0" w:color="auto"/>
            </w:tcBorders>
            <w:vAlign w:val="center"/>
          </w:tcPr>
          <w:p w14:paraId="730D9D1D" w14:textId="77777777" w:rsidR="00DF30FD" w:rsidRPr="00CE28E3" w:rsidRDefault="00DF30FD">
            <w:pPr>
              <w:pStyle w:val="TableText"/>
              <w:keepNext/>
              <w:jc w:val="center"/>
            </w:pPr>
            <w:r>
              <w:t>0</w:t>
            </w:r>
          </w:p>
        </w:tc>
        <w:tc>
          <w:tcPr>
            <w:tcW w:w="983" w:type="pct"/>
            <w:tcBorders>
              <w:top w:val="single" w:sz="4" w:space="0" w:color="auto"/>
              <w:left w:val="single" w:sz="4" w:space="0" w:color="auto"/>
              <w:bottom w:val="single" w:sz="4" w:space="0" w:color="auto"/>
              <w:right w:val="single" w:sz="4" w:space="0" w:color="auto"/>
            </w:tcBorders>
            <w:vAlign w:val="center"/>
          </w:tcPr>
          <w:p w14:paraId="6C515AC4" w14:textId="77777777" w:rsidR="00DF30FD" w:rsidRDefault="00DF30FD">
            <w:pPr>
              <w:pStyle w:val="TableText"/>
              <w:keepNext/>
              <w:jc w:val="center"/>
            </w:pPr>
            <w:r>
              <w:t>0</w:t>
            </w:r>
          </w:p>
        </w:tc>
        <w:tc>
          <w:tcPr>
            <w:tcW w:w="1766" w:type="pct"/>
            <w:tcBorders>
              <w:top w:val="single" w:sz="4" w:space="0" w:color="auto"/>
              <w:left w:val="single" w:sz="4" w:space="0" w:color="auto"/>
              <w:bottom w:val="single" w:sz="4" w:space="0" w:color="auto"/>
              <w:right w:val="single" w:sz="4" w:space="0" w:color="auto"/>
            </w:tcBorders>
            <w:vAlign w:val="center"/>
          </w:tcPr>
          <w:p w14:paraId="08140D83" w14:textId="77777777" w:rsidR="00DF30FD" w:rsidRPr="00CE28E3" w:rsidRDefault="00DF30FD">
            <w:pPr>
              <w:pStyle w:val="TableText"/>
              <w:keepNext/>
              <w:jc w:val="center"/>
            </w:pPr>
            <w:r>
              <w:t>-0.038</w:t>
            </w:r>
          </w:p>
        </w:tc>
      </w:tr>
    </w:tbl>
    <w:p w14:paraId="1CBD5D17" w14:textId="77777777" w:rsidR="00DF30FD" w:rsidRDefault="00DF30FD" w:rsidP="00DF30FD">
      <w:pPr>
        <w:pStyle w:val="Tablenotes0"/>
        <w:spacing w:before="0"/>
        <w:jc w:val="left"/>
      </w:pPr>
      <w:r>
        <w:t xml:space="preserve">HSCT = haematopoietic stem cell transplant. </w:t>
      </w:r>
      <w:r>
        <w:br/>
        <w:t>Source: ESC.</w:t>
      </w:r>
    </w:p>
    <w:p w14:paraId="27A8F1FB" w14:textId="77777777" w:rsidR="00DF30FD" w:rsidRDefault="00DF30FD" w:rsidP="00DF30FD">
      <w:r>
        <w:t xml:space="preserve">ESC noted the limited data from Australia and overseas on disease prevalence and change in management as a result of an X-ALD diagnosis through NBS. ESC noted the applicant’s pre-ESC response queried the use of 11.05 per 100,000 live births as the prevalence of X-ALD, and agreed the prevalence was uncertain (because the estimates ranged from 4.24 to 16.22 per 100,000, and there were no Australian estimates) but considered the uncertainty had been explored through sensitivity analyses of alternative estimates. </w:t>
      </w:r>
    </w:p>
    <w:p w14:paraId="1757ED9F" w14:textId="77777777" w:rsidR="00DF30FD" w:rsidRDefault="00DF30FD" w:rsidP="00DF30FD">
      <w:r w:rsidRPr="00296A5D">
        <w:t xml:space="preserve">ESC confirmed that the key assumptions in the model were appropriate, but suggested adding that a change in management </w:t>
      </w:r>
      <w:r>
        <w:t>wa</w:t>
      </w:r>
      <w:r w:rsidRPr="00296A5D">
        <w:t>s assumed (that is, the percentage of patients diagnosed with CA</w:t>
      </w:r>
      <w:r w:rsidRPr="00285104">
        <w:t>LD who would meet the criteria for HSCT increase</w:t>
      </w:r>
      <w:r>
        <w:t>d</w:t>
      </w:r>
      <w:r w:rsidRPr="00285104">
        <w:t xml:space="preserve"> from 50% to 85%), and that utility values associated with HSCT (before, during and after) should also be added</w:t>
      </w:r>
      <w:r>
        <w:t xml:space="preserve"> to the list of assumptions</w:t>
      </w:r>
      <w:r w:rsidRPr="00285104">
        <w:t>.</w:t>
      </w:r>
      <w:r>
        <w:t xml:space="preserve"> ESC noted the incremental cost-effectiveness ratios (ICERs) in step 1 of the economic evaluation (cost per positive diagnosis) for each strategy were largely driven by the sensitivity, specificity, and cost of each tier of screening, and there was very little variation in the number of individuals receiving a positive diagnosis across the strategies. ESC noted the cost-effectiveness of including X-counter testing in each strategy was determined by the preceding test(s). ESC noted that step 2 of the economic evaluation considered quality-adjusted life years (QALYs) and costs of earlier diagnosis, adding costs associated with neuroimaging surveillance, AI monitoring, and early HSCT, and the QoL associated with early HSCT (from 50% to 85%). ESC noted that the order of testing had an impact on overall cost-effectiveness, when an X-counter was used. ESC considered strategies I and IV were the most cost-effective strategies, with ICERs of $8,315 (I) </w:t>
      </w:r>
      <w:r>
        <w:lastRenderedPageBreak/>
        <w:t>and $8,077 (IV) per QALY respectively if an X-counter was not used, If an X-counter was used, the ICER was $33,322 (Ia) per QALY and $30,631 (IVa) per QALY if the X-counter was undertaken as a second test (before HPLC and ABCD1) or $7,676 (IVb) per QALY if the X-counter was undertaken as a third test (after HPLC and before ABCD1). The improved cost effectiveness in scenario IVb (compared with IVa) was due to less patients having to undergo expensive genetic testing (i.e they ended up in the correct treatment pathway earlier). ESC noted that economic analyses of NBS for other conditions in Australia had not been considered by MSAC.</w:t>
      </w:r>
    </w:p>
    <w:p w14:paraId="2343B286" w14:textId="77777777" w:rsidR="00DF30FD" w:rsidRDefault="00DF30FD" w:rsidP="00DF30FD">
      <w:r>
        <w:t>ESC noted that the DCAR reported negative ICERs (northwest quadrant) for strategy III in step 2 – in this case implying this strategy was less effective (i.e. lower QALYs and higher costs when compared to no NBS). The DCAR attributed the reported negative ICER as being due to chance caused by slightly different death rates during and after HSCT, however ESC was unable to verify any difference in the death rates (or proportions in post HSCT) between strategies II and III.  However, the uncertainty in cost-effectiveness of strategy III may hold less weight if MSAC considers strategies I and IV are preferred for clinical and applicability reasons.</w:t>
      </w:r>
    </w:p>
    <w:p w14:paraId="77247646" w14:textId="77777777" w:rsidR="00DF30FD" w:rsidRDefault="00DF30FD" w:rsidP="00DF30FD">
      <w:r>
        <w:t xml:space="preserve">Further, ESC was unable to verify superiority in any screening scenario (I to IV) based on a validity check on 1000 trials (rather, ESC’s validation showed that overall QoL was marginally lower when compared to no NBS, across all screening scenarios I to IV). </w:t>
      </w:r>
      <w:r w:rsidRPr="008A0D03">
        <w:t>ESC considered that it was more likely due to the small numbers in microsimulation draws because X-ALD is a rare disease. A post-ESC analyses by the HTA group confirmed that the negative ICERs in strategies III and IIIa were more due to chance and the rarity of the condition</w:t>
      </w:r>
      <w:r w:rsidRPr="00343D6E">
        <w:t>.</w:t>
      </w:r>
      <w:r>
        <w:t xml:space="preserve"> Overall ESC considered that the reported ICERs should be interpreted with caution. </w:t>
      </w:r>
      <w:r w:rsidRPr="00467DE9">
        <w:t xml:space="preserve">MSAC may wish to consider that the uncertainty in the ICER be considered in the context of evidence generation challenges associated with rare diseases.   </w:t>
      </w:r>
    </w:p>
    <w:p w14:paraId="4CDA5317" w14:textId="77777777" w:rsidR="00DF30FD" w:rsidRPr="00296A5D" w:rsidRDefault="00DF30FD" w:rsidP="00DF30FD">
      <w:r>
        <w:t>ESC noted the economic model for cascade testing was a decision tree analysis, with effectiveness expressed in terms of cost per positive diagnosis. ESC noted the cost-effectiveness of cascade testing was $8,789 per positive diagnosis without an X-counter, or $6,689 per positive diagnosis with an X-counter. ESC noted the cost-effectiveness of cascade testing was most sensitive to uptake rate, and the unit cost and frequency of genetic counselling. ESC noted limited data were available to inform the economic model for cascade testing, and considered the results for this model were highly uncertain.</w:t>
      </w:r>
    </w:p>
    <w:p w14:paraId="6EB27657" w14:textId="77777777" w:rsidR="00DF30FD" w:rsidRDefault="00DF30FD" w:rsidP="00DF30FD">
      <w:r>
        <w:t>ESC noted an epidemiological approach had been used to estimate utilisation based on the number of live births in 2021 with an annual growth rate of 0.31%, and considered this was slightly higher than the estimate used in the assessment report for NBS of sickle cell disease and beta thalassaemia (MSAC application 1737), but that it was nonetheless reasonable. ESC noted uptake of NBS was estimated to be ≥98% in line with current trends, which it considered was reasonable because NBS is an established and well accepted program in Australia.</w:t>
      </w:r>
    </w:p>
    <w:p w14:paraId="4F72D167" w14:textId="74C886FA" w:rsidR="00DF30FD" w:rsidRDefault="00DF30FD" w:rsidP="00DF30FD">
      <w:r>
        <w:t>ESC noted the financial impact to NBS programs of NBS for X-ALD using ESC’s preferred strategy IV was $1.9 million per year if an X-counter was not included, and if an X-counter was included $1.9 million (if 3</w:t>
      </w:r>
      <w:r w:rsidRPr="00010D4D">
        <w:rPr>
          <w:vertAlign w:val="superscript"/>
        </w:rPr>
        <w:t>rd</w:t>
      </w:r>
      <w:r>
        <w:t xml:space="preserve"> tier) or $3.1 million per year (if 2</w:t>
      </w:r>
      <w:r w:rsidRPr="00010D4D">
        <w:rPr>
          <w:vertAlign w:val="superscript"/>
        </w:rPr>
        <w:t>nd</w:t>
      </w:r>
      <w:r>
        <w:t xml:space="preserve"> tier) (</w:t>
      </w:r>
      <w:r>
        <w:fldChar w:fldCharType="begin"/>
      </w:r>
      <w:r>
        <w:instrText xml:space="preserve"> REF _Ref132820213 \h </w:instrText>
      </w:r>
      <w:r>
        <w:fldChar w:fldCharType="separate"/>
      </w:r>
      <w:r w:rsidR="00253978">
        <w:t xml:space="preserve">Table </w:t>
      </w:r>
      <w:r w:rsidR="00253978">
        <w:rPr>
          <w:noProof/>
        </w:rPr>
        <w:t>17</w:t>
      </w:r>
      <w:r>
        <w:fldChar w:fldCharType="end"/>
      </w:r>
      <w:r>
        <w:t>). ESC noted the DCAR included extensive sensitivity analyses, and considered the financial estimates were highly uncertain because of the uncertainty of the prevalence of X-ALD, cost and PPV of the tests, and the proportion of newborns for whom HSCT would be feasible. For costs to funding sources other than the NBS programs, ESC noted that the costs of monitoring and treatments for newborns identified as being at risk of X-ALD by NBS would be borne by the states and territories, MBS and PBS (</w:t>
      </w:r>
      <w:r>
        <w:fldChar w:fldCharType="begin"/>
      </w:r>
      <w:r>
        <w:instrText xml:space="preserve"> REF _Ref132820213 \h </w:instrText>
      </w:r>
      <w:r>
        <w:fldChar w:fldCharType="separate"/>
      </w:r>
      <w:r w:rsidR="00253978">
        <w:t xml:space="preserve">Table </w:t>
      </w:r>
      <w:r w:rsidR="00253978">
        <w:rPr>
          <w:noProof/>
        </w:rPr>
        <w:t>17</w:t>
      </w:r>
      <w:r>
        <w:fldChar w:fldCharType="end"/>
      </w:r>
      <w:r>
        <w:t>). ESC noted the annual cost to state and territory governments after the first year was comprised of monitoring and treatment costs of $520,000-$610,000 if an X-counter was not included or $470,000-$560,000 if an X-counter was included, and cascade testing costing $53,000 per year if an X-counter was not included or $22,000 if an X-counter was included.</w:t>
      </w:r>
    </w:p>
    <w:p w14:paraId="271DDC78" w14:textId="138E10BE" w:rsidR="009653B7" w:rsidRDefault="009653B7" w:rsidP="009653B7">
      <w:pPr>
        <w:pStyle w:val="Heading2"/>
        <w:numPr>
          <w:ilvl w:val="0"/>
          <w:numId w:val="0"/>
        </w:numPr>
      </w:pPr>
      <w:r>
        <w:lastRenderedPageBreak/>
        <w:t>17.</w:t>
      </w:r>
      <w:r>
        <w:tab/>
        <w:t>Applicant comments on MSAC’s Public Summary Document</w:t>
      </w:r>
    </w:p>
    <w:p w14:paraId="0E153EE8" w14:textId="77777777" w:rsidR="00FA71BB" w:rsidRDefault="00FA71BB" w:rsidP="00FA71BB">
      <w:r w:rsidRPr="00FA71BB">
        <w:t>We found MSAC’s advice to be excellent and could not find any reasons for change that we could support with data. The detail regarding women is not the current thinking but there are no papers supporting the fact that ALD plays a major part in woman’s life from a much earlier time than current data shows.</w:t>
      </w:r>
    </w:p>
    <w:p w14:paraId="69EFE8FE" w14:textId="6771A6B4" w:rsidR="009653B7" w:rsidRDefault="009653B7" w:rsidP="009653B7">
      <w:pPr>
        <w:pStyle w:val="Heading2"/>
        <w:numPr>
          <w:ilvl w:val="0"/>
          <w:numId w:val="0"/>
        </w:numPr>
      </w:pPr>
      <w:r>
        <w:t>18.</w:t>
      </w:r>
      <w:r>
        <w:tab/>
        <w:t>Further information on MSAC</w:t>
      </w:r>
    </w:p>
    <w:p w14:paraId="3917840F" w14:textId="2AB19302" w:rsidR="00DF30FD" w:rsidRPr="009653B7" w:rsidRDefault="009653B7" w:rsidP="009653B7">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20" w:tooltip="Link to the MSAC website" w:history="1">
        <w:r w:rsidRPr="00F309FA">
          <w:rPr>
            <w:rStyle w:val="Hyperlink"/>
            <w:rFonts w:ascii="Franklin Gothic Book" w:hAnsi="Franklin Gothic Book"/>
            <w:bCs/>
            <w:iCs/>
            <w:sz w:val="22"/>
          </w:rPr>
          <w:t>visit the MSAC website</w:t>
        </w:r>
      </w:hyperlink>
    </w:p>
    <w:sectPr w:rsidR="00DF30FD" w:rsidRPr="009653B7" w:rsidSect="00675E7F">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8F45" w14:textId="77777777" w:rsidR="001F2656" w:rsidRDefault="001F2656" w:rsidP="00B62DF2">
      <w:pPr>
        <w:spacing w:after="0" w:line="240" w:lineRule="auto"/>
      </w:pPr>
      <w:r>
        <w:separator/>
      </w:r>
    </w:p>
  </w:endnote>
  <w:endnote w:type="continuationSeparator" w:id="0">
    <w:p w14:paraId="37EA703E" w14:textId="77777777" w:rsidR="001F2656" w:rsidRDefault="001F2656" w:rsidP="00B62DF2">
      <w:pPr>
        <w:spacing w:after="0" w:line="240" w:lineRule="auto"/>
      </w:pPr>
      <w:r>
        <w:continuationSeparator/>
      </w:r>
    </w:p>
  </w:endnote>
  <w:endnote w:type="continuationNotice" w:id="1">
    <w:p w14:paraId="480EBC25" w14:textId="77777777" w:rsidR="001F2656" w:rsidRDefault="001F26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hnschrift Light Condensed">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599ADECC" w:rsidR="00AC1891" w:rsidRDefault="00AC1891">
    <w:pPr>
      <w:pStyle w:val="Footer"/>
    </w:pPr>
    <w:r>
      <w:fldChar w:fldCharType="begin"/>
    </w:r>
    <w:r>
      <w:instrText xml:space="preserve"> PAGE   \* MERGEFORMAT </w:instrText>
    </w:r>
    <w:r>
      <w:fldChar w:fldCharType="separate"/>
    </w:r>
    <w:r w:rsidR="00967549">
      <w:rPr>
        <w:noProof/>
      </w:rPr>
      <w:t>72</w:t>
    </w:r>
    <w:r>
      <w:rPr>
        <w:noProof/>
      </w:rPr>
      <w:fldChar w:fldCharType="end"/>
    </w:r>
    <w:r>
      <w:rPr>
        <w:noProof/>
      </w:rPr>
      <w:tab/>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75486E1F" w:rsidR="00AC1891" w:rsidRDefault="00AC1891" w:rsidP="00052DD3">
        <w:pPr>
          <w:pStyle w:val="Footer"/>
          <w:jc w:val="right"/>
        </w:pPr>
        <w:r>
          <w:fldChar w:fldCharType="begin"/>
        </w:r>
        <w:r>
          <w:instrText xml:space="preserve"> PAGE   \* MERGEFORMAT </w:instrText>
        </w:r>
        <w:r>
          <w:fldChar w:fldCharType="separate"/>
        </w:r>
        <w:r w:rsidR="00967549">
          <w:rPr>
            <w:noProof/>
          </w:rPr>
          <w:t>73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FC37" w14:textId="77777777" w:rsidR="00393F98" w:rsidRDefault="00393F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6AD0" w14:textId="4F3C47AF" w:rsidR="00E62C96" w:rsidRDefault="00E62C96">
    <w:pPr>
      <w:pStyle w:val="Footer"/>
    </w:pPr>
    <w:r>
      <w:fldChar w:fldCharType="begin"/>
    </w:r>
    <w:r>
      <w:instrText xml:space="preserve"> PAGE   \* MERGEFORMAT </w:instrText>
    </w:r>
    <w:r>
      <w:fldChar w:fldCharType="separate"/>
    </w:r>
    <w:r>
      <w:rPr>
        <w:noProof/>
      </w:rPr>
      <w:t>72</w:t>
    </w:r>
    <w:r>
      <w:rPr>
        <w:noProof/>
      </w:rPr>
      <w:fldChar w:fldCharType="end"/>
    </w:r>
    <w:r>
      <w:rPr>
        <w:noProof/>
      </w:rPr>
      <w:tab/>
    </w:r>
    <w:r>
      <w:rPr>
        <w:noProof/>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895897"/>
      <w:docPartObj>
        <w:docPartGallery w:val="Page Numbers (Bottom of Page)"/>
        <w:docPartUnique/>
      </w:docPartObj>
    </w:sdtPr>
    <w:sdtEndPr>
      <w:rPr>
        <w:noProof/>
      </w:rPr>
    </w:sdtEndPr>
    <w:sdtContent>
      <w:p w14:paraId="3B7992CC" w14:textId="5E90813D" w:rsidR="00E62C96" w:rsidRDefault="00E62C96" w:rsidP="00052DD3">
        <w:pPr>
          <w:pStyle w:val="Footer"/>
          <w:jc w:val="right"/>
        </w:pPr>
        <w:r>
          <w:fldChar w:fldCharType="begin"/>
        </w:r>
        <w:r>
          <w:instrText xml:space="preserve"> PAGE   \* MERGEFORMAT </w:instrText>
        </w:r>
        <w:r>
          <w:fldChar w:fldCharType="separate"/>
        </w:r>
        <w:r>
          <w:rPr>
            <w:noProof/>
          </w:rPr>
          <w:t>73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CE98" w14:textId="77777777" w:rsidR="00E62C96" w:rsidRDefault="00E62C96" w:rsidP="00DF5FA4">
    <w:pPr>
      <w:pStyle w:val="Footer"/>
      <w:jc w:val="right"/>
    </w:pPr>
    <w:r w:rsidRPr="00052DD3">
      <w:t xml:space="preserve">MSAC </w:t>
    </w:r>
    <w:r w:rsidRPr="009011B8">
      <w:t>assessment report 1710 – NBS for X-ALD</w:t>
    </w:r>
    <w:r>
      <w:t xml:space="preserve"> </w:t>
    </w:r>
    <w:r>
      <w:tab/>
    </w:r>
    <w:r>
      <w:tab/>
    </w:r>
    <w:r>
      <w:fldChar w:fldCharType="begin"/>
    </w:r>
    <w:r>
      <w:instrText xml:space="preserve"> PAGE   \* MERGEFORMAT </w:instrText>
    </w:r>
    <w:r>
      <w:fldChar w:fldCharType="separate"/>
    </w:r>
    <w:r>
      <w:t>69</w:t>
    </w:r>
    <w:r>
      <w:rPr>
        <w:noProof/>
      </w:rPr>
      <w:fldChar w:fldCharType="end"/>
    </w:r>
  </w:p>
  <w:p w14:paraId="4CE37988" w14:textId="77777777" w:rsidR="00E62C96" w:rsidRDefault="00E62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7F93" w14:textId="77777777" w:rsidR="001F2656" w:rsidRDefault="001F2656" w:rsidP="00B62DF2">
      <w:pPr>
        <w:spacing w:after="0" w:line="240" w:lineRule="auto"/>
      </w:pPr>
      <w:r>
        <w:separator/>
      </w:r>
    </w:p>
  </w:footnote>
  <w:footnote w:type="continuationSeparator" w:id="0">
    <w:p w14:paraId="69BC2385" w14:textId="77777777" w:rsidR="001F2656" w:rsidRDefault="001F2656" w:rsidP="00B62DF2">
      <w:pPr>
        <w:spacing w:after="0" w:line="240" w:lineRule="auto"/>
      </w:pPr>
      <w:r>
        <w:continuationSeparator/>
      </w:r>
    </w:p>
  </w:footnote>
  <w:footnote w:type="continuationNotice" w:id="1">
    <w:p w14:paraId="60FC90DB" w14:textId="77777777" w:rsidR="001F2656" w:rsidRDefault="001F2656">
      <w:pPr>
        <w:spacing w:before="0" w:after="0" w:line="240" w:lineRule="auto"/>
      </w:pPr>
    </w:p>
  </w:footnote>
  <w:footnote w:id="2">
    <w:p w14:paraId="286190B3" w14:textId="1CAE8B32" w:rsidR="00154CFE" w:rsidRDefault="00154CFE">
      <w:pPr>
        <w:pStyle w:val="FootnoteText"/>
      </w:pPr>
      <w:r>
        <w:rPr>
          <w:rStyle w:val="FootnoteReference"/>
        </w:rPr>
        <w:footnoteRef/>
      </w:r>
      <w:r>
        <w:t xml:space="preserve"> MSAC application 1737</w:t>
      </w:r>
      <w:r w:rsidR="003C3AA9">
        <w:t xml:space="preserve"> – </w:t>
      </w:r>
      <w:r w:rsidR="00DD2377" w:rsidRPr="00DD2377">
        <w:t>Newborn bloodspot screening for Sickle Cell Disease and Beta Thalassaemia</w:t>
      </w:r>
      <w:r>
        <w:t xml:space="preserve">. Available at: </w:t>
      </w:r>
      <w:hyperlink r:id="rId1" w:history="1">
        <w:r w:rsidRPr="00AC652D">
          <w:rPr>
            <w:rStyle w:val="Hyperlink"/>
          </w:rPr>
          <w:t>http://www.msac.gov.au/internet/msac/publishing.nsf/Content/1737-public</w:t>
        </w:r>
      </w:hyperlink>
      <w:r>
        <w:t xml:space="preserve"> </w:t>
      </w:r>
    </w:p>
  </w:footnote>
  <w:footnote w:id="3">
    <w:p w14:paraId="45AA2767" w14:textId="77777777" w:rsidR="003C3AA9" w:rsidRDefault="003C3AA9" w:rsidP="003C3AA9">
      <w:pPr>
        <w:pStyle w:val="FootnoteText"/>
        <w:spacing w:before="0"/>
      </w:pPr>
      <w:r>
        <w:rPr>
          <w:rStyle w:val="FootnoteReference"/>
        </w:rPr>
        <w:footnoteRef/>
      </w:r>
      <w:r>
        <w:t xml:space="preserve"> Newborn Bloodspot Screening National Policy Framework (NBS NPF), Department of Health, 2018. Available at: </w:t>
      </w:r>
      <w:hyperlink r:id="rId2" w:history="1">
        <w:r w:rsidRPr="0021129C">
          <w:rPr>
            <w:rStyle w:val="Hyperlink"/>
          </w:rPr>
          <w:t>https://www.health.gov.au/resources/publications/newborn-bloodspot-screening-national-policy-framework?language=en</w:t>
        </w:r>
      </w:hyperlink>
      <w:r>
        <w:t xml:space="preserve"> </w:t>
      </w:r>
    </w:p>
  </w:footnote>
  <w:footnote w:id="4">
    <w:p w14:paraId="7FCF5FC8" w14:textId="77777777" w:rsidR="00202958" w:rsidRPr="00914EC0" w:rsidRDefault="00202958" w:rsidP="00202958">
      <w:pPr>
        <w:pStyle w:val="FootnoteText"/>
        <w:spacing w:before="0"/>
        <w:rPr>
          <w:lang w:val="en-US"/>
        </w:rPr>
      </w:pPr>
      <w:r>
        <w:rPr>
          <w:rStyle w:val="FootnoteReference"/>
        </w:rPr>
        <w:footnoteRef/>
      </w:r>
      <w:r>
        <w:t xml:space="preserve"> </w:t>
      </w:r>
      <w:r>
        <w:rPr>
          <w:lang w:val="en-US"/>
        </w:rPr>
        <w:t>N</w:t>
      </w:r>
      <w:r w:rsidRPr="00687AF5">
        <w:rPr>
          <w:lang w:val="en-US"/>
        </w:rPr>
        <w:t xml:space="preserve">atarajan A, </w:t>
      </w:r>
      <w:r>
        <w:rPr>
          <w:lang w:val="en-US"/>
        </w:rPr>
        <w:t>et al</w:t>
      </w:r>
      <w:r w:rsidRPr="00687AF5">
        <w:rPr>
          <w:lang w:val="en-US"/>
        </w:rPr>
        <w:t xml:space="preserve">. 2019. Flow injection ionization-tandem mass spectrometry-based estimation of a panel of lysophosphatidylcholines in dried blood spots for screening of X-linked adrenoleukodystrophy. </w:t>
      </w:r>
      <w:r w:rsidRPr="00687AF5">
        <w:rPr>
          <w:i/>
          <w:lang w:val="en-US"/>
        </w:rPr>
        <w:t>Clin Chim Acta,</w:t>
      </w:r>
      <w:r w:rsidRPr="00687AF5">
        <w:rPr>
          <w:lang w:val="en-US"/>
        </w:rPr>
        <w:t xml:space="preserve"> 495</w:t>
      </w:r>
      <w:r w:rsidRPr="00687AF5">
        <w:rPr>
          <w:b/>
          <w:lang w:val="en-US"/>
        </w:rPr>
        <w:t>,</w:t>
      </w:r>
      <w:r w:rsidRPr="00687AF5">
        <w:rPr>
          <w:lang w:val="en-US"/>
        </w:rPr>
        <w:t xml:space="preserve"> 167-173.</w:t>
      </w:r>
    </w:p>
  </w:footnote>
  <w:footnote w:id="5">
    <w:p w14:paraId="4544D3CA" w14:textId="730C9C52" w:rsidR="004250E8" w:rsidRPr="00F80BCF" w:rsidRDefault="004250E8" w:rsidP="003B65AD">
      <w:pPr>
        <w:pStyle w:val="FootnoteText"/>
        <w:spacing w:before="0"/>
      </w:pPr>
      <w:r>
        <w:rPr>
          <w:rStyle w:val="FootnoteReference"/>
        </w:rPr>
        <w:footnoteRef/>
      </w:r>
      <w:r>
        <w:t xml:space="preserve"> </w:t>
      </w:r>
      <w:r w:rsidR="00F80BCF" w:rsidRPr="00F80BCF">
        <w:rPr>
          <w:lang w:val="en-US"/>
        </w:rPr>
        <w:t>M</w:t>
      </w:r>
      <w:r w:rsidR="00F80BCF">
        <w:rPr>
          <w:lang w:val="en-US"/>
        </w:rPr>
        <w:t>oser</w:t>
      </w:r>
      <w:r w:rsidR="00F80BCF" w:rsidRPr="00F80BCF">
        <w:rPr>
          <w:lang w:val="en-US"/>
        </w:rPr>
        <w:t xml:space="preserve"> AB, </w:t>
      </w:r>
      <w:r w:rsidR="00F80BCF">
        <w:rPr>
          <w:lang w:val="en-US"/>
        </w:rPr>
        <w:t>et al.</w:t>
      </w:r>
      <w:r w:rsidR="00F80BCF" w:rsidRPr="00F80BCF">
        <w:rPr>
          <w:lang w:val="en-US"/>
        </w:rPr>
        <w:t xml:space="preserve"> 2016. Newborn Screening for X-Linked Adrenoleukodystrophy. </w:t>
      </w:r>
      <w:r w:rsidR="00F80BCF" w:rsidRPr="00F80BCF">
        <w:rPr>
          <w:i/>
          <w:lang w:val="en-US"/>
        </w:rPr>
        <w:t>Int J Neonatal Screen,</w:t>
      </w:r>
      <w:r w:rsidR="00F80BCF" w:rsidRPr="00F80BCF">
        <w:rPr>
          <w:lang w:val="en-US"/>
        </w:rPr>
        <w:t xml:space="preserve"> 2.</w:t>
      </w:r>
    </w:p>
  </w:footnote>
  <w:footnote w:id="6">
    <w:p w14:paraId="031930B7" w14:textId="77777777" w:rsidR="004250E8" w:rsidRPr="00914EC0" w:rsidRDefault="004250E8" w:rsidP="003B65AD">
      <w:pPr>
        <w:pStyle w:val="FootnoteText"/>
        <w:spacing w:before="0"/>
        <w:rPr>
          <w:lang w:val="en-US"/>
        </w:rPr>
      </w:pPr>
      <w:r>
        <w:rPr>
          <w:rStyle w:val="FootnoteReference"/>
        </w:rPr>
        <w:footnoteRef/>
      </w:r>
      <w:r>
        <w:t xml:space="preserve"> </w:t>
      </w:r>
      <w:r w:rsidRPr="00646411">
        <w:rPr>
          <w:lang w:val="en-US"/>
        </w:rPr>
        <w:t>T</w:t>
      </w:r>
      <w:r>
        <w:rPr>
          <w:lang w:val="en-US"/>
        </w:rPr>
        <w:t>urgeon CT, et al</w:t>
      </w:r>
      <w:r w:rsidRPr="00646411">
        <w:rPr>
          <w:lang w:val="en-US"/>
        </w:rPr>
        <w:t xml:space="preserve">. 2015. Streamlined determination of lysophosphatidylcholines in dried blood spots for newborn screening of X-linked adrenoleukodystrophy. </w:t>
      </w:r>
      <w:r w:rsidRPr="00646411">
        <w:rPr>
          <w:i/>
          <w:lang w:val="en-US"/>
        </w:rPr>
        <w:t>Mol Genet Metab,</w:t>
      </w:r>
      <w:r w:rsidRPr="00646411">
        <w:rPr>
          <w:lang w:val="en-US"/>
        </w:rPr>
        <w:t xml:space="preserve"> 114</w:t>
      </w:r>
      <w:r w:rsidRPr="00646411">
        <w:rPr>
          <w:b/>
          <w:lang w:val="en-US"/>
        </w:rPr>
        <w:t>,</w:t>
      </w:r>
      <w:r w:rsidRPr="00646411">
        <w:rPr>
          <w:lang w:val="en-US"/>
        </w:rPr>
        <w:t xml:space="preserve"> 46-50.</w:t>
      </w:r>
    </w:p>
  </w:footnote>
  <w:footnote w:id="7">
    <w:p w14:paraId="7AF851FE" w14:textId="77777777" w:rsidR="004250E8" w:rsidRPr="00914EC0" w:rsidRDefault="004250E8" w:rsidP="003B65AD">
      <w:pPr>
        <w:pStyle w:val="FootnoteText"/>
        <w:spacing w:before="0"/>
        <w:rPr>
          <w:lang w:val="en-US"/>
        </w:rPr>
      </w:pPr>
      <w:r>
        <w:rPr>
          <w:rStyle w:val="FootnoteReference"/>
        </w:rPr>
        <w:footnoteRef/>
      </w:r>
      <w:r>
        <w:t xml:space="preserve"> </w:t>
      </w:r>
      <w:r w:rsidRPr="0074338E">
        <w:rPr>
          <w:lang w:val="en-US"/>
        </w:rPr>
        <w:t>T</w:t>
      </w:r>
      <w:r>
        <w:rPr>
          <w:lang w:val="en-US"/>
        </w:rPr>
        <w:t>eber TA, et al</w:t>
      </w:r>
      <w:r w:rsidRPr="0074338E">
        <w:rPr>
          <w:lang w:val="en-US"/>
        </w:rPr>
        <w:t xml:space="preserve">. 2022. Newborn Screen for X-Linked Adrenoleukodystrophy Using Flow Injection Tandem Mass Spectrometry in Negative Ion Mode. </w:t>
      </w:r>
      <w:r w:rsidRPr="0074338E">
        <w:rPr>
          <w:i/>
          <w:lang w:val="en-US"/>
        </w:rPr>
        <w:t>Int J Neonatal Screen,</w:t>
      </w:r>
      <w:r w:rsidRPr="0074338E">
        <w:rPr>
          <w:lang w:val="en-US"/>
        </w:rPr>
        <w:t xml:space="preserve"> 8.</w:t>
      </w:r>
    </w:p>
  </w:footnote>
  <w:footnote w:id="8">
    <w:p w14:paraId="576DEDE1" w14:textId="77777777" w:rsidR="004250E8" w:rsidRPr="00914EC0" w:rsidRDefault="004250E8" w:rsidP="003B65AD">
      <w:pPr>
        <w:pStyle w:val="FootnoteText"/>
        <w:spacing w:before="0"/>
        <w:rPr>
          <w:lang w:val="en-US"/>
        </w:rPr>
      </w:pPr>
      <w:r>
        <w:rPr>
          <w:rStyle w:val="FootnoteReference"/>
        </w:rPr>
        <w:footnoteRef/>
      </w:r>
      <w:r>
        <w:t xml:space="preserve"> </w:t>
      </w:r>
      <w:r w:rsidRPr="007939D1">
        <w:rPr>
          <w:lang w:val="en-US"/>
        </w:rPr>
        <w:t>H</w:t>
      </w:r>
      <w:r>
        <w:rPr>
          <w:lang w:val="en-US"/>
        </w:rPr>
        <w:t>ubbard WC, et al</w:t>
      </w:r>
      <w:r w:rsidRPr="007939D1">
        <w:rPr>
          <w:lang w:val="en-US"/>
        </w:rPr>
        <w:t xml:space="preserve">. 2009. Newborn screening for X-linked adrenoleukodystrophy (X-ALD): validation of a combined liquid chromatography-tandem mass spectrometric (LC-MS/MS) method. </w:t>
      </w:r>
      <w:r w:rsidRPr="007939D1">
        <w:rPr>
          <w:i/>
          <w:lang w:val="en-US"/>
        </w:rPr>
        <w:t>Mol Genet Metab,</w:t>
      </w:r>
      <w:r w:rsidRPr="007939D1">
        <w:rPr>
          <w:lang w:val="en-US"/>
        </w:rPr>
        <w:t xml:space="preserve"> 97</w:t>
      </w:r>
      <w:r w:rsidRPr="007939D1">
        <w:rPr>
          <w:b/>
          <w:lang w:val="en-US"/>
        </w:rPr>
        <w:t>,</w:t>
      </w:r>
      <w:r w:rsidRPr="007939D1">
        <w:rPr>
          <w:lang w:val="en-US"/>
        </w:rPr>
        <w:t xml:space="preserve"> 212-20.</w:t>
      </w:r>
    </w:p>
  </w:footnote>
  <w:footnote w:id="9">
    <w:p w14:paraId="67065FBA" w14:textId="5EA5C15D" w:rsidR="008F43D9" w:rsidRPr="00F80BCF" w:rsidRDefault="008F43D9" w:rsidP="003B65AD">
      <w:pPr>
        <w:pStyle w:val="FootnoteText"/>
        <w:spacing w:before="0"/>
      </w:pPr>
      <w:r>
        <w:rPr>
          <w:rStyle w:val="FootnoteReference"/>
        </w:rPr>
        <w:footnoteRef/>
      </w:r>
      <w:r>
        <w:t xml:space="preserve"> </w:t>
      </w:r>
      <w:r w:rsidRPr="008F43D9">
        <w:rPr>
          <w:lang w:val="en-US"/>
        </w:rPr>
        <w:t>W</w:t>
      </w:r>
      <w:r>
        <w:rPr>
          <w:lang w:val="en-US"/>
        </w:rPr>
        <w:t xml:space="preserve">anders RJA &amp; Eichler FS, </w:t>
      </w:r>
      <w:r w:rsidRPr="008F43D9">
        <w:rPr>
          <w:lang w:val="en-US"/>
        </w:rPr>
        <w:t xml:space="preserve">2023. </w:t>
      </w:r>
      <w:r w:rsidRPr="008F43D9">
        <w:rPr>
          <w:i/>
          <w:lang w:val="en-US"/>
        </w:rPr>
        <w:t>X-linked adrenoleukodystrophy and adrenomyeloneuropathy. [Literature review current through: Feb 2023; topic last updated: 16 Nov 2022]</w:t>
      </w:r>
      <w:r w:rsidRPr="008F43D9">
        <w:rPr>
          <w:lang w:val="en-US"/>
        </w:rPr>
        <w:t xml:space="preserve">. Available: </w:t>
      </w:r>
      <w:hyperlink r:id="rId3" w:anchor="H3329080115" w:history="1">
        <w:r w:rsidRPr="008F43D9">
          <w:rPr>
            <w:rStyle w:val="Hyperlink"/>
            <w:lang w:val="en-US"/>
          </w:rPr>
          <w:t>https://www.uptodate.com/contents/x-linked-adrenoleukodystrophy-and-adrenomyeloneuropathy#H3329080115</w:t>
        </w:r>
      </w:hyperlink>
      <w:r w:rsidRPr="008F43D9">
        <w:rPr>
          <w:lang w:val="en-US"/>
        </w:rPr>
        <w:t xml:space="preserve"> [Accessed 10 March 2023].</w:t>
      </w:r>
    </w:p>
  </w:footnote>
  <w:footnote w:id="10">
    <w:p w14:paraId="56C97E8C" w14:textId="77777777" w:rsidR="004250E8" w:rsidRPr="00914EC0" w:rsidRDefault="004250E8" w:rsidP="003B65AD">
      <w:pPr>
        <w:pStyle w:val="FootnoteText"/>
        <w:spacing w:before="0"/>
        <w:rPr>
          <w:lang w:val="en-US"/>
        </w:rPr>
      </w:pPr>
      <w:r>
        <w:rPr>
          <w:rStyle w:val="FootnoteReference"/>
        </w:rPr>
        <w:footnoteRef/>
      </w:r>
      <w:r>
        <w:t xml:space="preserve"> Albersen M, </w:t>
      </w:r>
      <w:r>
        <w:rPr>
          <w:lang w:val="en-US"/>
        </w:rPr>
        <w:t>et al</w:t>
      </w:r>
      <w:r w:rsidRPr="00CE24DC">
        <w:rPr>
          <w:lang w:val="en-US"/>
        </w:rPr>
        <w:t xml:space="preserve">. 2023. Sex-specific newborn screening for X-linked adrenoleukodystrophy. </w:t>
      </w:r>
      <w:r w:rsidRPr="00CE24DC">
        <w:rPr>
          <w:i/>
          <w:lang w:val="en-US"/>
        </w:rPr>
        <w:t>J Inherit Metab Dis,</w:t>
      </w:r>
      <w:r w:rsidRPr="00CE24DC">
        <w:rPr>
          <w:lang w:val="en-US"/>
        </w:rPr>
        <w:t xml:space="preserve"> 46</w:t>
      </w:r>
      <w:r w:rsidRPr="00CE24DC">
        <w:rPr>
          <w:b/>
          <w:lang w:val="en-US"/>
        </w:rPr>
        <w:t>,</w:t>
      </w:r>
      <w:r w:rsidRPr="00CE24DC">
        <w:rPr>
          <w:lang w:val="en-US"/>
        </w:rPr>
        <w:t xml:space="preserve"> 116-128.</w:t>
      </w:r>
    </w:p>
  </w:footnote>
  <w:footnote w:id="11">
    <w:p w14:paraId="3C057072" w14:textId="77777777" w:rsidR="008D6DB6" w:rsidRDefault="008D6DB6" w:rsidP="008D6DB6">
      <w:pPr>
        <w:pStyle w:val="FootnoteText"/>
        <w:spacing w:before="0"/>
        <w:rPr>
          <w:lang w:val="en-US"/>
        </w:rPr>
      </w:pPr>
      <w:r>
        <w:rPr>
          <w:rStyle w:val="FootnoteReference"/>
        </w:rPr>
        <w:footnoteRef/>
      </w:r>
      <w:r>
        <w:t xml:space="preserve"> </w:t>
      </w:r>
      <w:r>
        <w:rPr>
          <w:lang w:val="en-US"/>
        </w:rPr>
        <w:t xml:space="preserve">Barendsen RW, et al. 2020. Adrenoleukodystrophy Newborn Screening in the Netherlands (SCAN Study): The X-Factor. </w:t>
      </w:r>
      <w:r>
        <w:rPr>
          <w:i/>
          <w:lang w:val="en-US"/>
        </w:rPr>
        <w:t>Front Cell Dev Biol,</w:t>
      </w:r>
      <w:r>
        <w:rPr>
          <w:lang w:val="en-US"/>
        </w:rPr>
        <w:t xml:space="preserve"> 8</w:t>
      </w:r>
      <w:r>
        <w:rPr>
          <w:b/>
          <w:lang w:val="en-US"/>
        </w:rPr>
        <w:t>,</w:t>
      </w:r>
      <w:r>
        <w:rPr>
          <w:lang w:val="en-US"/>
        </w:rPr>
        <w:t xml:space="preserve"> 499.</w:t>
      </w:r>
    </w:p>
  </w:footnote>
  <w:footnote w:id="12">
    <w:p w14:paraId="266E04CA" w14:textId="77777777" w:rsidR="004250E8" w:rsidRPr="00914EC0" w:rsidRDefault="004250E8" w:rsidP="003B65AD">
      <w:pPr>
        <w:pStyle w:val="FootnoteText"/>
        <w:spacing w:before="0"/>
        <w:rPr>
          <w:lang w:val="en-US"/>
        </w:rPr>
      </w:pPr>
      <w:r>
        <w:rPr>
          <w:rStyle w:val="FootnoteReference"/>
        </w:rPr>
        <w:footnoteRef/>
      </w:r>
      <w:r>
        <w:t xml:space="preserve"> Natarajan A, et al</w:t>
      </w:r>
      <w:r w:rsidRPr="00DF33A5">
        <w:rPr>
          <w:lang w:val="en-US"/>
        </w:rPr>
        <w:t xml:space="preserve">. 2018. Liquid chromatography-tandem mass spectrometry method for estimation of a panel of lysophosphatidylcholines in dried blood spots for screening of X-linked adrenoleukodystrophy. </w:t>
      </w:r>
      <w:r w:rsidRPr="00DF33A5">
        <w:rPr>
          <w:i/>
          <w:lang w:val="en-US"/>
        </w:rPr>
        <w:t>Clin Chim Acta,</w:t>
      </w:r>
      <w:r w:rsidRPr="00DF33A5">
        <w:rPr>
          <w:lang w:val="en-US"/>
        </w:rPr>
        <w:t xml:space="preserve"> 485</w:t>
      </w:r>
      <w:r w:rsidRPr="00DF33A5">
        <w:rPr>
          <w:b/>
          <w:lang w:val="en-US"/>
        </w:rPr>
        <w:t>,</w:t>
      </w:r>
      <w:r w:rsidRPr="00DF33A5">
        <w:rPr>
          <w:lang w:val="en-US"/>
        </w:rPr>
        <w:t xml:space="preserve"> 305-310.</w:t>
      </w:r>
    </w:p>
  </w:footnote>
  <w:footnote w:id="13">
    <w:p w14:paraId="2E5FFC8A" w14:textId="77777777" w:rsidR="004250E8" w:rsidRPr="00914EC0" w:rsidRDefault="004250E8" w:rsidP="003B65AD">
      <w:pPr>
        <w:pStyle w:val="FootnoteText"/>
        <w:spacing w:before="0"/>
        <w:rPr>
          <w:lang w:val="en-US"/>
        </w:rPr>
      </w:pPr>
      <w:r>
        <w:rPr>
          <w:rStyle w:val="FootnoteReference"/>
        </w:rPr>
        <w:footnoteRef/>
      </w:r>
      <w:r>
        <w:t xml:space="preserve"> </w:t>
      </w:r>
      <w:r>
        <w:rPr>
          <w:lang w:val="en-US"/>
        </w:rPr>
        <w:t>N</w:t>
      </w:r>
      <w:r w:rsidRPr="00687AF5">
        <w:rPr>
          <w:lang w:val="en-US"/>
        </w:rPr>
        <w:t xml:space="preserve">atarajan A, </w:t>
      </w:r>
      <w:r>
        <w:rPr>
          <w:lang w:val="en-US"/>
        </w:rPr>
        <w:t>et al</w:t>
      </w:r>
      <w:r w:rsidRPr="00687AF5">
        <w:rPr>
          <w:lang w:val="en-US"/>
        </w:rPr>
        <w:t xml:space="preserve">. 2019. Flow injection ionization-tandem mass spectrometry-based estimation of a panel of lysophosphatidylcholines in dried blood spots for screening of X-linked adrenoleukodystrophy. </w:t>
      </w:r>
      <w:r w:rsidRPr="00687AF5">
        <w:rPr>
          <w:i/>
          <w:lang w:val="en-US"/>
        </w:rPr>
        <w:t>Clin Chim Acta,</w:t>
      </w:r>
      <w:r w:rsidRPr="00687AF5">
        <w:rPr>
          <w:lang w:val="en-US"/>
        </w:rPr>
        <w:t xml:space="preserve"> 495</w:t>
      </w:r>
      <w:r w:rsidRPr="00687AF5">
        <w:rPr>
          <w:b/>
          <w:lang w:val="en-US"/>
        </w:rPr>
        <w:t>,</w:t>
      </w:r>
      <w:r w:rsidRPr="00687AF5">
        <w:rPr>
          <w:lang w:val="en-US"/>
        </w:rPr>
        <w:t xml:space="preserve"> 167-173.</w:t>
      </w:r>
    </w:p>
  </w:footnote>
  <w:footnote w:id="14">
    <w:p w14:paraId="7323C899" w14:textId="5A1E4139" w:rsidR="0048115D" w:rsidRPr="0048115D" w:rsidRDefault="0048115D" w:rsidP="003B65AD">
      <w:pPr>
        <w:pStyle w:val="FootnoteText"/>
        <w:spacing w:before="0"/>
      </w:pPr>
      <w:r>
        <w:rPr>
          <w:rStyle w:val="FootnoteReference"/>
        </w:rPr>
        <w:footnoteRef/>
      </w:r>
      <w:r>
        <w:t xml:space="preserve"> </w:t>
      </w:r>
      <w:r w:rsidRPr="0048115D">
        <w:rPr>
          <w:lang w:val="en-US"/>
        </w:rPr>
        <w:t>L</w:t>
      </w:r>
      <w:r>
        <w:rPr>
          <w:lang w:val="en-US"/>
        </w:rPr>
        <w:t>iberato AP, et al</w:t>
      </w:r>
      <w:r w:rsidRPr="0048115D">
        <w:rPr>
          <w:lang w:val="en-US"/>
        </w:rPr>
        <w:t xml:space="preserve">. 2019. MRI brain lesions in asymptomatic boys with X-linked adrenoleukodystrophy. </w:t>
      </w:r>
      <w:r w:rsidRPr="0048115D">
        <w:rPr>
          <w:i/>
          <w:lang w:val="en-US"/>
        </w:rPr>
        <w:t>Neurology,</w:t>
      </w:r>
      <w:r w:rsidRPr="0048115D">
        <w:rPr>
          <w:lang w:val="en-US"/>
        </w:rPr>
        <w:t xml:space="preserve"> 92</w:t>
      </w:r>
      <w:r w:rsidRPr="0048115D">
        <w:rPr>
          <w:b/>
          <w:lang w:val="en-US"/>
        </w:rPr>
        <w:t>,</w:t>
      </w:r>
      <w:r w:rsidRPr="0048115D">
        <w:rPr>
          <w:lang w:val="en-US"/>
        </w:rPr>
        <w:t xml:space="preserve"> e1698-e1708.</w:t>
      </w:r>
    </w:p>
  </w:footnote>
  <w:footnote w:id="15">
    <w:p w14:paraId="5F82D164" w14:textId="08CC6272" w:rsidR="00AC30FC" w:rsidRDefault="00AC30FC" w:rsidP="003B65AD">
      <w:pPr>
        <w:pStyle w:val="FootnoteText"/>
        <w:spacing w:before="0"/>
      </w:pPr>
      <w:r>
        <w:rPr>
          <w:rStyle w:val="FootnoteReference"/>
        </w:rPr>
        <w:footnoteRef/>
      </w:r>
      <w:r>
        <w:t xml:space="preserve"> </w:t>
      </w:r>
      <w:r w:rsidRPr="00AC30FC">
        <w:rPr>
          <w:lang w:val="en-US"/>
        </w:rPr>
        <w:t>M</w:t>
      </w:r>
      <w:r>
        <w:rPr>
          <w:lang w:val="en-US"/>
        </w:rPr>
        <w:t xml:space="preserve">ahmood </w:t>
      </w:r>
      <w:r w:rsidRPr="00AC30FC">
        <w:rPr>
          <w:lang w:val="en-US"/>
        </w:rPr>
        <w:t xml:space="preserve">A, </w:t>
      </w:r>
      <w:r>
        <w:rPr>
          <w:lang w:val="en-US"/>
        </w:rPr>
        <w:t>et al</w:t>
      </w:r>
      <w:r w:rsidRPr="00AC30FC">
        <w:rPr>
          <w:lang w:val="en-US"/>
        </w:rPr>
        <w:t xml:space="preserve">. 2007. Survival analysis of haematopoietic cell transplantation for childhood cerebral X-linked adrenoleukodystrophy: a comparison study. </w:t>
      </w:r>
      <w:r w:rsidRPr="00AC30FC">
        <w:rPr>
          <w:i/>
          <w:lang w:val="en-US"/>
        </w:rPr>
        <w:t>The Lancet Neurology,</w:t>
      </w:r>
      <w:r w:rsidRPr="00AC30FC">
        <w:rPr>
          <w:lang w:val="en-US"/>
        </w:rPr>
        <w:t xml:space="preserve"> 6</w:t>
      </w:r>
      <w:r w:rsidRPr="00AC30FC">
        <w:rPr>
          <w:b/>
          <w:lang w:val="en-US"/>
        </w:rPr>
        <w:t>,</w:t>
      </w:r>
      <w:r w:rsidRPr="00AC30FC">
        <w:rPr>
          <w:lang w:val="en-US"/>
        </w:rPr>
        <w:t xml:space="preserve"> 687-692.</w:t>
      </w:r>
    </w:p>
  </w:footnote>
  <w:footnote w:id="16">
    <w:p w14:paraId="17430E45" w14:textId="0ABB5BD6" w:rsidR="00D87FB8" w:rsidRDefault="00D87FB8" w:rsidP="003B65AD">
      <w:pPr>
        <w:pStyle w:val="FootnoteText"/>
        <w:spacing w:before="0"/>
      </w:pPr>
      <w:r>
        <w:rPr>
          <w:rStyle w:val="FootnoteReference"/>
        </w:rPr>
        <w:footnoteRef/>
      </w:r>
      <w:r>
        <w:t xml:space="preserve"> </w:t>
      </w:r>
      <w:r w:rsidRPr="00D87FB8">
        <w:rPr>
          <w:lang w:val="en-US"/>
        </w:rPr>
        <w:t>P</w:t>
      </w:r>
      <w:r>
        <w:rPr>
          <w:lang w:val="en-US"/>
        </w:rPr>
        <w:t>eters C, et al</w:t>
      </w:r>
      <w:r w:rsidRPr="00D87FB8">
        <w:rPr>
          <w:lang w:val="en-US"/>
        </w:rPr>
        <w:t xml:space="preserve">. 2004. Cerebral X-linked adrenoleukodystrophy: the international hematopoietic cell transplantation experience from 1982 to 1999. </w:t>
      </w:r>
      <w:r w:rsidRPr="00D87FB8">
        <w:rPr>
          <w:i/>
          <w:lang w:val="en-US"/>
        </w:rPr>
        <w:t>Blood,</w:t>
      </w:r>
      <w:r w:rsidRPr="00D87FB8">
        <w:rPr>
          <w:lang w:val="en-US"/>
        </w:rPr>
        <w:t xml:space="preserve"> 104</w:t>
      </w:r>
      <w:r w:rsidRPr="00D87FB8">
        <w:rPr>
          <w:b/>
          <w:lang w:val="en-US"/>
        </w:rPr>
        <w:t>,</w:t>
      </w:r>
      <w:r w:rsidRPr="00D87FB8">
        <w:rPr>
          <w:lang w:val="en-US"/>
        </w:rPr>
        <w:t xml:space="preserve"> 881-888.</w:t>
      </w:r>
    </w:p>
  </w:footnote>
  <w:footnote w:id="17">
    <w:p w14:paraId="07E6D8DD" w14:textId="63981F9B" w:rsidR="001A0725" w:rsidRDefault="001A0725" w:rsidP="003B65AD">
      <w:pPr>
        <w:pStyle w:val="FootnoteText"/>
        <w:spacing w:before="0"/>
      </w:pPr>
      <w:r>
        <w:rPr>
          <w:rStyle w:val="FootnoteReference"/>
        </w:rPr>
        <w:footnoteRef/>
      </w:r>
      <w:r>
        <w:t xml:space="preserve"> </w:t>
      </w:r>
      <w:r w:rsidRPr="001A0725">
        <w:rPr>
          <w:lang w:val="en-US"/>
        </w:rPr>
        <w:t>R</w:t>
      </w:r>
      <w:r>
        <w:rPr>
          <w:lang w:val="en-US"/>
        </w:rPr>
        <w:t>aymond GV, et al</w:t>
      </w:r>
      <w:r w:rsidRPr="001A0725">
        <w:rPr>
          <w:lang w:val="en-US"/>
        </w:rPr>
        <w:t xml:space="preserve">. 2019. Survival and Functional Outcomes in Boys with Cerebral Adrenoleukodystrophy with and without Hematopoietic Stem Cell Transplantation. </w:t>
      </w:r>
      <w:r w:rsidRPr="001A0725">
        <w:rPr>
          <w:i/>
          <w:lang w:val="en-US"/>
        </w:rPr>
        <w:t>Biology of Blood and Marrow Transplantation,</w:t>
      </w:r>
      <w:r w:rsidRPr="001A0725">
        <w:rPr>
          <w:lang w:val="en-US"/>
        </w:rPr>
        <w:t xml:space="preserve"> 25</w:t>
      </w:r>
      <w:r w:rsidRPr="001A0725">
        <w:rPr>
          <w:b/>
          <w:lang w:val="en-US"/>
        </w:rPr>
        <w:t>,</w:t>
      </w:r>
      <w:r w:rsidRPr="001A0725">
        <w:rPr>
          <w:lang w:val="en-US"/>
        </w:rPr>
        <w:t xml:space="preserve"> 538-548.</w:t>
      </w:r>
    </w:p>
  </w:footnote>
  <w:footnote w:id="18">
    <w:p w14:paraId="1BF6B1A7" w14:textId="4191F1C0" w:rsidR="00F42250" w:rsidRDefault="00F42250" w:rsidP="003B65AD">
      <w:pPr>
        <w:pStyle w:val="FootnoteText"/>
        <w:spacing w:before="0"/>
      </w:pPr>
      <w:r>
        <w:rPr>
          <w:rStyle w:val="FootnoteReference"/>
        </w:rPr>
        <w:footnoteRef/>
      </w:r>
      <w:r>
        <w:t xml:space="preserve"> Matsukawa T, </w:t>
      </w:r>
      <w:r>
        <w:rPr>
          <w:lang w:val="en-US"/>
        </w:rPr>
        <w:t>et al</w:t>
      </w:r>
      <w:r w:rsidRPr="00F42250">
        <w:rPr>
          <w:lang w:val="en-US"/>
        </w:rPr>
        <w:t xml:space="preserve">. 2020. Clinical efficacy of haematopoietic stem cell transplantation for adult adrenoleukodystrophy. </w:t>
      </w:r>
      <w:r w:rsidRPr="00F42250">
        <w:rPr>
          <w:i/>
          <w:lang w:val="en-US"/>
        </w:rPr>
        <w:t>Brain Commun,</w:t>
      </w:r>
      <w:r w:rsidRPr="00F42250">
        <w:rPr>
          <w:lang w:val="en-US"/>
        </w:rPr>
        <w:t xml:space="preserve"> 2</w:t>
      </w:r>
      <w:r w:rsidRPr="00F42250">
        <w:rPr>
          <w:b/>
          <w:lang w:val="en-US"/>
        </w:rPr>
        <w:t>,</w:t>
      </w:r>
      <w:r w:rsidRPr="00F42250">
        <w:rPr>
          <w:lang w:val="en-US"/>
        </w:rPr>
        <w:t xml:space="preserve"> fcz048.</w:t>
      </w:r>
    </w:p>
  </w:footnote>
  <w:footnote w:id="19">
    <w:p w14:paraId="341F71CF" w14:textId="27C3108E" w:rsidR="001B30D5" w:rsidRDefault="001B30D5" w:rsidP="003B65AD">
      <w:pPr>
        <w:pStyle w:val="FootnoteText"/>
        <w:spacing w:before="0"/>
      </w:pPr>
      <w:r>
        <w:rPr>
          <w:rStyle w:val="FootnoteReference"/>
        </w:rPr>
        <w:footnoteRef/>
      </w:r>
      <w:r>
        <w:t xml:space="preserve"> </w:t>
      </w:r>
      <w:r w:rsidRPr="001B30D5">
        <w:rPr>
          <w:lang w:val="en-US"/>
        </w:rPr>
        <w:t>K</w:t>
      </w:r>
      <w:r>
        <w:rPr>
          <w:lang w:val="en-US"/>
        </w:rPr>
        <w:t>emp S, et al</w:t>
      </w:r>
      <w:r w:rsidRPr="001B30D5">
        <w:rPr>
          <w:lang w:val="en-US"/>
        </w:rPr>
        <w:t xml:space="preserve">. 2012. X-linked adrenoleukodystrophy: Clinical, metabolic, genetic and pathophysiological aspects. </w:t>
      </w:r>
      <w:r w:rsidRPr="001B30D5">
        <w:rPr>
          <w:i/>
          <w:lang w:val="en-US"/>
        </w:rPr>
        <w:t>Biochimica et Biophysica Acta (BBA) - Molecular Basis of Disease,</w:t>
      </w:r>
      <w:r w:rsidRPr="001B30D5">
        <w:rPr>
          <w:lang w:val="en-US"/>
        </w:rPr>
        <w:t xml:space="preserve"> 1822</w:t>
      </w:r>
      <w:r w:rsidRPr="001B30D5">
        <w:rPr>
          <w:b/>
          <w:lang w:val="en-US"/>
        </w:rPr>
        <w:t>,</w:t>
      </w:r>
      <w:r w:rsidRPr="001B30D5">
        <w:rPr>
          <w:lang w:val="en-US"/>
        </w:rPr>
        <w:t xml:space="preserve"> 1465-1474.</w:t>
      </w:r>
    </w:p>
  </w:footnote>
  <w:footnote w:id="20">
    <w:p w14:paraId="4B7272C0" w14:textId="3EF181F9" w:rsidR="00786E75" w:rsidRDefault="00786E75" w:rsidP="003B65AD">
      <w:pPr>
        <w:pStyle w:val="FootnoteText"/>
        <w:spacing w:before="0"/>
      </w:pPr>
      <w:r>
        <w:rPr>
          <w:rStyle w:val="FootnoteReference"/>
        </w:rPr>
        <w:footnoteRef/>
      </w:r>
      <w:r>
        <w:t xml:space="preserve"> </w:t>
      </w:r>
      <w:r w:rsidRPr="00786E75">
        <w:rPr>
          <w:lang w:val="en-US"/>
        </w:rPr>
        <w:t>T</w:t>
      </w:r>
      <w:r>
        <w:rPr>
          <w:lang w:val="en-US"/>
        </w:rPr>
        <w:t>urk BR, et al</w:t>
      </w:r>
      <w:r w:rsidRPr="00786E75">
        <w:rPr>
          <w:lang w:val="en-US"/>
        </w:rPr>
        <w:t xml:space="preserve">. 2020. X‐linked adrenoleukodystrophy: Pathology, pathophysiology, diagnostic testing, newborn screening and therapies. </w:t>
      </w:r>
      <w:r w:rsidRPr="00786E75">
        <w:rPr>
          <w:i/>
          <w:lang w:val="en-US"/>
        </w:rPr>
        <w:t>International Journal of Developmental Neuroscience,</w:t>
      </w:r>
      <w:r w:rsidRPr="00786E75">
        <w:rPr>
          <w:lang w:val="en-US"/>
        </w:rPr>
        <w:t xml:space="preserve"> 80</w:t>
      </w:r>
      <w:r w:rsidRPr="00786E75">
        <w:rPr>
          <w:b/>
          <w:lang w:val="en-US"/>
        </w:rPr>
        <w:t>,</w:t>
      </w:r>
      <w:r w:rsidRPr="00786E75">
        <w:rPr>
          <w:lang w:val="en-US"/>
        </w:rPr>
        <w:t xml:space="preserve"> 52-72.</w:t>
      </w:r>
    </w:p>
  </w:footnote>
  <w:footnote w:id="21">
    <w:p w14:paraId="6511EE0A" w14:textId="77777777" w:rsidR="009E233F" w:rsidRDefault="009E233F" w:rsidP="003B65AD">
      <w:pPr>
        <w:pStyle w:val="FootnoteText"/>
        <w:spacing w:before="0"/>
      </w:pPr>
      <w:r>
        <w:rPr>
          <w:rStyle w:val="FootnoteReference"/>
        </w:rPr>
        <w:footnoteRef/>
      </w:r>
      <w:r>
        <w:t xml:space="preserve"> </w:t>
      </w:r>
      <w:r w:rsidRPr="00E30F8C">
        <w:rPr>
          <w:lang w:val="en-US"/>
        </w:rPr>
        <w:t xml:space="preserve">Engelen M, </w:t>
      </w:r>
      <w:r>
        <w:rPr>
          <w:lang w:val="en-US"/>
        </w:rPr>
        <w:t>et al.</w:t>
      </w:r>
      <w:r w:rsidRPr="00E30F8C">
        <w:rPr>
          <w:lang w:val="en-US"/>
        </w:rPr>
        <w:t xml:space="preserve"> 2022. International Recommendations for the Diagnosis and Management of Patients With Adrenoleukodystrophy: A Consensus-Based Approach. </w:t>
      </w:r>
      <w:r w:rsidRPr="00E30F8C">
        <w:rPr>
          <w:i/>
          <w:lang w:val="en-US"/>
        </w:rPr>
        <w:t>Neurology</w:t>
      </w:r>
      <w:r w:rsidRPr="00E30F8C">
        <w:rPr>
          <w:lang w:val="en-US"/>
        </w:rPr>
        <w:t>.</w:t>
      </w:r>
    </w:p>
  </w:footnote>
  <w:footnote w:id="22">
    <w:p w14:paraId="76DA7CAB" w14:textId="6F2CA996" w:rsidR="00B409CF" w:rsidRDefault="00B409CF" w:rsidP="003B65AD">
      <w:pPr>
        <w:pStyle w:val="FootnoteText"/>
        <w:spacing w:before="0"/>
      </w:pPr>
      <w:r>
        <w:rPr>
          <w:rStyle w:val="FootnoteReference"/>
        </w:rPr>
        <w:footnoteRef/>
      </w:r>
      <w:r>
        <w:t xml:space="preserve"> </w:t>
      </w:r>
      <w:r>
        <w:rPr>
          <w:lang w:val="en-US"/>
        </w:rPr>
        <w:t>Gupta AO, et al</w:t>
      </w:r>
      <w:r w:rsidRPr="00B409CF">
        <w:rPr>
          <w:lang w:val="en-US"/>
        </w:rPr>
        <w:t xml:space="preserve">. 2022. Treatment of cerebral adrenoleukodystrophy: allogeneic transplantation and lentiviral gene therapy. </w:t>
      </w:r>
      <w:r w:rsidRPr="00B409CF">
        <w:rPr>
          <w:i/>
          <w:lang w:val="en-US"/>
        </w:rPr>
        <w:t>Expert Opinion on Biological Therapy,</w:t>
      </w:r>
      <w:r w:rsidRPr="00B409CF">
        <w:rPr>
          <w:lang w:val="en-US"/>
        </w:rPr>
        <w:t xml:space="preserve"> 22</w:t>
      </w:r>
      <w:r w:rsidRPr="00B409CF">
        <w:rPr>
          <w:b/>
          <w:lang w:val="en-US"/>
        </w:rPr>
        <w:t>,</w:t>
      </w:r>
      <w:r w:rsidRPr="00B409CF">
        <w:rPr>
          <w:lang w:val="en-US"/>
        </w:rPr>
        <w:t xml:space="preserve"> 1151-1162.</w:t>
      </w:r>
    </w:p>
  </w:footnote>
  <w:footnote w:id="23">
    <w:p w14:paraId="60612DCF" w14:textId="3EDD8B0C" w:rsidR="00C8257C" w:rsidRDefault="00C8257C" w:rsidP="003B65AD">
      <w:pPr>
        <w:pStyle w:val="FootnoteText"/>
        <w:spacing w:before="0"/>
      </w:pPr>
      <w:r>
        <w:rPr>
          <w:rStyle w:val="FootnoteReference"/>
        </w:rPr>
        <w:footnoteRef/>
      </w:r>
      <w:r>
        <w:t xml:space="preserve"> </w:t>
      </w:r>
      <w:r w:rsidRPr="00C8257C">
        <w:rPr>
          <w:lang w:val="en-US"/>
        </w:rPr>
        <w:t xml:space="preserve">Regelmann MO, </w:t>
      </w:r>
      <w:r>
        <w:rPr>
          <w:lang w:val="en-US"/>
        </w:rPr>
        <w:t>et al</w:t>
      </w:r>
      <w:r w:rsidRPr="00C8257C">
        <w:rPr>
          <w:lang w:val="en-US"/>
        </w:rPr>
        <w:t xml:space="preserve">. 2018. Adrenoleukodystrophy: Guidance for Adrenal Surveillance in Males Identified by Newborn Screen. </w:t>
      </w:r>
      <w:r w:rsidRPr="00C8257C">
        <w:rPr>
          <w:i/>
          <w:lang w:val="en-US"/>
        </w:rPr>
        <w:t>The Journal of Clinical Endocrinology &amp; Metabolism,</w:t>
      </w:r>
      <w:r w:rsidRPr="00C8257C">
        <w:rPr>
          <w:lang w:val="en-US"/>
        </w:rPr>
        <w:t xml:space="preserve"> 103</w:t>
      </w:r>
      <w:r w:rsidRPr="00C8257C">
        <w:rPr>
          <w:b/>
          <w:lang w:val="en-US"/>
        </w:rPr>
        <w:t>,</w:t>
      </w:r>
      <w:r w:rsidRPr="00C8257C">
        <w:rPr>
          <w:lang w:val="en-US"/>
        </w:rPr>
        <w:t xml:space="preserve"> 4324-4331.</w:t>
      </w:r>
    </w:p>
  </w:footnote>
  <w:footnote w:id="24">
    <w:p w14:paraId="7934D8F2" w14:textId="3D4A4902" w:rsidR="00945F20" w:rsidRDefault="00945F20" w:rsidP="003B65AD">
      <w:pPr>
        <w:pStyle w:val="FootnoteText"/>
        <w:spacing w:before="0"/>
      </w:pPr>
      <w:r>
        <w:rPr>
          <w:rStyle w:val="FootnoteReference"/>
        </w:rPr>
        <w:footnoteRef/>
      </w:r>
      <w:r>
        <w:t xml:space="preserve"> </w:t>
      </w:r>
      <w:r w:rsidRPr="00945F20">
        <w:rPr>
          <w:lang w:val="en-US"/>
        </w:rPr>
        <w:t>V</w:t>
      </w:r>
      <w:r>
        <w:rPr>
          <w:lang w:val="en-US"/>
        </w:rPr>
        <w:t>ogel BH, et al</w:t>
      </w:r>
      <w:r w:rsidRPr="00945F20">
        <w:rPr>
          <w:lang w:val="en-US"/>
        </w:rPr>
        <w:t xml:space="preserve">. 2015. Newborn screening for X-linked adrenoleukodystrophy in New York State: Diagnostic protocol, surveillance protocol and treatment guidelines. </w:t>
      </w:r>
      <w:r w:rsidRPr="00945F20">
        <w:rPr>
          <w:i/>
          <w:lang w:val="en-US"/>
        </w:rPr>
        <w:t>Molecular Genetics and Metabolism,</w:t>
      </w:r>
      <w:r w:rsidRPr="00945F20">
        <w:rPr>
          <w:lang w:val="en-US"/>
        </w:rPr>
        <w:t xml:space="preserve"> 114</w:t>
      </w:r>
      <w:r w:rsidRPr="00945F20">
        <w:rPr>
          <w:b/>
          <w:lang w:val="en-US"/>
        </w:rPr>
        <w:t>,</w:t>
      </w:r>
      <w:r w:rsidRPr="00945F20">
        <w:rPr>
          <w:lang w:val="en-US"/>
        </w:rPr>
        <w:t xml:space="preserve"> 599-603.</w:t>
      </w:r>
    </w:p>
  </w:footnote>
  <w:footnote w:id="25">
    <w:p w14:paraId="595546E7" w14:textId="18E2A46E" w:rsidR="00276FD1" w:rsidRDefault="00276FD1" w:rsidP="003B65AD">
      <w:pPr>
        <w:pStyle w:val="FootnoteText"/>
        <w:spacing w:before="0"/>
      </w:pPr>
      <w:r>
        <w:rPr>
          <w:rStyle w:val="FootnoteReference"/>
        </w:rPr>
        <w:footnoteRef/>
      </w:r>
      <w:r>
        <w:t xml:space="preserve"> </w:t>
      </w:r>
      <w:r w:rsidRPr="00276FD1">
        <w:rPr>
          <w:lang w:val="en-US"/>
        </w:rPr>
        <w:t>S</w:t>
      </w:r>
      <w:r>
        <w:rPr>
          <w:lang w:val="en-US"/>
        </w:rPr>
        <w:t>chwan K, et al</w:t>
      </w:r>
      <w:r w:rsidRPr="00276FD1">
        <w:rPr>
          <w:lang w:val="en-US"/>
        </w:rPr>
        <w:t xml:space="preserve">. 2019. Family Perspectives on Newborn Screening for X-Linked Adrenoleukodystrophy in California. </w:t>
      </w:r>
      <w:r w:rsidRPr="00276FD1">
        <w:rPr>
          <w:i/>
          <w:lang w:val="en-US"/>
        </w:rPr>
        <w:t>Int J Neonatal Screen,</w:t>
      </w:r>
      <w:r w:rsidRPr="00276FD1">
        <w:rPr>
          <w:lang w:val="en-US"/>
        </w:rPr>
        <w:t xml:space="preserve"> 5</w:t>
      </w:r>
      <w:r w:rsidRPr="00276FD1">
        <w:rPr>
          <w:b/>
          <w:lang w:val="en-US"/>
        </w:rPr>
        <w:t>,</w:t>
      </w:r>
      <w:r w:rsidRPr="00276FD1">
        <w:rPr>
          <w:lang w:val="en-US"/>
        </w:rPr>
        <w:t xml:space="preserve"> 42.</w:t>
      </w:r>
    </w:p>
  </w:footnote>
  <w:footnote w:id="26">
    <w:p w14:paraId="11DFCE2E" w14:textId="3BA2AE1B" w:rsidR="002D333C" w:rsidRPr="00FE3F6C" w:rsidRDefault="002D333C" w:rsidP="003B65AD">
      <w:pPr>
        <w:pStyle w:val="FootnoteText"/>
        <w:spacing w:before="0"/>
        <w:rPr>
          <w:lang w:val="en-US"/>
        </w:rPr>
      </w:pPr>
      <w:r>
        <w:rPr>
          <w:rStyle w:val="FootnoteReference"/>
        </w:rPr>
        <w:footnoteRef/>
      </w:r>
      <w:r>
        <w:t xml:space="preserve"> </w:t>
      </w:r>
      <w:r>
        <w:rPr>
          <w:lang w:val="en-US"/>
        </w:rPr>
        <w:t>Matteson</w:t>
      </w:r>
      <w:r w:rsidRPr="00FE3F6C">
        <w:rPr>
          <w:lang w:val="en-US"/>
        </w:rPr>
        <w:t xml:space="preserve"> J, </w:t>
      </w:r>
      <w:r>
        <w:rPr>
          <w:lang w:val="en-US"/>
        </w:rPr>
        <w:t>et al</w:t>
      </w:r>
      <w:r w:rsidR="00F055D6">
        <w:rPr>
          <w:lang w:val="en-US"/>
        </w:rPr>
        <w:t>.</w:t>
      </w:r>
      <w:r w:rsidRPr="00FE3F6C">
        <w:rPr>
          <w:lang w:val="en-US"/>
        </w:rPr>
        <w:t xml:space="preserve"> 2021. Adrenoleukodystrophy Newborn Screening in California Since 2016: Programmatic Outcomes and Follow-Up. </w:t>
      </w:r>
      <w:r w:rsidRPr="00FE3F6C">
        <w:rPr>
          <w:i/>
          <w:lang w:val="en-US"/>
        </w:rPr>
        <w:t>International Journal of Neonatal Screening,</w:t>
      </w:r>
      <w:r w:rsidRPr="00FE3F6C">
        <w:rPr>
          <w:lang w:val="en-US"/>
        </w:rPr>
        <w:t xml:space="preserve"> 7.</w:t>
      </w:r>
    </w:p>
  </w:footnote>
  <w:footnote w:id="27">
    <w:p w14:paraId="7535851C" w14:textId="62CF6E93" w:rsidR="00981D97" w:rsidRDefault="00981D97" w:rsidP="003B65AD">
      <w:pPr>
        <w:pStyle w:val="FootnoteText"/>
        <w:spacing w:before="0"/>
      </w:pPr>
      <w:r>
        <w:rPr>
          <w:rStyle w:val="FootnoteReference"/>
        </w:rPr>
        <w:footnoteRef/>
      </w:r>
      <w:r>
        <w:t xml:space="preserve"> </w:t>
      </w:r>
      <w:r w:rsidRPr="00981D97">
        <w:rPr>
          <w:lang w:val="en-US"/>
        </w:rPr>
        <w:t>W</w:t>
      </w:r>
      <w:r>
        <w:rPr>
          <w:lang w:val="en-US"/>
        </w:rPr>
        <w:t>iens K, et al.</w:t>
      </w:r>
      <w:r w:rsidRPr="00981D97">
        <w:rPr>
          <w:lang w:val="en-US"/>
        </w:rPr>
        <w:t xml:space="preserve"> 2019. A report on state-wide implementation of newborn screening for X-linked Adrenoleukodystrophy. </w:t>
      </w:r>
      <w:r w:rsidRPr="00981D97">
        <w:rPr>
          <w:i/>
          <w:lang w:val="en-US"/>
        </w:rPr>
        <w:t>Am J Med Genet A,</w:t>
      </w:r>
      <w:r w:rsidRPr="00981D97">
        <w:rPr>
          <w:lang w:val="en-US"/>
        </w:rPr>
        <w:t xml:space="preserve"> 179</w:t>
      </w:r>
      <w:r w:rsidRPr="00981D97">
        <w:rPr>
          <w:b/>
          <w:lang w:val="en-US"/>
        </w:rPr>
        <w:t>,</w:t>
      </w:r>
      <w:r w:rsidRPr="00981D97">
        <w:rPr>
          <w:lang w:val="en-US"/>
        </w:rPr>
        <w:t xml:space="preserve"> 1205-1213.</w:t>
      </w:r>
    </w:p>
  </w:footnote>
  <w:footnote w:id="28">
    <w:p w14:paraId="4EE6CBB6" w14:textId="0B885DA7" w:rsidR="00C9361A" w:rsidRDefault="00C9361A" w:rsidP="003B65AD">
      <w:pPr>
        <w:pStyle w:val="FootnoteText"/>
        <w:spacing w:before="0"/>
      </w:pPr>
      <w:r>
        <w:rPr>
          <w:rStyle w:val="FootnoteReference"/>
        </w:rPr>
        <w:footnoteRef/>
      </w:r>
      <w:r>
        <w:t xml:space="preserve"> </w:t>
      </w:r>
      <w:r w:rsidRPr="00C9361A">
        <w:rPr>
          <w:lang w:val="en-US"/>
        </w:rPr>
        <w:t>P</w:t>
      </w:r>
      <w:r>
        <w:rPr>
          <w:lang w:val="en-US"/>
        </w:rPr>
        <w:t>eters C, et al</w:t>
      </w:r>
      <w:r w:rsidRPr="00C9361A">
        <w:rPr>
          <w:lang w:val="en-US"/>
        </w:rPr>
        <w:t xml:space="preserve">. 2004. Cerebral X-linked adrenoleukodystrophy: the international hematopoietic cell transplantation experience from 1982 to 1999. </w:t>
      </w:r>
      <w:r w:rsidRPr="00C9361A">
        <w:rPr>
          <w:i/>
          <w:lang w:val="en-US"/>
        </w:rPr>
        <w:t>Blood,</w:t>
      </w:r>
      <w:r w:rsidRPr="00C9361A">
        <w:rPr>
          <w:lang w:val="en-US"/>
        </w:rPr>
        <w:t xml:space="preserve"> 104</w:t>
      </w:r>
      <w:r w:rsidRPr="00C9361A">
        <w:rPr>
          <w:b/>
          <w:lang w:val="en-US"/>
        </w:rPr>
        <w:t>,</w:t>
      </w:r>
      <w:r w:rsidRPr="00C9361A">
        <w:rPr>
          <w:lang w:val="en-US"/>
        </w:rPr>
        <w:t xml:space="preserve"> 881-888.</w:t>
      </w:r>
    </w:p>
  </w:footnote>
  <w:footnote w:id="29">
    <w:p w14:paraId="62E2FC8E" w14:textId="7A984647" w:rsidR="009D5C0D" w:rsidRDefault="009D5C0D" w:rsidP="003B65AD">
      <w:pPr>
        <w:pStyle w:val="FootnoteText"/>
        <w:spacing w:before="0"/>
      </w:pPr>
      <w:r>
        <w:rPr>
          <w:rStyle w:val="FootnoteReference"/>
        </w:rPr>
        <w:footnoteRef/>
      </w:r>
      <w:r>
        <w:t xml:space="preserve"> </w:t>
      </w:r>
      <w:r w:rsidRPr="009D5C0D">
        <w:rPr>
          <w:lang w:val="en-US"/>
        </w:rPr>
        <w:t xml:space="preserve">Bladowska J, </w:t>
      </w:r>
      <w:r>
        <w:rPr>
          <w:lang w:val="en-US"/>
        </w:rPr>
        <w:t>et al</w:t>
      </w:r>
      <w:r w:rsidRPr="009D5C0D">
        <w:rPr>
          <w:lang w:val="en-US"/>
        </w:rPr>
        <w:t xml:space="preserve">. 2015. The Role of MR Imaging in the Assessment of Clinical Outcomes in Children with X-Linked Adrenoleukodystrophy after Allogeneic Haematopoietic Stem Cell Transplantation. </w:t>
      </w:r>
      <w:r w:rsidRPr="009D5C0D">
        <w:rPr>
          <w:i/>
          <w:lang w:val="en-US"/>
        </w:rPr>
        <w:t>Polish Journal of Radiology,</w:t>
      </w:r>
      <w:r w:rsidRPr="009D5C0D">
        <w:rPr>
          <w:lang w:val="en-US"/>
        </w:rPr>
        <w:t xml:space="preserve"> 80</w:t>
      </w:r>
      <w:r w:rsidRPr="009D5C0D">
        <w:rPr>
          <w:b/>
          <w:lang w:val="en-US"/>
        </w:rPr>
        <w:t>,</w:t>
      </w:r>
      <w:r w:rsidRPr="009D5C0D">
        <w:rPr>
          <w:lang w:val="en-US"/>
        </w:rPr>
        <w:t xml:space="preserve"> 181-190.</w:t>
      </w:r>
    </w:p>
  </w:footnote>
  <w:footnote w:id="30">
    <w:p w14:paraId="3DD19E76" w14:textId="0DB72341" w:rsidR="009E3E80" w:rsidRDefault="009E3E80" w:rsidP="003B65AD">
      <w:pPr>
        <w:pStyle w:val="FootnoteText"/>
        <w:spacing w:before="0"/>
      </w:pPr>
      <w:r>
        <w:rPr>
          <w:rStyle w:val="FootnoteReference"/>
        </w:rPr>
        <w:footnoteRef/>
      </w:r>
      <w:r>
        <w:t xml:space="preserve"> </w:t>
      </w:r>
      <w:r w:rsidRPr="009E3E80">
        <w:rPr>
          <w:lang w:val="en-US"/>
        </w:rPr>
        <w:t xml:space="preserve">Mallack EJ, </w:t>
      </w:r>
      <w:r>
        <w:rPr>
          <w:lang w:val="en-US"/>
        </w:rPr>
        <w:t>et al</w:t>
      </w:r>
      <w:r w:rsidRPr="009E3E80">
        <w:rPr>
          <w:lang w:val="en-US"/>
        </w:rPr>
        <w:t xml:space="preserve">. 2021. MRI surveillance of boys with X‐linked adrenoleukodystrophy identified by newborn screening: Meta‐analysis and consensus guidelines. </w:t>
      </w:r>
      <w:r w:rsidRPr="009E3E80">
        <w:rPr>
          <w:i/>
          <w:lang w:val="en-US"/>
        </w:rPr>
        <w:t>Journal of Inherited Metabolic Disease,</w:t>
      </w:r>
      <w:r w:rsidRPr="009E3E80">
        <w:rPr>
          <w:lang w:val="en-US"/>
        </w:rPr>
        <w:t xml:space="preserve"> 44</w:t>
      </w:r>
      <w:r w:rsidRPr="009E3E80">
        <w:rPr>
          <w:b/>
          <w:lang w:val="en-US"/>
        </w:rPr>
        <w:t>,</w:t>
      </w:r>
      <w:r w:rsidRPr="009E3E80">
        <w:rPr>
          <w:lang w:val="en-US"/>
        </w:rPr>
        <w:t xml:space="preserve"> 728-739.</w:t>
      </w:r>
    </w:p>
  </w:footnote>
  <w:footnote w:id="31">
    <w:p w14:paraId="006948D4" w14:textId="014FCD9F" w:rsidR="00D872DE" w:rsidRDefault="00D872DE" w:rsidP="003B65AD">
      <w:pPr>
        <w:pStyle w:val="FootnoteText"/>
        <w:spacing w:before="0"/>
      </w:pPr>
      <w:r>
        <w:rPr>
          <w:rStyle w:val="FootnoteReference"/>
        </w:rPr>
        <w:footnoteRef/>
      </w:r>
      <w:r>
        <w:t xml:space="preserve"> </w:t>
      </w:r>
      <w:r w:rsidRPr="00D872DE">
        <w:rPr>
          <w:lang w:val="en-US"/>
        </w:rPr>
        <w:t xml:space="preserve">Kemper AR, </w:t>
      </w:r>
      <w:r>
        <w:rPr>
          <w:lang w:val="en-US"/>
        </w:rPr>
        <w:t>et al</w:t>
      </w:r>
      <w:r w:rsidRPr="00D872DE">
        <w:rPr>
          <w:lang w:val="en-US"/>
        </w:rPr>
        <w:t xml:space="preserve">. 2017. Newborn screening for X-linked adrenoleukodystrophy: evidence summary and advisory committee recommendation. </w:t>
      </w:r>
      <w:r w:rsidRPr="00D872DE">
        <w:rPr>
          <w:i/>
          <w:lang w:val="en-US"/>
        </w:rPr>
        <w:t>Genetics in Medicine,</w:t>
      </w:r>
      <w:r w:rsidRPr="00D872DE">
        <w:rPr>
          <w:lang w:val="en-US"/>
        </w:rPr>
        <w:t xml:space="preserve"> 19</w:t>
      </w:r>
      <w:r w:rsidRPr="00D872DE">
        <w:rPr>
          <w:b/>
          <w:lang w:val="en-US"/>
        </w:rPr>
        <w:t>,</w:t>
      </w:r>
      <w:r w:rsidRPr="00D872DE">
        <w:rPr>
          <w:lang w:val="en-US"/>
        </w:rPr>
        <w:t xml:space="preserve"> 121-126.</w:t>
      </w:r>
    </w:p>
  </w:footnote>
  <w:footnote w:id="32">
    <w:p w14:paraId="704FDC30" w14:textId="0E692F65" w:rsidR="00DB5E7E" w:rsidRDefault="00DB5E7E" w:rsidP="003B65AD">
      <w:pPr>
        <w:pStyle w:val="FootnoteText"/>
        <w:spacing w:before="0"/>
      </w:pPr>
      <w:r>
        <w:rPr>
          <w:rStyle w:val="FootnoteReference"/>
        </w:rPr>
        <w:footnoteRef/>
      </w:r>
      <w:r>
        <w:t xml:space="preserve"> </w:t>
      </w:r>
      <w:r w:rsidR="0063405F" w:rsidRPr="0063405F">
        <w:t>Z</w:t>
      </w:r>
      <w:r w:rsidR="0063405F">
        <w:t>hu</w:t>
      </w:r>
      <w:r w:rsidR="0063405F" w:rsidRPr="0063405F">
        <w:t xml:space="preserve"> J, </w:t>
      </w:r>
      <w:r w:rsidR="0063405F">
        <w:t>et al</w:t>
      </w:r>
      <w:r w:rsidR="0063405F" w:rsidRPr="0063405F">
        <w:t xml:space="preserve">. 2020. The Changing Face of Adrenoleukodystrophy. </w:t>
      </w:r>
      <w:r w:rsidR="0063405F" w:rsidRPr="0063405F">
        <w:rPr>
          <w:i/>
        </w:rPr>
        <w:t>Endocrine Reviews,</w:t>
      </w:r>
      <w:r w:rsidR="0063405F" w:rsidRPr="0063405F">
        <w:t xml:space="preserve"> 41</w:t>
      </w:r>
      <w:r w:rsidR="0063405F" w:rsidRPr="0063405F">
        <w:rPr>
          <w:b/>
        </w:rPr>
        <w:t>,</w:t>
      </w:r>
      <w:r w:rsidR="0063405F" w:rsidRPr="0063405F">
        <w:t xml:space="preserve"> 577-593.</w:t>
      </w:r>
    </w:p>
  </w:footnote>
  <w:footnote w:id="33">
    <w:p w14:paraId="4E594D98" w14:textId="1D6241A2" w:rsidR="000C7CBC" w:rsidRDefault="000C7CBC" w:rsidP="003B65AD">
      <w:pPr>
        <w:pStyle w:val="FootnoteText"/>
        <w:spacing w:before="0"/>
      </w:pPr>
      <w:r>
        <w:rPr>
          <w:rStyle w:val="FootnoteReference"/>
        </w:rPr>
        <w:footnoteRef/>
      </w:r>
      <w:r>
        <w:t xml:space="preserve"> </w:t>
      </w:r>
      <w:r w:rsidRPr="000C7CBC">
        <w:rPr>
          <w:lang w:val="en-US"/>
        </w:rPr>
        <w:t xml:space="preserve">Brosco J, </w:t>
      </w:r>
      <w:r>
        <w:rPr>
          <w:lang w:val="en-US"/>
        </w:rPr>
        <w:t>et al</w:t>
      </w:r>
      <w:r w:rsidRPr="000C7CBC">
        <w:rPr>
          <w:lang w:val="en-US"/>
        </w:rPr>
        <w:t xml:space="preserve">. 2015. Newborn Screening for X-Linked Adrenoleukodystrophy (X-ALD): A Systematic Review of Evidence. </w:t>
      </w:r>
      <w:r w:rsidRPr="000C7CBC">
        <w:rPr>
          <w:i/>
          <w:lang w:val="en-US"/>
        </w:rPr>
        <w:t>In:</w:t>
      </w:r>
      <w:r w:rsidRPr="000C7CBC">
        <w:rPr>
          <w:lang w:val="en-US"/>
        </w:rPr>
        <w:t xml:space="preserve"> KEMPER, A. R. (ed.). UK: Maternal and Child Health Bureau.</w:t>
      </w:r>
    </w:p>
  </w:footnote>
  <w:footnote w:id="34">
    <w:p w14:paraId="4CF3FD32" w14:textId="009571C9" w:rsidR="00BF3FB6" w:rsidRDefault="00BF3FB6" w:rsidP="003B65AD">
      <w:pPr>
        <w:pStyle w:val="FootnoteText"/>
        <w:spacing w:before="0"/>
      </w:pPr>
      <w:r>
        <w:rPr>
          <w:rStyle w:val="FootnoteReference"/>
        </w:rPr>
        <w:footnoteRef/>
      </w:r>
      <w:r>
        <w:t xml:space="preserve"> </w:t>
      </w:r>
      <w:r>
        <w:rPr>
          <w:lang w:val="en-US"/>
        </w:rPr>
        <w:t>Beckmann NB, et al</w:t>
      </w:r>
      <w:r w:rsidRPr="00BF3FB6">
        <w:rPr>
          <w:lang w:val="en-US"/>
        </w:rPr>
        <w:t xml:space="preserve">. 2018. Quality of life among boys with adrenoleukodystrophy following hematopoietic stem cell transplant. </w:t>
      </w:r>
      <w:r w:rsidRPr="00BF3FB6">
        <w:rPr>
          <w:i/>
          <w:lang w:val="en-US"/>
        </w:rPr>
        <w:t>Child Neuropsychol,</w:t>
      </w:r>
      <w:r w:rsidRPr="00BF3FB6">
        <w:rPr>
          <w:lang w:val="en-US"/>
        </w:rPr>
        <w:t xml:space="preserve"> 24</w:t>
      </w:r>
      <w:r w:rsidRPr="00BF3FB6">
        <w:rPr>
          <w:b/>
          <w:lang w:val="en-US"/>
        </w:rPr>
        <w:t>,</w:t>
      </w:r>
      <w:r w:rsidRPr="00BF3FB6">
        <w:rPr>
          <w:lang w:val="en-US"/>
        </w:rPr>
        <w:t xml:space="preserve"> 986-998.</w:t>
      </w:r>
    </w:p>
  </w:footnote>
  <w:footnote w:id="35">
    <w:p w14:paraId="0C1D189C" w14:textId="41D54045" w:rsidR="00321F9A" w:rsidRDefault="00321F9A" w:rsidP="003B65AD">
      <w:pPr>
        <w:pStyle w:val="FootnoteText"/>
        <w:spacing w:before="0"/>
      </w:pPr>
      <w:r>
        <w:rPr>
          <w:rStyle w:val="FootnoteReference"/>
        </w:rPr>
        <w:footnoteRef/>
      </w:r>
      <w:r>
        <w:t xml:space="preserve"> </w:t>
      </w:r>
      <w:r w:rsidRPr="00321F9A">
        <w:rPr>
          <w:lang w:val="en-US"/>
        </w:rPr>
        <w:t>K</w:t>
      </w:r>
      <w:r>
        <w:rPr>
          <w:lang w:val="en-US"/>
        </w:rPr>
        <w:t>uhl JS, et al</w:t>
      </w:r>
      <w:r w:rsidRPr="00321F9A">
        <w:rPr>
          <w:lang w:val="en-US"/>
        </w:rPr>
        <w:t xml:space="preserve">. 2018. Potential Risks to Stable Long-term Outcome of Allogeneic Hematopoietic Stem Cell Transplantation for Children With Cerebral X-linked Adrenoleukodystrophy. </w:t>
      </w:r>
      <w:r w:rsidRPr="00321F9A">
        <w:rPr>
          <w:i/>
          <w:lang w:val="en-US"/>
        </w:rPr>
        <w:t>JAMA Netw Open,</w:t>
      </w:r>
      <w:r w:rsidRPr="00321F9A">
        <w:rPr>
          <w:lang w:val="en-US"/>
        </w:rPr>
        <w:t xml:space="preserve"> 1</w:t>
      </w:r>
      <w:r w:rsidRPr="00321F9A">
        <w:rPr>
          <w:b/>
          <w:lang w:val="en-US"/>
        </w:rPr>
        <w:t>,</w:t>
      </w:r>
      <w:r w:rsidRPr="00321F9A">
        <w:rPr>
          <w:lang w:val="en-US"/>
        </w:rPr>
        <w:t xml:space="preserve"> e180769.</w:t>
      </w:r>
    </w:p>
  </w:footnote>
  <w:footnote w:id="36">
    <w:p w14:paraId="06453016" w14:textId="4D079E8D" w:rsidR="00140CE5" w:rsidRDefault="00140CE5" w:rsidP="003B65AD">
      <w:pPr>
        <w:pStyle w:val="FootnoteText"/>
        <w:spacing w:before="0"/>
      </w:pPr>
      <w:r>
        <w:rPr>
          <w:rStyle w:val="FootnoteReference"/>
        </w:rPr>
        <w:footnoteRef/>
      </w:r>
      <w:r>
        <w:t xml:space="preserve"> </w:t>
      </w:r>
      <w:r>
        <w:rPr>
          <w:lang w:val="en-US"/>
        </w:rPr>
        <w:t>Miller WP, et al</w:t>
      </w:r>
      <w:r w:rsidRPr="00140CE5">
        <w:rPr>
          <w:lang w:val="en-US"/>
        </w:rPr>
        <w:t xml:space="preserve">. 2011. Outcomes after allogeneic hematopoietic cell transplantation for childhood cerebral adrenoleukodystrophy: the largest single-institution cohort report. </w:t>
      </w:r>
      <w:r w:rsidRPr="00140CE5">
        <w:rPr>
          <w:i/>
          <w:lang w:val="en-US"/>
        </w:rPr>
        <w:t>Blood,</w:t>
      </w:r>
      <w:r w:rsidRPr="00140CE5">
        <w:rPr>
          <w:lang w:val="en-US"/>
        </w:rPr>
        <w:t xml:space="preserve"> 118</w:t>
      </w:r>
      <w:r w:rsidRPr="00140CE5">
        <w:rPr>
          <w:b/>
          <w:lang w:val="en-US"/>
        </w:rPr>
        <w:t>,</w:t>
      </w:r>
      <w:r w:rsidRPr="00140CE5">
        <w:rPr>
          <w:lang w:val="en-US"/>
        </w:rPr>
        <w:t xml:space="preserve"> 1971-8.</w:t>
      </w:r>
    </w:p>
  </w:footnote>
  <w:footnote w:id="37">
    <w:p w14:paraId="25891CDD" w14:textId="6D5C6BDA" w:rsidR="006735BB" w:rsidRDefault="006735BB" w:rsidP="003B65AD">
      <w:pPr>
        <w:pStyle w:val="FootnoteText"/>
        <w:spacing w:before="0"/>
      </w:pPr>
      <w:r>
        <w:rPr>
          <w:rStyle w:val="FootnoteReference"/>
        </w:rPr>
        <w:footnoteRef/>
      </w:r>
      <w:r>
        <w:t xml:space="preserve"> </w:t>
      </w:r>
      <w:r w:rsidRPr="006735BB">
        <w:rPr>
          <w:lang w:val="en-US"/>
        </w:rPr>
        <w:t>B</w:t>
      </w:r>
      <w:r>
        <w:rPr>
          <w:lang w:val="en-US"/>
        </w:rPr>
        <w:t>aker CV, et al</w:t>
      </w:r>
      <w:r w:rsidRPr="006735BB">
        <w:rPr>
          <w:lang w:val="en-US"/>
        </w:rPr>
        <w:t xml:space="preserve">. 2022. Newborn Screening for X-Linked Adrenoleukodystrophy in Nebraska: Initial Experiences and Challenges. </w:t>
      </w:r>
      <w:r w:rsidRPr="006735BB">
        <w:rPr>
          <w:i/>
          <w:lang w:val="en-US"/>
        </w:rPr>
        <w:t>Int J Neonatal Screen,</w:t>
      </w:r>
      <w:r w:rsidRPr="006735BB">
        <w:rPr>
          <w:lang w:val="en-US"/>
        </w:rPr>
        <w:t xml:space="preserve"> 8.</w:t>
      </w:r>
    </w:p>
  </w:footnote>
  <w:footnote w:id="38">
    <w:p w14:paraId="4785F27C" w14:textId="5E2D2B52" w:rsidR="00100DAF" w:rsidRDefault="00100DAF" w:rsidP="003B65AD">
      <w:pPr>
        <w:pStyle w:val="FootnoteText"/>
        <w:spacing w:before="0"/>
      </w:pPr>
      <w:r>
        <w:rPr>
          <w:rStyle w:val="FootnoteReference"/>
        </w:rPr>
        <w:footnoteRef/>
      </w:r>
      <w:r>
        <w:t xml:space="preserve"> </w:t>
      </w:r>
      <w:r w:rsidR="000E29F5" w:rsidRPr="00100DAF">
        <w:rPr>
          <w:lang w:val="en-US"/>
        </w:rPr>
        <w:t>Priestley</w:t>
      </w:r>
      <w:r w:rsidRPr="00100DAF">
        <w:rPr>
          <w:lang w:val="en-US"/>
        </w:rPr>
        <w:t xml:space="preserve"> JRC, </w:t>
      </w:r>
      <w:r w:rsidR="000E29F5">
        <w:rPr>
          <w:lang w:val="en-US"/>
        </w:rPr>
        <w:t>et al</w:t>
      </w:r>
      <w:r w:rsidRPr="00100DAF">
        <w:rPr>
          <w:lang w:val="en-US"/>
        </w:rPr>
        <w:t xml:space="preserve">. 2022. Newborn Screening for X-Linked Adrenoleukodystrophy: Review of Data and Outcomes in Pennsylvania. </w:t>
      </w:r>
      <w:r w:rsidRPr="00100DAF">
        <w:rPr>
          <w:i/>
          <w:lang w:val="en-US"/>
        </w:rPr>
        <w:t>Int J Neonatal Screen,</w:t>
      </w:r>
      <w:r w:rsidRPr="00100DAF">
        <w:rPr>
          <w:lang w:val="en-US"/>
        </w:rPr>
        <w:t xml:space="preserve"> 8.</w:t>
      </w:r>
    </w:p>
  </w:footnote>
  <w:footnote w:id="39">
    <w:p w14:paraId="189E54C4" w14:textId="0C50C12D" w:rsidR="000F38E8" w:rsidRDefault="000F38E8" w:rsidP="000B476D">
      <w:pPr>
        <w:pStyle w:val="FootnoteText"/>
        <w:spacing w:before="0"/>
      </w:pPr>
      <w:r>
        <w:rPr>
          <w:rStyle w:val="FootnoteReference"/>
        </w:rPr>
        <w:footnoteRef/>
      </w:r>
      <w:r>
        <w:t xml:space="preserve"> </w:t>
      </w:r>
      <w:r>
        <w:rPr>
          <w:lang w:val="en-US"/>
        </w:rPr>
        <w:t>Burton BK, et al</w:t>
      </w:r>
      <w:r w:rsidRPr="000F38E8">
        <w:rPr>
          <w:lang w:val="en-US"/>
        </w:rPr>
        <w:t xml:space="preserve">. 2022. Newborn Screening for X-Linked Adrenoleukodystrophy: The Initial Illinois Experience. </w:t>
      </w:r>
      <w:r w:rsidRPr="000F38E8">
        <w:rPr>
          <w:i/>
          <w:lang w:val="en-US"/>
        </w:rPr>
        <w:t>Int J Neonatal Screen,</w:t>
      </w:r>
      <w:r w:rsidRPr="000F38E8">
        <w:rPr>
          <w:lang w:val="en-US"/>
        </w:rPr>
        <w:t xml:space="preserve"> 8.</w:t>
      </w:r>
    </w:p>
  </w:footnote>
  <w:footnote w:id="40">
    <w:p w14:paraId="02D8488B" w14:textId="77777777" w:rsidR="00DF30FD" w:rsidRDefault="00DF30FD" w:rsidP="00DF30FD">
      <w:pPr>
        <w:pStyle w:val="FootnoteText"/>
      </w:pPr>
      <w:r>
        <w:rPr>
          <w:rStyle w:val="FootnoteReference"/>
        </w:rPr>
        <w:footnoteRef/>
      </w:r>
      <w:r>
        <w:t xml:space="preserve"> </w:t>
      </w:r>
      <w:r w:rsidRPr="00D63126">
        <w:t>H</w:t>
      </w:r>
      <w:r>
        <w:t>uffnagel</w:t>
      </w:r>
      <w:r w:rsidRPr="00D63126">
        <w:t xml:space="preserve">, I. C., </w:t>
      </w:r>
      <w:r>
        <w:t>et al</w:t>
      </w:r>
      <w:r w:rsidRPr="00D63126">
        <w:t xml:space="preserve">. 2019. The Natural History of Adrenal Insufficiency in X-Linked Adrenoleukodystrophy: An International Collaboration. </w:t>
      </w:r>
      <w:r w:rsidRPr="00A27632">
        <w:rPr>
          <w:i/>
          <w:iCs/>
        </w:rPr>
        <w:t>J Clin Endocrinol Metab</w:t>
      </w:r>
      <w:r w:rsidRPr="00D63126">
        <w:t>, 104, 118-126.</w:t>
      </w:r>
    </w:p>
  </w:footnote>
  <w:footnote w:id="41">
    <w:p w14:paraId="3E63B418" w14:textId="77777777" w:rsidR="00DF30FD" w:rsidRDefault="00DF30FD" w:rsidP="00DF30FD">
      <w:pPr>
        <w:pStyle w:val="FootnoteText"/>
        <w:spacing w:before="0"/>
      </w:pPr>
      <w:r>
        <w:rPr>
          <w:rStyle w:val="FootnoteReference"/>
        </w:rPr>
        <w:footnoteRef/>
      </w:r>
      <w:r>
        <w:t xml:space="preserve"> Newborn Bloodspot Screening National Policy Framework (NBS NPF), Department of Health, 2018. Available at: </w:t>
      </w:r>
      <w:hyperlink r:id="rId4" w:history="1">
        <w:r w:rsidRPr="0021129C">
          <w:rPr>
            <w:rStyle w:val="Hyperlink"/>
          </w:rPr>
          <w:t>https://www.health.gov.au/resources/publications/newborn-bloodspot-screening-national-policy-framework?language=en</w:t>
        </w:r>
      </w:hyperlink>
      <w:r>
        <w:t xml:space="preserve"> </w:t>
      </w:r>
    </w:p>
  </w:footnote>
  <w:footnote w:id="42">
    <w:p w14:paraId="1200CE05" w14:textId="77777777" w:rsidR="00DF30FD" w:rsidRPr="003B65AD" w:rsidRDefault="00DF30FD" w:rsidP="00DF30FD">
      <w:pPr>
        <w:pStyle w:val="FootnoteText"/>
        <w:spacing w:before="0"/>
        <w:rPr>
          <w:lang w:val="en-US"/>
        </w:rPr>
      </w:pPr>
      <w:r>
        <w:rPr>
          <w:rStyle w:val="FootnoteReference"/>
        </w:rPr>
        <w:footnoteRef/>
      </w:r>
      <w:r>
        <w:t xml:space="preserve"> </w:t>
      </w:r>
      <w:r>
        <w:rPr>
          <w:lang w:val="en-US"/>
        </w:rPr>
        <w:t>Bessey</w:t>
      </w:r>
      <w:r w:rsidRPr="008C378E">
        <w:rPr>
          <w:lang w:val="en-US"/>
        </w:rPr>
        <w:t xml:space="preserve"> A, </w:t>
      </w:r>
      <w:r>
        <w:rPr>
          <w:lang w:val="en-US"/>
        </w:rPr>
        <w:t>et al</w:t>
      </w:r>
      <w:r w:rsidRPr="008C378E">
        <w:rPr>
          <w:lang w:val="en-US"/>
        </w:rPr>
        <w:t xml:space="preserve">. 2018. Economic impact of screening for X-linked Adrenoleukodystrophy within a newborn blood spot screening programme. </w:t>
      </w:r>
      <w:r w:rsidRPr="008C378E">
        <w:rPr>
          <w:i/>
          <w:lang w:val="en-US"/>
        </w:rPr>
        <w:t>Orphanet J Rare Dis,</w:t>
      </w:r>
      <w:r w:rsidRPr="008C378E">
        <w:rPr>
          <w:lang w:val="en-US"/>
        </w:rPr>
        <w:t xml:space="preserve"> 13</w:t>
      </w:r>
      <w:r w:rsidRPr="003B65AD">
        <w:rPr>
          <w:bCs/>
          <w:lang w:val="en-US"/>
        </w:rPr>
        <w:t>,</w:t>
      </w:r>
      <w:r w:rsidRPr="008C378E">
        <w:rPr>
          <w:lang w:val="en-US"/>
        </w:rPr>
        <w:t xml:space="preserve"> 179.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B85A" w14:textId="77777777" w:rsidR="00393F98" w:rsidRDefault="00393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A3BB" w14:textId="77777777" w:rsidR="00393F98" w:rsidRDefault="00393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10D0" w14:textId="77777777" w:rsidR="00393F98" w:rsidRDefault="00393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A36"/>
    <w:multiLevelType w:val="hybridMultilevel"/>
    <w:tmpl w:val="A21A2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418F4"/>
    <w:multiLevelType w:val="hybridMultilevel"/>
    <w:tmpl w:val="2940F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C51056"/>
    <w:multiLevelType w:val="hybridMultilevel"/>
    <w:tmpl w:val="0C94F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B1445"/>
    <w:multiLevelType w:val="hybridMultilevel"/>
    <w:tmpl w:val="D0F49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6C3E38"/>
    <w:multiLevelType w:val="hybridMultilevel"/>
    <w:tmpl w:val="9408604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8"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070E89"/>
    <w:multiLevelType w:val="hybridMultilevel"/>
    <w:tmpl w:val="7F0674E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4371DC"/>
    <w:multiLevelType w:val="multilevel"/>
    <w:tmpl w:val="A3B02F56"/>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specVanish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ED4B07"/>
    <w:multiLevelType w:val="hybridMultilevel"/>
    <w:tmpl w:val="3A88F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065F8C"/>
    <w:multiLevelType w:val="hybridMultilevel"/>
    <w:tmpl w:val="9408604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095746"/>
    <w:multiLevelType w:val="hybridMultilevel"/>
    <w:tmpl w:val="BF2A5A9C"/>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378475124">
    <w:abstractNumId w:val="12"/>
  </w:num>
  <w:num w:numId="2" w16cid:durableId="1267420738">
    <w:abstractNumId w:val="18"/>
  </w:num>
  <w:num w:numId="3" w16cid:durableId="16084531">
    <w:abstractNumId w:val="4"/>
  </w:num>
  <w:num w:numId="4" w16cid:durableId="1680306336">
    <w:abstractNumId w:val="7"/>
  </w:num>
  <w:num w:numId="5" w16cid:durableId="1065296062">
    <w:abstractNumId w:val="16"/>
  </w:num>
  <w:num w:numId="6" w16cid:durableId="1119496130">
    <w:abstractNumId w:val="8"/>
  </w:num>
  <w:num w:numId="7" w16cid:durableId="929313363">
    <w:abstractNumId w:val="10"/>
  </w:num>
  <w:num w:numId="8" w16cid:durableId="315648807">
    <w:abstractNumId w:val="11"/>
  </w:num>
  <w:num w:numId="9" w16cid:durableId="213347686">
    <w:abstractNumId w:val="15"/>
  </w:num>
  <w:num w:numId="10" w16cid:durableId="1696730993">
    <w:abstractNumId w:val="5"/>
  </w:num>
  <w:num w:numId="11" w16cid:durableId="1041638260">
    <w:abstractNumId w:val="13"/>
  </w:num>
  <w:num w:numId="12" w16cid:durableId="1234393167">
    <w:abstractNumId w:val="1"/>
  </w:num>
  <w:num w:numId="13" w16cid:durableId="293680276">
    <w:abstractNumId w:val="14"/>
  </w:num>
  <w:num w:numId="14" w16cid:durableId="1852064444">
    <w:abstractNumId w:val="17"/>
  </w:num>
  <w:num w:numId="15" w16cid:durableId="1031033988">
    <w:abstractNumId w:val="6"/>
  </w:num>
  <w:num w:numId="16" w16cid:durableId="2000234782">
    <w:abstractNumId w:val="9"/>
  </w:num>
  <w:num w:numId="17" w16cid:durableId="1689478387">
    <w:abstractNumId w:val="2"/>
  </w:num>
  <w:num w:numId="18" w16cid:durableId="113062335">
    <w:abstractNumId w:val="3"/>
  </w:num>
  <w:num w:numId="19" w16cid:durableId="47927574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AwsjA3MrU0MDI0tDRW0lEKTi0uzszPAykwM60FAJQGRx8tAAAA"/>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0vxwpf9wzvtiews9dpt0acffet2dft2xxv&quot;&gt;ashley.soytemiz@mq.edu.au&lt;record-ids&gt;&lt;item&gt;10430&lt;/item&gt;&lt;item&gt;10434&lt;/item&gt;&lt;item&gt;10436&lt;/item&gt;&lt;item&gt;10437&lt;/item&gt;&lt;item&gt;10439&lt;/item&gt;&lt;item&gt;10440&lt;/item&gt;&lt;item&gt;10441&lt;/item&gt;&lt;item&gt;10442&lt;/item&gt;&lt;item&gt;10443&lt;/item&gt;&lt;item&gt;10444&lt;/item&gt;&lt;item&gt;10445&lt;/item&gt;&lt;item&gt;10446&lt;/item&gt;&lt;item&gt;10447&lt;/item&gt;&lt;item&gt;10448&lt;/item&gt;&lt;item&gt;10449&lt;/item&gt;&lt;item&gt;10451&lt;/item&gt;&lt;item&gt;10452&lt;/item&gt;&lt;item&gt;10453&lt;/item&gt;&lt;item&gt;10454&lt;/item&gt;&lt;item&gt;10455&lt;/item&gt;&lt;item&gt;10456&lt;/item&gt;&lt;item&gt;10457&lt;/item&gt;&lt;item&gt;10458&lt;/item&gt;&lt;item&gt;10459&lt;/item&gt;&lt;item&gt;10460&lt;/item&gt;&lt;item&gt;10461&lt;/item&gt;&lt;item&gt;10462&lt;/item&gt;&lt;item&gt;10463&lt;/item&gt;&lt;item&gt;10465&lt;/item&gt;&lt;item&gt;10466&lt;/item&gt;&lt;item&gt;10467&lt;/item&gt;&lt;item&gt;10468&lt;/item&gt;&lt;item&gt;10469&lt;/item&gt;&lt;item&gt;10470&lt;/item&gt;&lt;item&gt;10471&lt;/item&gt;&lt;item&gt;10472&lt;/item&gt;&lt;item&gt;10473&lt;/item&gt;&lt;item&gt;10474&lt;/item&gt;&lt;item&gt;10475&lt;/item&gt;&lt;item&gt;10476&lt;/item&gt;&lt;item&gt;10477&lt;/item&gt;&lt;item&gt;10478&lt;/item&gt;&lt;item&gt;10479&lt;/item&gt;&lt;item&gt;10480&lt;/item&gt;&lt;item&gt;10482&lt;/item&gt;&lt;item&gt;10483&lt;/item&gt;&lt;item&gt;10484&lt;/item&gt;&lt;item&gt;10486&lt;/item&gt;&lt;item&gt;10487&lt;/item&gt;&lt;item&gt;10488&lt;/item&gt;&lt;item&gt;10502&lt;/item&gt;&lt;item&gt;10503&lt;/item&gt;&lt;item&gt;10504&lt;/item&gt;&lt;item&gt;10505&lt;/item&gt;&lt;item&gt;10506&lt;/item&gt;&lt;item&gt;10507&lt;/item&gt;&lt;item&gt;10509&lt;/item&gt;&lt;item&gt;10510&lt;/item&gt;&lt;item&gt;10514&lt;/item&gt;&lt;item&gt;10516&lt;/item&gt;&lt;item&gt;10519&lt;/item&gt;&lt;item&gt;10522&lt;/item&gt;&lt;item&gt;10523&lt;/item&gt;&lt;item&gt;10525&lt;/item&gt;&lt;item&gt;10526&lt;/item&gt;&lt;item&gt;10528&lt;/item&gt;&lt;item&gt;10531&lt;/item&gt;&lt;item&gt;10532&lt;/item&gt;&lt;item&gt;10533&lt;/item&gt;&lt;item&gt;10534&lt;/item&gt;&lt;item&gt;10536&lt;/item&gt;&lt;item&gt;10537&lt;/item&gt;&lt;item&gt;10539&lt;/item&gt;&lt;item&gt;10540&lt;/item&gt;&lt;item&gt;10541&lt;/item&gt;&lt;item&gt;10542&lt;/item&gt;&lt;item&gt;10544&lt;/item&gt;&lt;item&gt;10547&lt;/item&gt;&lt;item&gt;10553&lt;/item&gt;&lt;item&gt;10554&lt;/item&gt;&lt;item&gt;10555&lt;/item&gt;&lt;item&gt;10556&lt;/item&gt;&lt;item&gt;10558&lt;/item&gt;&lt;item&gt;10560&lt;/item&gt;&lt;item&gt;10561&lt;/item&gt;&lt;item&gt;10564&lt;/item&gt;&lt;item&gt;10567&lt;/item&gt;&lt;item&gt;10571&lt;/item&gt;&lt;item&gt;10574&lt;/item&gt;&lt;item&gt;10575&lt;/item&gt;&lt;item&gt;10578&lt;/item&gt;&lt;item&gt;10581&lt;/item&gt;&lt;item&gt;10583&lt;/item&gt;&lt;item&gt;10584&lt;/item&gt;&lt;item&gt;10588&lt;/item&gt;&lt;item&gt;10589&lt;/item&gt;&lt;item&gt;10590&lt;/item&gt;&lt;item&gt;10592&lt;/item&gt;&lt;item&gt;10593&lt;/item&gt;&lt;item&gt;10594&lt;/item&gt;&lt;item&gt;10595&lt;/item&gt;&lt;item&gt;10596&lt;/item&gt;&lt;item&gt;10598&lt;/item&gt;&lt;item&gt;10599&lt;/item&gt;&lt;item&gt;10600&lt;/item&gt;&lt;item&gt;10602&lt;/item&gt;&lt;item&gt;10603&lt;/item&gt;&lt;item&gt;10674&lt;/item&gt;&lt;item&gt;10676&lt;/item&gt;&lt;/record-ids&gt;&lt;/item&gt;&lt;/Libraries&gt;"/>
  </w:docVars>
  <w:rsids>
    <w:rsidRoot w:val="008157F1"/>
    <w:rsid w:val="000000C7"/>
    <w:rsid w:val="00000145"/>
    <w:rsid w:val="000007E2"/>
    <w:rsid w:val="00000C0C"/>
    <w:rsid w:val="00000E3F"/>
    <w:rsid w:val="0000109A"/>
    <w:rsid w:val="00001108"/>
    <w:rsid w:val="00001396"/>
    <w:rsid w:val="00001615"/>
    <w:rsid w:val="00001AE6"/>
    <w:rsid w:val="00001C39"/>
    <w:rsid w:val="00001F78"/>
    <w:rsid w:val="00002760"/>
    <w:rsid w:val="00002AF9"/>
    <w:rsid w:val="00002EB5"/>
    <w:rsid w:val="00002FB0"/>
    <w:rsid w:val="00003395"/>
    <w:rsid w:val="00003737"/>
    <w:rsid w:val="00003905"/>
    <w:rsid w:val="000039F4"/>
    <w:rsid w:val="00003BDD"/>
    <w:rsid w:val="0000459B"/>
    <w:rsid w:val="00004D69"/>
    <w:rsid w:val="00004ED3"/>
    <w:rsid w:val="00004F0A"/>
    <w:rsid w:val="00004F7F"/>
    <w:rsid w:val="000052B7"/>
    <w:rsid w:val="00005465"/>
    <w:rsid w:val="000054C9"/>
    <w:rsid w:val="00005624"/>
    <w:rsid w:val="00005B81"/>
    <w:rsid w:val="00005F92"/>
    <w:rsid w:val="00006030"/>
    <w:rsid w:val="000060E3"/>
    <w:rsid w:val="00006331"/>
    <w:rsid w:val="00006533"/>
    <w:rsid w:val="00006C22"/>
    <w:rsid w:val="00007061"/>
    <w:rsid w:val="0000743F"/>
    <w:rsid w:val="00007819"/>
    <w:rsid w:val="00007C03"/>
    <w:rsid w:val="000103A7"/>
    <w:rsid w:val="0001092F"/>
    <w:rsid w:val="00010AC0"/>
    <w:rsid w:val="00010D4D"/>
    <w:rsid w:val="0001155A"/>
    <w:rsid w:val="00011568"/>
    <w:rsid w:val="000115C5"/>
    <w:rsid w:val="0001167F"/>
    <w:rsid w:val="000116A7"/>
    <w:rsid w:val="00011889"/>
    <w:rsid w:val="0001194D"/>
    <w:rsid w:val="00011D3D"/>
    <w:rsid w:val="00011E37"/>
    <w:rsid w:val="00012064"/>
    <w:rsid w:val="00012204"/>
    <w:rsid w:val="0001270F"/>
    <w:rsid w:val="00012AE2"/>
    <w:rsid w:val="00012B9D"/>
    <w:rsid w:val="00012E57"/>
    <w:rsid w:val="00012F5E"/>
    <w:rsid w:val="000135F8"/>
    <w:rsid w:val="00013635"/>
    <w:rsid w:val="000136AD"/>
    <w:rsid w:val="0001373A"/>
    <w:rsid w:val="000138C3"/>
    <w:rsid w:val="0001437D"/>
    <w:rsid w:val="000146B8"/>
    <w:rsid w:val="000148F2"/>
    <w:rsid w:val="00014974"/>
    <w:rsid w:val="00014D91"/>
    <w:rsid w:val="0001509A"/>
    <w:rsid w:val="00015D00"/>
    <w:rsid w:val="00015F86"/>
    <w:rsid w:val="00016337"/>
    <w:rsid w:val="0001666A"/>
    <w:rsid w:val="0001766B"/>
    <w:rsid w:val="00017795"/>
    <w:rsid w:val="00018226"/>
    <w:rsid w:val="000206EE"/>
    <w:rsid w:val="0002089B"/>
    <w:rsid w:val="000208B1"/>
    <w:rsid w:val="000212BC"/>
    <w:rsid w:val="00021816"/>
    <w:rsid w:val="000219F9"/>
    <w:rsid w:val="00021C65"/>
    <w:rsid w:val="00021D9B"/>
    <w:rsid w:val="00021DAF"/>
    <w:rsid w:val="000228B8"/>
    <w:rsid w:val="0002296B"/>
    <w:rsid w:val="00022BE3"/>
    <w:rsid w:val="00022E7D"/>
    <w:rsid w:val="00022E94"/>
    <w:rsid w:val="00022F22"/>
    <w:rsid w:val="00022FA2"/>
    <w:rsid w:val="00022FF1"/>
    <w:rsid w:val="000231DE"/>
    <w:rsid w:val="0002381B"/>
    <w:rsid w:val="0002401D"/>
    <w:rsid w:val="00024680"/>
    <w:rsid w:val="0002491D"/>
    <w:rsid w:val="00024C69"/>
    <w:rsid w:val="00024E67"/>
    <w:rsid w:val="00024EA5"/>
    <w:rsid w:val="00024FA1"/>
    <w:rsid w:val="0002512C"/>
    <w:rsid w:val="000253D3"/>
    <w:rsid w:val="00025730"/>
    <w:rsid w:val="00025EF6"/>
    <w:rsid w:val="00025F32"/>
    <w:rsid w:val="0002733E"/>
    <w:rsid w:val="0002755F"/>
    <w:rsid w:val="0002790B"/>
    <w:rsid w:val="00027A23"/>
    <w:rsid w:val="000303E9"/>
    <w:rsid w:val="00030501"/>
    <w:rsid w:val="0003065B"/>
    <w:rsid w:val="00030B36"/>
    <w:rsid w:val="00031050"/>
    <w:rsid w:val="0003143A"/>
    <w:rsid w:val="00031566"/>
    <w:rsid w:val="00031642"/>
    <w:rsid w:val="00031732"/>
    <w:rsid w:val="0003180D"/>
    <w:rsid w:val="00031C02"/>
    <w:rsid w:val="00031D9B"/>
    <w:rsid w:val="0003208A"/>
    <w:rsid w:val="000320B3"/>
    <w:rsid w:val="000320DB"/>
    <w:rsid w:val="00032100"/>
    <w:rsid w:val="0003210D"/>
    <w:rsid w:val="000326BD"/>
    <w:rsid w:val="00032CCD"/>
    <w:rsid w:val="0003302A"/>
    <w:rsid w:val="00033341"/>
    <w:rsid w:val="00033831"/>
    <w:rsid w:val="0003423A"/>
    <w:rsid w:val="0003477F"/>
    <w:rsid w:val="0003597D"/>
    <w:rsid w:val="00035DC1"/>
    <w:rsid w:val="00036AD8"/>
    <w:rsid w:val="00036BCE"/>
    <w:rsid w:val="00036D74"/>
    <w:rsid w:val="00036E15"/>
    <w:rsid w:val="00037005"/>
    <w:rsid w:val="00037037"/>
    <w:rsid w:val="00037302"/>
    <w:rsid w:val="00037367"/>
    <w:rsid w:val="000377CD"/>
    <w:rsid w:val="000378E3"/>
    <w:rsid w:val="00037B0C"/>
    <w:rsid w:val="00037D63"/>
    <w:rsid w:val="00037DA7"/>
    <w:rsid w:val="00037EF6"/>
    <w:rsid w:val="00037FDC"/>
    <w:rsid w:val="0004005D"/>
    <w:rsid w:val="00040329"/>
    <w:rsid w:val="00040331"/>
    <w:rsid w:val="00040ADF"/>
    <w:rsid w:val="00040B4B"/>
    <w:rsid w:val="00040B5F"/>
    <w:rsid w:val="00040B65"/>
    <w:rsid w:val="00040B82"/>
    <w:rsid w:val="00040E12"/>
    <w:rsid w:val="00040FB4"/>
    <w:rsid w:val="0004178C"/>
    <w:rsid w:val="00041A70"/>
    <w:rsid w:val="00041D8B"/>
    <w:rsid w:val="00041F5D"/>
    <w:rsid w:val="00042086"/>
    <w:rsid w:val="0004271F"/>
    <w:rsid w:val="000432BF"/>
    <w:rsid w:val="0004331E"/>
    <w:rsid w:val="00043F8D"/>
    <w:rsid w:val="000441DF"/>
    <w:rsid w:val="000441E8"/>
    <w:rsid w:val="000443A6"/>
    <w:rsid w:val="000444DC"/>
    <w:rsid w:val="00044530"/>
    <w:rsid w:val="000449D1"/>
    <w:rsid w:val="00044A6D"/>
    <w:rsid w:val="00044F4D"/>
    <w:rsid w:val="00044FD9"/>
    <w:rsid w:val="00045015"/>
    <w:rsid w:val="00045504"/>
    <w:rsid w:val="000456D3"/>
    <w:rsid w:val="00045B8D"/>
    <w:rsid w:val="00045CA6"/>
    <w:rsid w:val="00045CC5"/>
    <w:rsid w:val="000464F0"/>
    <w:rsid w:val="0004690D"/>
    <w:rsid w:val="00046B6A"/>
    <w:rsid w:val="00046E83"/>
    <w:rsid w:val="000472D4"/>
    <w:rsid w:val="00047507"/>
    <w:rsid w:val="000476B2"/>
    <w:rsid w:val="00047839"/>
    <w:rsid w:val="000501C7"/>
    <w:rsid w:val="00050911"/>
    <w:rsid w:val="00050A8E"/>
    <w:rsid w:val="00050CBF"/>
    <w:rsid w:val="00050FB5"/>
    <w:rsid w:val="0005123F"/>
    <w:rsid w:val="000512AE"/>
    <w:rsid w:val="000512DB"/>
    <w:rsid w:val="00051382"/>
    <w:rsid w:val="00051401"/>
    <w:rsid w:val="000514FC"/>
    <w:rsid w:val="000519D7"/>
    <w:rsid w:val="000521DF"/>
    <w:rsid w:val="000526A3"/>
    <w:rsid w:val="00052DD3"/>
    <w:rsid w:val="0005302C"/>
    <w:rsid w:val="00053036"/>
    <w:rsid w:val="000530A2"/>
    <w:rsid w:val="0005326D"/>
    <w:rsid w:val="0005341C"/>
    <w:rsid w:val="0005347D"/>
    <w:rsid w:val="00053AF4"/>
    <w:rsid w:val="00053D50"/>
    <w:rsid w:val="00053DC5"/>
    <w:rsid w:val="00053F6C"/>
    <w:rsid w:val="0005410F"/>
    <w:rsid w:val="00054488"/>
    <w:rsid w:val="0005451F"/>
    <w:rsid w:val="00054A99"/>
    <w:rsid w:val="00054F65"/>
    <w:rsid w:val="00054FED"/>
    <w:rsid w:val="000554AA"/>
    <w:rsid w:val="000555ED"/>
    <w:rsid w:val="0005575E"/>
    <w:rsid w:val="0005586F"/>
    <w:rsid w:val="00055BF8"/>
    <w:rsid w:val="00056434"/>
    <w:rsid w:val="0005693A"/>
    <w:rsid w:val="00056A4F"/>
    <w:rsid w:val="00057181"/>
    <w:rsid w:val="00057334"/>
    <w:rsid w:val="00057535"/>
    <w:rsid w:val="00057853"/>
    <w:rsid w:val="00057BC3"/>
    <w:rsid w:val="00057E29"/>
    <w:rsid w:val="0006045A"/>
    <w:rsid w:val="00060A94"/>
    <w:rsid w:val="00061225"/>
    <w:rsid w:val="0006188D"/>
    <w:rsid w:val="000620B0"/>
    <w:rsid w:val="000620F9"/>
    <w:rsid w:val="00062403"/>
    <w:rsid w:val="000626E7"/>
    <w:rsid w:val="00062C3D"/>
    <w:rsid w:val="00062E25"/>
    <w:rsid w:val="00062F0A"/>
    <w:rsid w:val="00062FC8"/>
    <w:rsid w:val="00063068"/>
    <w:rsid w:val="00063268"/>
    <w:rsid w:val="0006339C"/>
    <w:rsid w:val="00063958"/>
    <w:rsid w:val="00063A18"/>
    <w:rsid w:val="00063FFD"/>
    <w:rsid w:val="00064539"/>
    <w:rsid w:val="00064783"/>
    <w:rsid w:val="000647C2"/>
    <w:rsid w:val="00064C49"/>
    <w:rsid w:val="00064CD6"/>
    <w:rsid w:val="00064F21"/>
    <w:rsid w:val="0006513D"/>
    <w:rsid w:val="0006515A"/>
    <w:rsid w:val="00065250"/>
    <w:rsid w:val="00065450"/>
    <w:rsid w:val="00065708"/>
    <w:rsid w:val="00065A4B"/>
    <w:rsid w:val="00065B69"/>
    <w:rsid w:val="00065FF4"/>
    <w:rsid w:val="000661A7"/>
    <w:rsid w:val="000661D0"/>
    <w:rsid w:val="000661FA"/>
    <w:rsid w:val="00066BB1"/>
    <w:rsid w:val="00066D16"/>
    <w:rsid w:val="00066F41"/>
    <w:rsid w:val="00067019"/>
    <w:rsid w:val="0006735B"/>
    <w:rsid w:val="00067A2B"/>
    <w:rsid w:val="00067D1F"/>
    <w:rsid w:val="00070010"/>
    <w:rsid w:val="000700CE"/>
    <w:rsid w:val="0007021F"/>
    <w:rsid w:val="000704BA"/>
    <w:rsid w:val="000709A0"/>
    <w:rsid w:val="0007123F"/>
    <w:rsid w:val="00071548"/>
    <w:rsid w:val="0007175E"/>
    <w:rsid w:val="00071D0E"/>
    <w:rsid w:val="00071D3A"/>
    <w:rsid w:val="00072D2C"/>
    <w:rsid w:val="000730B0"/>
    <w:rsid w:val="000732D9"/>
    <w:rsid w:val="0007347F"/>
    <w:rsid w:val="000735E4"/>
    <w:rsid w:val="00073AB9"/>
    <w:rsid w:val="00073C38"/>
    <w:rsid w:val="00074199"/>
    <w:rsid w:val="00074CB9"/>
    <w:rsid w:val="00074D27"/>
    <w:rsid w:val="00074E01"/>
    <w:rsid w:val="000750F9"/>
    <w:rsid w:val="000751AC"/>
    <w:rsid w:val="0007529E"/>
    <w:rsid w:val="0007577C"/>
    <w:rsid w:val="00075BB4"/>
    <w:rsid w:val="000761E4"/>
    <w:rsid w:val="0007633C"/>
    <w:rsid w:val="0007660A"/>
    <w:rsid w:val="00076A74"/>
    <w:rsid w:val="00076AAA"/>
    <w:rsid w:val="00076B4D"/>
    <w:rsid w:val="00076CA8"/>
    <w:rsid w:val="00077BDF"/>
    <w:rsid w:val="00077CB3"/>
    <w:rsid w:val="00077FDB"/>
    <w:rsid w:val="00080241"/>
    <w:rsid w:val="00080424"/>
    <w:rsid w:val="00081028"/>
    <w:rsid w:val="000810F7"/>
    <w:rsid w:val="00081400"/>
    <w:rsid w:val="000814D1"/>
    <w:rsid w:val="0008150F"/>
    <w:rsid w:val="00081778"/>
    <w:rsid w:val="00081A27"/>
    <w:rsid w:val="00081E3A"/>
    <w:rsid w:val="000824C3"/>
    <w:rsid w:val="000824CA"/>
    <w:rsid w:val="000828A7"/>
    <w:rsid w:val="00082E8D"/>
    <w:rsid w:val="000832F6"/>
    <w:rsid w:val="00083701"/>
    <w:rsid w:val="000837FF"/>
    <w:rsid w:val="00083CD1"/>
    <w:rsid w:val="00083DFC"/>
    <w:rsid w:val="00084668"/>
    <w:rsid w:val="00084A05"/>
    <w:rsid w:val="0008510D"/>
    <w:rsid w:val="000852A2"/>
    <w:rsid w:val="000856CC"/>
    <w:rsid w:val="00085A65"/>
    <w:rsid w:val="00085F43"/>
    <w:rsid w:val="000860CD"/>
    <w:rsid w:val="000861A0"/>
    <w:rsid w:val="000864D0"/>
    <w:rsid w:val="000865CB"/>
    <w:rsid w:val="00087023"/>
    <w:rsid w:val="000870B6"/>
    <w:rsid w:val="00090423"/>
    <w:rsid w:val="00090613"/>
    <w:rsid w:val="00090BD1"/>
    <w:rsid w:val="00090C5C"/>
    <w:rsid w:val="00090E75"/>
    <w:rsid w:val="000917F0"/>
    <w:rsid w:val="00091857"/>
    <w:rsid w:val="000918F7"/>
    <w:rsid w:val="000918F8"/>
    <w:rsid w:val="00091C59"/>
    <w:rsid w:val="0009210F"/>
    <w:rsid w:val="0009242A"/>
    <w:rsid w:val="00092A21"/>
    <w:rsid w:val="00092D5F"/>
    <w:rsid w:val="00093150"/>
    <w:rsid w:val="00093564"/>
    <w:rsid w:val="000935BE"/>
    <w:rsid w:val="00093918"/>
    <w:rsid w:val="00093C09"/>
    <w:rsid w:val="00093D9A"/>
    <w:rsid w:val="0009432B"/>
    <w:rsid w:val="00094656"/>
    <w:rsid w:val="0009478B"/>
    <w:rsid w:val="00094796"/>
    <w:rsid w:val="000947F3"/>
    <w:rsid w:val="00094D01"/>
    <w:rsid w:val="00094E31"/>
    <w:rsid w:val="00094FAB"/>
    <w:rsid w:val="00094FDD"/>
    <w:rsid w:val="00095E28"/>
    <w:rsid w:val="0009653A"/>
    <w:rsid w:val="000969E3"/>
    <w:rsid w:val="00096B52"/>
    <w:rsid w:val="00096D28"/>
    <w:rsid w:val="00096DA7"/>
    <w:rsid w:val="00097627"/>
    <w:rsid w:val="000A071D"/>
    <w:rsid w:val="000A0720"/>
    <w:rsid w:val="000A10BF"/>
    <w:rsid w:val="000A1467"/>
    <w:rsid w:val="000A1580"/>
    <w:rsid w:val="000A1D57"/>
    <w:rsid w:val="000A1D88"/>
    <w:rsid w:val="000A1F73"/>
    <w:rsid w:val="000A1FD5"/>
    <w:rsid w:val="000A2521"/>
    <w:rsid w:val="000A296D"/>
    <w:rsid w:val="000A2ACD"/>
    <w:rsid w:val="000A2B65"/>
    <w:rsid w:val="000A2DA8"/>
    <w:rsid w:val="000A2DCF"/>
    <w:rsid w:val="000A325E"/>
    <w:rsid w:val="000A3361"/>
    <w:rsid w:val="000A3512"/>
    <w:rsid w:val="000A371A"/>
    <w:rsid w:val="000A3DFE"/>
    <w:rsid w:val="000A3EDB"/>
    <w:rsid w:val="000A4ABF"/>
    <w:rsid w:val="000A4B59"/>
    <w:rsid w:val="000A4BF2"/>
    <w:rsid w:val="000A50EA"/>
    <w:rsid w:val="000A53D1"/>
    <w:rsid w:val="000A557B"/>
    <w:rsid w:val="000A5C47"/>
    <w:rsid w:val="000A5DF6"/>
    <w:rsid w:val="000A629E"/>
    <w:rsid w:val="000A6338"/>
    <w:rsid w:val="000A6676"/>
    <w:rsid w:val="000A6B30"/>
    <w:rsid w:val="000A7202"/>
    <w:rsid w:val="000A7215"/>
    <w:rsid w:val="000A7298"/>
    <w:rsid w:val="000A7A8A"/>
    <w:rsid w:val="000A7E9B"/>
    <w:rsid w:val="000A7EE5"/>
    <w:rsid w:val="000B00B2"/>
    <w:rsid w:val="000B052D"/>
    <w:rsid w:val="000B05C7"/>
    <w:rsid w:val="000B0A54"/>
    <w:rsid w:val="000B0CA1"/>
    <w:rsid w:val="000B0FB1"/>
    <w:rsid w:val="000B173A"/>
    <w:rsid w:val="000B179A"/>
    <w:rsid w:val="000B1F52"/>
    <w:rsid w:val="000B2368"/>
    <w:rsid w:val="000B2383"/>
    <w:rsid w:val="000B2F8B"/>
    <w:rsid w:val="000B31CF"/>
    <w:rsid w:val="000B31E3"/>
    <w:rsid w:val="000B324B"/>
    <w:rsid w:val="000B3330"/>
    <w:rsid w:val="000B33E2"/>
    <w:rsid w:val="000B373C"/>
    <w:rsid w:val="000B397C"/>
    <w:rsid w:val="000B3A69"/>
    <w:rsid w:val="000B3A6C"/>
    <w:rsid w:val="000B3D6A"/>
    <w:rsid w:val="000B45F8"/>
    <w:rsid w:val="000B476D"/>
    <w:rsid w:val="000B48A7"/>
    <w:rsid w:val="000B4EE5"/>
    <w:rsid w:val="000B51BB"/>
    <w:rsid w:val="000B53D4"/>
    <w:rsid w:val="000B5531"/>
    <w:rsid w:val="000B5CD1"/>
    <w:rsid w:val="000B5F4E"/>
    <w:rsid w:val="000B640F"/>
    <w:rsid w:val="000B6749"/>
    <w:rsid w:val="000B6B30"/>
    <w:rsid w:val="000B6C84"/>
    <w:rsid w:val="000B6CF0"/>
    <w:rsid w:val="000B720C"/>
    <w:rsid w:val="000B7226"/>
    <w:rsid w:val="000B7390"/>
    <w:rsid w:val="000B740F"/>
    <w:rsid w:val="000B7445"/>
    <w:rsid w:val="000B7483"/>
    <w:rsid w:val="000B7665"/>
    <w:rsid w:val="000B7A3D"/>
    <w:rsid w:val="000B7DFF"/>
    <w:rsid w:val="000B7FF9"/>
    <w:rsid w:val="000C02FE"/>
    <w:rsid w:val="000C03D3"/>
    <w:rsid w:val="000C067C"/>
    <w:rsid w:val="000C0BD0"/>
    <w:rsid w:val="000C0F05"/>
    <w:rsid w:val="000C1412"/>
    <w:rsid w:val="000C15EA"/>
    <w:rsid w:val="000C1602"/>
    <w:rsid w:val="000C1DE7"/>
    <w:rsid w:val="000C1DEB"/>
    <w:rsid w:val="000C24F0"/>
    <w:rsid w:val="000C2AF2"/>
    <w:rsid w:val="000C2B4B"/>
    <w:rsid w:val="000C2FCB"/>
    <w:rsid w:val="000C3136"/>
    <w:rsid w:val="000C32A0"/>
    <w:rsid w:val="000C38D1"/>
    <w:rsid w:val="000C3FB7"/>
    <w:rsid w:val="000C41E1"/>
    <w:rsid w:val="000C4602"/>
    <w:rsid w:val="000C4A64"/>
    <w:rsid w:val="000C4BBD"/>
    <w:rsid w:val="000C4DAD"/>
    <w:rsid w:val="000C564D"/>
    <w:rsid w:val="000C566D"/>
    <w:rsid w:val="000C570F"/>
    <w:rsid w:val="000C57B9"/>
    <w:rsid w:val="000C5867"/>
    <w:rsid w:val="000C5A9A"/>
    <w:rsid w:val="000C63C9"/>
    <w:rsid w:val="000C6867"/>
    <w:rsid w:val="000C6C82"/>
    <w:rsid w:val="000C6FA6"/>
    <w:rsid w:val="000C710F"/>
    <w:rsid w:val="000C73E9"/>
    <w:rsid w:val="000C7464"/>
    <w:rsid w:val="000C77D7"/>
    <w:rsid w:val="000C7B6A"/>
    <w:rsid w:val="000C7C46"/>
    <w:rsid w:val="000C7CBC"/>
    <w:rsid w:val="000C7CC1"/>
    <w:rsid w:val="000C7CC3"/>
    <w:rsid w:val="000D07D1"/>
    <w:rsid w:val="000D09F5"/>
    <w:rsid w:val="000D0D8F"/>
    <w:rsid w:val="000D101D"/>
    <w:rsid w:val="000D148D"/>
    <w:rsid w:val="000D165D"/>
    <w:rsid w:val="000D191C"/>
    <w:rsid w:val="000D1A10"/>
    <w:rsid w:val="000D1B52"/>
    <w:rsid w:val="000D1D29"/>
    <w:rsid w:val="000D1D7D"/>
    <w:rsid w:val="000D1DD4"/>
    <w:rsid w:val="000D203D"/>
    <w:rsid w:val="000D21D8"/>
    <w:rsid w:val="000D254D"/>
    <w:rsid w:val="000D25D2"/>
    <w:rsid w:val="000D2793"/>
    <w:rsid w:val="000D2ABB"/>
    <w:rsid w:val="000D2FE5"/>
    <w:rsid w:val="000D2FF9"/>
    <w:rsid w:val="000D305E"/>
    <w:rsid w:val="000D3164"/>
    <w:rsid w:val="000D39DC"/>
    <w:rsid w:val="000D3D43"/>
    <w:rsid w:val="000D424B"/>
    <w:rsid w:val="000D46F6"/>
    <w:rsid w:val="000D4C1B"/>
    <w:rsid w:val="000D53A5"/>
    <w:rsid w:val="000D5523"/>
    <w:rsid w:val="000D5939"/>
    <w:rsid w:val="000D5C40"/>
    <w:rsid w:val="000D5E0F"/>
    <w:rsid w:val="000D5E8C"/>
    <w:rsid w:val="000D691B"/>
    <w:rsid w:val="000D6BE7"/>
    <w:rsid w:val="000D7372"/>
    <w:rsid w:val="000D74E3"/>
    <w:rsid w:val="000D77BD"/>
    <w:rsid w:val="000D7833"/>
    <w:rsid w:val="000D7853"/>
    <w:rsid w:val="000D7D6E"/>
    <w:rsid w:val="000E021B"/>
    <w:rsid w:val="000E03DC"/>
    <w:rsid w:val="000E0578"/>
    <w:rsid w:val="000E0678"/>
    <w:rsid w:val="000E09BC"/>
    <w:rsid w:val="000E0F01"/>
    <w:rsid w:val="000E1124"/>
    <w:rsid w:val="000E1772"/>
    <w:rsid w:val="000E1EFF"/>
    <w:rsid w:val="000E23D1"/>
    <w:rsid w:val="000E2756"/>
    <w:rsid w:val="000E2803"/>
    <w:rsid w:val="000E29F5"/>
    <w:rsid w:val="000E2EEC"/>
    <w:rsid w:val="000E37B7"/>
    <w:rsid w:val="000E3C0E"/>
    <w:rsid w:val="000E48E0"/>
    <w:rsid w:val="000E5148"/>
    <w:rsid w:val="000E5531"/>
    <w:rsid w:val="000E582C"/>
    <w:rsid w:val="000E5A17"/>
    <w:rsid w:val="000E6410"/>
    <w:rsid w:val="000E6414"/>
    <w:rsid w:val="000E6786"/>
    <w:rsid w:val="000E678B"/>
    <w:rsid w:val="000E6CD4"/>
    <w:rsid w:val="000E70D2"/>
    <w:rsid w:val="000E72A7"/>
    <w:rsid w:val="000E7409"/>
    <w:rsid w:val="000E789A"/>
    <w:rsid w:val="000E7C96"/>
    <w:rsid w:val="000F01AC"/>
    <w:rsid w:val="000F0D6F"/>
    <w:rsid w:val="000F106D"/>
    <w:rsid w:val="000F1B2D"/>
    <w:rsid w:val="000F20FE"/>
    <w:rsid w:val="000F2642"/>
    <w:rsid w:val="000F29D9"/>
    <w:rsid w:val="000F2E01"/>
    <w:rsid w:val="000F2E54"/>
    <w:rsid w:val="000F303D"/>
    <w:rsid w:val="000F3355"/>
    <w:rsid w:val="000F38E8"/>
    <w:rsid w:val="000F3A1D"/>
    <w:rsid w:val="000F3A70"/>
    <w:rsid w:val="000F3B52"/>
    <w:rsid w:val="000F3C92"/>
    <w:rsid w:val="000F400C"/>
    <w:rsid w:val="000F484F"/>
    <w:rsid w:val="000F4856"/>
    <w:rsid w:val="000F4857"/>
    <w:rsid w:val="000F4A82"/>
    <w:rsid w:val="000F4D1C"/>
    <w:rsid w:val="000F5481"/>
    <w:rsid w:val="000F54FB"/>
    <w:rsid w:val="000F556C"/>
    <w:rsid w:val="000F56CB"/>
    <w:rsid w:val="000F5737"/>
    <w:rsid w:val="000F585C"/>
    <w:rsid w:val="000F58DD"/>
    <w:rsid w:val="000F5A54"/>
    <w:rsid w:val="000F5AF8"/>
    <w:rsid w:val="000F5B21"/>
    <w:rsid w:val="000F5B3F"/>
    <w:rsid w:val="000F60A8"/>
    <w:rsid w:val="000F60EE"/>
    <w:rsid w:val="000F6307"/>
    <w:rsid w:val="000F648D"/>
    <w:rsid w:val="000F6655"/>
    <w:rsid w:val="000F6799"/>
    <w:rsid w:val="000F7345"/>
    <w:rsid w:val="000F7775"/>
    <w:rsid w:val="000F77B8"/>
    <w:rsid w:val="000F7987"/>
    <w:rsid w:val="000F7B56"/>
    <w:rsid w:val="000F7B80"/>
    <w:rsid w:val="000FE7F8"/>
    <w:rsid w:val="001004E0"/>
    <w:rsid w:val="0010051C"/>
    <w:rsid w:val="001005F8"/>
    <w:rsid w:val="0010061B"/>
    <w:rsid w:val="001006F3"/>
    <w:rsid w:val="00100856"/>
    <w:rsid w:val="00100D0F"/>
    <w:rsid w:val="00100DAF"/>
    <w:rsid w:val="00101007"/>
    <w:rsid w:val="00101191"/>
    <w:rsid w:val="001012A6"/>
    <w:rsid w:val="00101DA5"/>
    <w:rsid w:val="001021D8"/>
    <w:rsid w:val="0010297E"/>
    <w:rsid w:val="00102DC9"/>
    <w:rsid w:val="00102F53"/>
    <w:rsid w:val="001035E1"/>
    <w:rsid w:val="00103629"/>
    <w:rsid w:val="00103DFB"/>
    <w:rsid w:val="001040DF"/>
    <w:rsid w:val="0010448B"/>
    <w:rsid w:val="00104768"/>
    <w:rsid w:val="001047E2"/>
    <w:rsid w:val="00104E69"/>
    <w:rsid w:val="0010503F"/>
    <w:rsid w:val="00105100"/>
    <w:rsid w:val="0010521F"/>
    <w:rsid w:val="0010564F"/>
    <w:rsid w:val="00105912"/>
    <w:rsid w:val="00105E5D"/>
    <w:rsid w:val="00106051"/>
    <w:rsid w:val="0010607F"/>
    <w:rsid w:val="0010625A"/>
    <w:rsid w:val="00107524"/>
    <w:rsid w:val="0010759B"/>
    <w:rsid w:val="0010798B"/>
    <w:rsid w:val="00107DCD"/>
    <w:rsid w:val="00107EF0"/>
    <w:rsid w:val="0011004E"/>
    <w:rsid w:val="00110085"/>
    <w:rsid w:val="00110107"/>
    <w:rsid w:val="00110953"/>
    <w:rsid w:val="00110A11"/>
    <w:rsid w:val="00110AC0"/>
    <w:rsid w:val="00110B66"/>
    <w:rsid w:val="001110B8"/>
    <w:rsid w:val="0011139F"/>
    <w:rsid w:val="00111417"/>
    <w:rsid w:val="00111593"/>
    <w:rsid w:val="00111659"/>
    <w:rsid w:val="001117A9"/>
    <w:rsid w:val="0011182D"/>
    <w:rsid w:val="00111964"/>
    <w:rsid w:val="00111B41"/>
    <w:rsid w:val="00111FA1"/>
    <w:rsid w:val="0011228A"/>
    <w:rsid w:val="00112486"/>
    <w:rsid w:val="00112497"/>
    <w:rsid w:val="00112848"/>
    <w:rsid w:val="00112953"/>
    <w:rsid w:val="0011298E"/>
    <w:rsid w:val="00112A6D"/>
    <w:rsid w:val="00112ACC"/>
    <w:rsid w:val="00112D19"/>
    <w:rsid w:val="00112EF3"/>
    <w:rsid w:val="0011389C"/>
    <w:rsid w:val="001139DA"/>
    <w:rsid w:val="00113AB2"/>
    <w:rsid w:val="00113BEA"/>
    <w:rsid w:val="00113C60"/>
    <w:rsid w:val="00113D94"/>
    <w:rsid w:val="00114068"/>
    <w:rsid w:val="00114287"/>
    <w:rsid w:val="00114933"/>
    <w:rsid w:val="0011495C"/>
    <w:rsid w:val="001149B8"/>
    <w:rsid w:val="00114C3B"/>
    <w:rsid w:val="00114E37"/>
    <w:rsid w:val="0011508E"/>
    <w:rsid w:val="001152A2"/>
    <w:rsid w:val="001153E9"/>
    <w:rsid w:val="00115491"/>
    <w:rsid w:val="00115516"/>
    <w:rsid w:val="0011561D"/>
    <w:rsid w:val="00115691"/>
    <w:rsid w:val="00115873"/>
    <w:rsid w:val="00116176"/>
    <w:rsid w:val="001163A4"/>
    <w:rsid w:val="001164B1"/>
    <w:rsid w:val="00116C4F"/>
    <w:rsid w:val="00117039"/>
    <w:rsid w:val="00117045"/>
    <w:rsid w:val="0011756E"/>
    <w:rsid w:val="001178D8"/>
    <w:rsid w:val="00117B99"/>
    <w:rsid w:val="00117CA2"/>
    <w:rsid w:val="00117D63"/>
    <w:rsid w:val="00117F04"/>
    <w:rsid w:val="001201A9"/>
    <w:rsid w:val="001203F8"/>
    <w:rsid w:val="00121268"/>
    <w:rsid w:val="0012137F"/>
    <w:rsid w:val="00121897"/>
    <w:rsid w:val="00121F06"/>
    <w:rsid w:val="001221D4"/>
    <w:rsid w:val="00122ABF"/>
    <w:rsid w:val="00122AE3"/>
    <w:rsid w:val="00122EE1"/>
    <w:rsid w:val="00123447"/>
    <w:rsid w:val="00123658"/>
    <w:rsid w:val="001237AF"/>
    <w:rsid w:val="001238D3"/>
    <w:rsid w:val="00123B5B"/>
    <w:rsid w:val="00123B6C"/>
    <w:rsid w:val="001247EB"/>
    <w:rsid w:val="00124999"/>
    <w:rsid w:val="00124A0A"/>
    <w:rsid w:val="00124E6C"/>
    <w:rsid w:val="00124E6F"/>
    <w:rsid w:val="00124F3C"/>
    <w:rsid w:val="00124F7D"/>
    <w:rsid w:val="001252B2"/>
    <w:rsid w:val="00125506"/>
    <w:rsid w:val="00125799"/>
    <w:rsid w:val="00125A16"/>
    <w:rsid w:val="00125B61"/>
    <w:rsid w:val="00125E90"/>
    <w:rsid w:val="00126122"/>
    <w:rsid w:val="001268D8"/>
    <w:rsid w:val="00126E5B"/>
    <w:rsid w:val="00126E91"/>
    <w:rsid w:val="00127062"/>
    <w:rsid w:val="001270E6"/>
    <w:rsid w:val="00130275"/>
    <w:rsid w:val="0013068D"/>
    <w:rsid w:val="001307F5"/>
    <w:rsid w:val="00130B71"/>
    <w:rsid w:val="00130FB4"/>
    <w:rsid w:val="00131436"/>
    <w:rsid w:val="00131530"/>
    <w:rsid w:val="001315C1"/>
    <w:rsid w:val="00131A26"/>
    <w:rsid w:val="00131D45"/>
    <w:rsid w:val="001320F0"/>
    <w:rsid w:val="00132105"/>
    <w:rsid w:val="0013252B"/>
    <w:rsid w:val="00132573"/>
    <w:rsid w:val="00132B76"/>
    <w:rsid w:val="001336E0"/>
    <w:rsid w:val="001338F0"/>
    <w:rsid w:val="00133D77"/>
    <w:rsid w:val="00133F34"/>
    <w:rsid w:val="00134675"/>
    <w:rsid w:val="00134C93"/>
    <w:rsid w:val="00134FBF"/>
    <w:rsid w:val="0013524A"/>
    <w:rsid w:val="0013525D"/>
    <w:rsid w:val="00135273"/>
    <w:rsid w:val="001355F2"/>
    <w:rsid w:val="00135FC9"/>
    <w:rsid w:val="00136152"/>
    <w:rsid w:val="001361EB"/>
    <w:rsid w:val="00136372"/>
    <w:rsid w:val="0013698E"/>
    <w:rsid w:val="00136A4A"/>
    <w:rsid w:val="00136E12"/>
    <w:rsid w:val="00136E31"/>
    <w:rsid w:val="0013702D"/>
    <w:rsid w:val="0013726F"/>
    <w:rsid w:val="0013740B"/>
    <w:rsid w:val="001375E8"/>
    <w:rsid w:val="0013786C"/>
    <w:rsid w:val="00137B93"/>
    <w:rsid w:val="00137C53"/>
    <w:rsid w:val="00137E2D"/>
    <w:rsid w:val="001405B0"/>
    <w:rsid w:val="00140846"/>
    <w:rsid w:val="00140937"/>
    <w:rsid w:val="00140CE3"/>
    <w:rsid w:val="00140CE5"/>
    <w:rsid w:val="00140F02"/>
    <w:rsid w:val="00140FF1"/>
    <w:rsid w:val="00141008"/>
    <w:rsid w:val="00141D48"/>
    <w:rsid w:val="001421AA"/>
    <w:rsid w:val="0014263F"/>
    <w:rsid w:val="0014346F"/>
    <w:rsid w:val="00143478"/>
    <w:rsid w:val="001438FB"/>
    <w:rsid w:val="00143DC1"/>
    <w:rsid w:val="00143F2F"/>
    <w:rsid w:val="00144426"/>
    <w:rsid w:val="001444EB"/>
    <w:rsid w:val="001444EC"/>
    <w:rsid w:val="00144764"/>
    <w:rsid w:val="00144855"/>
    <w:rsid w:val="00144871"/>
    <w:rsid w:val="001448FB"/>
    <w:rsid w:val="00144CF3"/>
    <w:rsid w:val="00144F45"/>
    <w:rsid w:val="0014518C"/>
    <w:rsid w:val="00146624"/>
    <w:rsid w:val="00146CFA"/>
    <w:rsid w:val="00147775"/>
    <w:rsid w:val="001479C4"/>
    <w:rsid w:val="00147D23"/>
    <w:rsid w:val="00147DA0"/>
    <w:rsid w:val="0015024B"/>
    <w:rsid w:val="00150376"/>
    <w:rsid w:val="00150894"/>
    <w:rsid w:val="00150A9B"/>
    <w:rsid w:val="00151A35"/>
    <w:rsid w:val="00151DBD"/>
    <w:rsid w:val="0015244A"/>
    <w:rsid w:val="001529BA"/>
    <w:rsid w:val="001531D6"/>
    <w:rsid w:val="0015348E"/>
    <w:rsid w:val="001536D2"/>
    <w:rsid w:val="00153DD8"/>
    <w:rsid w:val="00153E6D"/>
    <w:rsid w:val="001544F2"/>
    <w:rsid w:val="00154507"/>
    <w:rsid w:val="00154CFE"/>
    <w:rsid w:val="00155434"/>
    <w:rsid w:val="00155763"/>
    <w:rsid w:val="0015578B"/>
    <w:rsid w:val="00155897"/>
    <w:rsid w:val="00155BDA"/>
    <w:rsid w:val="00156FA7"/>
    <w:rsid w:val="001572B8"/>
    <w:rsid w:val="00157512"/>
    <w:rsid w:val="00157550"/>
    <w:rsid w:val="00157583"/>
    <w:rsid w:val="00157B6E"/>
    <w:rsid w:val="0016023A"/>
    <w:rsid w:val="001606B9"/>
    <w:rsid w:val="00160711"/>
    <w:rsid w:val="001612AA"/>
    <w:rsid w:val="00161DE1"/>
    <w:rsid w:val="001621FB"/>
    <w:rsid w:val="00162332"/>
    <w:rsid w:val="00162584"/>
    <w:rsid w:val="00162773"/>
    <w:rsid w:val="001628B6"/>
    <w:rsid w:val="00162B5D"/>
    <w:rsid w:val="00162BB6"/>
    <w:rsid w:val="00162DBF"/>
    <w:rsid w:val="00162F04"/>
    <w:rsid w:val="00163428"/>
    <w:rsid w:val="001639F2"/>
    <w:rsid w:val="00163D81"/>
    <w:rsid w:val="001642CF"/>
    <w:rsid w:val="00164539"/>
    <w:rsid w:val="00164641"/>
    <w:rsid w:val="00164937"/>
    <w:rsid w:val="00164CF8"/>
    <w:rsid w:val="00165142"/>
    <w:rsid w:val="0016539F"/>
    <w:rsid w:val="001653AE"/>
    <w:rsid w:val="00165555"/>
    <w:rsid w:val="00165753"/>
    <w:rsid w:val="001657F5"/>
    <w:rsid w:val="00165846"/>
    <w:rsid w:val="00165921"/>
    <w:rsid w:val="0016592E"/>
    <w:rsid w:val="001659A8"/>
    <w:rsid w:val="001659B7"/>
    <w:rsid w:val="00165A7C"/>
    <w:rsid w:val="00165DB5"/>
    <w:rsid w:val="001666CF"/>
    <w:rsid w:val="0016752B"/>
    <w:rsid w:val="001679A5"/>
    <w:rsid w:val="00167CD3"/>
    <w:rsid w:val="00170006"/>
    <w:rsid w:val="00170015"/>
    <w:rsid w:val="00170248"/>
    <w:rsid w:val="00170D32"/>
    <w:rsid w:val="00170D5B"/>
    <w:rsid w:val="00170F60"/>
    <w:rsid w:val="00171011"/>
    <w:rsid w:val="001710C8"/>
    <w:rsid w:val="001712E9"/>
    <w:rsid w:val="00171341"/>
    <w:rsid w:val="00171BC6"/>
    <w:rsid w:val="00172211"/>
    <w:rsid w:val="00172256"/>
    <w:rsid w:val="0017236A"/>
    <w:rsid w:val="001723EC"/>
    <w:rsid w:val="00172492"/>
    <w:rsid w:val="00172B8F"/>
    <w:rsid w:val="001735C3"/>
    <w:rsid w:val="001736F8"/>
    <w:rsid w:val="00173AAD"/>
    <w:rsid w:val="00173AFB"/>
    <w:rsid w:val="00173D85"/>
    <w:rsid w:val="001743C6"/>
    <w:rsid w:val="00174FD4"/>
    <w:rsid w:val="0017528E"/>
    <w:rsid w:val="001754D1"/>
    <w:rsid w:val="00175B93"/>
    <w:rsid w:val="00175D42"/>
    <w:rsid w:val="00175D78"/>
    <w:rsid w:val="0017661F"/>
    <w:rsid w:val="001768FF"/>
    <w:rsid w:val="00176E9A"/>
    <w:rsid w:val="00176F05"/>
    <w:rsid w:val="001770A6"/>
    <w:rsid w:val="00177407"/>
    <w:rsid w:val="00177F7E"/>
    <w:rsid w:val="00180471"/>
    <w:rsid w:val="00180929"/>
    <w:rsid w:val="00180F2A"/>
    <w:rsid w:val="00181AEB"/>
    <w:rsid w:val="00181F96"/>
    <w:rsid w:val="0018207E"/>
    <w:rsid w:val="0018264F"/>
    <w:rsid w:val="00182892"/>
    <w:rsid w:val="00182DBF"/>
    <w:rsid w:val="00182F6F"/>
    <w:rsid w:val="00183467"/>
    <w:rsid w:val="001837C9"/>
    <w:rsid w:val="001838F2"/>
    <w:rsid w:val="001842F1"/>
    <w:rsid w:val="00184B18"/>
    <w:rsid w:val="00184BAE"/>
    <w:rsid w:val="00184CF3"/>
    <w:rsid w:val="00185560"/>
    <w:rsid w:val="00185658"/>
    <w:rsid w:val="00185812"/>
    <w:rsid w:val="00185885"/>
    <w:rsid w:val="00186211"/>
    <w:rsid w:val="00186B8D"/>
    <w:rsid w:val="00186FED"/>
    <w:rsid w:val="00187609"/>
    <w:rsid w:val="00187B15"/>
    <w:rsid w:val="00187C62"/>
    <w:rsid w:val="00187CBE"/>
    <w:rsid w:val="001900E6"/>
    <w:rsid w:val="00190110"/>
    <w:rsid w:val="00190128"/>
    <w:rsid w:val="00190965"/>
    <w:rsid w:val="0019096F"/>
    <w:rsid w:val="00190BB5"/>
    <w:rsid w:val="00190BD6"/>
    <w:rsid w:val="00190EAD"/>
    <w:rsid w:val="00190F95"/>
    <w:rsid w:val="00190FF7"/>
    <w:rsid w:val="001912E8"/>
    <w:rsid w:val="00191C41"/>
    <w:rsid w:val="00191E1B"/>
    <w:rsid w:val="00191FC8"/>
    <w:rsid w:val="00192A4C"/>
    <w:rsid w:val="00193215"/>
    <w:rsid w:val="0019362A"/>
    <w:rsid w:val="001940D1"/>
    <w:rsid w:val="0019474E"/>
    <w:rsid w:val="00195728"/>
    <w:rsid w:val="0019591A"/>
    <w:rsid w:val="00195AD3"/>
    <w:rsid w:val="00195B98"/>
    <w:rsid w:val="00195F47"/>
    <w:rsid w:val="00196404"/>
    <w:rsid w:val="001964DC"/>
    <w:rsid w:val="001967C2"/>
    <w:rsid w:val="00196E43"/>
    <w:rsid w:val="001970C0"/>
    <w:rsid w:val="0019788B"/>
    <w:rsid w:val="0019799A"/>
    <w:rsid w:val="00197AEF"/>
    <w:rsid w:val="00197D78"/>
    <w:rsid w:val="00197FC1"/>
    <w:rsid w:val="001A031E"/>
    <w:rsid w:val="001A05D2"/>
    <w:rsid w:val="001A0725"/>
    <w:rsid w:val="001A07FF"/>
    <w:rsid w:val="001A08EF"/>
    <w:rsid w:val="001A0BDB"/>
    <w:rsid w:val="001A0DB7"/>
    <w:rsid w:val="001A12BA"/>
    <w:rsid w:val="001A12C7"/>
    <w:rsid w:val="001A1857"/>
    <w:rsid w:val="001A1CB7"/>
    <w:rsid w:val="001A1F75"/>
    <w:rsid w:val="001A269E"/>
    <w:rsid w:val="001A26ED"/>
    <w:rsid w:val="001A2C86"/>
    <w:rsid w:val="001A3707"/>
    <w:rsid w:val="001A37E9"/>
    <w:rsid w:val="001A3997"/>
    <w:rsid w:val="001A3D0C"/>
    <w:rsid w:val="001A3E0F"/>
    <w:rsid w:val="001A4082"/>
    <w:rsid w:val="001A420B"/>
    <w:rsid w:val="001A42BD"/>
    <w:rsid w:val="001A44B0"/>
    <w:rsid w:val="001A49F2"/>
    <w:rsid w:val="001A4AA0"/>
    <w:rsid w:val="001A4B97"/>
    <w:rsid w:val="001A4C69"/>
    <w:rsid w:val="001A4E45"/>
    <w:rsid w:val="001A4F7D"/>
    <w:rsid w:val="001A5CFA"/>
    <w:rsid w:val="001A5D63"/>
    <w:rsid w:val="001A62E6"/>
    <w:rsid w:val="001A66D8"/>
    <w:rsid w:val="001A68F1"/>
    <w:rsid w:val="001A6DBF"/>
    <w:rsid w:val="001A7023"/>
    <w:rsid w:val="001A719D"/>
    <w:rsid w:val="001A78AF"/>
    <w:rsid w:val="001A7A53"/>
    <w:rsid w:val="001A7B42"/>
    <w:rsid w:val="001A7CDA"/>
    <w:rsid w:val="001A7D8F"/>
    <w:rsid w:val="001A7E5B"/>
    <w:rsid w:val="001B0986"/>
    <w:rsid w:val="001B0F10"/>
    <w:rsid w:val="001B16BC"/>
    <w:rsid w:val="001B1C1E"/>
    <w:rsid w:val="001B1D67"/>
    <w:rsid w:val="001B1EB2"/>
    <w:rsid w:val="001B23E9"/>
    <w:rsid w:val="001B2A97"/>
    <w:rsid w:val="001B2C86"/>
    <w:rsid w:val="001B2CA2"/>
    <w:rsid w:val="001B2CD4"/>
    <w:rsid w:val="001B2DFD"/>
    <w:rsid w:val="001B30D5"/>
    <w:rsid w:val="001B3438"/>
    <w:rsid w:val="001B45F5"/>
    <w:rsid w:val="001B4668"/>
    <w:rsid w:val="001B4FA2"/>
    <w:rsid w:val="001B564F"/>
    <w:rsid w:val="001B5769"/>
    <w:rsid w:val="001B57B8"/>
    <w:rsid w:val="001B5907"/>
    <w:rsid w:val="001B67B8"/>
    <w:rsid w:val="001B690B"/>
    <w:rsid w:val="001B69A4"/>
    <w:rsid w:val="001B6C21"/>
    <w:rsid w:val="001B6F17"/>
    <w:rsid w:val="001B7329"/>
    <w:rsid w:val="001B783E"/>
    <w:rsid w:val="001B7CD0"/>
    <w:rsid w:val="001B7F12"/>
    <w:rsid w:val="001B7FDD"/>
    <w:rsid w:val="001B7FE3"/>
    <w:rsid w:val="001C0043"/>
    <w:rsid w:val="001C00EF"/>
    <w:rsid w:val="001C022F"/>
    <w:rsid w:val="001C0532"/>
    <w:rsid w:val="001C0A2D"/>
    <w:rsid w:val="001C0C70"/>
    <w:rsid w:val="001C0DAD"/>
    <w:rsid w:val="001C14E9"/>
    <w:rsid w:val="001C174A"/>
    <w:rsid w:val="001C1B6D"/>
    <w:rsid w:val="001C1D05"/>
    <w:rsid w:val="001C1D37"/>
    <w:rsid w:val="001C287C"/>
    <w:rsid w:val="001C2A48"/>
    <w:rsid w:val="001C2AC2"/>
    <w:rsid w:val="001C30DC"/>
    <w:rsid w:val="001C316B"/>
    <w:rsid w:val="001C3B3E"/>
    <w:rsid w:val="001C4667"/>
    <w:rsid w:val="001C525C"/>
    <w:rsid w:val="001C5CB2"/>
    <w:rsid w:val="001C5CBA"/>
    <w:rsid w:val="001C5FFE"/>
    <w:rsid w:val="001C6094"/>
    <w:rsid w:val="001C60F7"/>
    <w:rsid w:val="001C63E5"/>
    <w:rsid w:val="001C63E9"/>
    <w:rsid w:val="001C6739"/>
    <w:rsid w:val="001C69E3"/>
    <w:rsid w:val="001C6DFD"/>
    <w:rsid w:val="001C71AE"/>
    <w:rsid w:val="001C71B3"/>
    <w:rsid w:val="001C7547"/>
    <w:rsid w:val="001D0017"/>
    <w:rsid w:val="001D0314"/>
    <w:rsid w:val="001D0745"/>
    <w:rsid w:val="001D0E08"/>
    <w:rsid w:val="001D1567"/>
    <w:rsid w:val="001D1571"/>
    <w:rsid w:val="001D1602"/>
    <w:rsid w:val="001D17D9"/>
    <w:rsid w:val="001D1A68"/>
    <w:rsid w:val="001D1D4E"/>
    <w:rsid w:val="001D2B7A"/>
    <w:rsid w:val="001D315D"/>
    <w:rsid w:val="001D31AA"/>
    <w:rsid w:val="001D32C0"/>
    <w:rsid w:val="001D3762"/>
    <w:rsid w:val="001D3A64"/>
    <w:rsid w:val="001D3BB5"/>
    <w:rsid w:val="001D3BF0"/>
    <w:rsid w:val="001D3E32"/>
    <w:rsid w:val="001D404D"/>
    <w:rsid w:val="001D4627"/>
    <w:rsid w:val="001D4746"/>
    <w:rsid w:val="001D50E6"/>
    <w:rsid w:val="001D5793"/>
    <w:rsid w:val="001D62B4"/>
    <w:rsid w:val="001D66A7"/>
    <w:rsid w:val="001D6913"/>
    <w:rsid w:val="001D724E"/>
    <w:rsid w:val="001D74A7"/>
    <w:rsid w:val="001E0808"/>
    <w:rsid w:val="001E0C2E"/>
    <w:rsid w:val="001E13F0"/>
    <w:rsid w:val="001E1591"/>
    <w:rsid w:val="001E15F2"/>
    <w:rsid w:val="001E182F"/>
    <w:rsid w:val="001E1C16"/>
    <w:rsid w:val="001E1D73"/>
    <w:rsid w:val="001E1D95"/>
    <w:rsid w:val="001E1DF5"/>
    <w:rsid w:val="001E1EDB"/>
    <w:rsid w:val="001E1F37"/>
    <w:rsid w:val="001E22F7"/>
    <w:rsid w:val="001E2335"/>
    <w:rsid w:val="001E2CD3"/>
    <w:rsid w:val="001E332F"/>
    <w:rsid w:val="001E355A"/>
    <w:rsid w:val="001E3808"/>
    <w:rsid w:val="001E3A92"/>
    <w:rsid w:val="001E3AAF"/>
    <w:rsid w:val="001E3C1D"/>
    <w:rsid w:val="001E3DCD"/>
    <w:rsid w:val="001E3DE6"/>
    <w:rsid w:val="001E3F0D"/>
    <w:rsid w:val="001E4029"/>
    <w:rsid w:val="001E41F0"/>
    <w:rsid w:val="001E465F"/>
    <w:rsid w:val="001E47B7"/>
    <w:rsid w:val="001E4A05"/>
    <w:rsid w:val="001E4F47"/>
    <w:rsid w:val="001E5729"/>
    <w:rsid w:val="001E59FF"/>
    <w:rsid w:val="001E5A9C"/>
    <w:rsid w:val="001E5CC9"/>
    <w:rsid w:val="001E5D65"/>
    <w:rsid w:val="001E65CF"/>
    <w:rsid w:val="001E6838"/>
    <w:rsid w:val="001E6F27"/>
    <w:rsid w:val="001E7477"/>
    <w:rsid w:val="001E78D0"/>
    <w:rsid w:val="001E79FF"/>
    <w:rsid w:val="001E7B98"/>
    <w:rsid w:val="001E7C4B"/>
    <w:rsid w:val="001E7FC0"/>
    <w:rsid w:val="001F00C1"/>
    <w:rsid w:val="001F11D3"/>
    <w:rsid w:val="001F1618"/>
    <w:rsid w:val="001F16BA"/>
    <w:rsid w:val="001F1704"/>
    <w:rsid w:val="001F1C16"/>
    <w:rsid w:val="001F1EA2"/>
    <w:rsid w:val="001F2656"/>
    <w:rsid w:val="001F2902"/>
    <w:rsid w:val="001F2994"/>
    <w:rsid w:val="001F2ABE"/>
    <w:rsid w:val="001F35A3"/>
    <w:rsid w:val="001F39C6"/>
    <w:rsid w:val="001F3B77"/>
    <w:rsid w:val="001F3F36"/>
    <w:rsid w:val="001F4442"/>
    <w:rsid w:val="001F4B88"/>
    <w:rsid w:val="001F4FF2"/>
    <w:rsid w:val="001F55FF"/>
    <w:rsid w:val="001F5A4D"/>
    <w:rsid w:val="001F5B4C"/>
    <w:rsid w:val="001F5D1D"/>
    <w:rsid w:val="001F5EB6"/>
    <w:rsid w:val="001F6027"/>
    <w:rsid w:val="001F658C"/>
    <w:rsid w:val="001F675C"/>
    <w:rsid w:val="001F6CF3"/>
    <w:rsid w:val="001F6E1F"/>
    <w:rsid w:val="001F6F44"/>
    <w:rsid w:val="001F70C8"/>
    <w:rsid w:val="001F73CC"/>
    <w:rsid w:val="001F74BF"/>
    <w:rsid w:val="001F7563"/>
    <w:rsid w:val="001F757F"/>
    <w:rsid w:val="001F7662"/>
    <w:rsid w:val="001F77D6"/>
    <w:rsid w:val="001F7EC1"/>
    <w:rsid w:val="002008AB"/>
    <w:rsid w:val="002008E2"/>
    <w:rsid w:val="00200955"/>
    <w:rsid w:val="002009A9"/>
    <w:rsid w:val="0020105B"/>
    <w:rsid w:val="002019CF"/>
    <w:rsid w:val="00201EC3"/>
    <w:rsid w:val="00201F1B"/>
    <w:rsid w:val="002023AD"/>
    <w:rsid w:val="00202958"/>
    <w:rsid w:val="00202B37"/>
    <w:rsid w:val="00202B4B"/>
    <w:rsid w:val="00202C69"/>
    <w:rsid w:val="0020354C"/>
    <w:rsid w:val="00203862"/>
    <w:rsid w:val="00203B30"/>
    <w:rsid w:val="00203BA1"/>
    <w:rsid w:val="00203CEE"/>
    <w:rsid w:val="00203E46"/>
    <w:rsid w:val="002045EE"/>
    <w:rsid w:val="002047FB"/>
    <w:rsid w:val="00204A5C"/>
    <w:rsid w:val="00204B0F"/>
    <w:rsid w:val="00204CDD"/>
    <w:rsid w:val="00204F4D"/>
    <w:rsid w:val="002051D4"/>
    <w:rsid w:val="00205EFA"/>
    <w:rsid w:val="00206072"/>
    <w:rsid w:val="00206581"/>
    <w:rsid w:val="002065A5"/>
    <w:rsid w:val="002065E3"/>
    <w:rsid w:val="00206962"/>
    <w:rsid w:val="00206FAD"/>
    <w:rsid w:val="00207300"/>
    <w:rsid w:val="00207348"/>
    <w:rsid w:val="002076B5"/>
    <w:rsid w:val="002078C2"/>
    <w:rsid w:val="002079C4"/>
    <w:rsid w:val="00207C4E"/>
    <w:rsid w:val="00207F59"/>
    <w:rsid w:val="00211565"/>
    <w:rsid w:val="00211DC3"/>
    <w:rsid w:val="00211F6A"/>
    <w:rsid w:val="002122FE"/>
    <w:rsid w:val="002132E1"/>
    <w:rsid w:val="0021343A"/>
    <w:rsid w:val="002136B6"/>
    <w:rsid w:val="002139FB"/>
    <w:rsid w:val="00214743"/>
    <w:rsid w:val="002148E3"/>
    <w:rsid w:val="00214AF8"/>
    <w:rsid w:val="00214FE6"/>
    <w:rsid w:val="0021512D"/>
    <w:rsid w:val="002155B6"/>
    <w:rsid w:val="002157E4"/>
    <w:rsid w:val="00215AFB"/>
    <w:rsid w:val="00215BE6"/>
    <w:rsid w:val="00215BFF"/>
    <w:rsid w:val="00215C2A"/>
    <w:rsid w:val="00215DEA"/>
    <w:rsid w:val="00216072"/>
    <w:rsid w:val="00216A83"/>
    <w:rsid w:val="00216C22"/>
    <w:rsid w:val="00216FC5"/>
    <w:rsid w:val="002176BA"/>
    <w:rsid w:val="002178C2"/>
    <w:rsid w:val="0021795E"/>
    <w:rsid w:val="00217C17"/>
    <w:rsid w:val="002200D8"/>
    <w:rsid w:val="002201E1"/>
    <w:rsid w:val="002205C4"/>
    <w:rsid w:val="002207DC"/>
    <w:rsid w:val="00220AC6"/>
    <w:rsid w:val="00220DE6"/>
    <w:rsid w:val="00220F14"/>
    <w:rsid w:val="00220F3C"/>
    <w:rsid w:val="00221327"/>
    <w:rsid w:val="00221340"/>
    <w:rsid w:val="00221450"/>
    <w:rsid w:val="002214F1"/>
    <w:rsid w:val="00221672"/>
    <w:rsid w:val="00221EB0"/>
    <w:rsid w:val="00221FB6"/>
    <w:rsid w:val="00222125"/>
    <w:rsid w:val="002223B1"/>
    <w:rsid w:val="00222636"/>
    <w:rsid w:val="00222AA5"/>
    <w:rsid w:val="00222EE4"/>
    <w:rsid w:val="0022311F"/>
    <w:rsid w:val="002231D8"/>
    <w:rsid w:val="00223664"/>
    <w:rsid w:val="00223A56"/>
    <w:rsid w:val="00224175"/>
    <w:rsid w:val="00224467"/>
    <w:rsid w:val="002244EA"/>
    <w:rsid w:val="002246CB"/>
    <w:rsid w:val="00224744"/>
    <w:rsid w:val="002248D1"/>
    <w:rsid w:val="00224A1D"/>
    <w:rsid w:val="00225090"/>
    <w:rsid w:val="00225833"/>
    <w:rsid w:val="00225925"/>
    <w:rsid w:val="00225A83"/>
    <w:rsid w:val="00225C20"/>
    <w:rsid w:val="00226095"/>
    <w:rsid w:val="00226AF9"/>
    <w:rsid w:val="00226FC9"/>
    <w:rsid w:val="00226FEA"/>
    <w:rsid w:val="002274A2"/>
    <w:rsid w:val="002274DB"/>
    <w:rsid w:val="00227967"/>
    <w:rsid w:val="00227B54"/>
    <w:rsid w:val="00227B89"/>
    <w:rsid w:val="00227CAE"/>
    <w:rsid w:val="00227CEA"/>
    <w:rsid w:val="00227F43"/>
    <w:rsid w:val="00230112"/>
    <w:rsid w:val="0023045B"/>
    <w:rsid w:val="00230528"/>
    <w:rsid w:val="0023076D"/>
    <w:rsid w:val="00230C13"/>
    <w:rsid w:val="002311D9"/>
    <w:rsid w:val="00231328"/>
    <w:rsid w:val="00232150"/>
    <w:rsid w:val="0023225D"/>
    <w:rsid w:val="0023244A"/>
    <w:rsid w:val="0023284F"/>
    <w:rsid w:val="00232B91"/>
    <w:rsid w:val="00232D67"/>
    <w:rsid w:val="00232F47"/>
    <w:rsid w:val="0023346B"/>
    <w:rsid w:val="002334FA"/>
    <w:rsid w:val="00233642"/>
    <w:rsid w:val="00233972"/>
    <w:rsid w:val="002341A8"/>
    <w:rsid w:val="002343AD"/>
    <w:rsid w:val="002343C4"/>
    <w:rsid w:val="00234531"/>
    <w:rsid w:val="00234640"/>
    <w:rsid w:val="00234EFE"/>
    <w:rsid w:val="00234F60"/>
    <w:rsid w:val="00235077"/>
    <w:rsid w:val="002350C1"/>
    <w:rsid w:val="00235C96"/>
    <w:rsid w:val="00235CDF"/>
    <w:rsid w:val="00235D4C"/>
    <w:rsid w:val="00236006"/>
    <w:rsid w:val="00236B5B"/>
    <w:rsid w:val="00237051"/>
    <w:rsid w:val="00237372"/>
    <w:rsid w:val="002373F1"/>
    <w:rsid w:val="00237618"/>
    <w:rsid w:val="00237C26"/>
    <w:rsid w:val="00237C96"/>
    <w:rsid w:val="00240106"/>
    <w:rsid w:val="0024090C"/>
    <w:rsid w:val="00240BC7"/>
    <w:rsid w:val="00240CDE"/>
    <w:rsid w:val="00240F9A"/>
    <w:rsid w:val="002411C7"/>
    <w:rsid w:val="002415EC"/>
    <w:rsid w:val="00241E95"/>
    <w:rsid w:val="00241FCB"/>
    <w:rsid w:val="0024241F"/>
    <w:rsid w:val="0024253C"/>
    <w:rsid w:val="002428D0"/>
    <w:rsid w:val="0024296A"/>
    <w:rsid w:val="00242B5F"/>
    <w:rsid w:val="00242DBC"/>
    <w:rsid w:val="00242F4E"/>
    <w:rsid w:val="002430F0"/>
    <w:rsid w:val="00243978"/>
    <w:rsid w:val="002441CB"/>
    <w:rsid w:val="00244384"/>
    <w:rsid w:val="002449C8"/>
    <w:rsid w:val="00244EA2"/>
    <w:rsid w:val="002452A0"/>
    <w:rsid w:val="002453D6"/>
    <w:rsid w:val="00245AB1"/>
    <w:rsid w:val="002462A4"/>
    <w:rsid w:val="002463A6"/>
    <w:rsid w:val="00246A47"/>
    <w:rsid w:val="00246ADB"/>
    <w:rsid w:val="0024767A"/>
    <w:rsid w:val="00247830"/>
    <w:rsid w:val="00247862"/>
    <w:rsid w:val="00247EA3"/>
    <w:rsid w:val="00247F10"/>
    <w:rsid w:val="00250A27"/>
    <w:rsid w:val="00250B3C"/>
    <w:rsid w:val="00250BDE"/>
    <w:rsid w:val="00250F37"/>
    <w:rsid w:val="0025128A"/>
    <w:rsid w:val="00251751"/>
    <w:rsid w:val="002517A5"/>
    <w:rsid w:val="002519B6"/>
    <w:rsid w:val="00251F33"/>
    <w:rsid w:val="00251F6C"/>
    <w:rsid w:val="0025249C"/>
    <w:rsid w:val="00252666"/>
    <w:rsid w:val="0025294D"/>
    <w:rsid w:val="002529EE"/>
    <w:rsid w:val="00252AC1"/>
    <w:rsid w:val="00252EDC"/>
    <w:rsid w:val="00253046"/>
    <w:rsid w:val="00253522"/>
    <w:rsid w:val="0025352D"/>
    <w:rsid w:val="0025356F"/>
    <w:rsid w:val="002535B8"/>
    <w:rsid w:val="00253978"/>
    <w:rsid w:val="002539ED"/>
    <w:rsid w:val="002540A6"/>
    <w:rsid w:val="00254108"/>
    <w:rsid w:val="002541B2"/>
    <w:rsid w:val="0025440D"/>
    <w:rsid w:val="0025450E"/>
    <w:rsid w:val="0025460D"/>
    <w:rsid w:val="0025499C"/>
    <w:rsid w:val="00254A6E"/>
    <w:rsid w:val="00254DB9"/>
    <w:rsid w:val="00255152"/>
    <w:rsid w:val="0025554E"/>
    <w:rsid w:val="0025560F"/>
    <w:rsid w:val="00255679"/>
    <w:rsid w:val="002556A2"/>
    <w:rsid w:val="00255E5E"/>
    <w:rsid w:val="002568DC"/>
    <w:rsid w:val="00256905"/>
    <w:rsid w:val="00256B36"/>
    <w:rsid w:val="00256E61"/>
    <w:rsid w:val="00256ED2"/>
    <w:rsid w:val="00257300"/>
    <w:rsid w:val="00257B9F"/>
    <w:rsid w:val="00257E1E"/>
    <w:rsid w:val="00257F21"/>
    <w:rsid w:val="00260115"/>
    <w:rsid w:val="0026027A"/>
    <w:rsid w:val="00260804"/>
    <w:rsid w:val="00260AB7"/>
    <w:rsid w:val="00260B56"/>
    <w:rsid w:val="002615C6"/>
    <w:rsid w:val="002618D5"/>
    <w:rsid w:val="00261927"/>
    <w:rsid w:val="00261968"/>
    <w:rsid w:val="002625D6"/>
    <w:rsid w:val="0026261C"/>
    <w:rsid w:val="00262AC7"/>
    <w:rsid w:val="00263587"/>
    <w:rsid w:val="002635C6"/>
    <w:rsid w:val="002638F4"/>
    <w:rsid w:val="00263A83"/>
    <w:rsid w:val="00263CDB"/>
    <w:rsid w:val="00263D18"/>
    <w:rsid w:val="00263F4F"/>
    <w:rsid w:val="002640B2"/>
    <w:rsid w:val="00264223"/>
    <w:rsid w:val="00264DFB"/>
    <w:rsid w:val="00264E1F"/>
    <w:rsid w:val="002652A9"/>
    <w:rsid w:val="00265619"/>
    <w:rsid w:val="00265921"/>
    <w:rsid w:val="00265C66"/>
    <w:rsid w:val="00265DA0"/>
    <w:rsid w:val="0026615A"/>
    <w:rsid w:val="002662B0"/>
    <w:rsid w:val="002663F9"/>
    <w:rsid w:val="00266CB9"/>
    <w:rsid w:val="00266EEC"/>
    <w:rsid w:val="00267CE5"/>
    <w:rsid w:val="00267D81"/>
    <w:rsid w:val="00267F5F"/>
    <w:rsid w:val="002704BE"/>
    <w:rsid w:val="002704FD"/>
    <w:rsid w:val="0027093A"/>
    <w:rsid w:val="00271145"/>
    <w:rsid w:val="0027160C"/>
    <w:rsid w:val="00271A5B"/>
    <w:rsid w:val="00271CE6"/>
    <w:rsid w:val="00271D0F"/>
    <w:rsid w:val="0027273D"/>
    <w:rsid w:val="00272B82"/>
    <w:rsid w:val="0027388B"/>
    <w:rsid w:val="002739AC"/>
    <w:rsid w:val="00273D8F"/>
    <w:rsid w:val="00273E35"/>
    <w:rsid w:val="002747A0"/>
    <w:rsid w:val="002747A4"/>
    <w:rsid w:val="00274F8C"/>
    <w:rsid w:val="002751D1"/>
    <w:rsid w:val="00275209"/>
    <w:rsid w:val="00276222"/>
    <w:rsid w:val="002767FA"/>
    <w:rsid w:val="00276831"/>
    <w:rsid w:val="00276DA1"/>
    <w:rsid w:val="00276FD1"/>
    <w:rsid w:val="00277505"/>
    <w:rsid w:val="00277529"/>
    <w:rsid w:val="00277721"/>
    <w:rsid w:val="00277879"/>
    <w:rsid w:val="00277964"/>
    <w:rsid w:val="00277C66"/>
    <w:rsid w:val="00277C79"/>
    <w:rsid w:val="00277DF2"/>
    <w:rsid w:val="00277E0B"/>
    <w:rsid w:val="00277EE4"/>
    <w:rsid w:val="0028020A"/>
    <w:rsid w:val="002807BB"/>
    <w:rsid w:val="002808E3"/>
    <w:rsid w:val="00280ACE"/>
    <w:rsid w:val="00280BF4"/>
    <w:rsid w:val="00280C18"/>
    <w:rsid w:val="00280D78"/>
    <w:rsid w:val="00280DE6"/>
    <w:rsid w:val="00281069"/>
    <w:rsid w:val="0028168C"/>
    <w:rsid w:val="00281F3D"/>
    <w:rsid w:val="00282467"/>
    <w:rsid w:val="002828B0"/>
    <w:rsid w:val="00283031"/>
    <w:rsid w:val="00283369"/>
    <w:rsid w:val="00283599"/>
    <w:rsid w:val="0028363C"/>
    <w:rsid w:val="002841C9"/>
    <w:rsid w:val="00284340"/>
    <w:rsid w:val="002843C8"/>
    <w:rsid w:val="00284AA1"/>
    <w:rsid w:val="00284BAA"/>
    <w:rsid w:val="00284FFF"/>
    <w:rsid w:val="00285104"/>
    <w:rsid w:val="0028523A"/>
    <w:rsid w:val="00285576"/>
    <w:rsid w:val="002855EE"/>
    <w:rsid w:val="0028573E"/>
    <w:rsid w:val="00285D53"/>
    <w:rsid w:val="00285F4A"/>
    <w:rsid w:val="00286126"/>
    <w:rsid w:val="002861AA"/>
    <w:rsid w:val="002869B9"/>
    <w:rsid w:val="0028721A"/>
    <w:rsid w:val="0028777F"/>
    <w:rsid w:val="00287C93"/>
    <w:rsid w:val="00287CE0"/>
    <w:rsid w:val="00287E78"/>
    <w:rsid w:val="00290676"/>
    <w:rsid w:val="00290757"/>
    <w:rsid w:val="00290AD0"/>
    <w:rsid w:val="00291462"/>
    <w:rsid w:val="00291480"/>
    <w:rsid w:val="00291572"/>
    <w:rsid w:val="0029193D"/>
    <w:rsid w:val="0029206A"/>
    <w:rsid w:val="002925EE"/>
    <w:rsid w:val="002926BC"/>
    <w:rsid w:val="00292B46"/>
    <w:rsid w:val="00292BB6"/>
    <w:rsid w:val="002931F2"/>
    <w:rsid w:val="0029367D"/>
    <w:rsid w:val="00293875"/>
    <w:rsid w:val="00293BCE"/>
    <w:rsid w:val="00293E11"/>
    <w:rsid w:val="00293FDC"/>
    <w:rsid w:val="002942B6"/>
    <w:rsid w:val="002945EE"/>
    <w:rsid w:val="0029478E"/>
    <w:rsid w:val="00294A57"/>
    <w:rsid w:val="00294DED"/>
    <w:rsid w:val="00295D22"/>
    <w:rsid w:val="00296045"/>
    <w:rsid w:val="00296A5D"/>
    <w:rsid w:val="00296E89"/>
    <w:rsid w:val="0029726F"/>
    <w:rsid w:val="00297460"/>
    <w:rsid w:val="0029766E"/>
    <w:rsid w:val="002A003F"/>
    <w:rsid w:val="002A0383"/>
    <w:rsid w:val="002A04B4"/>
    <w:rsid w:val="002A04C7"/>
    <w:rsid w:val="002A05FE"/>
    <w:rsid w:val="002A0E8E"/>
    <w:rsid w:val="002A11FD"/>
    <w:rsid w:val="002A145B"/>
    <w:rsid w:val="002A14D9"/>
    <w:rsid w:val="002A16B7"/>
    <w:rsid w:val="002A18BE"/>
    <w:rsid w:val="002A1CE6"/>
    <w:rsid w:val="002A1DD1"/>
    <w:rsid w:val="002A1FC8"/>
    <w:rsid w:val="002A24C9"/>
    <w:rsid w:val="002A2535"/>
    <w:rsid w:val="002A265D"/>
    <w:rsid w:val="002A27D4"/>
    <w:rsid w:val="002A2B3F"/>
    <w:rsid w:val="002A330A"/>
    <w:rsid w:val="002A3337"/>
    <w:rsid w:val="002A36E2"/>
    <w:rsid w:val="002A36F6"/>
    <w:rsid w:val="002A3996"/>
    <w:rsid w:val="002A4084"/>
    <w:rsid w:val="002A4A8C"/>
    <w:rsid w:val="002A4AD6"/>
    <w:rsid w:val="002A4B56"/>
    <w:rsid w:val="002A4C00"/>
    <w:rsid w:val="002A5063"/>
    <w:rsid w:val="002A5450"/>
    <w:rsid w:val="002A5554"/>
    <w:rsid w:val="002A57BF"/>
    <w:rsid w:val="002A5958"/>
    <w:rsid w:val="002A5B3E"/>
    <w:rsid w:val="002A5F06"/>
    <w:rsid w:val="002A5F83"/>
    <w:rsid w:val="002A644B"/>
    <w:rsid w:val="002A6801"/>
    <w:rsid w:val="002A6D95"/>
    <w:rsid w:val="002A7196"/>
    <w:rsid w:val="002A75A2"/>
    <w:rsid w:val="002A766F"/>
    <w:rsid w:val="002A76AE"/>
    <w:rsid w:val="002A7AAD"/>
    <w:rsid w:val="002A7C7E"/>
    <w:rsid w:val="002A7F5C"/>
    <w:rsid w:val="002B0106"/>
    <w:rsid w:val="002B020D"/>
    <w:rsid w:val="002B0718"/>
    <w:rsid w:val="002B07C2"/>
    <w:rsid w:val="002B0C28"/>
    <w:rsid w:val="002B0C52"/>
    <w:rsid w:val="002B0D73"/>
    <w:rsid w:val="002B0FAA"/>
    <w:rsid w:val="002B1384"/>
    <w:rsid w:val="002B1492"/>
    <w:rsid w:val="002B1791"/>
    <w:rsid w:val="002B1B17"/>
    <w:rsid w:val="002B20BC"/>
    <w:rsid w:val="002B2434"/>
    <w:rsid w:val="002B28DB"/>
    <w:rsid w:val="002B2C4A"/>
    <w:rsid w:val="002B2DC2"/>
    <w:rsid w:val="002B2DDA"/>
    <w:rsid w:val="002B2F29"/>
    <w:rsid w:val="002B308C"/>
    <w:rsid w:val="002B3681"/>
    <w:rsid w:val="002B3ADB"/>
    <w:rsid w:val="002B3CB6"/>
    <w:rsid w:val="002B3E38"/>
    <w:rsid w:val="002B3FD0"/>
    <w:rsid w:val="002B40D7"/>
    <w:rsid w:val="002B41EC"/>
    <w:rsid w:val="002B4629"/>
    <w:rsid w:val="002B4B3E"/>
    <w:rsid w:val="002B516E"/>
    <w:rsid w:val="002B51DA"/>
    <w:rsid w:val="002B5200"/>
    <w:rsid w:val="002B5314"/>
    <w:rsid w:val="002B56D5"/>
    <w:rsid w:val="002B584A"/>
    <w:rsid w:val="002B5A26"/>
    <w:rsid w:val="002B5AF0"/>
    <w:rsid w:val="002B5EC2"/>
    <w:rsid w:val="002B6501"/>
    <w:rsid w:val="002B667C"/>
    <w:rsid w:val="002B6F6E"/>
    <w:rsid w:val="002B73F5"/>
    <w:rsid w:val="002B7563"/>
    <w:rsid w:val="002B7594"/>
    <w:rsid w:val="002B774E"/>
    <w:rsid w:val="002B7ACE"/>
    <w:rsid w:val="002B7BF4"/>
    <w:rsid w:val="002B7C7F"/>
    <w:rsid w:val="002C0708"/>
    <w:rsid w:val="002C07F2"/>
    <w:rsid w:val="002C097C"/>
    <w:rsid w:val="002C0C0D"/>
    <w:rsid w:val="002C0E37"/>
    <w:rsid w:val="002C0FCE"/>
    <w:rsid w:val="002C11CA"/>
    <w:rsid w:val="002C140D"/>
    <w:rsid w:val="002C15C7"/>
    <w:rsid w:val="002C16A0"/>
    <w:rsid w:val="002C1781"/>
    <w:rsid w:val="002C1868"/>
    <w:rsid w:val="002C1CCD"/>
    <w:rsid w:val="002C1F8A"/>
    <w:rsid w:val="002C21A1"/>
    <w:rsid w:val="002C25FB"/>
    <w:rsid w:val="002C2BD3"/>
    <w:rsid w:val="002C2DD7"/>
    <w:rsid w:val="002C2F3E"/>
    <w:rsid w:val="002C3107"/>
    <w:rsid w:val="002C3142"/>
    <w:rsid w:val="002C3427"/>
    <w:rsid w:val="002C3BFE"/>
    <w:rsid w:val="002C3DC0"/>
    <w:rsid w:val="002C3FE8"/>
    <w:rsid w:val="002C43E6"/>
    <w:rsid w:val="002C45E8"/>
    <w:rsid w:val="002C48AC"/>
    <w:rsid w:val="002C5252"/>
    <w:rsid w:val="002C691A"/>
    <w:rsid w:val="002C6CF1"/>
    <w:rsid w:val="002C70CE"/>
    <w:rsid w:val="002C70F3"/>
    <w:rsid w:val="002C71ED"/>
    <w:rsid w:val="002C7934"/>
    <w:rsid w:val="002C79A5"/>
    <w:rsid w:val="002D0130"/>
    <w:rsid w:val="002D018C"/>
    <w:rsid w:val="002D0309"/>
    <w:rsid w:val="002D0E4F"/>
    <w:rsid w:val="002D1195"/>
    <w:rsid w:val="002D1469"/>
    <w:rsid w:val="002D1C41"/>
    <w:rsid w:val="002D293E"/>
    <w:rsid w:val="002D2AC2"/>
    <w:rsid w:val="002D2D53"/>
    <w:rsid w:val="002D2DDE"/>
    <w:rsid w:val="002D333C"/>
    <w:rsid w:val="002D383D"/>
    <w:rsid w:val="002D39AF"/>
    <w:rsid w:val="002D3E96"/>
    <w:rsid w:val="002D41D7"/>
    <w:rsid w:val="002D41FA"/>
    <w:rsid w:val="002D43E8"/>
    <w:rsid w:val="002D47C8"/>
    <w:rsid w:val="002D4A26"/>
    <w:rsid w:val="002D4BCF"/>
    <w:rsid w:val="002D4CB9"/>
    <w:rsid w:val="002D5097"/>
    <w:rsid w:val="002D55E4"/>
    <w:rsid w:val="002D5752"/>
    <w:rsid w:val="002D5776"/>
    <w:rsid w:val="002D60B5"/>
    <w:rsid w:val="002D68C9"/>
    <w:rsid w:val="002D690D"/>
    <w:rsid w:val="002D6A1E"/>
    <w:rsid w:val="002D6D2B"/>
    <w:rsid w:val="002D6E90"/>
    <w:rsid w:val="002D6F19"/>
    <w:rsid w:val="002D772C"/>
    <w:rsid w:val="002D7733"/>
    <w:rsid w:val="002D7805"/>
    <w:rsid w:val="002D78B1"/>
    <w:rsid w:val="002D7CF2"/>
    <w:rsid w:val="002D7D36"/>
    <w:rsid w:val="002D7DFF"/>
    <w:rsid w:val="002E019E"/>
    <w:rsid w:val="002E05D1"/>
    <w:rsid w:val="002E0631"/>
    <w:rsid w:val="002E1D6C"/>
    <w:rsid w:val="002E283A"/>
    <w:rsid w:val="002E2D2B"/>
    <w:rsid w:val="002E2FD4"/>
    <w:rsid w:val="002E320A"/>
    <w:rsid w:val="002E37CD"/>
    <w:rsid w:val="002E3A9C"/>
    <w:rsid w:val="002E3EDF"/>
    <w:rsid w:val="002E3F2A"/>
    <w:rsid w:val="002E41F6"/>
    <w:rsid w:val="002E423E"/>
    <w:rsid w:val="002E429A"/>
    <w:rsid w:val="002E4343"/>
    <w:rsid w:val="002E44C0"/>
    <w:rsid w:val="002E4E45"/>
    <w:rsid w:val="002E5082"/>
    <w:rsid w:val="002E53DD"/>
    <w:rsid w:val="002E5B44"/>
    <w:rsid w:val="002E5DFE"/>
    <w:rsid w:val="002E6412"/>
    <w:rsid w:val="002E66B2"/>
    <w:rsid w:val="002E6756"/>
    <w:rsid w:val="002E6915"/>
    <w:rsid w:val="002E6C33"/>
    <w:rsid w:val="002E6EDE"/>
    <w:rsid w:val="002E7436"/>
    <w:rsid w:val="002E7495"/>
    <w:rsid w:val="002E7775"/>
    <w:rsid w:val="002E7A15"/>
    <w:rsid w:val="002E7AD2"/>
    <w:rsid w:val="002E7ED7"/>
    <w:rsid w:val="002E7F0C"/>
    <w:rsid w:val="002F0053"/>
    <w:rsid w:val="002F028B"/>
    <w:rsid w:val="002F0299"/>
    <w:rsid w:val="002F0780"/>
    <w:rsid w:val="002F0A12"/>
    <w:rsid w:val="002F0E33"/>
    <w:rsid w:val="002F132F"/>
    <w:rsid w:val="002F1399"/>
    <w:rsid w:val="002F27D5"/>
    <w:rsid w:val="002F284B"/>
    <w:rsid w:val="002F2935"/>
    <w:rsid w:val="002F2A1A"/>
    <w:rsid w:val="002F2CEC"/>
    <w:rsid w:val="002F2D38"/>
    <w:rsid w:val="002F2F24"/>
    <w:rsid w:val="002F2F40"/>
    <w:rsid w:val="002F3137"/>
    <w:rsid w:val="002F32FB"/>
    <w:rsid w:val="002F379B"/>
    <w:rsid w:val="002F4C2E"/>
    <w:rsid w:val="002F4F9B"/>
    <w:rsid w:val="002F5611"/>
    <w:rsid w:val="002F5DCB"/>
    <w:rsid w:val="002F5F5E"/>
    <w:rsid w:val="002F5F85"/>
    <w:rsid w:val="002F606B"/>
    <w:rsid w:val="002F693F"/>
    <w:rsid w:val="002F6977"/>
    <w:rsid w:val="002F6B64"/>
    <w:rsid w:val="002F71E8"/>
    <w:rsid w:val="002F756E"/>
    <w:rsid w:val="002F776F"/>
    <w:rsid w:val="002F7795"/>
    <w:rsid w:val="002F77A0"/>
    <w:rsid w:val="002F7DBA"/>
    <w:rsid w:val="002F7DF7"/>
    <w:rsid w:val="003008CC"/>
    <w:rsid w:val="00301340"/>
    <w:rsid w:val="00301564"/>
    <w:rsid w:val="00301763"/>
    <w:rsid w:val="003017D8"/>
    <w:rsid w:val="00301B23"/>
    <w:rsid w:val="00302252"/>
    <w:rsid w:val="003028E0"/>
    <w:rsid w:val="00302A4D"/>
    <w:rsid w:val="00303252"/>
    <w:rsid w:val="003036D8"/>
    <w:rsid w:val="00303B33"/>
    <w:rsid w:val="00303B53"/>
    <w:rsid w:val="00303B66"/>
    <w:rsid w:val="00303C60"/>
    <w:rsid w:val="00303CFB"/>
    <w:rsid w:val="003040B4"/>
    <w:rsid w:val="00304468"/>
    <w:rsid w:val="0030489C"/>
    <w:rsid w:val="00304C5F"/>
    <w:rsid w:val="00304EEE"/>
    <w:rsid w:val="00304FB8"/>
    <w:rsid w:val="00305409"/>
    <w:rsid w:val="0030546E"/>
    <w:rsid w:val="00305BA6"/>
    <w:rsid w:val="003064A2"/>
    <w:rsid w:val="00306844"/>
    <w:rsid w:val="00306AF1"/>
    <w:rsid w:val="00306CC0"/>
    <w:rsid w:val="00306D4E"/>
    <w:rsid w:val="00307288"/>
    <w:rsid w:val="00307299"/>
    <w:rsid w:val="00307915"/>
    <w:rsid w:val="00307B9A"/>
    <w:rsid w:val="00307C00"/>
    <w:rsid w:val="00307CD5"/>
    <w:rsid w:val="0031029E"/>
    <w:rsid w:val="003103A8"/>
    <w:rsid w:val="003107B0"/>
    <w:rsid w:val="00310B9B"/>
    <w:rsid w:val="00310C3F"/>
    <w:rsid w:val="00310C6C"/>
    <w:rsid w:val="00310CDD"/>
    <w:rsid w:val="00310DB5"/>
    <w:rsid w:val="00310F56"/>
    <w:rsid w:val="00310F87"/>
    <w:rsid w:val="00310FC8"/>
    <w:rsid w:val="00311493"/>
    <w:rsid w:val="003116DD"/>
    <w:rsid w:val="00311781"/>
    <w:rsid w:val="00311D0E"/>
    <w:rsid w:val="00311DDD"/>
    <w:rsid w:val="0031214E"/>
    <w:rsid w:val="00312BEC"/>
    <w:rsid w:val="00312C1A"/>
    <w:rsid w:val="00313183"/>
    <w:rsid w:val="003134A7"/>
    <w:rsid w:val="003138B7"/>
    <w:rsid w:val="00313AD8"/>
    <w:rsid w:val="00313B5D"/>
    <w:rsid w:val="00313BA2"/>
    <w:rsid w:val="00313F34"/>
    <w:rsid w:val="003140D2"/>
    <w:rsid w:val="003142F9"/>
    <w:rsid w:val="00314DC8"/>
    <w:rsid w:val="00315447"/>
    <w:rsid w:val="0031563E"/>
    <w:rsid w:val="00315DC7"/>
    <w:rsid w:val="00315FE0"/>
    <w:rsid w:val="003166E9"/>
    <w:rsid w:val="00316886"/>
    <w:rsid w:val="003168E0"/>
    <w:rsid w:val="00316A9B"/>
    <w:rsid w:val="003172F4"/>
    <w:rsid w:val="00317320"/>
    <w:rsid w:val="00317649"/>
    <w:rsid w:val="00317714"/>
    <w:rsid w:val="0031798D"/>
    <w:rsid w:val="00317E4C"/>
    <w:rsid w:val="00320A17"/>
    <w:rsid w:val="00320D25"/>
    <w:rsid w:val="00320E20"/>
    <w:rsid w:val="003212AE"/>
    <w:rsid w:val="00321B04"/>
    <w:rsid w:val="00321B64"/>
    <w:rsid w:val="00321D7E"/>
    <w:rsid w:val="00321F9A"/>
    <w:rsid w:val="0032213A"/>
    <w:rsid w:val="003222C7"/>
    <w:rsid w:val="00322DA9"/>
    <w:rsid w:val="003234DA"/>
    <w:rsid w:val="00323AD8"/>
    <w:rsid w:val="00323AF6"/>
    <w:rsid w:val="003240EC"/>
    <w:rsid w:val="003243C6"/>
    <w:rsid w:val="0032465E"/>
    <w:rsid w:val="003249A3"/>
    <w:rsid w:val="00324EE2"/>
    <w:rsid w:val="003250CD"/>
    <w:rsid w:val="003251C2"/>
    <w:rsid w:val="0032539F"/>
    <w:rsid w:val="003256FF"/>
    <w:rsid w:val="003257A6"/>
    <w:rsid w:val="003258B1"/>
    <w:rsid w:val="00325A06"/>
    <w:rsid w:val="00325C91"/>
    <w:rsid w:val="00325D4F"/>
    <w:rsid w:val="00325E8B"/>
    <w:rsid w:val="00325FA0"/>
    <w:rsid w:val="003260DE"/>
    <w:rsid w:val="00326F17"/>
    <w:rsid w:val="00326F1C"/>
    <w:rsid w:val="00326F97"/>
    <w:rsid w:val="00327162"/>
    <w:rsid w:val="0032717C"/>
    <w:rsid w:val="003274B9"/>
    <w:rsid w:val="00327928"/>
    <w:rsid w:val="00327A0F"/>
    <w:rsid w:val="003301E7"/>
    <w:rsid w:val="003309E7"/>
    <w:rsid w:val="00330A0A"/>
    <w:rsid w:val="00330B21"/>
    <w:rsid w:val="00330B94"/>
    <w:rsid w:val="00330E47"/>
    <w:rsid w:val="00330ECD"/>
    <w:rsid w:val="00331367"/>
    <w:rsid w:val="00331551"/>
    <w:rsid w:val="00332366"/>
    <w:rsid w:val="00332663"/>
    <w:rsid w:val="0033273A"/>
    <w:rsid w:val="003328A9"/>
    <w:rsid w:val="003329A5"/>
    <w:rsid w:val="00332E85"/>
    <w:rsid w:val="0033368C"/>
    <w:rsid w:val="00333864"/>
    <w:rsid w:val="00333FB3"/>
    <w:rsid w:val="00334047"/>
    <w:rsid w:val="00334871"/>
    <w:rsid w:val="00334A65"/>
    <w:rsid w:val="00334BF4"/>
    <w:rsid w:val="003352BC"/>
    <w:rsid w:val="003354DC"/>
    <w:rsid w:val="00335A25"/>
    <w:rsid w:val="00335C7A"/>
    <w:rsid w:val="00335E39"/>
    <w:rsid w:val="00335EF1"/>
    <w:rsid w:val="00336308"/>
    <w:rsid w:val="00336612"/>
    <w:rsid w:val="003367CD"/>
    <w:rsid w:val="0033694C"/>
    <w:rsid w:val="00336E79"/>
    <w:rsid w:val="003371B5"/>
    <w:rsid w:val="003377B0"/>
    <w:rsid w:val="00337BAF"/>
    <w:rsid w:val="00337CA3"/>
    <w:rsid w:val="00337E38"/>
    <w:rsid w:val="00337EDB"/>
    <w:rsid w:val="00337F77"/>
    <w:rsid w:val="00337FD6"/>
    <w:rsid w:val="003401C9"/>
    <w:rsid w:val="00340341"/>
    <w:rsid w:val="00340935"/>
    <w:rsid w:val="00340E6E"/>
    <w:rsid w:val="00341144"/>
    <w:rsid w:val="00341156"/>
    <w:rsid w:val="003415E7"/>
    <w:rsid w:val="003417CB"/>
    <w:rsid w:val="0034220B"/>
    <w:rsid w:val="00342484"/>
    <w:rsid w:val="003424FB"/>
    <w:rsid w:val="0034300C"/>
    <w:rsid w:val="00343029"/>
    <w:rsid w:val="003431BB"/>
    <w:rsid w:val="00343213"/>
    <w:rsid w:val="003435A9"/>
    <w:rsid w:val="00343603"/>
    <w:rsid w:val="00343808"/>
    <w:rsid w:val="00343B23"/>
    <w:rsid w:val="00343D6E"/>
    <w:rsid w:val="00343EB5"/>
    <w:rsid w:val="0034407A"/>
    <w:rsid w:val="00344164"/>
    <w:rsid w:val="003442A5"/>
    <w:rsid w:val="00344649"/>
    <w:rsid w:val="00344C23"/>
    <w:rsid w:val="00344E39"/>
    <w:rsid w:val="0034527C"/>
    <w:rsid w:val="0034541A"/>
    <w:rsid w:val="00345496"/>
    <w:rsid w:val="00345858"/>
    <w:rsid w:val="00345BCF"/>
    <w:rsid w:val="003466F9"/>
    <w:rsid w:val="00346ACE"/>
    <w:rsid w:val="00346D11"/>
    <w:rsid w:val="00347AD7"/>
    <w:rsid w:val="00347ECC"/>
    <w:rsid w:val="00350092"/>
    <w:rsid w:val="0035034F"/>
    <w:rsid w:val="0035038A"/>
    <w:rsid w:val="003503B4"/>
    <w:rsid w:val="0035073A"/>
    <w:rsid w:val="00350A07"/>
    <w:rsid w:val="00350BC5"/>
    <w:rsid w:val="003519AD"/>
    <w:rsid w:val="00351E0E"/>
    <w:rsid w:val="00351E13"/>
    <w:rsid w:val="00352061"/>
    <w:rsid w:val="00352173"/>
    <w:rsid w:val="00352671"/>
    <w:rsid w:val="00352E99"/>
    <w:rsid w:val="00352F7C"/>
    <w:rsid w:val="003530D5"/>
    <w:rsid w:val="003536F0"/>
    <w:rsid w:val="0035396A"/>
    <w:rsid w:val="00353E5C"/>
    <w:rsid w:val="00353F9E"/>
    <w:rsid w:val="00354296"/>
    <w:rsid w:val="00354423"/>
    <w:rsid w:val="00354EB4"/>
    <w:rsid w:val="0035536D"/>
    <w:rsid w:val="00355621"/>
    <w:rsid w:val="00355719"/>
    <w:rsid w:val="0035576F"/>
    <w:rsid w:val="00355B16"/>
    <w:rsid w:val="00356411"/>
    <w:rsid w:val="00356611"/>
    <w:rsid w:val="0035663B"/>
    <w:rsid w:val="00356790"/>
    <w:rsid w:val="0035684A"/>
    <w:rsid w:val="00356B01"/>
    <w:rsid w:val="00356BAA"/>
    <w:rsid w:val="00356D29"/>
    <w:rsid w:val="00356EBF"/>
    <w:rsid w:val="003571C2"/>
    <w:rsid w:val="00357711"/>
    <w:rsid w:val="00357FBF"/>
    <w:rsid w:val="0036076A"/>
    <w:rsid w:val="0036093B"/>
    <w:rsid w:val="003609F7"/>
    <w:rsid w:val="00360B06"/>
    <w:rsid w:val="00360C3F"/>
    <w:rsid w:val="003612B3"/>
    <w:rsid w:val="00361471"/>
    <w:rsid w:val="00361481"/>
    <w:rsid w:val="0036180F"/>
    <w:rsid w:val="00361D08"/>
    <w:rsid w:val="00361E4D"/>
    <w:rsid w:val="003626CD"/>
    <w:rsid w:val="00362BD8"/>
    <w:rsid w:val="00363125"/>
    <w:rsid w:val="003633CC"/>
    <w:rsid w:val="0036394F"/>
    <w:rsid w:val="00363B81"/>
    <w:rsid w:val="00363ED3"/>
    <w:rsid w:val="003640A7"/>
    <w:rsid w:val="003646D3"/>
    <w:rsid w:val="00365302"/>
    <w:rsid w:val="00365447"/>
    <w:rsid w:val="00365749"/>
    <w:rsid w:val="00365AF3"/>
    <w:rsid w:val="00365E13"/>
    <w:rsid w:val="003660B8"/>
    <w:rsid w:val="00366408"/>
    <w:rsid w:val="0036640A"/>
    <w:rsid w:val="00366C11"/>
    <w:rsid w:val="00366E32"/>
    <w:rsid w:val="003678F3"/>
    <w:rsid w:val="0036794E"/>
    <w:rsid w:val="00367D28"/>
    <w:rsid w:val="00367E63"/>
    <w:rsid w:val="00370108"/>
    <w:rsid w:val="00370240"/>
    <w:rsid w:val="003704EC"/>
    <w:rsid w:val="0037108D"/>
    <w:rsid w:val="00371669"/>
    <w:rsid w:val="0037191A"/>
    <w:rsid w:val="00371F9B"/>
    <w:rsid w:val="003727DC"/>
    <w:rsid w:val="00372D7C"/>
    <w:rsid w:val="00373404"/>
    <w:rsid w:val="00373978"/>
    <w:rsid w:val="00373BFF"/>
    <w:rsid w:val="00373CB3"/>
    <w:rsid w:val="00373CC1"/>
    <w:rsid w:val="00373F81"/>
    <w:rsid w:val="00374349"/>
    <w:rsid w:val="0037494D"/>
    <w:rsid w:val="00374DC8"/>
    <w:rsid w:val="00374E16"/>
    <w:rsid w:val="00374F58"/>
    <w:rsid w:val="0037508C"/>
    <w:rsid w:val="003750CD"/>
    <w:rsid w:val="00375186"/>
    <w:rsid w:val="003754F4"/>
    <w:rsid w:val="0037586F"/>
    <w:rsid w:val="00376827"/>
    <w:rsid w:val="00376931"/>
    <w:rsid w:val="00376CA5"/>
    <w:rsid w:val="00376F1B"/>
    <w:rsid w:val="0037740F"/>
    <w:rsid w:val="00377502"/>
    <w:rsid w:val="00377F74"/>
    <w:rsid w:val="00380351"/>
    <w:rsid w:val="00380685"/>
    <w:rsid w:val="003807ED"/>
    <w:rsid w:val="00380976"/>
    <w:rsid w:val="0038111A"/>
    <w:rsid w:val="0038146C"/>
    <w:rsid w:val="00381696"/>
    <w:rsid w:val="00382098"/>
    <w:rsid w:val="00382127"/>
    <w:rsid w:val="003823BB"/>
    <w:rsid w:val="00382609"/>
    <w:rsid w:val="00382B3D"/>
    <w:rsid w:val="00382C3F"/>
    <w:rsid w:val="00382CD5"/>
    <w:rsid w:val="00382D95"/>
    <w:rsid w:val="00382F7C"/>
    <w:rsid w:val="00383494"/>
    <w:rsid w:val="00383844"/>
    <w:rsid w:val="00383875"/>
    <w:rsid w:val="0038398C"/>
    <w:rsid w:val="00383C5D"/>
    <w:rsid w:val="00383C9E"/>
    <w:rsid w:val="00383E49"/>
    <w:rsid w:val="00384383"/>
    <w:rsid w:val="00385068"/>
    <w:rsid w:val="0038507F"/>
    <w:rsid w:val="003850B7"/>
    <w:rsid w:val="00385326"/>
    <w:rsid w:val="0038564B"/>
    <w:rsid w:val="00385856"/>
    <w:rsid w:val="003859FF"/>
    <w:rsid w:val="00385B31"/>
    <w:rsid w:val="00386124"/>
    <w:rsid w:val="00386312"/>
    <w:rsid w:val="003864D5"/>
    <w:rsid w:val="00386552"/>
    <w:rsid w:val="00386B2C"/>
    <w:rsid w:val="00386B41"/>
    <w:rsid w:val="00387135"/>
    <w:rsid w:val="00387505"/>
    <w:rsid w:val="003878F2"/>
    <w:rsid w:val="00387B5C"/>
    <w:rsid w:val="00387B87"/>
    <w:rsid w:val="00387FE7"/>
    <w:rsid w:val="00390567"/>
    <w:rsid w:val="00390CA4"/>
    <w:rsid w:val="00390D51"/>
    <w:rsid w:val="0039107E"/>
    <w:rsid w:val="00391B43"/>
    <w:rsid w:val="00391BFD"/>
    <w:rsid w:val="00392025"/>
    <w:rsid w:val="0039232F"/>
    <w:rsid w:val="00392737"/>
    <w:rsid w:val="003932E0"/>
    <w:rsid w:val="003934C7"/>
    <w:rsid w:val="003937CD"/>
    <w:rsid w:val="003939D4"/>
    <w:rsid w:val="00393B80"/>
    <w:rsid w:val="00393C65"/>
    <w:rsid w:val="00393F98"/>
    <w:rsid w:val="00394209"/>
    <w:rsid w:val="00394ABC"/>
    <w:rsid w:val="0039643C"/>
    <w:rsid w:val="00396446"/>
    <w:rsid w:val="003966F6"/>
    <w:rsid w:val="0039677D"/>
    <w:rsid w:val="0039705A"/>
    <w:rsid w:val="0039777B"/>
    <w:rsid w:val="003977E4"/>
    <w:rsid w:val="00397837"/>
    <w:rsid w:val="00397905"/>
    <w:rsid w:val="003979C0"/>
    <w:rsid w:val="00397B3A"/>
    <w:rsid w:val="00397C1A"/>
    <w:rsid w:val="00397E2C"/>
    <w:rsid w:val="003A00DD"/>
    <w:rsid w:val="003A03BA"/>
    <w:rsid w:val="003A0590"/>
    <w:rsid w:val="003A064F"/>
    <w:rsid w:val="003A0660"/>
    <w:rsid w:val="003A0691"/>
    <w:rsid w:val="003A09A8"/>
    <w:rsid w:val="003A0B77"/>
    <w:rsid w:val="003A0D52"/>
    <w:rsid w:val="003A1329"/>
    <w:rsid w:val="003A142B"/>
    <w:rsid w:val="003A1EE2"/>
    <w:rsid w:val="003A2207"/>
    <w:rsid w:val="003A26E2"/>
    <w:rsid w:val="003A2771"/>
    <w:rsid w:val="003A27EC"/>
    <w:rsid w:val="003A2ED1"/>
    <w:rsid w:val="003A3740"/>
    <w:rsid w:val="003A37D4"/>
    <w:rsid w:val="003A39E4"/>
    <w:rsid w:val="003A3ED8"/>
    <w:rsid w:val="003A4009"/>
    <w:rsid w:val="003A4C47"/>
    <w:rsid w:val="003A4D81"/>
    <w:rsid w:val="003A50CD"/>
    <w:rsid w:val="003A50D8"/>
    <w:rsid w:val="003A541C"/>
    <w:rsid w:val="003A5620"/>
    <w:rsid w:val="003A5E14"/>
    <w:rsid w:val="003A5F28"/>
    <w:rsid w:val="003A653F"/>
    <w:rsid w:val="003A6724"/>
    <w:rsid w:val="003A6E1A"/>
    <w:rsid w:val="003A6E49"/>
    <w:rsid w:val="003A7060"/>
    <w:rsid w:val="003A77DE"/>
    <w:rsid w:val="003A7B2A"/>
    <w:rsid w:val="003A7EFF"/>
    <w:rsid w:val="003B0086"/>
    <w:rsid w:val="003B0273"/>
    <w:rsid w:val="003B0480"/>
    <w:rsid w:val="003B0750"/>
    <w:rsid w:val="003B08DD"/>
    <w:rsid w:val="003B0A7F"/>
    <w:rsid w:val="003B0BA1"/>
    <w:rsid w:val="003B0BB5"/>
    <w:rsid w:val="003B0EC2"/>
    <w:rsid w:val="003B0F4F"/>
    <w:rsid w:val="003B19FF"/>
    <w:rsid w:val="003B25F2"/>
    <w:rsid w:val="003B2C18"/>
    <w:rsid w:val="003B3892"/>
    <w:rsid w:val="003B4187"/>
    <w:rsid w:val="003B422F"/>
    <w:rsid w:val="003B44EA"/>
    <w:rsid w:val="003B4599"/>
    <w:rsid w:val="003B50B9"/>
    <w:rsid w:val="003B5422"/>
    <w:rsid w:val="003B5E85"/>
    <w:rsid w:val="003B61B7"/>
    <w:rsid w:val="003B629D"/>
    <w:rsid w:val="003B65AD"/>
    <w:rsid w:val="003B6700"/>
    <w:rsid w:val="003B6723"/>
    <w:rsid w:val="003B6819"/>
    <w:rsid w:val="003B69B8"/>
    <w:rsid w:val="003B6FE6"/>
    <w:rsid w:val="003B7364"/>
    <w:rsid w:val="003B759C"/>
    <w:rsid w:val="003B7660"/>
    <w:rsid w:val="003B76EA"/>
    <w:rsid w:val="003B7711"/>
    <w:rsid w:val="003B7CB1"/>
    <w:rsid w:val="003C0147"/>
    <w:rsid w:val="003C0632"/>
    <w:rsid w:val="003C07EC"/>
    <w:rsid w:val="003C0F83"/>
    <w:rsid w:val="003C1AE2"/>
    <w:rsid w:val="003C1AE7"/>
    <w:rsid w:val="003C1CE0"/>
    <w:rsid w:val="003C2885"/>
    <w:rsid w:val="003C2909"/>
    <w:rsid w:val="003C2A78"/>
    <w:rsid w:val="003C2B77"/>
    <w:rsid w:val="003C2CB7"/>
    <w:rsid w:val="003C2CC0"/>
    <w:rsid w:val="003C3AA9"/>
    <w:rsid w:val="003C42E1"/>
    <w:rsid w:val="003C4F6D"/>
    <w:rsid w:val="003C4F8F"/>
    <w:rsid w:val="003C54EF"/>
    <w:rsid w:val="003C5796"/>
    <w:rsid w:val="003C5875"/>
    <w:rsid w:val="003C5A2D"/>
    <w:rsid w:val="003C5C6E"/>
    <w:rsid w:val="003C5CD5"/>
    <w:rsid w:val="003C645A"/>
    <w:rsid w:val="003C6940"/>
    <w:rsid w:val="003C6B59"/>
    <w:rsid w:val="003C6D39"/>
    <w:rsid w:val="003C6DCA"/>
    <w:rsid w:val="003C6F70"/>
    <w:rsid w:val="003C72DB"/>
    <w:rsid w:val="003C749C"/>
    <w:rsid w:val="003C76D8"/>
    <w:rsid w:val="003C78CC"/>
    <w:rsid w:val="003C7A12"/>
    <w:rsid w:val="003C7A87"/>
    <w:rsid w:val="003C7B19"/>
    <w:rsid w:val="003C7CCE"/>
    <w:rsid w:val="003D023F"/>
    <w:rsid w:val="003D0290"/>
    <w:rsid w:val="003D0931"/>
    <w:rsid w:val="003D0974"/>
    <w:rsid w:val="003D0A4A"/>
    <w:rsid w:val="003D11A9"/>
    <w:rsid w:val="003D144A"/>
    <w:rsid w:val="003D1A48"/>
    <w:rsid w:val="003D1AA6"/>
    <w:rsid w:val="003D1AB7"/>
    <w:rsid w:val="003D2436"/>
    <w:rsid w:val="003D2545"/>
    <w:rsid w:val="003D27B5"/>
    <w:rsid w:val="003D299E"/>
    <w:rsid w:val="003D3651"/>
    <w:rsid w:val="003D387C"/>
    <w:rsid w:val="003D38A4"/>
    <w:rsid w:val="003D3C49"/>
    <w:rsid w:val="003D41C9"/>
    <w:rsid w:val="003D4B5F"/>
    <w:rsid w:val="003D5182"/>
    <w:rsid w:val="003D51B2"/>
    <w:rsid w:val="003D54DC"/>
    <w:rsid w:val="003D5523"/>
    <w:rsid w:val="003D55E1"/>
    <w:rsid w:val="003D58FC"/>
    <w:rsid w:val="003D59D0"/>
    <w:rsid w:val="003D5C25"/>
    <w:rsid w:val="003D5EAC"/>
    <w:rsid w:val="003D62F4"/>
    <w:rsid w:val="003D63E8"/>
    <w:rsid w:val="003D641A"/>
    <w:rsid w:val="003D676F"/>
    <w:rsid w:val="003D6860"/>
    <w:rsid w:val="003D6B13"/>
    <w:rsid w:val="003D6B90"/>
    <w:rsid w:val="003D70D6"/>
    <w:rsid w:val="003D7173"/>
    <w:rsid w:val="003D71EB"/>
    <w:rsid w:val="003D76B2"/>
    <w:rsid w:val="003E0053"/>
    <w:rsid w:val="003E00A4"/>
    <w:rsid w:val="003E0379"/>
    <w:rsid w:val="003E0790"/>
    <w:rsid w:val="003E0877"/>
    <w:rsid w:val="003E0C71"/>
    <w:rsid w:val="003E0DA1"/>
    <w:rsid w:val="003E0DB0"/>
    <w:rsid w:val="003E0F1E"/>
    <w:rsid w:val="003E0FB1"/>
    <w:rsid w:val="003E18FE"/>
    <w:rsid w:val="003E19F8"/>
    <w:rsid w:val="003E1FD4"/>
    <w:rsid w:val="003E22CB"/>
    <w:rsid w:val="003E2343"/>
    <w:rsid w:val="003E2429"/>
    <w:rsid w:val="003E2558"/>
    <w:rsid w:val="003E2C12"/>
    <w:rsid w:val="003E2F81"/>
    <w:rsid w:val="003E303C"/>
    <w:rsid w:val="003E3501"/>
    <w:rsid w:val="003E360E"/>
    <w:rsid w:val="003E362E"/>
    <w:rsid w:val="003E38BB"/>
    <w:rsid w:val="003E406B"/>
    <w:rsid w:val="003E42AD"/>
    <w:rsid w:val="003E4A58"/>
    <w:rsid w:val="003E4D49"/>
    <w:rsid w:val="003E4F96"/>
    <w:rsid w:val="003E5203"/>
    <w:rsid w:val="003E54A1"/>
    <w:rsid w:val="003E56CB"/>
    <w:rsid w:val="003E578E"/>
    <w:rsid w:val="003E584F"/>
    <w:rsid w:val="003E58BB"/>
    <w:rsid w:val="003E5CCA"/>
    <w:rsid w:val="003E6555"/>
    <w:rsid w:val="003E6EF0"/>
    <w:rsid w:val="003E7509"/>
    <w:rsid w:val="003E7675"/>
    <w:rsid w:val="003E772E"/>
    <w:rsid w:val="003E7773"/>
    <w:rsid w:val="003E78DA"/>
    <w:rsid w:val="003E7E34"/>
    <w:rsid w:val="003E7EC8"/>
    <w:rsid w:val="003F016A"/>
    <w:rsid w:val="003F0234"/>
    <w:rsid w:val="003F0294"/>
    <w:rsid w:val="003F029C"/>
    <w:rsid w:val="003F10F2"/>
    <w:rsid w:val="003F115E"/>
    <w:rsid w:val="003F14C2"/>
    <w:rsid w:val="003F2210"/>
    <w:rsid w:val="003F3842"/>
    <w:rsid w:val="003F3856"/>
    <w:rsid w:val="003F3986"/>
    <w:rsid w:val="003F4364"/>
    <w:rsid w:val="003F468E"/>
    <w:rsid w:val="003F480E"/>
    <w:rsid w:val="003F49FE"/>
    <w:rsid w:val="003F535C"/>
    <w:rsid w:val="003F5680"/>
    <w:rsid w:val="003F5764"/>
    <w:rsid w:val="003F58D7"/>
    <w:rsid w:val="003F5941"/>
    <w:rsid w:val="003F5C97"/>
    <w:rsid w:val="003F635D"/>
    <w:rsid w:val="003F681C"/>
    <w:rsid w:val="003F7196"/>
    <w:rsid w:val="003F731A"/>
    <w:rsid w:val="003F7417"/>
    <w:rsid w:val="003F76E3"/>
    <w:rsid w:val="003F7A06"/>
    <w:rsid w:val="003F7C07"/>
    <w:rsid w:val="003F7DDA"/>
    <w:rsid w:val="004005E8"/>
    <w:rsid w:val="004008AF"/>
    <w:rsid w:val="00400B5F"/>
    <w:rsid w:val="00400B78"/>
    <w:rsid w:val="00400DDA"/>
    <w:rsid w:val="004014E0"/>
    <w:rsid w:val="004015CD"/>
    <w:rsid w:val="00401DBF"/>
    <w:rsid w:val="0040254D"/>
    <w:rsid w:val="0040262E"/>
    <w:rsid w:val="00402858"/>
    <w:rsid w:val="00402DC4"/>
    <w:rsid w:val="00403119"/>
    <w:rsid w:val="004033D9"/>
    <w:rsid w:val="004035A4"/>
    <w:rsid w:val="004039DE"/>
    <w:rsid w:val="00403D43"/>
    <w:rsid w:val="004044EE"/>
    <w:rsid w:val="0040462B"/>
    <w:rsid w:val="00404650"/>
    <w:rsid w:val="00404A94"/>
    <w:rsid w:val="00404ED5"/>
    <w:rsid w:val="00405222"/>
    <w:rsid w:val="004052F1"/>
    <w:rsid w:val="0040551F"/>
    <w:rsid w:val="004057DE"/>
    <w:rsid w:val="00405D38"/>
    <w:rsid w:val="004060D2"/>
    <w:rsid w:val="004060EF"/>
    <w:rsid w:val="004069FF"/>
    <w:rsid w:val="00406ABE"/>
    <w:rsid w:val="00406AC7"/>
    <w:rsid w:val="0040771F"/>
    <w:rsid w:val="00407B8B"/>
    <w:rsid w:val="004100AF"/>
    <w:rsid w:val="00410202"/>
    <w:rsid w:val="004105C1"/>
    <w:rsid w:val="004106E0"/>
    <w:rsid w:val="00410A78"/>
    <w:rsid w:val="004111F7"/>
    <w:rsid w:val="004112A8"/>
    <w:rsid w:val="00411793"/>
    <w:rsid w:val="00411D1D"/>
    <w:rsid w:val="00411FDE"/>
    <w:rsid w:val="00412138"/>
    <w:rsid w:val="0041217D"/>
    <w:rsid w:val="004124C3"/>
    <w:rsid w:val="004124C9"/>
    <w:rsid w:val="004125C6"/>
    <w:rsid w:val="0041275F"/>
    <w:rsid w:val="00412AE3"/>
    <w:rsid w:val="00412FD0"/>
    <w:rsid w:val="0041303F"/>
    <w:rsid w:val="00413097"/>
    <w:rsid w:val="00413805"/>
    <w:rsid w:val="00413A1F"/>
    <w:rsid w:val="00413B0E"/>
    <w:rsid w:val="00413C7E"/>
    <w:rsid w:val="00413F1B"/>
    <w:rsid w:val="004144D9"/>
    <w:rsid w:val="00414612"/>
    <w:rsid w:val="00414ADD"/>
    <w:rsid w:val="00414BFC"/>
    <w:rsid w:val="00414D0E"/>
    <w:rsid w:val="00414DFE"/>
    <w:rsid w:val="00414EE0"/>
    <w:rsid w:val="00415833"/>
    <w:rsid w:val="00415EA5"/>
    <w:rsid w:val="00415FC4"/>
    <w:rsid w:val="00416B0B"/>
    <w:rsid w:val="00416F8F"/>
    <w:rsid w:val="00417A8B"/>
    <w:rsid w:val="00417F47"/>
    <w:rsid w:val="0041FBFE"/>
    <w:rsid w:val="004203A6"/>
    <w:rsid w:val="00420540"/>
    <w:rsid w:val="00420622"/>
    <w:rsid w:val="00420B56"/>
    <w:rsid w:val="00421752"/>
    <w:rsid w:val="00421A89"/>
    <w:rsid w:val="00421EBC"/>
    <w:rsid w:val="00422063"/>
    <w:rsid w:val="00422199"/>
    <w:rsid w:val="004225E4"/>
    <w:rsid w:val="00422964"/>
    <w:rsid w:val="00422A55"/>
    <w:rsid w:val="00423026"/>
    <w:rsid w:val="0042304B"/>
    <w:rsid w:val="0042313F"/>
    <w:rsid w:val="00423187"/>
    <w:rsid w:val="0042324C"/>
    <w:rsid w:val="00423313"/>
    <w:rsid w:val="00423504"/>
    <w:rsid w:val="00423551"/>
    <w:rsid w:val="00423637"/>
    <w:rsid w:val="004236EE"/>
    <w:rsid w:val="00423741"/>
    <w:rsid w:val="00424084"/>
    <w:rsid w:val="004240C9"/>
    <w:rsid w:val="00424560"/>
    <w:rsid w:val="004246B9"/>
    <w:rsid w:val="004248B0"/>
    <w:rsid w:val="00424AA6"/>
    <w:rsid w:val="00424B4E"/>
    <w:rsid w:val="00424EA4"/>
    <w:rsid w:val="004250E8"/>
    <w:rsid w:val="004252C3"/>
    <w:rsid w:val="004254A6"/>
    <w:rsid w:val="00425604"/>
    <w:rsid w:val="00425977"/>
    <w:rsid w:val="00426588"/>
    <w:rsid w:val="004273AD"/>
    <w:rsid w:val="00427555"/>
    <w:rsid w:val="00427A29"/>
    <w:rsid w:val="00427E52"/>
    <w:rsid w:val="00430056"/>
    <w:rsid w:val="00430471"/>
    <w:rsid w:val="004305AE"/>
    <w:rsid w:val="004307E5"/>
    <w:rsid w:val="00430C94"/>
    <w:rsid w:val="00430CA3"/>
    <w:rsid w:val="00431175"/>
    <w:rsid w:val="00431800"/>
    <w:rsid w:val="00431CB2"/>
    <w:rsid w:val="00432781"/>
    <w:rsid w:val="00433029"/>
    <w:rsid w:val="00433541"/>
    <w:rsid w:val="004336A6"/>
    <w:rsid w:val="004337A5"/>
    <w:rsid w:val="00433A7D"/>
    <w:rsid w:val="00433C8F"/>
    <w:rsid w:val="00433E40"/>
    <w:rsid w:val="00433F7B"/>
    <w:rsid w:val="00433FF8"/>
    <w:rsid w:val="004340F9"/>
    <w:rsid w:val="004340FC"/>
    <w:rsid w:val="00434661"/>
    <w:rsid w:val="004346D1"/>
    <w:rsid w:val="0043478D"/>
    <w:rsid w:val="004348B7"/>
    <w:rsid w:val="004350C4"/>
    <w:rsid w:val="004358B3"/>
    <w:rsid w:val="00435928"/>
    <w:rsid w:val="00435AFF"/>
    <w:rsid w:val="00435BE5"/>
    <w:rsid w:val="00436514"/>
    <w:rsid w:val="00436949"/>
    <w:rsid w:val="0043696F"/>
    <w:rsid w:val="00436C23"/>
    <w:rsid w:val="00436C31"/>
    <w:rsid w:val="00436C5B"/>
    <w:rsid w:val="00436CC5"/>
    <w:rsid w:val="0043765E"/>
    <w:rsid w:val="004377B5"/>
    <w:rsid w:val="00437C95"/>
    <w:rsid w:val="00437DD1"/>
    <w:rsid w:val="00437E36"/>
    <w:rsid w:val="00437FEB"/>
    <w:rsid w:val="004400ED"/>
    <w:rsid w:val="00440530"/>
    <w:rsid w:val="00440AEA"/>
    <w:rsid w:val="004413D6"/>
    <w:rsid w:val="00441863"/>
    <w:rsid w:val="00441C43"/>
    <w:rsid w:val="004422C3"/>
    <w:rsid w:val="00442314"/>
    <w:rsid w:val="004423F7"/>
    <w:rsid w:val="00442A49"/>
    <w:rsid w:val="00442AF0"/>
    <w:rsid w:val="00442B6B"/>
    <w:rsid w:val="004435E7"/>
    <w:rsid w:val="004438B6"/>
    <w:rsid w:val="00443963"/>
    <w:rsid w:val="0044396F"/>
    <w:rsid w:val="00443E76"/>
    <w:rsid w:val="00443F16"/>
    <w:rsid w:val="0044439B"/>
    <w:rsid w:val="004450A0"/>
    <w:rsid w:val="004459FD"/>
    <w:rsid w:val="004460E4"/>
    <w:rsid w:val="0044618E"/>
    <w:rsid w:val="00446258"/>
    <w:rsid w:val="0044660F"/>
    <w:rsid w:val="0044690B"/>
    <w:rsid w:val="00446BBE"/>
    <w:rsid w:val="00447408"/>
    <w:rsid w:val="0044753F"/>
    <w:rsid w:val="0044779C"/>
    <w:rsid w:val="0044782C"/>
    <w:rsid w:val="004505A4"/>
    <w:rsid w:val="00450839"/>
    <w:rsid w:val="00450851"/>
    <w:rsid w:val="0045093D"/>
    <w:rsid w:val="00451645"/>
    <w:rsid w:val="004519EB"/>
    <w:rsid w:val="0045233E"/>
    <w:rsid w:val="00452406"/>
    <w:rsid w:val="00452B7C"/>
    <w:rsid w:val="00453321"/>
    <w:rsid w:val="004538A8"/>
    <w:rsid w:val="0045416A"/>
    <w:rsid w:val="00454C64"/>
    <w:rsid w:val="00454F8E"/>
    <w:rsid w:val="00455284"/>
    <w:rsid w:val="004552DD"/>
    <w:rsid w:val="004552E7"/>
    <w:rsid w:val="0045564E"/>
    <w:rsid w:val="00455672"/>
    <w:rsid w:val="00455742"/>
    <w:rsid w:val="004558D4"/>
    <w:rsid w:val="00455DAF"/>
    <w:rsid w:val="004560C7"/>
    <w:rsid w:val="00456340"/>
    <w:rsid w:val="004564ED"/>
    <w:rsid w:val="00456A67"/>
    <w:rsid w:val="00456CEC"/>
    <w:rsid w:val="00456F79"/>
    <w:rsid w:val="00457413"/>
    <w:rsid w:val="004576DF"/>
    <w:rsid w:val="0045773E"/>
    <w:rsid w:val="00457BF2"/>
    <w:rsid w:val="00457E1D"/>
    <w:rsid w:val="00457EDA"/>
    <w:rsid w:val="00460960"/>
    <w:rsid w:val="00460C20"/>
    <w:rsid w:val="00460EC0"/>
    <w:rsid w:val="004611E4"/>
    <w:rsid w:val="004619E9"/>
    <w:rsid w:val="00461F8F"/>
    <w:rsid w:val="0046270E"/>
    <w:rsid w:val="00462778"/>
    <w:rsid w:val="00462820"/>
    <w:rsid w:val="00462843"/>
    <w:rsid w:val="00462CA0"/>
    <w:rsid w:val="004632BD"/>
    <w:rsid w:val="0046384E"/>
    <w:rsid w:val="00463888"/>
    <w:rsid w:val="00463E29"/>
    <w:rsid w:val="00463F05"/>
    <w:rsid w:val="00464221"/>
    <w:rsid w:val="004644AB"/>
    <w:rsid w:val="0046464D"/>
    <w:rsid w:val="00464ABF"/>
    <w:rsid w:val="00464E4E"/>
    <w:rsid w:val="00464F60"/>
    <w:rsid w:val="00464F6C"/>
    <w:rsid w:val="004653B2"/>
    <w:rsid w:val="00465426"/>
    <w:rsid w:val="0046598D"/>
    <w:rsid w:val="004659A7"/>
    <w:rsid w:val="00465AD7"/>
    <w:rsid w:val="00465B15"/>
    <w:rsid w:val="00465B4C"/>
    <w:rsid w:val="00466183"/>
    <w:rsid w:val="00466310"/>
    <w:rsid w:val="00466469"/>
    <w:rsid w:val="00466623"/>
    <w:rsid w:val="00466712"/>
    <w:rsid w:val="00466A2D"/>
    <w:rsid w:val="00467450"/>
    <w:rsid w:val="00467DE9"/>
    <w:rsid w:val="00467F48"/>
    <w:rsid w:val="00467F6A"/>
    <w:rsid w:val="004702FB"/>
    <w:rsid w:val="0047030C"/>
    <w:rsid w:val="00470887"/>
    <w:rsid w:val="00470955"/>
    <w:rsid w:val="00470BC3"/>
    <w:rsid w:val="004710A1"/>
    <w:rsid w:val="004713F6"/>
    <w:rsid w:val="0047144C"/>
    <w:rsid w:val="00471458"/>
    <w:rsid w:val="004716C1"/>
    <w:rsid w:val="004718D4"/>
    <w:rsid w:val="00471B3E"/>
    <w:rsid w:val="00471D0D"/>
    <w:rsid w:val="00471D96"/>
    <w:rsid w:val="00471DBA"/>
    <w:rsid w:val="00471E78"/>
    <w:rsid w:val="0047255D"/>
    <w:rsid w:val="00472949"/>
    <w:rsid w:val="004731FE"/>
    <w:rsid w:val="00473203"/>
    <w:rsid w:val="00473986"/>
    <w:rsid w:val="00473A0E"/>
    <w:rsid w:val="00473F82"/>
    <w:rsid w:val="0047436E"/>
    <w:rsid w:val="00474375"/>
    <w:rsid w:val="0047489A"/>
    <w:rsid w:val="004749C7"/>
    <w:rsid w:val="00474E01"/>
    <w:rsid w:val="00475590"/>
    <w:rsid w:val="004755FC"/>
    <w:rsid w:val="004757D0"/>
    <w:rsid w:val="00475EAA"/>
    <w:rsid w:val="00475EE8"/>
    <w:rsid w:val="004764E2"/>
    <w:rsid w:val="004765E2"/>
    <w:rsid w:val="00476AB6"/>
    <w:rsid w:val="00476F74"/>
    <w:rsid w:val="00477B33"/>
    <w:rsid w:val="00480826"/>
    <w:rsid w:val="00480D21"/>
    <w:rsid w:val="0048115D"/>
    <w:rsid w:val="004815FD"/>
    <w:rsid w:val="00481C88"/>
    <w:rsid w:val="00482130"/>
    <w:rsid w:val="004821A2"/>
    <w:rsid w:val="00482202"/>
    <w:rsid w:val="004824B2"/>
    <w:rsid w:val="004826EA"/>
    <w:rsid w:val="00482728"/>
    <w:rsid w:val="00482731"/>
    <w:rsid w:val="00482804"/>
    <w:rsid w:val="004829AC"/>
    <w:rsid w:val="00482B47"/>
    <w:rsid w:val="00483138"/>
    <w:rsid w:val="0048323E"/>
    <w:rsid w:val="004833A0"/>
    <w:rsid w:val="0048340F"/>
    <w:rsid w:val="00483CAC"/>
    <w:rsid w:val="004840D7"/>
    <w:rsid w:val="00484158"/>
    <w:rsid w:val="004843B4"/>
    <w:rsid w:val="00484C13"/>
    <w:rsid w:val="00484DC5"/>
    <w:rsid w:val="00485009"/>
    <w:rsid w:val="004852EF"/>
    <w:rsid w:val="00485675"/>
    <w:rsid w:val="004866B9"/>
    <w:rsid w:val="004868B1"/>
    <w:rsid w:val="00486D89"/>
    <w:rsid w:val="00487241"/>
    <w:rsid w:val="00487808"/>
    <w:rsid w:val="00487AD6"/>
    <w:rsid w:val="00487C85"/>
    <w:rsid w:val="00490307"/>
    <w:rsid w:val="00490583"/>
    <w:rsid w:val="00490ABC"/>
    <w:rsid w:val="00490AD1"/>
    <w:rsid w:val="00490DC4"/>
    <w:rsid w:val="00490FE4"/>
    <w:rsid w:val="0049158E"/>
    <w:rsid w:val="004915C1"/>
    <w:rsid w:val="00491623"/>
    <w:rsid w:val="0049165E"/>
    <w:rsid w:val="00491730"/>
    <w:rsid w:val="00491D97"/>
    <w:rsid w:val="00491E83"/>
    <w:rsid w:val="00491FD8"/>
    <w:rsid w:val="00492082"/>
    <w:rsid w:val="00492319"/>
    <w:rsid w:val="00492817"/>
    <w:rsid w:val="004929B5"/>
    <w:rsid w:val="00492BBB"/>
    <w:rsid w:val="004937FE"/>
    <w:rsid w:val="00493A6D"/>
    <w:rsid w:val="00493D5B"/>
    <w:rsid w:val="00493DFC"/>
    <w:rsid w:val="00494009"/>
    <w:rsid w:val="004940FF"/>
    <w:rsid w:val="004942DC"/>
    <w:rsid w:val="00494B61"/>
    <w:rsid w:val="00494F64"/>
    <w:rsid w:val="0049528D"/>
    <w:rsid w:val="0049587B"/>
    <w:rsid w:val="0049599A"/>
    <w:rsid w:val="00495FD2"/>
    <w:rsid w:val="00496202"/>
    <w:rsid w:val="004969D4"/>
    <w:rsid w:val="00496CC8"/>
    <w:rsid w:val="00496D34"/>
    <w:rsid w:val="0049722A"/>
    <w:rsid w:val="004978D3"/>
    <w:rsid w:val="00497B9F"/>
    <w:rsid w:val="00497FE7"/>
    <w:rsid w:val="004A0FF7"/>
    <w:rsid w:val="004A10D2"/>
    <w:rsid w:val="004A14B0"/>
    <w:rsid w:val="004A1AB6"/>
    <w:rsid w:val="004A1D8A"/>
    <w:rsid w:val="004A2084"/>
    <w:rsid w:val="004A2701"/>
    <w:rsid w:val="004A27F8"/>
    <w:rsid w:val="004A33F2"/>
    <w:rsid w:val="004A3494"/>
    <w:rsid w:val="004A362C"/>
    <w:rsid w:val="004A38E7"/>
    <w:rsid w:val="004A3F64"/>
    <w:rsid w:val="004A4082"/>
    <w:rsid w:val="004A4430"/>
    <w:rsid w:val="004A4536"/>
    <w:rsid w:val="004A4BD9"/>
    <w:rsid w:val="004A4C09"/>
    <w:rsid w:val="004A4FDF"/>
    <w:rsid w:val="004A50A3"/>
    <w:rsid w:val="004A522F"/>
    <w:rsid w:val="004A5489"/>
    <w:rsid w:val="004A5CD4"/>
    <w:rsid w:val="004A5E73"/>
    <w:rsid w:val="004A6C3B"/>
    <w:rsid w:val="004A7032"/>
    <w:rsid w:val="004A71A5"/>
    <w:rsid w:val="004A76D5"/>
    <w:rsid w:val="004A7758"/>
    <w:rsid w:val="004A7A52"/>
    <w:rsid w:val="004A7A77"/>
    <w:rsid w:val="004A7B51"/>
    <w:rsid w:val="004B04B7"/>
    <w:rsid w:val="004B0867"/>
    <w:rsid w:val="004B0879"/>
    <w:rsid w:val="004B0A2E"/>
    <w:rsid w:val="004B0BAE"/>
    <w:rsid w:val="004B0C37"/>
    <w:rsid w:val="004B1105"/>
    <w:rsid w:val="004B150C"/>
    <w:rsid w:val="004B186F"/>
    <w:rsid w:val="004B19FE"/>
    <w:rsid w:val="004B1AC6"/>
    <w:rsid w:val="004B1BAD"/>
    <w:rsid w:val="004B1CFB"/>
    <w:rsid w:val="004B1D88"/>
    <w:rsid w:val="004B2A4D"/>
    <w:rsid w:val="004B2DB5"/>
    <w:rsid w:val="004B2F45"/>
    <w:rsid w:val="004B30AE"/>
    <w:rsid w:val="004B322F"/>
    <w:rsid w:val="004B33C2"/>
    <w:rsid w:val="004B3CC2"/>
    <w:rsid w:val="004B3D4E"/>
    <w:rsid w:val="004B3E96"/>
    <w:rsid w:val="004B4214"/>
    <w:rsid w:val="004B430B"/>
    <w:rsid w:val="004B48E4"/>
    <w:rsid w:val="004B4BD9"/>
    <w:rsid w:val="004B56C1"/>
    <w:rsid w:val="004B5DC3"/>
    <w:rsid w:val="004B6150"/>
    <w:rsid w:val="004B625F"/>
    <w:rsid w:val="004B650F"/>
    <w:rsid w:val="004B689D"/>
    <w:rsid w:val="004B68F3"/>
    <w:rsid w:val="004B705B"/>
    <w:rsid w:val="004B7194"/>
    <w:rsid w:val="004B7372"/>
    <w:rsid w:val="004B751E"/>
    <w:rsid w:val="004B76AA"/>
    <w:rsid w:val="004B7752"/>
    <w:rsid w:val="004B78F9"/>
    <w:rsid w:val="004B7A1A"/>
    <w:rsid w:val="004B7AD8"/>
    <w:rsid w:val="004B7B57"/>
    <w:rsid w:val="004B7BC5"/>
    <w:rsid w:val="004B7C34"/>
    <w:rsid w:val="004B7D54"/>
    <w:rsid w:val="004B7DB9"/>
    <w:rsid w:val="004C0266"/>
    <w:rsid w:val="004C0823"/>
    <w:rsid w:val="004C0E97"/>
    <w:rsid w:val="004C1378"/>
    <w:rsid w:val="004C1607"/>
    <w:rsid w:val="004C1BE5"/>
    <w:rsid w:val="004C22BF"/>
    <w:rsid w:val="004C249B"/>
    <w:rsid w:val="004C2669"/>
    <w:rsid w:val="004C2686"/>
    <w:rsid w:val="004C2C5E"/>
    <w:rsid w:val="004C2E76"/>
    <w:rsid w:val="004C2EC3"/>
    <w:rsid w:val="004C348F"/>
    <w:rsid w:val="004C3799"/>
    <w:rsid w:val="004C39B5"/>
    <w:rsid w:val="004C3C82"/>
    <w:rsid w:val="004C3EA9"/>
    <w:rsid w:val="004C3FE9"/>
    <w:rsid w:val="004C4075"/>
    <w:rsid w:val="004C4345"/>
    <w:rsid w:val="004C48C8"/>
    <w:rsid w:val="004C4C20"/>
    <w:rsid w:val="004C4C59"/>
    <w:rsid w:val="004C4CDE"/>
    <w:rsid w:val="004C5491"/>
    <w:rsid w:val="004C55C9"/>
    <w:rsid w:val="004C574B"/>
    <w:rsid w:val="004C5981"/>
    <w:rsid w:val="004C598D"/>
    <w:rsid w:val="004C5DA3"/>
    <w:rsid w:val="004C6692"/>
    <w:rsid w:val="004C70B7"/>
    <w:rsid w:val="004C764E"/>
    <w:rsid w:val="004C7938"/>
    <w:rsid w:val="004D01BC"/>
    <w:rsid w:val="004D02D4"/>
    <w:rsid w:val="004D0B78"/>
    <w:rsid w:val="004D1010"/>
    <w:rsid w:val="004D13DB"/>
    <w:rsid w:val="004D1675"/>
    <w:rsid w:val="004D1888"/>
    <w:rsid w:val="004D1E36"/>
    <w:rsid w:val="004D22DB"/>
    <w:rsid w:val="004D24FE"/>
    <w:rsid w:val="004D2705"/>
    <w:rsid w:val="004D270A"/>
    <w:rsid w:val="004D2BA5"/>
    <w:rsid w:val="004D2DD2"/>
    <w:rsid w:val="004D310D"/>
    <w:rsid w:val="004D3897"/>
    <w:rsid w:val="004D398A"/>
    <w:rsid w:val="004D3BDC"/>
    <w:rsid w:val="004D4295"/>
    <w:rsid w:val="004D4425"/>
    <w:rsid w:val="004D4B99"/>
    <w:rsid w:val="004D4D26"/>
    <w:rsid w:val="004D508A"/>
    <w:rsid w:val="004D533B"/>
    <w:rsid w:val="004D5BDA"/>
    <w:rsid w:val="004D678E"/>
    <w:rsid w:val="004D6D2E"/>
    <w:rsid w:val="004D6ECC"/>
    <w:rsid w:val="004D6FC8"/>
    <w:rsid w:val="004D70B6"/>
    <w:rsid w:val="004D7561"/>
    <w:rsid w:val="004E0924"/>
    <w:rsid w:val="004E0946"/>
    <w:rsid w:val="004E0DC6"/>
    <w:rsid w:val="004E0FA2"/>
    <w:rsid w:val="004E1260"/>
    <w:rsid w:val="004E13D3"/>
    <w:rsid w:val="004E14E4"/>
    <w:rsid w:val="004E1649"/>
    <w:rsid w:val="004E1DBE"/>
    <w:rsid w:val="004E246D"/>
    <w:rsid w:val="004E2496"/>
    <w:rsid w:val="004E24AC"/>
    <w:rsid w:val="004E2BD6"/>
    <w:rsid w:val="004E2D3F"/>
    <w:rsid w:val="004E3286"/>
    <w:rsid w:val="004E3757"/>
    <w:rsid w:val="004E37B5"/>
    <w:rsid w:val="004E452B"/>
    <w:rsid w:val="004E46D4"/>
    <w:rsid w:val="004E480C"/>
    <w:rsid w:val="004E487E"/>
    <w:rsid w:val="004E499D"/>
    <w:rsid w:val="004E5F13"/>
    <w:rsid w:val="004E6175"/>
    <w:rsid w:val="004E65E6"/>
    <w:rsid w:val="004E66E9"/>
    <w:rsid w:val="004E67A8"/>
    <w:rsid w:val="004E6F46"/>
    <w:rsid w:val="004E6F73"/>
    <w:rsid w:val="004E73CC"/>
    <w:rsid w:val="004E7B01"/>
    <w:rsid w:val="004F03C9"/>
    <w:rsid w:val="004F04A3"/>
    <w:rsid w:val="004F0650"/>
    <w:rsid w:val="004F0AB0"/>
    <w:rsid w:val="004F0B61"/>
    <w:rsid w:val="004F0F22"/>
    <w:rsid w:val="004F0FAF"/>
    <w:rsid w:val="004F12F0"/>
    <w:rsid w:val="004F149D"/>
    <w:rsid w:val="004F16F8"/>
    <w:rsid w:val="004F25E3"/>
    <w:rsid w:val="004F28E4"/>
    <w:rsid w:val="004F2930"/>
    <w:rsid w:val="004F2BB3"/>
    <w:rsid w:val="004F2D2F"/>
    <w:rsid w:val="004F2FC9"/>
    <w:rsid w:val="004F347B"/>
    <w:rsid w:val="004F3B13"/>
    <w:rsid w:val="004F400A"/>
    <w:rsid w:val="004F4125"/>
    <w:rsid w:val="004F43D7"/>
    <w:rsid w:val="004F5316"/>
    <w:rsid w:val="004F541C"/>
    <w:rsid w:val="004F5495"/>
    <w:rsid w:val="004F57B8"/>
    <w:rsid w:val="004F656C"/>
    <w:rsid w:val="004F6689"/>
    <w:rsid w:val="004F6AD3"/>
    <w:rsid w:val="004F6B3A"/>
    <w:rsid w:val="004F6F43"/>
    <w:rsid w:val="004F7A4C"/>
    <w:rsid w:val="004F7AC2"/>
    <w:rsid w:val="004F7D8C"/>
    <w:rsid w:val="00500BE1"/>
    <w:rsid w:val="00500C38"/>
    <w:rsid w:val="005011EB"/>
    <w:rsid w:val="00501386"/>
    <w:rsid w:val="00501403"/>
    <w:rsid w:val="005014DD"/>
    <w:rsid w:val="00501763"/>
    <w:rsid w:val="00501BD9"/>
    <w:rsid w:val="00501C25"/>
    <w:rsid w:val="00501D8C"/>
    <w:rsid w:val="005020A6"/>
    <w:rsid w:val="005027A6"/>
    <w:rsid w:val="005027F5"/>
    <w:rsid w:val="00502854"/>
    <w:rsid w:val="005029F2"/>
    <w:rsid w:val="00502A40"/>
    <w:rsid w:val="00502DAE"/>
    <w:rsid w:val="00502FFB"/>
    <w:rsid w:val="005038A0"/>
    <w:rsid w:val="00503B8A"/>
    <w:rsid w:val="00503D9C"/>
    <w:rsid w:val="00504308"/>
    <w:rsid w:val="005045EB"/>
    <w:rsid w:val="00504935"/>
    <w:rsid w:val="00504A82"/>
    <w:rsid w:val="005050E2"/>
    <w:rsid w:val="005054D6"/>
    <w:rsid w:val="005055D4"/>
    <w:rsid w:val="005058B9"/>
    <w:rsid w:val="005059F0"/>
    <w:rsid w:val="00505B4F"/>
    <w:rsid w:val="00505C62"/>
    <w:rsid w:val="00505E19"/>
    <w:rsid w:val="005067CA"/>
    <w:rsid w:val="00506A41"/>
    <w:rsid w:val="005070FA"/>
    <w:rsid w:val="0050743A"/>
    <w:rsid w:val="00507AA4"/>
    <w:rsid w:val="005103C5"/>
    <w:rsid w:val="005104A3"/>
    <w:rsid w:val="0051088C"/>
    <w:rsid w:val="00510910"/>
    <w:rsid w:val="00510E47"/>
    <w:rsid w:val="005110B7"/>
    <w:rsid w:val="00511115"/>
    <w:rsid w:val="00511A16"/>
    <w:rsid w:val="005126BC"/>
    <w:rsid w:val="00512FBE"/>
    <w:rsid w:val="00513009"/>
    <w:rsid w:val="005131D3"/>
    <w:rsid w:val="005133AB"/>
    <w:rsid w:val="0051352C"/>
    <w:rsid w:val="00513B44"/>
    <w:rsid w:val="00513F87"/>
    <w:rsid w:val="00514326"/>
    <w:rsid w:val="00514B15"/>
    <w:rsid w:val="00514FC2"/>
    <w:rsid w:val="00515528"/>
    <w:rsid w:val="0051563D"/>
    <w:rsid w:val="00515BE9"/>
    <w:rsid w:val="00515BFA"/>
    <w:rsid w:val="00515ED5"/>
    <w:rsid w:val="00515F98"/>
    <w:rsid w:val="00517777"/>
    <w:rsid w:val="005178A2"/>
    <w:rsid w:val="00517A86"/>
    <w:rsid w:val="00517B38"/>
    <w:rsid w:val="00517D52"/>
    <w:rsid w:val="00517FBD"/>
    <w:rsid w:val="00520BF9"/>
    <w:rsid w:val="00520C0F"/>
    <w:rsid w:val="00521301"/>
    <w:rsid w:val="00522304"/>
    <w:rsid w:val="00522696"/>
    <w:rsid w:val="00522714"/>
    <w:rsid w:val="005227AF"/>
    <w:rsid w:val="00522C9E"/>
    <w:rsid w:val="00522F34"/>
    <w:rsid w:val="0052331E"/>
    <w:rsid w:val="0052349D"/>
    <w:rsid w:val="00523C46"/>
    <w:rsid w:val="00523CD0"/>
    <w:rsid w:val="005244DD"/>
    <w:rsid w:val="0052496C"/>
    <w:rsid w:val="00524B6C"/>
    <w:rsid w:val="00524BE8"/>
    <w:rsid w:val="00524BE9"/>
    <w:rsid w:val="005253A6"/>
    <w:rsid w:val="0052575D"/>
    <w:rsid w:val="0052588D"/>
    <w:rsid w:val="0052591A"/>
    <w:rsid w:val="0052596A"/>
    <w:rsid w:val="00525F42"/>
    <w:rsid w:val="005263C3"/>
    <w:rsid w:val="005268BB"/>
    <w:rsid w:val="00526BB9"/>
    <w:rsid w:val="00526C92"/>
    <w:rsid w:val="0052720A"/>
    <w:rsid w:val="0052745F"/>
    <w:rsid w:val="00527582"/>
    <w:rsid w:val="005275FC"/>
    <w:rsid w:val="0052768C"/>
    <w:rsid w:val="00527786"/>
    <w:rsid w:val="0052788A"/>
    <w:rsid w:val="00527CAA"/>
    <w:rsid w:val="00527D37"/>
    <w:rsid w:val="00527D7A"/>
    <w:rsid w:val="00527FFE"/>
    <w:rsid w:val="00530008"/>
    <w:rsid w:val="0053058A"/>
    <w:rsid w:val="00530896"/>
    <w:rsid w:val="00530AA5"/>
    <w:rsid w:val="00530F49"/>
    <w:rsid w:val="005310AF"/>
    <w:rsid w:val="005319A9"/>
    <w:rsid w:val="00531B77"/>
    <w:rsid w:val="00531D69"/>
    <w:rsid w:val="0053240E"/>
    <w:rsid w:val="005325C6"/>
    <w:rsid w:val="00532CE9"/>
    <w:rsid w:val="00532EE6"/>
    <w:rsid w:val="005331B8"/>
    <w:rsid w:val="00533471"/>
    <w:rsid w:val="00533855"/>
    <w:rsid w:val="00534143"/>
    <w:rsid w:val="005342C3"/>
    <w:rsid w:val="00534719"/>
    <w:rsid w:val="00534969"/>
    <w:rsid w:val="005362F5"/>
    <w:rsid w:val="005364FA"/>
    <w:rsid w:val="005366C0"/>
    <w:rsid w:val="00536AF1"/>
    <w:rsid w:val="0053725B"/>
    <w:rsid w:val="005376E0"/>
    <w:rsid w:val="0053776C"/>
    <w:rsid w:val="00540024"/>
    <w:rsid w:val="005402A7"/>
    <w:rsid w:val="0054031D"/>
    <w:rsid w:val="00540369"/>
    <w:rsid w:val="005403D9"/>
    <w:rsid w:val="00540611"/>
    <w:rsid w:val="005406AD"/>
    <w:rsid w:val="00540C57"/>
    <w:rsid w:val="00541C9F"/>
    <w:rsid w:val="00541F48"/>
    <w:rsid w:val="0054221D"/>
    <w:rsid w:val="00542657"/>
    <w:rsid w:val="005427F7"/>
    <w:rsid w:val="00542FA6"/>
    <w:rsid w:val="0054328E"/>
    <w:rsid w:val="00543349"/>
    <w:rsid w:val="005433C5"/>
    <w:rsid w:val="0054346E"/>
    <w:rsid w:val="005434AD"/>
    <w:rsid w:val="005434FC"/>
    <w:rsid w:val="005436DC"/>
    <w:rsid w:val="005444F6"/>
    <w:rsid w:val="00544622"/>
    <w:rsid w:val="00544897"/>
    <w:rsid w:val="00544AF7"/>
    <w:rsid w:val="00544CCB"/>
    <w:rsid w:val="00545460"/>
    <w:rsid w:val="0054561B"/>
    <w:rsid w:val="00545BFF"/>
    <w:rsid w:val="005461D8"/>
    <w:rsid w:val="0054625E"/>
    <w:rsid w:val="00546ACB"/>
    <w:rsid w:val="00546C08"/>
    <w:rsid w:val="0054723B"/>
    <w:rsid w:val="005473E5"/>
    <w:rsid w:val="005478B4"/>
    <w:rsid w:val="00547C65"/>
    <w:rsid w:val="00547EF1"/>
    <w:rsid w:val="00547F07"/>
    <w:rsid w:val="005500D9"/>
    <w:rsid w:val="005503E3"/>
    <w:rsid w:val="0055049E"/>
    <w:rsid w:val="0055055E"/>
    <w:rsid w:val="00550994"/>
    <w:rsid w:val="00550E11"/>
    <w:rsid w:val="005513F6"/>
    <w:rsid w:val="00552211"/>
    <w:rsid w:val="005523FB"/>
    <w:rsid w:val="00552A04"/>
    <w:rsid w:val="00552A96"/>
    <w:rsid w:val="00552ABC"/>
    <w:rsid w:val="00552C1B"/>
    <w:rsid w:val="005530F0"/>
    <w:rsid w:val="005531BD"/>
    <w:rsid w:val="005531F0"/>
    <w:rsid w:val="005533B9"/>
    <w:rsid w:val="0055344B"/>
    <w:rsid w:val="00553458"/>
    <w:rsid w:val="005538EA"/>
    <w:rsid w:val="00553A9B"/>
    <w:rsid w:val="00553C8E"/>
    <w:rsid w:val="00553EFA"/>
    <w:rsid w:val="00553F2E"/>
    <w:rsid w:val="00553FE9"/>
    <w:rsid w:val="00554794"/>
    <w:rsid w:val="00554949"/>
    <w:rsid w:val="00554BE7"/>
    <w:rsid w:val="005557BF"/>
    <w:rsid w:val="0055580C"/>
    <w:rsid w:val="005559F3"/>
    <w:rsid w:val="00555EE3"/>
    <w:rsid w:val="00555F2F"/>
    <w:rsid w:val="00556196"/>
    <w:rsid w:val="005567B2"/>
    <w:rsid w:val="00556ADA"/>
    <w:rsid w:val="00556BF3"/>
    <w:rsid w:val="00556E7C"/>
    <w:rsid w:val="00557173"/>
    <w:rsid w:val="005573DB"/>
    <w:rsid w:val="00557450"/>
    <w:rsid w:val="00557485"/>
    <w:rsid w:val="005577B9"/>
    <w:rsid w:val="00557870"/>
    <w:rsid w:val="00557904"/>
    <w:rsid w:val="0055799D"/>
    <w:rsid w:val="00557A6E"/>
    <w:rsid w:val="00557D69"/>
    <w:rsid w:val="00560277"/>
    <w:rsid w:val="00560938"/>
    <w:rsid w:val="00560AF1"/>
    <w:rsid w:val="00560BBD"/>
    <w:rsid w:val="00560D95"/>
    <w:rsid w:val="00560E13"/>
    <w:rsid w:val="00560EE2"/>
    <w:rsid w:val="00561562"/>
    <w:rsid w:val="00561BB6"/>
    <w:rsid w:val="00561DB9"/>
    <w:rsid w:val="00561EC5"/>
    <w:rsid w:val="005622B4"/>
    <w:rsid w:val="005623E9"/>
    <w:rsid w:val="005628D2"/>
    <w:rsid w:val="00562E71"/>
    <w:rsid w:val="005630FC"/>
    <w:rsid w:val="00563408"/>
    <w:rsid w:val="00563C20"/>
    <w:rsid w:val="00563CA4"/>
    <w:rsid w:val="00563DE6"/>
    <w:rsid w:val="00563F51"/>
    <w:rsid w:val="0056420E"/>
    <w:rsid w:val="00564289"/>
    <w:rsid w:val="005645E2"/>
    <w:rsid w:val="00564673"/>
    <w:rsid w:val="0056528D"/>
    <w:rsid w:val="00565B10"/>
    <w:rsid w:val="0056628B"/>
    <w:rsid w:val="00566298"/>
    <w:rsid w:val="00566D05"/>
    <w:rsid w:val="00566FEF"/>
    <w:rsid w:val="0056759F"/>
    <w:rsid w:val="00567671"/>
    <w:rsid w:val="005678F0"/>
    <w:rsid w:val="00567A3E"/>
    <w:rsid w:val="00570070"/>
    <w:rsid w:val="00570072"/>
    <w:rsid w:val="0057036E"/>
    <w:rsid w:val="0057091E"/>
    <w:rsid w:val="00570930"/>
    <w:rsid w:val="00571144"/>
    <w:rsid w:val="00571482"/>
    <w:rsid w:val="0057153C"/>
    <w:rsid w:val="00571865"/>
    <w:rsid w:val="0057189B"/>
    <w:rsid w:val="00572001"/>
    <w:rsid w:val="005723D6"/>
    <w:rsid w:val="00573346"/>
    <w:rsid w:val="0057336A"/>
    <w:rsid w:val="00573760"/>
    <w:rsid w:val="00573821"/>
    <w:rsid w:val="005739E9"/>
    <w:rsid w:val="00573DAC"/>
    <w:rsid w:val="00573F7A"/>
    <w:rsid w:val="0057419E"/>
    <w:rsid w:val="00574A6E"/>
    <w:rsid w:val="00574C59"/>
    <w:rsid w:val="005751CD"/>
    <w:rsid w:val="00575C5D"/>
    <w:rsid w:val="00575E85"/>
    <w:rsid w:val="00576861"/>
    <w:rsid w:val="00577145"/>
    <w:rsid w:val="005773BE"/>
    <w:rsid w:val="005774B2"/>
    <w:rsid w:val="00577EA3"/>
    <w:rsid w:val="0058026B"/>
    <w:rsid w:val="00580A56"/>
    <w:rsid w:val="00580AB2"/>
    <w:rsid w:val="00580EF0"/>
    <w:rsid w:val="00580F4B"/>
    <w:rsid w:val="0058141C"/>
    <w:rsid w:val="00581B56"/>
    <w:rsid w:val="00581B6C"/>
    <w:rsid w:val="00581BA6"/>
    <w:rsid w:val="00581F55"/>
    <w:rsid w:val="00582365"/>
    <w:rsid w:val="0058262B"/>
    <w:rsid w:val="00582FA8"/>
    <w:rsid w:val="00583BD9"/>
    <w:rsid w:val="00583F26"/>
    <w:rsid w:val="00583FE6"/>
    <w:rsid w:val="005840C3"/>
    <w:rsid w:val="005846FA"/>
    <w:rsid w:val="00584958"/>
    <w:rsid w:val="00584A43"/>
    <w:rsid w:val="00584F66"/>
    <w:rsid w:val="005856D7"/>
    <w:rsid w:val="005857C3"/>
    <w:rsid w:val="0058588B"/>
    <w:rsid w:val="00585B2B"/>
    <w:rsid w:val="00585C1B"/>
    <w:rsid w:val="00585F8E"/>
    <w:rsid w:val="005861FB"/>
    <w:rsid w:val="005862DE"/>
    <w:rsid w:val="005863BD"/>
    <w:rsid w:val="0058689C"/>
    <w:rsid w:val="00586C39"/>
    <w:rsid w:val="00586E67"/>
    <w:rsid w:val="00586FA4"/>
    <w:rsid w:val="005871FB"/>
    <w:rsid w:val="00587639"/>
    <w:rsid w:val="0058795C"/>
    <w:rsid w:val="00587AC4"/>
    <w:rsid w:val="00587D47"/>
    <w:rsid w:val="00590300"/>
    <w:rsid w:val="0059044C"/>
    <w:rsid w:val="00590FBE"/>
    <w:rsid w:val="005912CB"/>
    <w:rsid w:val="00591609"/>
    <w:rsid w:val="0059170E"/>
    <w:rsid w:val="0059190C"/>
    <w:rsid w:val="00591960"/>
    <w:rsid w:val="00592007"/>
    <w:rsid w:val="005924E7"/>
    <w:rsid w:val="00592638"/>
    <w:rsid w:val="00592BBA"/>
    <w:rsid w:val="00593138"/>
    <w:rsid w:val="005933D9"/>
    <w:rsid w:val="005935EF"/>
    <w:rsid w:val="00593A33"/>
    <w:rsid w:val="00593C1D"/>
    <w:rsid w:val="00593E24"/>
    <w:rsid w:val="005947B5"/>
    <w:rsid w:val="00594B82"/>
    <w:rsid w:val="00594CF5"/>
    <w:rsid w:val="00594F29"/>
    <w:rsid w:val="0059514E"/>
    <w:rsid w:val="005953A8"/>
    <w:rsid w:val="005953AB"/>
    <w:rsid w:val="00595B07"/>
    <w:rsid w:val="00596041"/>
    <w:rsid w:val="005960AA"/>
    <w:rsid w:val="005960BB"/>
    <w:rsid w:val="00596183"/>
    <w:rsid w:val="005971C5"/>
    <w:rsid w:val="00597407"/>
    <w:rsid w:val="005A0435"/>
    <w:rsid w:val="005A0496"/>
    <w:rsid w:val="005A06AC"/>
    <w:rsid w:val="005A0E1B"/>
    <w:rsid w:val="005A0F13"/>
    <w:rsid w:val="005A1072"/>
    <w:rsid w:val="005A29ED"/>
    <w:rsid w:val="005A2FA3"/>
    <w:rsid w:val="005A3034"/>
    <w:rsid w:val="005A350C"/>
    <w:rsid w:val="005A377B"/>
    <w:rsid w:val="005A38BD"/>
    <w:rsid w:val="005A39E5"/>
    <w:rsid w:val="005A3D43"/>
    <w:rsid w:val="005A3D9F"/>
    <w:rsid w:val="005A3DB6"/>
    <w:rsid w:val="005A4047"/>
    <w:rsid w:val="005A4384"/>
    <w:rsid w:val="005A441C"/>
    <w:rsid w:val="005A4CBE"/>
    <w:rsid w:val="005A4F00"/>
    <w:rsid w:val="005A526B"/>
    <w:rsid w:val="005A551E"/>
    <w:rsid w:val="005A5650"/>
    <w:rsid w:val="005A5ABA"/>
    <w:rsid w:val="005A5B93"/>
    <w:rsid w:val="005A5CFD"/>
    <w:rsid w:val="005A5E76"/>
    <w:rsid w:val="005A615E"/>
    <w:rsid w:val="005A62BF"/>
    <w:rsid w:val="005A6949"/>
    <w:rsid w:val="005A6950"/>
    <w:rsid w:val="005A6BD2"/>
    <w:rsid w:val="005A6CFE"/>
    <w:rsid w:val="005A7012"/>
    <w:rsid w:val="005A7383"/>
    <w:rsid w:val="005A7A5E"/>
    <w:rsid w:val="005A7FD0"/>
    <w:rsid w:val="005B00C4"/>
    <w:rsid w:val="005B00F1"/>
    <w:rsid w:val="005B037E"/>
    <w:rsid w:val="005B0475"/>
    <w:rsid w:val="005B06D7"/>
    <w:rsid w:val="005B0C80"/>
    <w:rsid w:val="005B0C94"/>
    <w:rsid w:val="005B0CBF"/>
    <w:rsid w:val="005B0E3A"/>
    <w:rsid w:val="005B1634"/>
    <w:rsid w:val="005B16D8"/>
    <w:rsid w:val="005B18CB"/>
    <w:rsid w:val="005B1C07"/>
    <w:rsid w:val="005B20A4"/>
    <w:rsid w:val="005B21B8"/>
    <w:rsid w:val="005B28EE"/>
    <w:rsid w:val="005B2927"/>
    <w:rsid w:val="005B2F1B"/>
    <w:rsid w:val="005B3432"/>
    <w:rsid w:val="005B35D6"/>
    <w:rsid w:val="005B3891"/>
    <w:rsid w:val="005B3AA6"/>
    <w:rsid w:val="005B3B04"/>
    <w:rsid w:val="005B3B3D"/>
    <w:rsid w:val="005B3BD6"/>
    <w:rsid w:val="005B3DB8"/>
    <w:rsid w:val="005B3DBF"/>
    <w:rsid w:val="005B3E09"/>
    <w:rsid w:val="005B4667"/>
    <w:rsid w:val="005B489A"/>
    <w:rsid w:val="005B493F"/>
    <w:rsid w:val="005B4A4C"/>
    <w:rsid w:val="005B4EA7"/>
    <w:rsid w:val="005B50B5"/>
    <w:rsid w:val="005B5303"/>
    <w:rsid w:val="005B5363"/>
    <w:rsid w:val="005B5578"/>
    <w:rsid w:val="005B557D"/>
    <w:rsid w:val="005B5883"/>
    <w:rsid w:val="005B5AAD"/>
    <w:rsid w:val="005B5D05"/>
    <w:rsid w:val="005B5E6D"/>
    <w:rsid w:val="005B61CC"/>
    <w:rsid w:val="005B6523"/>
    <w:rsid w:val="005B65CF"/>
    <w:rsid w:val="005B6971"/>
    <w:rsid w:val="005B6C37"/>
    <w:rsid w:val="005B6DAA"/>
    <w:rsid w:val="005B7539"/>
    <w:rsid w:val="005B76ED"/>
    <w:rsid w:val="005B7702"/>
    <w:rsid w:val="005B7AEC"/>
    <w:rsid w:val="005B7D6C"/>
    <w:rsid w:val="005C0075"/>
    <w:rsid w:val="005C017B"/>
    <w:rsid w:val="005C01DD"/>
    <w:rsid w:val="005C051D"/>
    <w:rsid w:val="005C088F"/>
    <w:rsid w:val="005C0BA1"/>
    <w:rsid w:val="005C104F"/>
    <w:rsid w:val="005C11CD"/>
    <w:rsid w:val="005C1425"/>
    <w:rsid w:val="005C1436"/>
    <w:rsid w:val="005C15F3"/>
    <w:rsid w:val="005C17A0"/>
    <w:rsid w:val="005C1A6A"/>
    <w:rsid w:val="005C1D7F"/>
    <w:rsid w:val="005C1EFD"/>
    <w:rsid w:val="005C226A"/>
    <w:rsid w:val="005C2313"/>
    <w:rsid w:val="005C2355"/>
    <w:rsid w:val="005C240D"/>
    <w:rsid w:val="005C30E7"/>
    <w:rsid w:val="005C3B9E"/>
    <w:rsid w:val="005C3C85"/>
    <w:rsid w:val="005C421A"/>
    <w:rsid w:val="005C4B7C"/>
    <w:rsid w:val="005C5D4C"/>
    <w:rsid w:val="005C65C4"/>
    <w:rsid w:val="005C65CF"/>
    <w:rsid w:val="005C6744"/>
    <w:rsid w:val="005C684F"/>
    <w:rsid w:val="005C6FC5"/>
    <w:rsid w:val="005C7001"/>
    <w:rsid w:val="005C7215"/>
    <w:rsid w:val="005C73C4"/>
    <w:rsid w:val="005C7E27"/>
    <w:rsid w:val="005C7E2E"/>
    <w:rsid w:val="005C7ED7"/>
    <w:rsid w:val="005D00EA"/>
    <w:rsid w:val="005D023B"/>
    <w:rsid w:val="005D1245"/>
    <w:rsid w:val="005D1A43"/>
    <w:rsid w:val="005D1E2C"/>
    <w:rsid w:val="005D2304"/>
    <w:rsid w:val="005D2316"/>
    <w:rsid w:val="005D248B"/>
    <w:rsid w:val="005D28DD"/>
    <w:rsid w:val="005D302F"/>
    <w:rsid w:val="005D31F2"/>
    <w:rsid w:val="005D3389"/>
    <w:rsid w:val="005D3577"/>
    <w:rsid w:val="005D394F"/>
    <w:rsid w:val="005D3A04"/>
    <w:rsid w:val="005D3D10"/>
    <w:rsid w:val="005D3DA4"/>
    <w:rsid w:val="005D3E9F"/>
    <w:rsid w:val="005D4042"/>
    <w:rsid w:val="005D40B6"/>
    <w:rsid w:val="005D47F8"/>
    <w:rsid w:val="005D48FE"/>
    <w:rsid w:val="005D4A1F"/>
    <w:rsid w:val="005D4A53"/>
    <w:rsid w:val="005D4B74"/>
    <w:rsid w:val="005D4D8F"/>
    <w:rsid w:val="005D4E27"/>
    <w:rsid w:val="005D4E39"/>
    <w:rsid w:val="005D574C"/>
    <w:rsid w:val="005D5BD6"/>
    <w:rsid w:val="005D5DD5"/>
    <w:rsid w:val="005D5EF6"/>
    <w:rsid w:val="005D5FF9"/>
    <w:rsid w:val="005D60AB"/>
    <w:rsid w:val="005D7471"/>
    <w:rsid w:val="005D749D"/>
    <w:rsid w:val="005D74A6"/>
    <w:rsid w:val="005D7662"/>
    <w:rsid w:val="005D7EBC"/>
    <w:rsid w:val="005E0592"/>
    <w:rsid w:val="005E0903"/>
    <w:rsid w:val="005E10FD"/>
    <w:rsid w:val="005E1230"/>
    <w:rsid w:val="005E139B"/>
    <w:rsid w:val="005E2702"/>
    <w:rsid w:val="005E2C27"/>
    <w:rsid w:val="005E3153"/>
    <w:rsid w:val="005E3462"/>
    <w:rsid w:val="005E3EDC"/>
    <w:rsid w:val="005E3F46"/>
    <w:rsid w:val="005E4153"/>
    <w:rsid w:val="005E49AD"/>
    <w:rsid w:val="005E4E13"/>
    <w:rsid w:val="005E50E9"/>
    <w:rsid w:val="005E53E5"/>
    <w:rsid w:val="005E54D3"/>
    <w:rsid w:val="005E5874"/>
    <w:rsid w:val="005E60BF"/>
    <w:rsid w:val="005E629A"/>
    <w:rsid w:val="005E63D1"/>
    <w:rsid w:val="005E6422"/>
    <w:rsid w:val="005E6B98"/>
    <w:rsid w:val="005E6D06"/>
    <w:rsid w:val="005E6D2F"/>
    <w:rsid w:val="005E7375"/>
    <w:rsid w:val="005E7393"/>
    <w:rsid w:val="005E75D5"/>
    <w:rsid w:val="005E7865"/>
    <w:rsid w:val="005E7E05"/>
    <w:rsid w:val="005F00BB"/>
    <w:rsid w:val="005F0510"/>
    <w:rsid w:val="005F0B18"/>
    <w:rsid w:val="005F0B33"/>
    <w:rsid w:val="005F10B7"/>
    <w:rsid w:val="005F1357"/>
    <w:rsid w:val="005F1555"/>
    <w:rsid w:val="005F1707"/>
    <w:rsid w:val="005F18B9"/>
    <w:rsid w:val="005F22DC"/>
    <w:rsid w:val="005F2978"/>
    <w:rsid w:val="005F2DB9"/>
    <w:rsid w:val="005F2DBA"/>
    <w:rsid w:val="005F323F"/>
    <w:rsid w:val="005F3D03"/>
    <w:rsid w:val="005F3DFD"/>
    <w:rsid w:val="005F4285"/>
    <w:rsid w:val="005F431D"/>
    <w:rsid w:val="005F4541"/>
    <w:rsid w:val="005F4721"/>
    <w:rsid w:val="005F487A"/>
    <w:rsid w:val="005F496E"/>
    <w:rsid w:val="005F5126"/>
    <w:rsid w:val="005F512D"/>
    <w:rsid w:val="005F51A9"/>
    <w:rsid w:val="005F52D8"/>
    <w:rsid w:val="005F56C4"/>
    <w:rsid w:val="005F57AA"/>
    <w:rsid w:val="005F6452"/>
    <w:rsid w:val="005F660A"/>
    <w:rsid w:val="005F6BC2"/>
    <w:rsid w:val="005F6D73"/>
    <w:rsid w:val="005F6E20"/>
    <w:rsid w:val="005F720A"/>
    <w:rsid w:val="005F766D"/>
    <w:rsid w:val="005F7ABC"/>
    <w:rsid w:val="005F7BD6"/>
    <w:rsid w:val="005F7C89"/>
    <w:rsid w:val="006005D4"/>
    <w:rsid w:val="00600B3E"/>
    <w:rsid w:val="00600B76"/>
    <w:rsid w:val="00600E4A"/>
    <w:rsid w:val="00601028"/>
    <w:rsid w:val="006013F6"/>
    <w:rsid w:val="00601679"/>
    <w:rsid w:val="006016D3"/>
    <w:rsid w:val="00601861"/>
    <w:rsid w:val="00601A08"/>
    <w:rsid w:val="00601AD9"/>
    <w:rsid w:val="00601B19"/>
    <w:rsid w:val="00601F41"/>
    <w:rsid w:val="006020AF"/>
    <w:rsid w:val="0060242C"/>
    <w:rsid w:val="006027F3"/>
    <w:rsid w:val="00602C54"/>
    <w:rsid w:val="00602CE0"/>
    <w:rsid w:val="00602F43"/>
    <w:rsid w:val="0060329E"/>
    <w:rsid w:val="006032D2"/>
    <w:rsid w:val="00603927"/>
    <w:rsid w:val="0060393F"/>
    <w:rsid w:val="00603B08"/>
    <w:rsid w:val="00603E0B"/>
    <w:rsid w:val="0060421A"/>
    <w:rsid w:val="00604406"/>
    <w:rsid w:val="00604446"/>
    <w:rsid w:val="00604577"/>
    <w:rsid w:val="0060494F"/>
    <w:rsid w:val="00604B06"/>
    <w:rsid w:val="00604C14"/>
    <w:rsid w:val="00604E4A"/>
    <w:rsid w:val="00604ED1"/>
    <w:rsid w:val="006050A3"/>
    <w:rsid w:val="006055E0"/>
    <w:rsid w:val="00605776"/>
    <w:rsid w:val="00605C17"/>
    <w:rsid w:val="00606131"/>
    <w:rsid w:val="00606426"/>
    <w:rsid w:val="006067F8"/>
    <w:rsid w:val="00607201"/>
    <w:rsid w:val="00607359"/>
    <w:rsid w:val="0060740C"/>
    <w:rsid w:val="00607AA7"/>
    <w:rsid w:val="00607B36"/>
    <w:rsid w:val="00607D5A"/>
    <w:rsid w:val="00607DB5"/>
    <w:rsid w:val="00610053"/>
    <w:rsid w:val="00610162"/>
    <w:rsid w:val="006101F1"/>
    <w:rsid w:val="00610370"/>
    <w:rsid w:val="00610531"/>
    <w:rsid w:val="00610ABA"/>
    <w:rsid w:val="00611628"/>
    <w:rsid w:val="00611B77"/>
    <w:rsid w:val="00612546"/>
    <w:rsid w:val="00612600"/>
    <w:rsid w:val="00612B02"/>
    <w:rsid w:val="00612BED"/>
    <w:rsid w:val="00613037"/>
    <w:rsid w:val="006132F1"/>
    <w:rsid w:val="006135AB"/>
    <w:rsid w:val="006136E1"/>
    <w:rsid w:val="006138E4"/>
    <w:rsid w:val="00613C5B"/>
    <w:rsid w:val="00613CCF"/>
    <w:rsid w:val="00613D83"/>
    <w:rsid w:val="0061440D"/>
    <w:rsid w:val="006144F6"/>
    <w:rsid w:val="006145D8"/>
    <w:rsid w:val="00614602"/>
    <w:rsid w:val="00614A03"/>
    <w:rsid w:val="00614DC2"/>
    <w:rsid w:val="006151FB"/>
    <w:rsid w:val="00615241"/>
    <w:rsid w:val="00615380"/>
    <w:rsid w:val="006155FE"/>
    <w:rsid w:val="00615651"/>
    <w:rsid w:val="006157AA"/>
    <w:rsid w:val="0061590B"/>
    <w:rsid w:val="00615957"/>
    <w:rsid w:val="00615EE9"/>
    <w:rsid w:val="00616274"/>
    <w:rsid w:val="00616407"/>
    <w:rsid w:val="00616474"/>
    <w:rsid w:val="00616D53"/>
    <w:rsid w:val="00616EA7"/>
    <w:rsid w:val="00617662"/>
    <w:rsid w:val="006176B8"/>
    <w:rsid w:val="00617DBE"/>
    <w:rsid w:val="00617F7D"/>
    <w:rsid w:val="00620196"/>
    <w:rsid w:val="00620873"/>
    <w:rsid w:val="006208A3"/>
    <w:rsid w:val="00620E5A"/>
    <w:rsid w:val="00621F22"/>
    <w:rsid w:val="00621F8B"/>
    <w:rsid w:val="00622412"/>
    <w:rsid w:val="006233CB"/>
    <w:rsid w:val="006234EA"/>
    <w:rsid w:val="006235E2"/>
    <w:rsid w:val="00623952"/>
    <w:rsid w:val="00623ADD"/>
    <w:rsid w:val="00623F1A"/>
    <w:rsid w:val="00623FA0"/>
    <w:rsid w:val="0062457F"/>
    <w:rsid w:val="00624CF4"/>
    <w:rsid w:val="00624F2E"/>
    <w:rsid w:val="006250E9"/>
    <w:rsid w:val="00626005"/>
    <w:rsid w:val="0062666F"/>
    <w:rsid w:val="0062693D"/>
    <w:rsid w:val="00626ABA"/>
    <w:rsid w:val="00626AF3"/>
    <w:rsid w:val="00626BA0"/>
    <w:rsid w:val="00626BE1"/>
    <w:rsid w:val="00626DCC"/>
    <w:rsid w:val="00626EEE"/>
    <w:rsid w:val="00627045"/>
    <w:rsid w:val="00627491"/>
    <w:rsid w:val="0062751A"/>
    <w:rsid w:val="00627702"/>
    <w:rsid w:val="00630B1E"/>
    <w:rsid w:val="00630BF9"/>
    <w:rsid w:val="00630FEB"/>
    <w:rsid w:val="006311A4"/>
    <w:rsid w:val="00631201"/>
    <w:rsid w:val="0063127D"/>
    <w:rsid w:val="006312E6"/>
    <w:rsid w:val="0063142F"/>
    <w:rsid w:val="006318F8"/>
    <w:rsid w:val="00631E64"/>
    <w:rsid w:val="00632185"/>
    <w:rsid w:val="00633108"/>
    <w:rsid w:val="006331A0"/>
    <w:rsid w:val="0063348C"/>
    <w:rsid w:val="0063368D"/>
    <w:rsid w:val="0063375A"/>
    <w:rsid w:val="00633786"/>
    <w:rsid w:val="00633B2F"/>
    <w:rsid w:val="00633D62"/>
    <w:rsid w:val="00633F14"/>
    <w:rsid w:val="0063405F"/>
    <w:rsid w:val="0063418E"/>
    <w:rsid w:val="0063441C"/>
    <w:rsid w:val="006346F7"/>
    <w:rsid w:val="00634734"/>
    <w:rsid w:val="00634934"/>
    <w:rsid w:val="00634C29"/>
    <w:rsid w:val="00634F61"/>
    <w:rsid w:val="006353CE"/>
    <w:rsid w:val="0063562B"/>
    <w:rsid w:val="0063591A"/>
    <w:rsid w:val="00635A35"/>
    <w:rsid w:val="00636186"/>
    <w:rsid w:val="006361F1"/>
    <w:rsid w:val="0063626E"/>
    <w:rsid w:val="00636459"/>
    <w:rsid w:val="00636756"/>
    <w:rsid w:val="006369BF"/>
    <w:rsid w:val="00636BB7"/>
    <w:rsid w:val="00636BE5"/>
    <w:rsid w:val="006374BA"/>
    <w:rsid w:val="006378C3"/>
    <w:rsid w:val="00637AEE"/>
    <w:rsid w:val="00637E4C"/>
    <w:rsid w:val="00640252"/>
    <w:rsid w:val="0064044A"/>
    <w:rsid w:val="0064046A"/>
    <w:rsid w:val="00640C31"/>
    <w:rsid w:val="00640E82"/>
    <w:rsid w:val="006411EA"/>
    <w:rsid w:val="00641354"/>
    <w:rsid w:val="00642465"/>
    <w:rsid w:val="00642A59"/>
    <w:rsid w:val="00642C81"/>
    <w:rsid w:val="00643031"/>
    <w:rsid w:val="00643226"/>
    <w:rsid w:val="00643627"/>
    <w:rsid w:val="00643A25"/>
    <w:rsid w:val="00643FA6"/>
    <w:rsid w:val="00644040"/>
    <w:rsid w:val="006443F1"/>
    <w:rsid w:val="006446E0"/>
    <w:rsid w:val="00644F39"/>
    <w:rsid w:val="006454BC"/>
    <w:rsid w:val="006459EF"/>
    <w:rsid w:val="00645B2B"/>
    <w:rsid w:val="00645C59"/>
    <w:rsid w:val="00645CCE"/>
    <w:rsid w:val="0064607F"/>
    <w:rsid w:val="00646411"/>
    <w:rsid w:val="006465F3"/>
    <w:rsid w:val="00646A1E"/>
    <w:rsid w:val="00646D6E"/>
    <w:rsid w:val="006470E3"/>
    <w:rsid w:val="00647517"/>
    <w:rsid w:val="0064784F"/>
    <w:rsid w:val="00647ED5"/>
    <w:rsid w:val="00650090"/>
    <w:rsid w:val="0065028E"/>
    <w:rsid w:val="006504DD"/>
    <w:rsid w:val="006504FA"/>
    <w:rsid w:val="00650564"/>
    <w:rsid w:val="00650577"/>
    <w:rsid w:val="0065070F"/>
    <w:rsid w:val="006510EE"/>
    <w:rsid w:val="0065137B"/>
    <w:rsid w:val="0065187D"/>
    <w:rsid w:val="006518E1"/>
    <w:rsid w:val="006519E4"/>
    <w:rsid w:val="00652316"/>
    <w:rsid w:val="00652351"/>
    <w:rsid w:val="00652956"/>
    <w:rsid w:val="00652ED9"/>
    <w:rsid w:val="00652EDB"/>
    <w:rsid w:val="00652EF5"/>
    <w:rsid w:val="006532A3"/>
    <w:rsid w:val="0065338E"/>
    <w:rsid w:val="006534BF"/>
    <w:rsid w:val="006537D7"/>
    <w:rsid w:val="00653950"/>
    <w:rsid w:val="00653CCC"/>
    <w:rsid w:val="0065444A"/>
    <w:rsid w:val="0065448B"/>
    <w:rsid w:val="00654A98"/>
    <w:rsid w:val="00654C3C"/>
    <w:rsid w:val="00654F68"/>
    <w:rsid w:val="00655463"/>
    <w:rsid w:val="00655CF9"/>
    <w:rsid w:val="00655D45"/>
    <w:rsid w:val="00655DB8"/>
    <w:rsid w:val="006560A1"/>
    <w:rsid w:val="006560B1"/>
    <w:rsid w:val="006566C1"/>
    <w:rsid w:val="0065714C"/>
    <w:rsid w:val="00657348"/>
    <w:rsid w:val="00657898"/>
    <w:rsid w:val="00657B6F"/>
    <w:rsid w:val="00657C77"/>
    <w:rsid w:val="00657D89"/>
    <w:rsid w:val="00657F73"/>
    <w:rsid w:val="00660A74"/>
    <w:rsid w:val="00660CB9"/>
    <w:rsid w:val="00661207"/>
    <w:rsid w:val="006612A4"/>
    <w:rsid w:val="00661994"/>
    <w:rsid w:val="00661F6D"/>
    <w:rsid w:val="00662894"/>
    <w:rsid w:val="00662903"/>
    <w:rsid w:val="00662914"/>
    <w:rsid w:val="006629D2"/>
    <w:rsid w:val="00662AB0"/>
    <w:rsid w:val="00662E5F"/>
    <w:rsid w:val="00662EB3"/>
    <w:rsid w:val="00662EDE"/>
    <w:rsid w:val="006630E8"/>
    <w:rsid w:val="00663253"/>
    <w:rsid w:val="00663481"/>
    <w:rsid w:val="00663B85"/>
    <w:rsid w:val="00664434"/>
    <w:rsid w:val="00664C43"/>
    <w:rsid w:val="00664DE6"/>
    <w:rsid w:val="00665188"/>
    <w:rsid w:val="006654DA"/>
    <w:rsid w:val="0066561F"/>
    <w:rsid w:val="00665676"/>
    <w:rsid w:val="00665AF9"/>
    <w:rsid w:val="006661C9"/>
    <w:rsid w:val="00666923"/>
    <w:rsid w:val="00666A58"/>
    <w:rsid w:val="00666AD8"/>
    <w:rsid w:val="00666C41"/>
    <w:rsid w:val="00667201"/>
    <w:rsid w:val="006672C5"/>
    <w:rsid w:val="006674FA"/>
    <w:rsid w:val="006678BA"/>
    <w:rsid w:val="006678C1"/>
    <w:rsid w:val="006678D4"/>
    <w:rsid w:val="00670032"/>
    <w:rsid w:val="00670650"/>
    <w:rsid w:val="00670B50"/>
    <w:rsid w:val="00670C7A"/>
    <w:rsid w:val="00670E0C"/>
    <w:rsid w:val="006712C0"/>
    <w:rsid w:val="0067150E"/>
    <w:rsid w:val="006715BC"/>
    <w:rsid w:val="0067234D"/>
    <w:rsid w:val="00672410"/>
    <w:rsid w:val="00672FB7"/>
    <w:rsid w:val="006733AC"/>
    <w:rsid w:val="006735BB"/>
    <w:rsid w:val="00673BD4"/>
    <w:rsid w:val="00674337"/>
    <w:rsid w:val="006743CE"/>
    <w:rsid w:val="006744AC"/>
    <w:rsid w:val="00674672"/>
    <w:rsid w:val="006746E4"/>
    <w:rsid w:val="00674718"/>
    <w:rsid w:val="00674A55"/>
    <w:rsid w:val="00674C78"/>
    <w:rsid w:val="00674C7D"/>
    <w:rsid w:val="00674D74"/>
    <w:rsid w:val="00674EDB"/>
    <w:rsid w:val="00675159"/>
    <w:rsid w:val="0067539A"/>
    <w:rsid w:val="00675576"/>
    <w:rsid w:val="0067596A"/>
    <w:rsid w:val="00675B00"/>
    <w:rsid w:val="00675E7F"/>
    <w:rsid w:val="006760A2"/>
    <w:rsid w:val="00677261"/>
    <w:rsid w:val="0067752A"/>
    <w:rsid w:val="00677676"/>
    <w:rsid w:val="006776D6"/>
    <w:rsid w:val="00677908"/>
    <w:rsid w:val="00677ADA"/>
    <w:rsid w:val="00677BC0"/>
    <w:rsid w:val="00677C94"/>
    <w:rsid w:val="00677FC3"/>
    <w:rsid w:val="00680212"/>
    <w:rsid w:val="00680512"/>
    <w:rsid w:val="00680B40"/>
    <w:rsid w:val="00680BE2"/>
    <w:rsid w:val="00680E87"/>
    <w:rsid w:val="00680F4C"/>
    <w:rsid w:val="006811E2"/>
    <w:rsid w:val="006812C8"/>
    <w:rsid w:val="006814B5"/>
    <w:rsid w:val="00681534"/>
    <w:rsid w:val="00681690"/>
    <w:rsid w:val="0068177A"/>
    <w:rsid w:val="006817E7"/>
    <w:rsid w:val="00681B4A"/>
    <w:rsid w:val="00681CC0"/>
    <w:rsid w:val="00681EC9"/>
    <w:rsid w:val="00681F9E"/>
    <w:rsid w:val="0068219F"/>
    <w:rsid w:val="006822FA"/>
    <w:rsid w:val="0068251D"/>
    <w:rsid w:val="00682528"/>
    <w:rsid w:val="006827E5"/>
    <w:rsid w:val="0068288C"/>
    <w:rsid w:val="0068302D"/>
    <w:rsid w:val="0068333E"/>
    <w:rsid w:val="00683636"/>
    <w:rsid w:val="00683F36"/>
    <w:rsid w:val="00684AC6"/>
    <w:rsid w:val="00684F1F"/>
    <w:rsid w:val="00684F76"/>
    <w:rsid w:val="00685070"/>
    <w:rsid w:val="00685087"/>
    <w:rsid w:val="00685220"/>
    <w:rsid w:val="00685589"/>
    <w:rsid w:val="00685737"/>
    <w:rsid w:val="006857C5"/>
    <w:rsid w:val="0068583E"/>
    <w:rsid w:val="00686794"/>
    <w:rsid w:val="0068682C"/>
    <w:rsid w:val="00686A72"/>
    <w:rsid w:val="00686E70"/>
    <w:rsid w:val="00687512"/>
    <w:rsid w:val="00687AF5"/>
    <w:rsid w:val="00687B6F"/>
    <w:rsid w:val="00687EE3"/>
    <w:rsid w:val="00690715"/>
    <w:rsid w:val="00690DDA"/>
    <w:rsid w:val="006911E4"/>
    <w:rsid w:val="00691201"/>
    <w:rsid w:val="00691214"/>
    <w:rsid w:val="006913BF"/>
    <w:rsid w:val="006918A3"/>
    <w:rsid w:val="006919D7"/>
    <w:rsid w:val="00691A07"/>
    <w:rsid w:val="00691C82"/>
    <w:rsid w:val="00691E09"/>
    <w:rsid w:val="0069206B"/>
    <w:rsid w:val="0069226D"/>
    <w:rsid w:val="006922E7"/>
    <w:rsid w:val="00692549"/>
    <w:rsid w:val="00692633"/>
    <w:rsid w:val="0069266C"/>
    <w:rsid w:val="006931CA"/>
    <w:rsid w:val="00693402"/>
    <w:rsid w:val="006935F4"/>
    <w:rsid w:val="006938AA"/>
    <w:rsid w:val="00694699"/>
    <w:rsid w:val="0069474B"/>
    <w:rsid w:val="0069475D"/>
    <w:rsid w:val="00694DF9"/>
    <w:rsid w:val="00694F8F"/>
    <w:rsid w:val="00695119"/>
    <w:rsid w:val="006962F3"/>
    <w:rsid w:val="00696420"/>
    <w:rsid w:val="00696430"/>
    <w:rsid w:val="00696DC3"/>
    <w:rsid w:val="00697601"/>
    <w:rsid w:val="00697966"/>
    <w:rsid w:val="006A00B4"/>
    <w:rsid w:val="006A0F8A"/>
    <w:rsid w:val="006A1048"/>
    <w:rsid w:val="006A16C8"/>
    <w:rsid w:val="006A1F98"/>
    <w:rsid w:val="006A268E"/>
    <w:rsid w:val="006A29F9"/>
    <w:rsid w:val="006A2A12"/>
    <w:rsid w:val="006A2EE1"/>
    <w:rsid w:val="006A37E9"/>
    <w:rsid w:val="006A3A2B"/>
    <w:rsid w:val="006A41A8"/>
    <w:rsid w:val="006A50B9"/>
    <w:rsid w:val="006A5645"/>
    <w:rsid w:val="006A56DB"/>
    <w:rsid w:val="006A5C98"/>
    <w:rsid w:val="006A69BB"/>
    <w:rsid w:val="006A6BF1"/>
    <w:rsid w:val="006A6F50"/>
    <w:rsid w:val="006A70E4"/>
    <w:rsid w:val="006A7234"/>
    <w:rsid w:val="006A7281"/>
    <w:rsid w:val="006A7A3E"/>
    <w:rsid w:val="006A7B8F"/>
    <w:rsid w:val="006A7C1E"/>
    <w:rsid w:val="006B0199"/>
    <w:rsid w:val="006B03F1"/>
    <w:rsid w:val="006B0C5D"/>
    <w:rsid w:val="006B145C"/>
    <w:rsid w:val="006B1940"/>
    <w:rsid w:val="006B1D00"/>
    <w:rsid w:val="006B22B2"/>
    <w:rsid w:val="006B24C9"/>
    <w:rsid w:val="006B24F8"/>
    <w:rsid w:val="006B25DB"/>
    <w:rsid w:val="006B2E8E"/>
    <w:rsid w:val="006B3032"/>
    <w:rsid w:val="006B324E"/>
    <w:rsid w:val="006B3630"/>
    <w:rsid w:val="006B36B9"/>
    <w:rsid w:val="006B3AD2"/>
    <w:rsid w:val="006B4425"/>
    <w:rsid w:val="006B4443"/>
    <w:rsid w:val="006B4533"/>
    <w:rsid w:val="006B4B4A"/>
    <w:rsid w:val="006B5360"/>
    <w:rsid w:val="006B5627"/>
    <w:rsid w:val="006B590D"/>
    <w:rsid w:val="006B6315"/>
    <w:rsid w:val="006B646C"/>
    <w:rsid w:val="006B646E"/>
    <w:rsid w:val="006B6EDE"/>
    <w:rsid w:val="006B6F9B"/>
    <w:rsid w:val="006B72EB"/>
    <w:rsid w:val="006B75C6"/>
    <w:rsid w:val="006B77C0"/>
    <w:rsid w:val="006B78B0"/>
    <w:rsid w:val="006B7A05"/>
    <w:rsid w:val="006B7ADD"/>
    <w:rsid w:val="006B7D5D"/>
    <w:rsid w:val="006C02C6"/>
    <w:rsid w:val="006C060B"/>
    <w:rsid w:val="006C1156"/>
    <w:rsid w:val="006C1635"/>
    <w:rsid w:val="006C1749"/>
    <w:rsid w:val="006C24CD"/>
    <w:rsid w:val="006C261C"/>
    <w:rsid w:val="006C2A1E"/>
    <w:rsid w:val="006C2C3B"/>
    <w:rsid w:val="006C30E9"/>
    <w:rsid w:val="006C354C"/>
    <w:rsid w:val="006C3753"/>
    <w:rsid w:val="006C38BF"/>
    <w:rsid w:val="006C39B8"/>
    <w:rsid w:val="006C39C2"/>
    <w:rsid w:val="006C3AFF"/>
    <w:rsid w:val="006C3B76"/>
    <w:rsid w:val="006C4572"/>
    <w:rsid w:val="006C463F"/>
    <w:rsid w:val="006C4B6A"/>
    <w:rsid w:val="006C530F"/>
    <w:rsid w:val="006C575C"/>
    <w:rsid w:val="006C5A63"/>
    <w:rsid w:val="006C5C66"/>
    <w:rsid w:val="006C5E66"/>
    <w:rsid w:val="006C5EDB"/>
    <w:rsid w:val="006C6009"/>
    <w:rsid w:val="006C679C"/>
    <w:rsid w:val="006C6A5F"/>
    <w:rsid w:val="006C6BFF"/>
    <w:rsid w:val="006C6C13"/>
    <w:rsid w:val="006C7046"/>
    <w:rsid w:val="006C77E7"/>
    <w:rsid w:val="006C7B03"/>
    <w:rsid w:val="006C7EFC"/>
    <w:rsid w:val="006D010D"/>
    <w:rsid w:val="006D09DB"/>
    <w:rsid w:val="006D09F4"/>
    <w:rsid w:val="006D0ADE"/>
    <w:rsid w:val="006D0D14"/>
    <w:rsid w:val="006D0EC2"/>
    <w:rsid w:val="006D0F60"/>
    <w:rsid w:val="006D1015"/>
    <w:rsid w:val="006D1317"/>
    <w:rsid w:val="006D16B5"/>
    <w:rsid w:val="006D1909"/>
    <w:rsid w:val="006D1B2E"/>
    <w:rsid w:val="006D208E"/>
    <w:rsid w:val="006D21AB"/>
    <w:rsid w:val="006D2624"/>
    <w:rsid w:val="006D2757"/>
    <w:rsid w:val="006D2783"/>
    <w:rsid w:val="006D288F"/>
    <w:rsid w:val="006D2BCE"/>
    <w:rsid w:val="006D2CF9"/>
    <w:rsid w:val="006D304E"/>
    <w:rsid w:val="006D31F3"/>
    <w:rsid w:val="006D32FB"/>
    <w:rsid w:val="006D3495"/>
    <w:rsid w:val="006D3885"/>
    <w:rsid w:val="006D393C"/>
    <w:rsid w:val="006D3C5D"/>
    <w:rsid w:val="006D43DF"/>
    <w:rsid w:val="006D4713"/>
    <w:rsid w:val="006D479B"/>
    <w:rsid w:val="006D48C8"/>
    <w:rsid w:val="006D4C72"/>
    <w:rsid w:val="006D4D32"/>
    <w:rsid w:val="006D4E4C"/>
    <w:rsid w:val="006D4EDA"/>
    <w:rsid w:val="006D5423"/>
    <w:rsid w:val="006D5585"/>
    <w:rsid w:val="006D578C"/>
    <w:rsid w:val="006D5D9B"/>
    <w:rsid w:val="006D5DCB"/>
    <w:rsid w:val="006D5E1E"/>
    <w:rsid w:val="006D5F76"/>
    <w:rsid w:val="006D5FF1"/>
    <w:rsid w:val="006D66E5"/>
    <w:rsid w:val="006D6B3A"/>
    <w:rsid w:val="006D6BCE"/>
    <w:rsid w:val="006D6CAE"/>
    <w:rsid w:val="006D6D96"/>
    <w:rsid w:val="006D7211"/>
    <w:rsid w:val="006D75C2"/>
    <w:rsid w:val="006D75C8"/>
    <w:rsid w:val="006D7FF0"/>
    <w:rsid w:val="006E0236"/>
    <w:rsid w:val="006E0C1B"/>
    <w:rsid w:val="006E0F67"/>
    <w:rsid w:val="006E1027"/>
    <w:rsid w:val="006E135E"/>
    <w:rsid w:val="006E13CD"/>
    <w:rsid w:val="006E1661"/>
    <w:rsid w:val="006E19D3"/>
    <w:rsid w:val="006E1AAF"/>
    <w:rsid w:val="006E1C6A"/>
    <w:rsid w:val="006E1EE3"/>
    <w:rsid w:val="006E1F00"/>
    <w:rsid w:val="006E2038"/>
    <w:rsid w:val="006E256B"/>
    <w:rsid w:val="006E28A9"/>
    <w:rsid w:val="006E31A6"/>
    <w:rsid w:val="006E37A3"/>
    <w:rsid w:val="006E3CC3"/>
    <w:rsid w:val="006E3F72"/>
    <w:rsid w:val="006E4B66"/>
    <w:rsid w:val="006E4CC8"/>
    <w:rsid w:val="006E5219"/>
    <w:rsid w:val="006E52A4"/>
    <w:rsid w:val="006E5335"/>
    <w:rsid w:val="006E574B"/>
    <w:rsid w:val="006E5935"/>
    <w:rsid w:val="006E5A45"/>
    <w:rsid w:val="006E5EC3"/>
    <w:rsid w:val="006E60D3"/>
    <w:rsid w:val="006E6637"/>
    <w:rsid w:val="006E66DF"/>
    <w:rsid w:val="006E6F2F"/>
    <w:rsid w:val="006E7062"/>
    <w:rsid w:val="006E7E13"/>
    <w:rsid w:val="006F020C"/>
    <w:rsid w:val="006F05B6"/>
    <w:rsid w:val="006F0D46"/>
    <w:rsid w:val="006F0E32"/>
    <w:rsid w:val="006F0ED0"/>
    <w:rsid w:val="006F1868"/>
    <w:rsid w:val="006F1FCE"/>
    <w:rsid w:val="006F23DD"/>
    <w:rsid w:val="006F27CB"/>
    <w:rsid w:val="006F2827"/>
    <w:rsid w:val="006F2985"/>
    <w:rsid w:val="006F2DC8"/>
    <w:rsid w:val="006F2E03"/>
    <w:rsid w:val="006F3135"/>
    <w:rsid w:val="006F384B"/>
    <w:rsid w:val="006F386B"/>
    <w:rsid w:val="006F3CCD"/>
    <w:rsid w:val="006F3D36"/>
    <w:rsid w:val="006F3E07"/>
    <w:rsid w:val="006F3E92"/>
    <w:rsid w:val="006F407C"/>
    <w:rsid w:val="006F4339"/>
    <w:rsid w:val="006F466E"/>
    <w:rsid w:val="006F46A6"/>
    <w:rsid w:val="006F5158"/>
    <w:rsid w:val="006F56AC"/>
    <w:rsid w:val="006F57C1"/>
    <w:rsid w:val="006F5911"/>
    <w:rsid w:val="006F5CAE"/>
    <w:rsid w:val="006F5CE3"/>
    <w:rsid w:val="006F71B8"/>
    <w:rsid w:val="006F7D40"/>
    <w:rsid w:val="006F7DAB"/>
    <w:rsid w:val="006F7E95"/>
    <w:rsid w:val="0070046A"/>
    <w:rsid w:val="0070069B"/>
    <w:rsid w:val="00700950"/>
    <w:rsid w:val="00700AE0"/>
    <w:rsid w:val="00700B88"/>
    <w:rsid w:val="00700BE9"/>
    <w:rsid w:val="00700DF5"/>
    <w:rsid w:val="00700E79"/>
    <w:rsid w:val="00700F58"/>
    <w:rsid w:val="00701136"/>
    <w:rsid w:val="00701154"/>
    <w:rsid w:val="007013F2"/>
    <w:rsid w:val="00701495"/>
    <w:rsid w:val="00701C0E"/>
    <w:rsid w:val="00701DB0"/>
    <w:rsid w:val="00702D77"/>
    <w:rsid w:val="0070319A"/>
    <w:rsid w:val="007031C7"/>
    <w:rsid w:val="0070329D"/>
    <w:rsid w:val="007036F3"/>
    <w:rsid w:val="00703859"/>
    <w:rsid w:val="00703CB4"/>
    <w:rsid w:val="007041DA"/>
    <w:rsid w:val="00704E25"/>
    <w:rsid w:val="00704EBC"/>
    <w:rsid w:val="00705AFB"/>
    <w:rsid w:val="00705D95"/>
    <w:rsid w:val="00705F71"/>
    <w:rsid w:val="0070615C"/>
    <w:rsid w:val="007062B0"/>
    <w:rsid w:val="00706BF5"/>
    <w:rsid w:val="007070BE"/>
    <w:rsid w:val="00707196"/>
    <w:rsid w:val="00707C18"/>
    <w:rsid w:val="00707FBD"/>
    <w:rsid w:val="0070B58C"/>
    <w:rsid w:val="00710112"/>
    <w:rsid w:val="0071030C"/>
    <w:rsid w:val="007103A9"/>
    <w:rsid w:val="00710687"/>
    <w:rsid w:val="00710C68"/>
    <w:rsid w:val="00710C8A"/>
    <w:rsid w:val="00711322"/>
    <w:rsid w:val="0071189F"/>
    <w:rsid w:val="00711F6E"/>
    <w:rsid w:val="00712181"/>
    <w:rsid w:val="007122C1"/>
    <w:rsid w:val="007123F6"/>
    <w:rsid w:val="00712693"/>
    <w:rsid w:val="00713180"/>
    <w:rsid w:val="00713F28"/>
    <w:rsid w:val="00713FD0"/>
    <w:rsid w:val="00714142"/>
    <w:rsid w:val="0071484F"/>
    <w:rsid w:val="00714A9C"/>
    <w:rsid w:val="00714DF3"/>
    <w:rsid w:val="00714EC5"/>
    <w:rsid w:val="00714ED6"/>
    <w:rsid w:val="00714F88"/>
    <w:rsid w:val="00714FA2"/>
    <w:rsid w:val="00715757"/>
    <w:rsid w:val="00715D6C"/>
    <w:rsid w:val="007160B3"/>
    <w:rsid w:val="00716186"/>
    <w:rsid w:val="007165E5"/>
    <w:rsid w:val="0071662E"/>
    <w:rsid w:val="00716874"/>
    <w:rsid w:val="00716A92"/>
    <w:rsid w:val="00716A9A"/>
    <w:rsid w:val="00716AD2"/>
    <w:rsid w:val="00716C79"/>
    <w:rsid w:val="00716E2F"/>
    <w:rsid w:val="00716E5C"/>
    <w:rsid w:val="0071728B"/>
    <w:rsid w:val="007176B3"/>
    <w:rsid w:val="00717E07"/>
    <w:rsid w:val="00717EBE"/>
    <w:rsid w:val="00717F17"/>
    <w:rsid w:val="007203CA"/>
    <w:rsid w:val="00720B94"/>
    <w:rsid w:val="00720C7A"/>
    <w:rsid w:val="007212EB"/>
    <w:rsid w:val="00721636"/>
    <w:rsid w:val="00721732"/>
    <w:rsid w:val="00721765"/>
    <w:rsid w:val="00721DFB"/>
    <w:rsid w:val="007222A0"/>
    <w:rsid w:val="00722381"/>
    <w:rsid w:val="00722491"/>
    <w:rsid w:val="007224ED"/>
    <w:rsid w:val="007226F5"/>
    <w:rsid w:val="00722E95"/>
    <w:rsid w:val="0072324A"/>
    <w:rsid w:val="0072325C"/>
    <w:rsid w:val="007233BE"/>
    <w:rsid w:val="007237C6"/>
    <w:rsid w:val="0072393C"/>
    <w:rsid w:val="00723B2C"/>
    <w:rsid w:val="00723B62"/>
    <w:rsid w:val="00724196"/>
    <w:rsid w:val="007247C7"/>
    <w:rsid w:val="00724C71"/>
    <w:rsid w:val="00724CF1"/>
    <w:rsid w:val="00724ED0"/>
    <w:rsid w:val="00724F92"/>
    <w:rsid w:val="0072500D"/>
    <w:rsid w:val="007253D6"/>
    <w:rsid w:val="0072578A"/>
    <w:rsid w:val="007257F6"/>
    <w:rsid w:val="0072597A"/>
    <w:rsid w:val="00725FB8"/>
    <w:rsid w:val="0072623B"/>
    <w:rsid w:val="00726291"/>
    <w:rsid w:val="00726734"/>
    <w:rsid w:val="00726A03"/>
    <w:rsid w:val="00726B1C"/>
    <w:rsid w:val="00726B77"/>
    <w:rsid w:val="00726E08"/>
    <w:rsid w:val="007272F3"/>
    <w:rsid w:val="00727665"/>
    <w:rsid w:val="00730233"/>
    <w:rsid w:val="00730498"/>
    <w:rsid w:val="00730507"/>
    <w:rsid w:val="00730508"/>
    <w:rsid w:val="007308FF"/>
    <w:rsid w:val="00730A21"/>
    <w:rsid w:val="00730E49"/>
    <w:rsid w:val="0073123E"/>
    <w:rsid w:val="007317D3"/>
    <w:rsid w:val="007317D5"/>
    <w:rsid w:val="00731F0C"/>
    <w:rsid w:val="00732250"/>
    <w:rsid w:val="00732E66"/>
    <w:rsid w:val="007332E3"/>
    <w:rsid w:val="00733468"/>
    <w:rsid w:val="0073355B"/>
    <w:rsid w:val="00733601"/>
    <w:rsid w:val="00733608"/>
    <w:rsid w:val="007339A9"/>
    <w:rsid w:val="00733A31"/>
    <w:rsid w:val="00733D79"/>
    <w:rsid w:val="00733F23"/>
    <w:rsid w:val="00733F87"/>
    <w:rsid w:val="0073466D"/>
    <w:rsid w:val="00734875"/>
    <w:rsid w:val="007349C6"/>
    <w:rsid w:val="00734B19"/>
    <w:rsid w:val="00734CD1"/>
    <w:rsid w:val="00734E2C"/>
    <w:rsid w:val="007355AF"/>
    <w:rsid w:val="00735916"/>
    <w:rsid w:val="00736890"/>
    <w:rsid w:val="00736B8A"/>
    <w:rsid w:val="00736CA7"/>
    <w:rsid w:val="00736D35"/>
    <w:rsid w:val="00736E44"/>
    <w:rsid w:val="00736E45"/>
    <w:rsid w:val="007371DA"/>
    <w:rsid w:val="00737666"/>
    <w:rsid w:val="00737714"/>
    <w:rsid w:val="00737839"/>
    <w:rsid w:val="0073792C"/>
    <w:rsid w:val="00737EE8"/>
    <w:rsid w:val="00740449"/>
    <w:rsid w:val="007408CD"/>
    <w:rsid w:val="00740923"/>
    <w:rsid w:val="00740A8E"/>
    <w:rsid w:val="00741213"/>
    <w:rsid w:val="00741C1C"/>
    <w:rsid w:val="0074257A"/>
    <w:rsid w:val="00742C1B"/>
    <w:rsid w:val="0074338E"/>
    <w:rsid w:val="007433C7"/>
    <w:rsid w:val="007438A9"/>
    <w:rsid w:val="00743D39"/>
    <w:rsid w:val="0074417F"/>
    <w:rsid w:val="00744446"/>
    <w:rsid w:val="007448F9"/>
    <w:rsid w:val="0074550C"/>
    <w:rsid w:val="00745741"/>
    <w:rsid w:val="00745AD9"/>
    <w:rsid w:val="00745E8B"/>
    <w:rsid w:val="00745F36"/>
    <w:rsid w:val="0074616D"/>
    <w:rsid w:val="00746408"/>
    <w:rsid w:val="00746657"/>
    <w:rsid w:val="00746683"/>
    <w:rsid w:val="00747434"/>
    <w:rsid w:val="0074788B"/>
    <w:rsid w:val="007479CB"/>
    <w:rsid w:val="007502D3"/>
    <w:rsid w:val="0075079F"/>
    <w:rsid w:val="00750AD9"/>
    <w:rsid w:val="00750CF5"/>
    <w:rsid w:val="0075125E"/>
    <w:rsid w:val="0075137C"/>
    <w:rsid w:val="00751503"/>
    <w:rsid w:val="00751885"/>
    <w:rsid w:val="00751A43"/>
    <w:rsid w:val="00751B33"/>
    <w:rsid w:val="00751E60"/>
    <w:rsid w:val="00752A65"/>
    <w:rsid w:val="00752B49"/>
    <w:rsid w:val="00752C57"/>
    <w:rsid w:val="007531A4"/>
    <w:rsid w:val="0075356A"/>
    <w:rsid w:val="00753AE1"/>
    <w:rsid w:val="00753F72"/>
    <w:rsid w:val="00754118"/>
    <w:rsid w:val="0075418A"/>
    <w:rsid w:val="0075462B"/>
    <w:rsid w:val="00754B6D"/>
    <w:rsid w:val="00755C8A"/>
    <w:rsid w:val="00755D57"/>
    <w:rsid w:val="00755FC3"/>
    <w:rsid w:val="00756448"/>
    <w:rsid w:val="00756AC4"/>
    <w:rsid w:val="00756AD6"/>
    <w:rsid w:val="00756B36"/>
    <w:rsid w:val="00757129"/>
    <w:rsid w:val="0075739A"/>
    <w:rsid w:val="0075766C"/>
    <w:rsid w:val="007577FB"/>
    <w:rsid w:val="00757D5B"/>
    <w:rsid w:val="00757EE5"/>
    <w:rsid w:val="00760049"/>
    <w:rsid w:val="007600ED"/>
    <w:rsid w:val="0076010B"/>
    <w:rsid w:val="007607C9"/>
    <w:rsid w:val="0076081A"/>
    <w:rsid w:val="00760843"/>
    <w:rsid w:val="007611F1"/>
    <w:rsid w:val="00761810"/>
    <w:rsid w:val="00761BDD"/>
    <w:rsid w:val="00761C2D"/>
    <w:rsid w:val="00761DDE"/>
    <w:rsid w:val="007620AB"/>
    <w:rsid w:val="0076224A"/>
    <w:rsid w:val="007625C9"/>
    <w:rsid w:val="0076260D"/>
    <w:rsid w:val="0076283D"/>
    <w:rsid w:val="007629FA"/>
    <w:rsid w:val="00762B15"/>
    <w:rsid w:val="00762B92"/>
    <w:rsid w:val="00762F59"/>
    <w:rsid w:val="007632E4"/>
    <w:rsid w:val="00763B75"/>
    <w:rsid w:val="00763B77"/>
    <w:rsid w:val="00763B9D"/>
    <w:rsid w:val="00763DCD"/>
    <w:rsid w:val="00764640"/>
    <w:rsid w:val="00764827"/>
    <w:rsid w:val="0076590B"/>
    <w:rsid w:val="00765B74"/>
    <w:rsid w:val="00766242"/>
    <w:rsid w:val="00766352"/>
    <w:rsid w:val="00766767"/>
    <w:rsid w:val="007668B0"/>
    <w:rsid w:val="0076702C"/>
    <w:rsid w:val="007679C5"/>
    <w:rsid w:val="007679FF"/>
    <w:rsid w:val="00767D1E"/>
    <w:rsid w:val="00767DE7"/>
    <w:rsid w:val="00767F6C"/>
    <w:rsid w:val="007700CD"/>
    <w:rsid w:val="007703A8"/>
    <w:rsid w:val="007709CB"/>
    <w:rsid w:val="00770DDF"/>
    <w:rsid w:val="00770F6A"/>
    <w:rsid w:val="00770F81"/>
    <w:rsid w:val="0077125A"/>
    <w:rsid w:val="00772829"/>
    <w:rsid w:val="0077282C"/>
    <w:rsid w:val="00772D56"/>
    <w:rsid w:val="00772DAB"/>
    <w:rsid w:val="00773007"/>
    <w:rsid w:val="00773293"/>
    <w:rsid w:val="007733D4"/>
    <w:rsid w:val="00773AA0"/>
    <w:rsid w:val="00773AF6"/>
    <w:rsid w:val="00773BD4"/>
    <w:rsid w:val="00774483"/>
    <w:rsid w:val="0077466D"/>
    <w:rsid w:val="0077484D"/>
    <w:rsid w:val="00774A00"/>
    <w:rsid w:val="00774DFC"/>
    <w:rsid w:val="00775083"/>
    <w:rsid w:val="00775754"/>
    <w:rsid w:val="007757FF"/>
    <w:rsid w:val="0077591E"/>
    <w:rsid w:val="00775ACE"/>
    <w:rsid w:val="00775CB0"/>
    <w:rsid w:val="00775F5B"/>
    <w:rsid w:val="00776459"/>
    <w:rsid w:val="007769C8"/>
    <w:rsid w:val="00776C87"/>
    <w:rsid w:val="00777203"/>
    <w:rsid w:val="00777848"/>
    <w:rsid w:val="00777893"/>
    <w:rsid w:val="00777D13"/>
    <w:rsid w:val="00777EAB"/>
    <w:rsid w:val="0078020E"/>
    <w:rsid w:val="00780265"/>
    <w:rsid w:val="007803A3"/>
    <w:rsid w:val="007806BA"/>
    <w:rsid w:val="007808A0"/>
    <w:rsid w:val="00780AE0"/>
    <w:rsid w:val="00781116"/>
    <w:rsid w:val="00781312"/>
    <w:rsid w:val="00781807"/>
    <w:rsid w:val="007818FD"/>
    <w:rsid w:val="00781C5E"/>
    <w:rsid w:val="00782FB6"/>
    <w:rsid w:val="00783115"/>
    <w:rsid w:val="0078387D"/>
    <w:rsid w:val="00784835"/>
    <w:rsid w:val="0078491F"/>
    <w:rsid w:val="00784CB6"/>
    <w:rsid w:val="00784DDD"/>
    <w:rsid w:val="0078527E"/>
    <w:rsid w:val="007852E9"/>
    <w:rsid w:val="00786607"/>
    <w:rsid w:val="00786E75"/>
    <w:rsid w:val="00786EC1"/>
    <w:rsid w:val="007871A7"/>
    <w:rsid w:val="007872FD"/>
    <w:rsid w:val="00787551"/>
    <w:rsid w:val="007875A1"/>
    <w:rsid w:val="00790449"/>
    <w:rsid w:val="00790A35"/>
    <w:rsid w:val="00790AF3"/>
    <w:rsid w:val="00790B15"/>
    <w:rsid w:val="00790B9B"/>
    <w:rsid w:val="00790F49"/>
    <w:rsid w:val="00790F4D"/>
    <w:rsid w:val="00791D58"/>
    <w:rsid w:val="00791E75"/>
    <w:rsid w:val="007924DE"/>
    <w:rsid w:val="007930CF"/>
    <w:rsid w:val="007931CB"/>
    <w:rsid w:val="00793218"/>
    <w:rsid w:val="007939D1"/>
    <w:rsid w:val="00793DB9"/>
    <w:rsid w:val="00794044"/>
    <w:rsid w:val="007942BC"/>
    <w:rsid w:val="007942E7"/>
    <w:rsid w:val="00794765"/>
    <w:rsid w:val="00794948"/>
    <w:rsid w:val="00794AC8"/>
    <w:rsid w:val="00794BFD"/>
    <w:rsid w:val="00794E91"/>
    <w:rsid w:val="00794EB7"/>
    <w:rsid w:val="007951D4"/>
    <w:rsid w:val="007951DF"/>
    <w:rsid w:val="00795408"/>
    <w:rsid w:val="00795548"/>
    <w:rsid w:val="007957CA"/>
    <w:rsid w:val="007958D4"/>
    <w:rsid w:val="00795B7F"/>
    <w:rsid w:val="00795E2E"/>
    <w:rsid w:val="00796887"/>
    <w:rsid w:val="00796B1F"/>
    <w:rsid w:val="0079721F"/>
    <w:rsid w:val="0079722C"/>
    <w:rsid w:val="0079796E"/>
    <w:rsid w:val="00797C46"/>
    <w:rsid w:val="00797EBA"/>
    <w:rsid w:val="00797F71"/>
    <w:rsid w:val="007A016C"/>
    <w:rsid w:val="007A04F5"/>
    <w:rsid w:val="007A0B32"/>
    <w:rsid w:val="007A0D20"/>
    <w:rsid w:val="007A0F57"/>
    <w:rsid w:val="007A1201"/>
    <w:rsid w:val="007A148F"/>
    <w:rsid w:val="007A19A9"/>
    <w:rsid w:val="007A19F6"/>
    <w:rsid w:val="007A1AD7"/>
    <w:rsid w:val="007A2041"/>
    <w:rsid w:val="007A2B65"/>
    <w:rsid w:val="007A2BCA"/>
    <w:rsid w:val="007A2F89"/>
    <w:rsid w:val="007A323D"/>
    <w:rsid w:val="007A3453"/>
    <w:rsid w:val="007A3558"/>
    <w:rsid w:val="007A3A26"/>
    <w:rsid w:val="007A4352"/>
    <w:rsid w:val="007A5617"/>
    <w:rsid w:val="007A63FE"/>
    <w:rsid w:val="007A685A"/>
    <w:rsid w:val="007A6951"/>
    <w:rsid w:val="007A698B"/>
    <w:rsid w:val="007A6C33"/>
    <w:rsid w:val="007A6C8C"/>
    <w:rsid w:val="007A7364"/>
    <w:rsid w:val="007B0245"/>
    <w:rsid w:val="007B0414"/>
    <w:rsid w:val="007B0748"/>
    <w:rsid w:val="007B083F"/>
    <w:rsid w:val="007B0880"/>
    <w:rsid w:val="007B0D01"/>
    <w:rsid w:val="007B0DA3"/>
    <w:rsid w:val="007B121D"/>
    <w:rsid w:val="007B12F8"/>
    <w:rsid w:val="007B1A35"/>
    <w:rsid w:val="007B1A5C"/>
    <w:rsid w:val="007B1E01"/>
    <w:rsid w:val="007B2085"/>
    <w:rsid w:val="007B2213"/>
    <w:rsid w:val="007B276E"/>
    <w:rsid w:val="007B2A03"/>
    <w:rsid w:val="007B2BF9"/>
    <w:rsid w:val="007B2CD2"/>
    <w:rsid w:val="007B2CE2"/>
    <w:rsid w:val="007B2F7A"/>
    <w:rsid w:val="007B2F9F"/>
    <w:rsid w:val="007B2FDC"/>
    <w:rsid w:val="007B3065"/>
    <w:rsid w:val="007B3352"/>
    <w:rsid w:val="007B359A"/>
    <w:rsid w:val="007B38A0"/>
    <w:rsid w:val="007B38B7"/>
    <w:rsid w:val="007B396B"/>
    <w:rsid w:val="007B3D58"/>
    <w:rsid w:val="007B3E61"/>
    <w:rsid w:val="007B3EB2"/>
    <w:rsid w:val="007B4C2B"/>
    <w:rsid w:val="007B4F7B"/>
    <w:rsid w:val="007B56F6"/>
    <w:rsid w:val="007B583D"/>
    <w:rsid w:val="007B5874"/>
    <w:rsid w:val="007B5978"/>
    <w:rsid w:val="007B5A80"/>
    <w:rsid w:val="007B6345"/>
    <w:rsid w:val="007B6684"/>
    <w:rsid w:val="007B6B21"/>
    <w:rsid w:val="007B7024"/>
    <w:rsid w:val="007B72B9"/>
    <w:rsid w:val="007B7624"/>
    <w:rsid w:val="007B7CF1"/>
    <w:rsid w:val="007B7D3C"/>
    <w:rsid w:val="007B7E49"/>
    <w:rsid w:val="007C0087"/>
    <w:rsid w:val="007C0390"/>
    <w:rsid w:val="007C067D"/>
    <w:rsid w:val="007C07DD"/>
    <w:rsid w:val="007C086F"/>
    <w:rsid w:val="007C0B5B"/>
    <w:rsid w:val="007C0EEB"/>
    <w:rsid w:val="007C10E7"/>
    <w:rsid w:val="007C14A2"/>
    <w:rsid w:val="007C1B06"/>
    <w:rsid w:val="007C229D"/>
    <w:rsid w:val="007C2944"/>
    <w:rsid w:val="007C2A21"/>
    <w:rsid w:val="007C2CF6"/>
    <w:rsid w:val="007C2FCD"/>
    <w:rsid w:val="007C300E"/>
    <w:rsid w:val="007C31AE"/>
    <w:rsid w:val="007C324B"/>
    <w:rsid w:val="007C328D"/>
    <w:rsid w:val="007C336F"/>
    <w:rsid w:val="007C33FC"/>
    <w:rsid w:val="007C37E4"/>
    <w:rsid w:val="007C3ABE"/>
    <w:rsid w:val="007C41B1"/>
    <w:rsid w:val="007C44F5"/>
    <w:rsid w:val="007C4702"/>
    <w:rsid w:val="007C4955"/>
    <w:rsid w:val="007C4975"/>
    <w:rsid w:val="007C4AEC"/>
    <w:rsid w:val="007C4B93"/>
    <w:rsid w:val="007C5091"/>
    <w:rsid w:val="007C6790"/>
    <w:rsid w:val="007C6FDF"/>
    <w:rsid w:val="007C73F2"/>
    <w:rsid w:val="007C770C"/>
    <w:rsid w:val="007C7A59"/>
    <w:rsid w:val="007D00D3"/>
    <w:rsid w:val="007D02AC"/>
    <w:rsid w:val="007D03C4"/>
    <w:rsid w:val="007D086F"/>
    <w:rsid w:val="007D0E19"/>
    <w:rsid w:val="007D10EC"/>
    <w:rsid w:val="007D141F"/>
    <w:rsid w:val="007D1838"/>
    <w:rsid w:val="007D1C7B"/>
    <w:rsid w:val="007D1E25"/>
    <w:rsid w:val="007D1F2D"/>
    <w:rsid w:val="007D22F3"/>
    <w:rsid w:val="007D2346"/>
    <w:rsid w:val="007D2E5F"/>
    <w:rsid w:val="007D30B7"/>
    <w:rsid w:val="007D30CC"/>
    <w:rsid w:val="007D31E4"/>
    <w:rsid w:val="007D321E"/>
    <w:rsid w:val="007D32F7"/>
    <w:rsid w:val="007D3685"/>
    <w:rsid w:val="007D3A93"/>
    <w:rsid w:val="007D4406"/>
    <w:rsid w:val="007D4C23"/>
    <w:rsid w:val="007D587F"/>
    <w:rsid w:val="007D5DD3"/>
    <w:rsid w:val="007D632D"/>
    <w:rsid w:val="007D638C"/>
    <w:rsid w:val="007D6BAE"/>
    <w:rsid w:val="007D6E38"/>
    <w:rsid w:val="007D77D0"/>
    <w:rsid w:val="007E09B5"/>
    <w:rsid w:val="007E0A51"/>
    <w:rsid w:val="007E0B28"/>
    <w:rsid w:val="007E15AD"/>
    <w:rsid w:val="007E1654"/>
    <w:rsid w:val="007E1864"/>
    <w:rsid w:val="007E1899"/>
    <w:rsid w:val="007E25ED"/>
    <w:rsid w:val="007E2BC0"/>
    <w:rsid w:val="007E2E11"/>
    <w:rsid w:val="007E35C3"/>
    <w:rsid w:val="007E360A"/>
    <w:rsid w:val="007E362D"/>
    <w:rsid w:val="007E380D"/>
    <w:rsid w:val="007E3B8B"/>
    <w:rsid w:val="007E42C6"/>
    <w:rsid w:val="007E47B1"/>
    <w:rsid w:val="007E48DE"/>
    <w:rsid w:val="007E4B37"/>
    <w:rsid w:val="007E4E29"/>
    <w:rsid w:val="007E519F"/>
    <w:rsid w:val="007E5388"/>
    <w:rsid w:val="007E5679"/>
    <w:rsid w:val="007E5A56"/>
    <w:rsid w:val="007E68D4"/>
    <w:rsid w:val="007E6B88"/>
    <w:rsid w:val="007E7051"/>
    <w:rsid w:val="007E7094"/>
    <w:rsid w:val="007E71D9"/>
    <w:rsid w:val="007E7686"/>
    <w:rsid w:val="007E799C"/>
    <w:rsid w:val="007E7A2B"/>
    <w:rsid w:val="007F0230"/>
    <w:rsid w:val="007F02A5"/>
    <w:rsid w:val="007F0353"/>
    <w:rsid w:val="007F03DB"/>
    <w:rsid w:val="007F0826"/>
    <w:rsid w:val="007F08B1"/>
    <w:rsid w:val="007F12FD"/>
    <w:rsid w:val="007F1635"/>
    <w:rsid w:val="007F183D"/>
    <w:rsid w:val="007F1CFC"/>
    <w:rsid w:val="007F2007"/>
    <w:rsid w:val="007F2658"/>
    <w:rsid w:val="007F2B41"/>
    <w:rsid w:val="007F2FCF"/>
    <w:rsid w:val="007F3074"/>
    <w:rsid w:val="007F31A5"/>
    <w:rsid w:val="007F320D"/>
    <w:rsid w:val="007F3273"/>
    <w:rsid w:val="007F3304"/>
    <w:rsid w:val="007F3A43"/>
    <w:rsid w:val="007F3AFE"/>
    <w:rsid w:val="007F3F94"/>
    <w:rsid w:val="007F42A8"/>
    <w:rsid w:val="007F458B"/>
    <w:rsid w:val="007F46B2"/>
    <w:rsid w:val="007F564D"/>
    <w:rsid w:val="007F56B4"/>
    <w:rsid w:val="007F5AD3"/>
    <w:rsid w:val="007F63CC"/>
    <w:rsid w:val="007F67E9"/>
    <w:rsid w:val="007F6C0F"/>
    <w:rsid w:val="007F6D9B"/>
    <w:rsid w:val="007F72FE"/>
    <w:rsid w:val="007F7337"/>
    <w:rsid w:val="007F7830"/>
    <w:rsid w:val="007F7C7B"/>
    <w:rsid w:val="007F7DEC"/>
    <w:rsid w:val="008003A2"/>
    <w:rsid w:val="00800629"/>
    <w:rsid w:val="008008FF"/>
    <w:rsid w:val="00800A00"/>
    <w:rsid w:val="00800CA3"/>
    <w:rsid w:val="00801391"/>
    <w:rsid w:val="00801B5D"/>
    <w:rsid w:val="00801B64"/>
    <w:rsid w:val="00801EA0"/>
    <w:rsid w:val="00802A9C"/>
    <w:rsid w:val="00802E9B"/>
    <w:rsid w:val="00802FEC"/>
    <w:rsid w:val="00803187"/>
    <w:rsid w:val="0080323B"/>
    <w:rsid w:val="0080367F"/>
    <w:rsid w:val="008039D3"/>
    <w:rsid w:val="00803FC1"/>
    <w:rsid w:val="008040A2"/>
    <w:rsid w:val="00804632"/>
    <w:rsid w:val="00804E2D"/>
    <w:rsid w:val="00804EEE"/>
    <w:rsid w:val="00805000"/>
    <w:rsid w:val="008050C7"/>
    <w:rsid w:val="008054D9"/>
    <w:rsid w:val="008055C4"/>
    <w:rsid w:val="00805A75"/>
    <w:rsid w:val="00806100"/>
    <w:rsid w:val="0080647A"/>
    <w:rsid w:val="0080650F"/>
    <w:rsid w:val="00806688"/>
    <w:rsid w:val="008079A5"/>
    <w:rsid w:val="00807A2F"/>
    <w:rsid w:val="00807A3E"/>
    <w:rsid w:val="0081008E"/>
    <w:rsid w:val="0081012D"/>
    <w:rsid w:val="00810338"/>
    <w:rsid w:val="008103C6"/>
    <w:rsid w:val="00810440"/>
    <w:rsid w:val="00810486"/>
    <w:rsid w:val="008107F9"/>
    <w:rsid w:val="008110C4"/>
    <w:rsid w:val="008113B0"/>
    <w:rsid w:val="00811563"/>
    <w:rsid w:val="00811928"/>
    <w:rsid w:val="00812142"/>
    <w:rsid w:val="00812282"/>
    <w:rsid w:val="00812A30"/>
    <w:rsid w:val="00813053"/>
    <w:rsid w:val="008137BC"/>
    <w:rsid w:val="00813DD1"/>
    <w:rsid w:val="00813F58"/>
    <w:rsid w:val="008140C5"/>
    <w:rsid w:val="008141AD"/>
    <w:rsid w:val="00814267"/>
    <w:rsid w:val="00814619"/>
    <w:rsid w:val="008148E4"/>
    <w:rsid w:val="00814FAE"/>
    <w:rsid w:val="008157F1"/>
    <w:rsid w:val="00815BA7"/>
    <w:rsid w:val="00815C03"/>
    <w:rsid w:val="00815D3E"/>
    <w:rsid w:val="00816083"/>
    <w:rsid w:val="008162D4"/>
    <w:rsid w:val="008163CE"/>
    <w:rsid w:val="008167FC"/>
    <w:rsid w:val="0081687D"/>
    <w:rsid w:val="00816B3A"/>
    <w:rsid w:val="00816C75"/>
    <w:rsid w:val="00816DB7"/>
    <w:rsid w:val="00816E0D"/>
    <w:rsid w:val="00816EC2"/>
    <w:rsid w:val="0081767B"/>
    <w:rsid w:val="00817860"/>
    <w:rsid w:val="00817A74"/>
    <w:rsid w:val="00820766"/>
    <w:rsid w:val="008209CE"/>
    <w:rsid w:val="00820A11"/>
    <w:rsid w:val="0082142C"/>
    <w:rsid w:val="00821604"/>
    <w:rsid w:val="00821747"/>
    <w:rsid w:val="00821D61"/>
    <w:rsid w:val="00821F1D"/>
    <w:rsid w:val="00822260"/>
    <w:rsid w:val="0082228E"/>
    <w:rsid w:val="00822494"/>
    <w:rsid w:val="0082259E"/>
    <w:rsid w:val="0082281E"/>
    <w:rsid w:val="00822DC8"/>
    <w:rsid w:val="00823154"/>
    <w:rsid w:val="0082337B"/>
    <w:rsid w:val="008236E1"/>
    <w:rsid w:val="00823C38"/>
    <w:rsid w:val="00824174"/>
    <w:rsid w:val="008243B6"/>
    <w:rsid w:val="00824458"/>
    <w:rsid w:val="008247ED"/>
    <w:rsid w:val="0082482A"/>
    <w:rsid w:val="008248AA"/>
    <w:rsid w:val="008249F7"/>
    <w:rsid w:val="00824A1F"/>
    <w:rsid w:val="00824B49"/>
    <w:rsid w:val="00824B74"/>
    <w:rsid w:val="00825729"/>
    <w:rsid w:val="00825820"/>
    <w:rsid w:val="00825BD8"/>
    <w:rsid w:val="00825F65"/>
    <w:rsid w:val="0082604C"/>
    <w:rsid w:val="008260A7"/>
    <w:rsid w:val="008263D4"/>
    <w:rsid w:val="008265DB"/>
    <w:rsid w:val="00826AE5"/>
    <w:rsid w:val="00827027"/>
    <w:rsid w:val="00827720"/>
    <w:rsid w:val="00827A7E"/>
    <w:rsid w:val="00827C85"/>
    <w:rsid w:val="00827CBF"/>
    <w:rsid w:val="00827D79"/>
    <w:rsid w:val="00830024"/>
    <w:rsid w:val="00830407"/>
    <w:rsid w:val="00830D40"/>
    <w:rsid w:val="00830E5F"/>
    <w:rsid w:val="00830EC0"/>
    <w:rsid w:val="00831C0C"/>
    <w:rsid w:val="00831C51"/>
    <w:rsid w:val="008320B1"/>
    <w:rsid w:val="00832288"/>
    <w:rsid w:val="00832404"/>
    <w:rsid w:val="008324DF"/>
    <w:rsid w:val="008327F2"/>
    <w:rsid w:val="00832A62"/>
    <w:rsid w:val="00832C46"/>
    <w:rsid w:val="008332A7"/>
    <w:rsid w:val="008333AB"/>
    <w:rsid w:val="00833665"/>
    <w:rsid w:val="008336C6"/>
    <w:rsid w:val="0083420C"/>
    <w:rsid w:val="008346FA"/>
    <w:rsid w:val="008349A5"/>
    <w:rsid w:val="00834D39"/>
    <w:rsid w:val="008350A4"/>
    <w:rsid w:val="00835229"/>
    <w:rsid w:val="0083553A"/>
    <w:rsid w:val="008357C3"/>
    <w:rsid w:val="00835A0A"/>
    <w:rsid w:val="00835B94"/>
    <w:rsid w:val="00835EC9"/>
    <w:rsid w:val="00835EF0"/>
    <w:rsid w:val="0083608B"/>
    <w:rsid w:val="008361B7"/>
    <w:rsid w:val="008363CB"/>
    <w:rsid w:val="00836AD4"/>
    <w:rsid w:val="00836C4E"/>
    <w:rsid w:val="008372EB"/>
    <w:rsid w:val="00837998"/>
    <w:rsid w:val="00837D43"/>
    <w:rsid w:val="008400BB"/>
    <w:rsid w:val="0084012F"/>
    <w:rsid w:val="00840267"/>
    <w:rsid w:val="008402EE"/>
    <w:rsid w:val="0084035A"/>
    <w:rsid w:val="008403CA"/>
    <w:rsid w:val="0084048C"/>
    <w:rsid w:val="00840C95"/>
    <w:rsid w:val="00841388"/>
    <w:rsid w:val="0084160D"/>
    <w:rsid w:val="00841A7B"/>
    <w:rsid w:val="00841E97"/>
    <w:rsid w:val="00841EFB"/>
    <w:rsid w:val="00841F44"/>
    <w:rsid w:val="00842945"/>
    <w:rsid w:val="00842C67"/>
    <w:rsid w:val="00842C82"/>
    <w:rsid w:val="008433D6"/>
    <w:rsid w:val="008436D7"/>
    <w:rsid w:val="008438DB"/>
    <w:rsid w:val="00843A3E"/>
    <w:rsid w:val="00843CC5"/>
    <w:rsid w:val="00843DC9"/>
    <w:rsid w:val="008440FE"/>
    <w:rsid w:val="00844411"/>
    <w:rsid w:val="00844B53"/>
    <w:rsid w:val="00844CD2"/>
    <w:rsid w:val="00844D7D"/>
    <w:rsid w:val="00844DA9"/>
    <w:rsid w:val="00844DE0"/>
    <w:rsid w:val="00845225"/>
    <w:rsid w:val="00845646"/>
    <w:rsid w:val="008457A2"/>
    <w:rsid w:val="00846119"/>
    <w:rsid w:val="00846268"/>
    <w:rsid w:val="0084643A"/>
    <w:rsid w:val="008465E3"/>
    <w:rsid w:val="00846760"/>
    <w:rsid w:val="00846931"/>
    <w:rsid w:val="00846A30"/>
    <w:rsid w:val="00846BB4"/>
    <w:rsid w:val="00846E63"/>
    <w:rsid w:val="008474E3"/>
    <w:rsid w:val="00847EF2"/>
    <w:rsid w:val="00847F1D"/>
    <w:rsid w:val="00850016"/>
    <w:rsid w:val="00850EA0"/>
    <w:rsid w:val="00850FC3"/>
    <w:rsid w:val="00851472"/>
    <w:rsid w:val="00851A9D"/>
    <w:rsid w:val="00851AA5"/>
    <w:rsid w:val="00851F76"/>
    <w:rsid w:val="008520AF"/>
    <w:rsid w:val="008527ED"/>
    <w:rsid w:val="00853673"/>
    <w:rsid w:val="008537DE"/>
    <w:rsid w:val="008537F7"/>
    <w:rsid w:val="00853950"/>
    <w:rsid w:val="00853C2B"/>
    <w:rsid w:val="0085465D"/>
    <w:rsid w:val="00854674"/>
    <w:rsid w:val="008546BE"/>
    <w:rsid w:val="0085550A"/>
    <w:rsid w:val="00855658"/>
    <w:rsid w:val="00856074"/>
    <w:rsid w:val="008565FC"/>
    <w:rsid w:val="008566BF"/>
    <w:rsid w:val="0085677B"/>
    <w:rsid w:val="008568CF"/>
    <w:rsid w:val="00856F3F"/>
    <w:rsid w:val="008570D8"/>
    <w:rsid w:val="00857193"/>
    <w:rsid w:val="008574CF"/>
    <w:rsid w:val="008576B1"/>
    <w:rsid w:val="00857949"/>
    <w:rsid w:val="00857D69"/>
    <w:rsid w:val="008601C2"/>
    <w:rsid w:val="0086032C"/>
    <w:rsid w:val="00860A09"/>
    <w:rsid w:val="00860AC9"/>
    <w:rsid w:val="00860D22"/>
    <w:rsid w:val="00860ED0"/>
    <w:rsid w:val="0086197F"/>
    <w:rsid w:val="008625EE"/>
    <w:rsid w:val="00862976"/>
    <w:rsid w:val="00863046"/>
    <w:rsid w:val="00863DA4"/>
    <w:rsid w:val="008642F6"/>
    <w:rsid w:val="0086485A"/>
    <w:rsid w:val="00864923"/>
    <w:rsid w:val="00864D37"/>
    <w:rsid w:val="0086510B"/>
    <w:rsid w:val="008656B0"/>
    <w:rsid w:val="008657C3"/>
    <w:rsid w:val="00865A0E"/>
    <w:rsid w:val="0086656D"/>
    <w:rsid w:val="008667F6"/>
    <w:rsid w:val="00866806"/>
    <w:rsid w:val="00866D18"/>
    <w:rsid w:val="00866D7D"/>
    <w:rsid w:val="00866FC2"/>
    <w:rsid w:val="00867657"/>
    <w:rsid w:val="00867861"/>
    <w:rsid w:val="00867E94"/>
    <w:rsid w:val="00870BA6"/>
    <w:rsid w:val="00870CDE"/>
    <w:rsid w:val="00870FD3"/>
    <w:rsid w:val="00871111"/>
    <w:rsid w:val="0087133A"/>
    <w:rsid w:val="00871661"/>
    <w:rsid w:val="00871756"/>
    <w:rsid w:val="008724D1"/>
    <w:rsid w:val="0087277A"/>
    <w:rsid w:val="00872A47"/>
    <w:rsid w:val="00873036"/>
    <w:rsid w:val="0087325D"/>
    <w:rsid w:val="008732F2"/>
    <w:rsid w:val="00873593"/>
    <w:rsid w:val="008736E2"/>
    <w:rsid w:val="008738CC"/>
    <w:rsid w:val="00873E17"/>
    <w:rsid w:val="008743D0"/>
    <w:rsid w:val="00874565"/>
    <w:rsid w:val="008745D4"/>
    <w:rsid w:val="00874DE7"/>
    <w:rsid w:val="00874EE3"/>
    <w:rsid w:val="0087516B"/>
    <w:rsid w:val="0087549B"/>
    <w:rsid w:val="00875546"/>
    <w:rsid w:val="0087598E"/>
    <w:rsid w:val="00875AB4"/>
    <w:rsid w:val="00875E46"/>
    <w:rsid w:val="0087688A"/>
    <w:rsid w:val="00876F3D"/>
    <w:rsid w:val="008771FA"/>
    <w:rsid w:val="00877232"/>
    <w:rsid w:val="00877247"/>
    <w:rsid w:val="0087762B"/>
    <w:rsid w:val="00877D1B"/>
    <w:rsid w:val="00880039"/>
    <w:rsid w:val="008801AE"/>
    <w:rsid w:val="008802BF"/>
    <w:rsid w:val="00880A03"/>
    <w:rsid w:val="00880AA3"/>
    <w:rsid w:val="00880FAD"/>
    <w:rsid w:val="00881552"/>
    <w:rsid w:val="00881A42"/>
    <w:rsid w:val="00881B47"/>
    <w:rsid w:val="00881D6C"/>
    <w:rsid w:val="00881EB7"/>
    <w:rsid w:val="00882014"/>
    <w:rsid w:val="0088221A"/>
    <w:rsid w:val="008826C5"/>
    <w:rsid w:val="008832CE"/>
    <w:rsid w:val="00883528"/>
    <w:rsid w:val="0088378F"/>
    <w:rsid w:val="00883F98"/>
    <w:rsid w:val="0088421C"/>
    <w:rsid w:val="00884287"/>
    <w:rsid w:val="0088445B"/>
    <w:rsid w:val="00884F33"/>
    <w:rsid w:val="00884F8C"/>
    <w:rsid w:val="00885054"/>
    <w:rsid w:val="00885823"/>
    <w:rsid w:val="00885854"/>
    <w:rsid w:val="00885A18"/>
    <w:rsid w:val="00885C43"/>
    <w:rsid w:val="00885EE7"/>
    <w:rsid w:val="00886DCF"/>
    <w:rsid w:val="00886E94"/>
    <w:rsid w:val="0088734E"/>
    <w:rsid w:val="0088776E"/>
    <w:rsid w:val="00887777"/>
    <w:rsid w:val="0088794A"/>
    <w:rsid w:val="008879CE"/>
    <w:rsid w:val="00887A55"/>
    <w:rsid w:val="00887BC9"/>
    <w:rsid w:val="00887E2A"/>
    <w:rsid w:val="00890245"/>
    <w:rsid w:val="00890F96"/>
    <w:rsid w:val="00890FC1"/>
    <w:rsid w:val="00891737"/>
    <w:rsid w:val="008917BD"/>
    <w:rsid w:val="00891AF6"/>
    <w:rsid w:val="00891BC3"/>
    <w:rsid w:val="00891BD3"/>
    <w:rsid w:val="00891F26"/>
    <w:rsid w:val="008925F0"/>
    <w:rsid w:val="00892E9A"/>
    <w:rsid w:val="008933B9"/>
    <w:rsid w:val="00893645"/>
    <w:rsid w:val="008937C8"/>
    <w:rsid w:val="00893B73"/>
    <w:rsid w:val="00893D95"/>
    <w:rsid w:val="00893EC1"/>
    <w:rsid w:val="0089426A"/>
    <w:rsid w:val="0089436C"/>
    <w:rsid w:val="0089578B"/>
    <w:rsid w:val="00896220"/>
    <w:rsid w:val="0089622D"/>
    <w:rsid w:val="008967C4"/>
    <w:rsid w:val="00896823"/>
    <w:rsid w:val="00896860"/>
    <w:rsid w:val="00896BD6"/>
    <w:rsid w:val="00896BE2"/>
    <w:rsid w:val="00896D49"/>
    <w:rsid w:val="00896E0A"/>
    <w:rsid w:val="00896FDE"/>
    <w:rsid w:val="008970DD"/>
    <w:rsid w:val="00897902"/>
    <w:rsid w:val="008979CF"/>
    <w:rsid w:val="00897D91"/>
    <w:rsid w:val="008A00F4"/>
    <w:rsid w:val="008A0602"/>
    <w:rsid w:val="008A0694"/>
    <w:rsid w:val="008A0782"/>
    <w:rsid w:val="008A085E"/>
    <w:rsid w:val="008A089A"/>
    <w:rsid w:val="008A0D03"/>
    <w:rsid w:val="008A0D2A"/>
    <w:rsid w:val="008A1693"/>
    <w:rsid w:val="008A18FB"/>
    <w:rsid w:val="008A1B0A"/>
    <w:rsid w:val="008A1B9A"/>
    <w:rsid w:val="008A254F"/>
    <w:rsid w:val="008A2630"/>
    <w:rsid w:val="008A2944"/>
    <w:rsid w:val="008A2A5E"/>
    <w:rsid w:val="008A2F4B"/>
    <w:rsid w:val="008A3336"/>
    <w:rsid w:val="008A33BE"/>
    <w:rsid w:val="008A39F4"/>
    <w:rsid w:val="008A3F29"/>
    <w:rsid w:val="008A4081"/>
    <w:rsid w:val="008A4183"/>
    <w:rsid w:val="008A46E8"/>
    <w:rsid w:val="008A473D"/>
    <w:rsid w:val="008A47A1"/>
    <w:rsid w:val="008A4BAE"/>
    <w:rsid w:val="008A51EC"/>
    <w:rsid w:val="008A544B"/>
    <w:rsid w:val="008A5718"/>
    <w:rsid w:val="008A5833"/>
    <w:rsid w:val="008A5CA5"/>
    <w:rsid w:val="008A627A"/>
    <w:rsid w:val="008A647E"/>
    <w:rsid w:val="008A6B68"/>
    <w:rsid w:val="008A6EB3"/>
    <w:rsid w:val="008A6FD8"/>
    <w:rsid w:val="008A7042"/>
    <w:rsid w:val="008A7319"/>
    <w:rsid w:val="008A77C1"/>
    <w:rsid w:val="008A7DB4"/>
    <w:rsid w:val="008B0181"/>
    <w:rsid w:val="008B0458"/>
    <w:rsid w:val="008B050C"/>
    <w:rsid w:val="008B099C"/>
    <w:rsid w:val="008B0C2E"/>
    <w:rsid w:val="008B0DCB"/>
    <w:rsid w:val="008B0E4E"/>
    <w:rsid w:val="008B0E5F"/>
    <w:rsid w:val="008B1016"/>
    <w:rsid w:val="008B1136"/>
    <w:rsid w:val="008B1296"/>
    <w:rsid w:val="008B14B1"/>
    <w:rsid w:val="008B172E"/>
    <w:rsid w:val="008B1B91"/>
    <w:rsid w:val="008B1F75"/>
    <w:rsid w:val="008B202B"/>
    <w:rsid w:val="008B27D6"/>
    <w:rsid w:val="008B29BD"/>
    <w:rsid w:val="008B2AC8"/>
    <w:rsid w:val="008B339D"/>
    <w:rsid w:val="008B34F7"/>
    <w:rsid w:val="008B36CE"/>
    <w:rsid w:val="008B373E"/>
    <w:rsid w:val="008B3787"/>
    <w:rsid w:val="008B379A"/>
    <w:rsid w:val="008B3842"/>
    <w:rsid w:val="008B3856"/>
    <w:rsid w:val="008B3A88"/>
    <w:rsid w:val="008B401F"/>
    <w:rsid w:val="008B446D"/>
    <w:rsid w:val="008B447B"/>
    <w:rsid w:val="008B4BFC"/>
    <w:rsid w:val="008B5108"/>
    <w:rsid w:val="008B51B4"/>
    <w:rsid w:val="008B5507"/>
    <w:rsid w:val="008B584A"/>
    <w:rsid w:val="008B5988"/>
    <w:rsid w:val="008B5B67"/>
    <w:rsid w:val="008B5BC5"/>
    <w:rsid w:val="008B5D7A"/>
    <w:rsid w:val="008B62D6"/>
    <w:rsid w:val="008B66E3"/>
    <w:rsid w:val="008B6A99"/>
    <w:rsid w:val="008B704A"/>
    <w:rsid w:val="008B747E"/>
    <w:rsid w:val="008B7665"/>
    <w:rsid w:val="008B774B"/>
    <w:rsid w:val="008B7848"/>
    <w:rsid w:val="008C0391"/>
    <w:rsid w:val="008C045B"/>
    <w:rsid w:val="008C072E"/>
    <w:rsid w:val="008C07DB"/>
    <w:rsid w:val="008C086E"/>
    <w:rsid w:val="008C1424"/>
    <w:rsid w:val="008C1E05"/>
    <w:rsid w:val="008C2043"/>
    <w:rsid w:val="008C2C10"/>
    <w:rsid w:val="008C2E25"/>
    <w:rsid w:val="008C303A"/>
    <w:rsid w:val="008C3405"/>
    <w:rsid w:val="008C34BB"/>
    <w:rsid w:val="008C3775"/>
    <w:rsid w:val="008C378E"/>
    <w:rsid w:val="008C381A"/>
    <w:rsid w:val="008C3B54"/>
    <w:rsid w:val="008C40C6"/>
    <w:rsid w:val="008C44FF"/>
    <w:rsid w:val="008C45E2"/>
    <w:rsid w:val="008C4FA5"/>
    <w:rsid w:val="008C5209"/>
    <w:rsid w:val="008C5320"/>
    <w:rsid w:val="008C5E77"/>
    <w:rsid w:val="008C6008"/>
    <w:rsid w:val="008C6166"/>
    <w:rsid w:val="008C68AF"/>
    <w:rsid w:val="008C6E61"/>
    <w:rsid w:val="008C6E6C"/>
    <w:rsid w:val="008C71CB"/>
    <w:rsid w:val="008C73A5"/>
    <w:rsid w:val="008C7625"/>
    <w:rsid w:val="008C78A8"/>
    <w:rsid w:val="008C79F7"/>
    <w:rsid w:val="008C7D5C"/>
    <w:rsid w:val="008C7F9E"/>
    <w:rsid w:val="008D079C"/>
    <w:rsid w:val="008D0C9B"/>
    <w:rsid w:val="008D1BBB"/>
    <w:rsid w:val="008D1F31"/>
    <w:rsid w:val="008D20D7"/>
    <w:rsid w:val="008D22FD"/>
    <w:rsid w:val="008D23A9"/>
    <w:rsid w:val="008D267B"/>
    <w:rsid w:val="008D2C57"/>
    <w:rsid w:val="008D31A4"/>
    <w:rsid w:val="008D3726"/>
    <w:rsid w:val="008D4640"/>
    <w:rsid w:val="008D4B0B"/>
    <w:rsid w:val="008D4B41"/>
    <w:rsid w:val="008D4CB0"/>
    <w:rsid w:val="008D4F66"/>
    <w:rsid w:val="008D50E2"/>
    <w:rsid w:val="008D5281"/>
    <w:rsid w:val="008D5364"/>
    <w:rsid w:val="008D54E4"/>
    <w:rsid w:val="008D55DB"/>
    <w:rsid w:val="008D5F7A"/>
    <w:rsid w:val="008D6397"/>
    <w:rsid w:val="008D65CD"/>
    <w:rsid w:val="008D69BC"/>
    <w:rsid w:val="008D6B1C"/>
    <w:rsid w:val="008D6DB6"/>
    <w:rsid w:val="008D6EA9"/>
    <w:rsid w:val="008D737A"/>
    <w:rsid w:val="008D73C9"/>
    <w:rsid w:val="008D7551"/>
    <w:rsid w:val="008D7731"/>
    <w:rsid w:val="008D7FE4"/>
    <w:rsid w:val="008E01C1"/>
    <w:rsid w:val="008E0336"/>
    <w:rsid w:val="008E06C8"/>
    <w:rsid w:val="008E0CEC"/>
    <w:rsid w:val="008E1001"/>
    <w:rsid w:val="008E16BF"/>
    <w:rsid w:val="008E23D9"/>
    <w:rsid w:val="008E2487"/>
    <w:rsid w:val="008E28AA"/>
    <w:rsid w:val="008E3049"/>
    <w:rsid w:val="008E31C6"/>
    <w:rsid w:val="008E35A3"/>
    <w:rsid w:val="008E37BB"/>
    <w:rsid w:val="008E37E9"/>
    <w:rsid w:val="008E39D6"/>
    <w:rsid w:val="008E410F"/>
    <w:rsid w:val="008E4267"/>
    <w:rsid w:val="008E46C9"/>
    <w:rsid w:val="008E4C0A"/>
    <w:rsid w:val="008E4DD9"/>
    <w:rsid w:val="008E4DFB"/>
    <w:rsid w:val="008E5FE2"/>
    <w:rsid w:val="008E6BCC"/>
    <w:rsid w:val="008E6CDA"/>
    <w:rsid w:val="008E7037"/>
    <w:rsid w:val="008E7274"/>
    <w:rsid w:val="008E759C"/>
    <w:rsid w:val="008E7CB1"/>
    <w:rsid w:val="008E7E01"/>
    <w:rsid w:val="008F0562"/>
    <w:rsid w:val="008F0835"/>
    <w:rsid w:val="008F0914"/>
    <w:rsid w:val="008F0A09"/>
    <w:rsid w:val="008F0ADF"/>
    <w:rsid w:val="008F0CB7"/>
    <w:rsid w:val="008F100D"/>
    <w:rsid w:val="008F16F9"/>
    <w:rsid w:val="008F1804"/>
    <w:rsid w:val="008F1843"/>
    <w:rsid w:val="008F2488"/>
    <w:rsid w:val="008F260B"/>
    <w:rsid w:val="008F29EB"/>
    <w:rsid w:val="008F29F5"/>
    <w:rsid w:val="008F2A21"/>
    <w:rsid w:val="008F2C1E"/>
    <w:rsid w:val="008F2F41"/>
    <w:rsid w:val="008F2F60"/>
    <w:rsid w:val="008F2FA6"/>
    <w:rsid w:val="008F3041"/>
    <w:rsid w:val="008F3612"/>
    <w:rsid w:val="008F3843"/>
    <w:rsid w:val="008F3EEB"/>
    <w:rsid w:val="008F43D9"/>
    <w:rsid w:val="008F44BA"/>
    <w:rsid w:val="008F4917"/>
    <w:rsid w:val="008F4B9D"/>
    <w:rsid w:val="008F5177"/>
    <w:rsid w:val="008F51A9"/>
    <w:rsid w:val="008F5208"/>
    <w:rsid w:val="008F5DEF"/>
    <w:rsid w:val="008F66B5"/>
    <w:rsid w:val="008F66E4"/>
    <w:rsid w:val="008F6866"/>
    <w:rsid w:val="008F6DFD"/>
    <w:rsid w:val="008F7608"/>
    <w:rsid w:val="008F76B7"/>
    <w:rsid w:val="008F772B"/>
    <w:rsid w:val="008F7CA8"/>
    <w:rsid w:val="00900D5B"/>
    <w:rsid w:val="00900D65"/>
    <w:rsid w:val="00900F9D"/>
    <w:rsid w:val="009011B8"/>
    <w:rsid w:val="009011FB"/>
    <w:rsid w:val="0090153F"/>
    <w:rsid w:val="00901556"/>
    <w:rsid w:val="00901A09"/>
    <w:rsid w:val="00901F02"/>
    <w:rsid w:val="00902CED"/>
    <w:rsid w:val="00903272"/>
    <w:rsid w:val="00903333"/>
    <w:rsid w:val="009037A9"/>
    <w:rsid w:val="00903985"/>
    <w:rsid w:val="00903EB6"/>
    <w:rsid w:val="0090414C"/>
    <w:rsid w:val="0090424E"/>
    <w:rsid w:val="00904345"/>
    <w:rsid w:val="0090453D"/>
    <w:rsid w:val="00904803"/>
    <w:rsid w:val="00904D38"/>
    <w:rsid w:val="0090524F"/>
    <w:rsid w:val="009054A6"/>
    <w:rsid w:val="009056C0"/>
    <w:rsid w:val="00906022"/>
    <w:rsid w:val="009061A5"/>
    <w:rsid w:val="009068D7"/>
    <w:rsid w:val="00906E65"/>
    <w:rsid w:val="00907238"/>
    <w:rsid w:val="009073C5"/>
    <w:rsid w:val="00907807"/>
    <w:rsid w:val="0091006D"/>
    <w:rsid w:val="009102ED"/>
    <w:rsid w:val="009103F1"/>
    <w:rsid w:val="00910631"/>
    <w:rsid w:val="00910648"/>
    <w:rsid w:val="00910C5C"/>
    <w:rsid w:val="009114C1"/>
    <w:rsid w:val="009116C9"/>
    <w:rsid w:val="00911D70"/>
    <w:rsid w:val="00911F5A"/>
    <w:rsid w:val="009126FA"/>
    <w:rsid w:val="00913373"/>
    <w:rsid w:val="00913CB7"/>
    <w:rsid w:val="00913CEC"/>
    <w:rsid w:val="009141A8"/>
    <w:rsid w:val="0091427A"/>
    <w:rsid w:val="009143D9"/>
    <w:rsid w:val="009144D5"/>
    <w:rsid w:val="0091465F"/>
    <w:rsid w:val="00914AF2"/>
    <w:rsid w:val="00914CE2"/>
    <w:rsid w:val="009153C0"/>
    <w:rsid w:val="009155BD"/>
    <w:rsid w:val="0091578E"/>
    <w:rsid w:val="00915A32"/>
    <w:rsid w:val="00915AE3"/>
    <w:rsid w:val="00915EA9"/>
    <w:rsid w:val="00915F98"/>
    <w:rsid w:val="00915FA3"/>
    <w:rsid w:val="00916068"/>
    <w:rsid w:val="00916615"/>
    <w:rsid w:val="009169E0"/>
    <w:rsid w:val="00916D35"/>
    <w:rsid w:val="00916FDA"/>
    <w:rsid w:val="00917404"/>
    <w:rsid w:val="0092015C"/>
    <w:rsid w:val="009203DD"/>
    <w:rsid w:val="0092069F"/>
    <w:rsid w:val="00920F2D"/>
    <w:rsid w:val="00920F38"/>
    <w:rsid w:val="00921541"/>
    <w:rsid w:val="00921580"/>
    <w:rsid w:val="009217BF"/>
    <w:rsid w:val="009217D8"/>
    <w:rsid w:val="009217F8"/>
    <w:rsid w:val="009218A7"/>
    <w:rsid w:val="00921926"/>
    <w:rsid w:val="00921B35"/>
    <w:rsid w:val="009229A8"/>
    <w:rsid w:val="00922BD4"/>
    <w:rsid w:val="00922D7D"/>
    <w:rsid w:val="00922D87"/>
    <w:rsid w:val="00923189"/>
    <w:rsid w:val="00923253"/>
    <w:rsid w:val="009233F9"/>
    <w:rsid w:val="009234C0"/>
    <w:rsid w:val="009238EA"/>
    <w:rsid w:val="00923B7B"/>
    <w:rsid w:val="0092470E"/>
    <w:rsid w:val="009247FB"/>
    <w:rsid w:val="00924967"/>
    <w:rsid w:val="00924A77"/>
    <w:rsid w:val="00925187"/>
    <w:rsid w:val="0092543B"/>
    <w:rsid w:val="00925565"/>
    <w:rsid w:val="0092565D"/>
    <w:rsid w:val="00926338"/>
    <w:rsid w:val="0092709C"/>
    <w:rsid w:val="009270C9"/>
    <w:rsid w:val="0092717F"/>
    <w:rsid w:val="009271EA"/>
    <w:rsid w:val="00927397"/>
    <w:rsid w:val="00927744"/>
    <w:rsid w:val="00927B05"/>
    <w:rsid w:val="00927E30"/>
    <w:rsid w:val="00930948"/>
    <w:rsid w:val="00930A79"/>
    <w:rsid w:val="00930C9E"/>
    <w:rsid w:val="00930CC7"/>
    <w:rsid w:val="00930F4E"/>
    <w:rsid w:val="00931CA1"/>
    <w:rsid w:val="00931E3E"/>
    <w:rsid w:val="00932166"/>
    <w:rsid w:val="009322EC"/>
    <w:rsid w:val="00932745"/>
    <w:rsid w:val="00932E3E"/>
    <w:rsid w:val="00933302"/>
    <w:rsid w:val="0093331B"/>
    <w:rsid w:val="009340C0"/>
    <w:rsid w:val="0093434B"/>
    <w:rsid w:val="00934473"/>
    <w:rsid w:val="0093448D"/>
    <w:rsid w:val="0093461C"/>
    <w:rsid w:val="009346B0"/>
    <w:rsid w:val="009349B9"/>
    <w:rsid w:val="00934B45"/>
    <w:rsid w:val="00934D63"/>
    <w:rsid w:val="00934F85"/>
    <w:rsid w:val="00935555"/>
    <w:rsid w:val="00935583"/>
    <w:rsid w:val="00935DE0"/>
    <w:rsid w:val="00935E65"/>
    <w:rsid w:val="00935E9B"/>
    <w:rsid w:val="00936062"/>
    <w:rsid w:val="009361BA"/>
    <w:rsid w:val="00936235"/>
    <w:rsid w:val="009367E1"/>
    <w:rsid w:val="0093685F"/>
    <w:rsid w:val="009369EC"/>
    <w:rsid w:val="009375DB"/>
    <w:rsid w:val="009375FE"/>
    <w:rsid w:val="00937895"/>
    <w:rsid w:val="00937970"/>
    <w:rsid w:val="00937996"/>
    <w:rsid w:val="00937CA1"/>
    <w:rsid w:val="00937CBE"/>
    <w:rsid w:val="00937CE9"/>
    <w:rsid w:val="00937D5B"/>
    <w:rsid w:val="00937EEE"/>
    <w:rsid w:val="0094030B"/>
    <w:rsid w:val="009406AB"/>
    <w:rsid w:val="009409F7"/>
    <w:rsid w:val="00940A57"/>
    <w:rsid w:val="00940DFD"/>
    <w:rsid w:val="00940F99"/>
    <w:rsid w:val="0094133B"/>
    <w:rsid w:val="00941500"/>
    <w:rsid w:val="0094175B"/>
    <w:rsid w:val="00941ACC"/>
    <w:rsid w:val="00941AFB"/>
    <w:rsid w:val="009420AC"/>
    <w:rsid w:val="009424F6"/>
    <w:rsid w:val="00942AD2"/>
    <w:rsid w:val="009431DF"/>
    <w:rsid w:val="00943C2E"/>
    <w:rsid w:val="00943D31"/>
    <w:rsid w:val="00944087"/>
    <w:rsid w:val="0094415E"/>
    <w:rsid w:val="00944ACF"/>
    <w:rsid w:val="00944E74"/>
    <w:rsid w:val="0094503A"/>
    <w:rsid w:val="009451B1"/>
    <w:rsid w:val="009452C1"/>
    <w:rsid w:val="0094573B"/>
    <w:rsid w:val="0094573F"/>
    <w:rsid w:val="009457B0"/>
    <w:rsid w:val="00945B74"/>
    <w:rsid w:val="00945F20"/>
    <w:rsid w:val="00946356"/>
    <w:rsid w:val="00946529"/>
    <w:rsid w:val="00946696"/>
    <w:rsid w:val="009468CC"/>
    <w:rsid w:val="00946A15"/>
    <w:rsid w:val="00946ABB"/>
    <w:rsid w:val="00946BB1"/>
    <w:rsid w:val="0094728D"/>
    <w:rsid w:val="00947567"/>
    <w:rsid w:val="00947A0E"/>
    <w:rsid w:val="00947B4D"/>
    <w:rsid w:val="00947BD6"/>
    <w:rsid w:val="00947C56"/>
    <w:rsid w:val="00950051"/>
    <w:rsid w:val="0095012E"/>
    <w:rsid w:val="009503D1"/>
    <w:rsid w:val="00950660"/>
    <w:rsid w:val="0095092A"/>
    <w:rsid w:val="00950CE3"/>
    <w:rsid w:val="00951934"/>
    <w:rsid w:val="00951B27"/>
    <w:rsid w:val="00951C81"/>
    <w:rsid w:val="0095207B"/>
    <w:rsid w:val="0095251C"/>
    <w:rsid w:val="00952D47"/>
    <w:rsid w:val="00953185"/>
    <w:rsid w:val="00953682"/>
    <w:rsid w:val="00953A69"/>
    <w:rsid w:val="00953D6C"/>
    <w:rsid w:val="00954256"/>
    <w:rsid w:val="00954606"/>
    <w:rsid w:val="00954876"/>
    <w:rsid w:val="00954C8C"/>
    <w:rsid w:val="00954DE9"/>
    <w:rsid w:val="009554E3"/>
    <w:rsid w:val="00955AB7"/>
    <w:rsid w:val="009561DD"/>
    <w:rsid w:val="0095678C"/>
    <w:rsid w:val="00956ACE"/>
    <w:rsid w:val="00956E78"/>
    <w:rsid w:val="009572A0"/>
    <w:rsid w:val="00957D24"/>
    <w:rsid w:val="00957F14"/>
    <w:rsid w:val="00957FCF"/>
    <w:rsid w:val="00960734"/>
    <w:rsid w:val="00960DCF"/>
    <w:rsid w:val="009610AD"/>
    <w:rsid w:val="009615CB"/>
    <w:rsid w:val="0096171B"/>
    <w:rsid w:val="0096192D"/>
    <w:rsid w:val="00961B53"/>
    <w:rsid w:val="009624D4"/>
    <w:rsid w:val="00962715"/>
    <w:rsid w:val="00962CC9"/>
    <w:rsid w:val="00962D3F"/>
    <w:rsid w:val="009631FD"/>
    <w:rsid w:val="00963264"/>
    <w:rsid w:val="00963308"/>
    <w:rsid w:val="0096364D"/>
    <w:rsid w:val="0096389D"/>
    <w:rsid w:val="009639C3"/>
    <w:rsid w:val="00963CD9"/>
    <w:rsid w:val="0096448B"/>
    <w:rsid w:val="00964773"/>
    <w:rsid w:val="009653B7"/>
    <w:rsid w:val="0096540F"/>
    <w:rsid w:val="009661BB"/>
    <w:rsid w:val="0096649D"/>
    <w:rsid w:val="009664B0"/>
    <w:rsid w:val="00966A2E"/>
    <w:rsid w:val="009674AB"/>
    <w:rsid w:val="00967549"/>
    <w:rsid w:val="009676C0"/>
    <w:rsid w:val="009702F3"/>
    <w:rsid w:val="00970375"/>
    <w:rsid w:val="009703C7"/>
    <w:rsid w:val="0097053D"/>
    <w:rsid w:val="0097084C"/>
    <w:rsid w:val="009709F6"/>
    <w:rsid w:val="00970EB9"/>
    <w:rsid w:val="00971081"/>
    <w:rsid w:val="00971189"/>
    <w:rsid w:val="009712DE"/>
    <w:rsid w:val="0097131F"/>
    <w:rsid w:val="00971721"/>
    <w:rsid w:val="009717D1"/>
    <w:rsid w:val="00971BAB"/>
    <w:rsid w:val="00971ECD"/>
    <w:rsid w:val="009723DC"/>
    <w:rsid w:val="0097281B"/>
    <w:rsid w:val="0097297A"/>
    <w:rsid w:val="00972A43"/>
    <w:rsid w:val="00972E83"/>
    <w:rsid w:val="0097323B"/>
    <w:rsid w:val="009732B9"/>
    <w:rsid w:val="009734BB"/>
    <w:rsid w:val="00973638"/>
    <w:rsid w:val="009737F4"/>
    <w:rsid w:val="009738A0"/>
    <w:rsid w:val="00973A08"/>
    <w:rsid w:val="00973B54"/>
    <w:rsid w:val="00974053"/>
    <w:rsid w:val="009742F2"/>
    <w:rsid w:val="00974449"/>
    <w:rsid w:val="00974546"/>
    <w:rsid w:val="009748CD"/>
    <w:rsid w:val="00975080"/>
    <w:rsid w:val="00975DBC"/>
    <w:rsid w:val="00975F0F"/>
    <w:rsid w:val="00976722"/>
    <w:rsid w:val="009768D1"/>
    <w:rsid w:val="009774EB"/>
    <w:rsid w:val="009776DD"/>
    <w:rsid w:val="009777BA"/>
    <w:rsid w:val="00977CD2"/>
    <w:rsid w:val="00977F26"/>
    <w:rsid w:val="00977F4F"/>
    <w:rsid w:val="00980294"/>
    <w:rsid w:val="009803A9"/>
    <w:rsid w:val="009803CB"/>
    <w:rsid w:val="009803D4"/>
    <w:rsid w:val="0098045A"/>
    <w:rsid w:val="009807A2"/>
    <w:rsid w:val="009808B1"/>
    <w:rsid w:val="00980915"/>
    <w:rsid w:val="00981125"/>
    <w:rsid w:val="00981518"/>
    <w:rsid w:val="0098186D"/>
    <w:rsid w:val="0098199C"/>
    <w:rsid w:val="00981D97"/>
    <w:rsid w:val="009824A3"/>
    <w:rsid w:val="0098268D"/>
    <w:rsid w:val="0098294B"/>
    <w:rsid w:val="00982B0D"/>
    <w:rsid w:val="009834DC"/>
    <w:rsid w:val="009835BD"/>
    <w:rsid w:val="0098388D"/>
    <w:rsid w:val="0098392F"/>
    <w:rsid w:val="00983949"/>
    <w:rsid w:val="00983E01"/>
    <w:rsid w:val="00984179"/>
    <w:rsid w:val="009841EC"/>
    <w:rsid w:val="00984674"/>
    <w:rsid w:val="009847C7"/>
    <w:rsid w:val="0098480D"/>
    <w:rsid w:val="009849EE"/>
    <w:rsid w:val="00984B9E"/>
    <w:rsid w:val="00984E60"/>
    <w:rsid w:val="0098524B"/>
    <w:rsid w:val="009852F5"/>
    <w:rsid w:val="0098563A"/>
    <w:rsid w:val="00986007"/>
    <w:rsid w:val="009868EF"/>
    <w:rsid w:val="00986F66"/>
    <w:rsid w:val="00987133"/>
    <w:rsid w:val="00987267"/>
    <w:rsid w:val="009872C6"/>
    <w:rsid w:val="009873F3"/>
    <w:rsid w:val="009876A4"/>
    <w:rsid w:val="00987CC8"/>
    <w:rsid w:val="00990037"/>
    <w:rsid w:val="009900F1"/>
    <w:rsid w:val="009905A4"/>
    <w:rsid w:val="00990D54"/>
    <w:rsid w:val="00991274"/>
    <w:rsid w:val="00991637"/>
    <w:rsid w:val="00991890"/>
    <w:rsid w:val="00991A4C"/>
    <w:rsid w:val="00991E10"/>
    <w:rsid w:val="00991E25"/>
    <w:rsid w:val="00991EF3"/>
    <w:rsid w:val="009923FF"/>
    <w:rsid w:val="009924B2"/>
    <w:rsid w:val="00992555"/>
    <w:rsid w:val="00992587"/>
    <w:rsid w:val="00992750"/>
    <w:rsid w:val="00992D38"/>
    <w:rsid w:val="00992FC1"/>
    <w:rsid w:val="0099316D"/>
    <w:rsid w:val="009931A0"/>
    <w:rsid w:val="00994C6E"/>
    <w:rsid w:val="0099568E"/>
    <w:rsid w:val="0099578A"/>
    <w:rsid w:val="00995AF2"/>
    <w:rsid w:val="00995E98"/>
    <w:rsid w:val="00996011"/>
    <w:rsid w:val="009960AF"/>
    <w:rsid w:val="00996CA7"/>
    <w:rsid w:val="00996CEC"/>
    <w:rsid w:val="00996F15"/>
    <w:rsid w:val="00997162"/>
    <w:rsid w:val="0099767A"/>
    <w:rsid w:val="0099795B"/>
    <w:rsid w:val="00997BA8"/>
    <w:rsid w:val="00997E86"/>
    <w:rsid w:val="009A0066"/>
    <w:rsid w:val="009A0359"/>
    <w:rsid w:val="009A06F4"/>
    <w:rsid w:val="009A097E"/>
    <w:rsid w:val="009A0B3C"/>
    <w:rsid w:val="009A0D30"/>
    <w:rsid w:val="009A0E73"/>
    <w:rsid w:val="009A111C"/>
    <w:rsid w:val="009A1433"/>
    <w:rsid w:val="009A148B"/>
    <w:rsid w:val="009A1582"/>
    <w:rsid w:val="009A1592"/>
    <w:rsid w:val="009A164C"/>
    <w:rsid w:val="009A1A26"/>
    <w:rsid w:val="009A1E99"/>
    <w:rsid w:val="009A28CA"/>
    <w:rsid w:val="009A2CFD"/>
    <w:rsid w:val="009A2D63"/>
    <w:rsid w:val="009A2E33"/>
    <w:rsid w:val="009A33AC"/>
    <w:rsid w:val="009A3778"/>
    <w:rsid w:val="009A3AE2"/>
    <w:rsid w:val="009A3E2E"/>
    <w:rsid w:val="009A42BE"/>
    <w:rsid w:val="009A44DE"/>
    <w:rsid w:val="009A4A93"/>
    <w:rsid w:val="009A519B"/>
    <w:rsid w:val="009A5470"/>
    <w:rsid w:val="009A55CA"/>
    <w:rsid w:val="009A597E"/>
    <w:rsid w:val="009A59B5"/>
    <w:rsid w:val="009A5A00"/>
    <w:rsid w:val="009A5A09"/>
    <w:rsid w:val="009A5F1B"/>
    <w:rsid w:val="009A672A"/>
    <w:rsid w:val="009A691B"/>
    <w:rsid w:val="009A724D"/>
    <w:rsid w:val="009A7290"/>
    <w:rsid w:val="009A7F34"/>
    <w:rsid w:val="009B0343"/>
    <w:rsid w:val="009B0D91"/>
    <w:rsid w:val="009B0E64"/>
    <w:rsid w:val="009B138E"/>
    <w:rsid w:val="009B162B"/>
    <w:rsid w:val="009B20D8"/>
    <w:rsid w:val="009B2245"/>
    <w:rsid w:val="009B22F6"/>
    <w:rsid w:val="009B258E"/>
    <w:rsid w:val="009B2698"/>
    <w:rsid w:val="009B2983"/>
    <w:rsid w:val="009B2AA4"/>
    <w:rsid w:val="009B2B46"/>
    <w:rsid w:val="009B2CF9"/>
    <w:rsid w:val="009B3024"/>
    <w:rsid w:val="009B3230"/>
    <w:rsid w:val="009B33A2"/>
    <w:rsid w:val="009B36A4"/>
    <w:rsid w:val="009B3903"/>
    <w:rsid w:val="009B3BB5"/>
    <w:rsid w:val="009B3F0A"/>
    <w:rsid w:val="009B4001"/>
    <w:rsid w:val="009B4488"/>
    <w:rsid w:val="009B4957"/>
    <w:rsid w:val="009B4BE2"/>
    <w:rsid w:val="009B4FD9"/>
    <w:rsid w:val="009B5298"/>
    <w:rsid w:val="009B53C8"/>
    <w:rsid w:val="009B561B"/>
    <w:rsid w:val="009B5997"/>
    <w:rsid w:val="009B5D51"/>
    <w:rsid w:val="009B67B0"/>
    <w:rsid w:val="009B6882"/>
    <w:rsid w:val="009B6B23"/>
    <w:rsid w:val="009B6CAA"/>
    <w:rsid w:val="009B6D00"/>
    <w:rsid w:val="009B7305"/>
    <w:rsid w:val="009B7ABD"/>
    <w:rsid w:val="009C0176"/>
    <w:rsid w:val="009C0349"/>
    <w:rsid w:val="009C03E4"/>
    <w:rsid w:val="009C0516"/>
    <w:rsid w:val="009C05EA"/>
    <w:rsid w:val="009C087F"/>
    <w:rsid w:val="009C0A02"/>
    <w:rsid w:val="009C0AFF"/>
    <w:rsid w:val="009C1081"/>
    <w:rsid w:val="009C10F5"/>
    <w:rsid w:val="009C14A7"/>
    <w:rsid w:val="009C14B2"/>
    <w:rsid w:val="009C1A21"/>
    <w:rsid w:val="009C1D27"/>
    <w:rsid w:val="009C218A"/>
    <w:rsid w:val="009C2262"/>
    <w:rsid w:val="009C22FC"/>
    <w:rsid w:val="009C2461"/>
    <w:rsid w:val="009C26C6"/>
    <w:rsid w:val="009C3650"/>
    <w:rsid w:val="009C3846"/>
    <w:rsid w:val="009C3BD9"/>
    <w:rsid w:val="009C40EA"/>
    <w:rsid w:val="009C457A"/>
    <w:rsid w:val="009C53C8"/>
    <w:rsid w:val="009C57E7"/>
    <w:rsid w:val="009C5892"/>
    <w:rsid w:val="009C5B82"/>
    <w:rsid w:val="009C60E0"/>
    <w:rsid w:val="009C631B"/>
    <w:rsid w:val="009C6729"/>
    <w:rsid w:val="009C6798"/>
    <w:rsid w:val="009C6B3D"/>
    <w:rsid w:val="009C6CAA"/>
    <w:rsid w:val="009C6EBF"/>
    <w:rsid w:val="009C73FD"/>
    <w:rsid w:val="009C756C"/>
    <w:rsid w:val="009C756E"/>
    <w:rsid w:val="009C76AE"/>
    <w:rsid w:val="009C7F52"/>
    <w:rsid w:val="009D024B"/>
    <w:rsid w:val="009D0289"/>
    <w:rsid w:val="009D07DB"/>
    <w:rsid w:val="009D114A"/>
    <w:rsid w:val="009D11DD"/>
    <w:rsid w:val="009D1534"/>
    <w:rsid w:val="009D15F1"/>
    <w:rsid w:val="009D16F4"/>
    <w:rsid w:val="009D1D09"/>
    <w:rsid w:val="009D2179"/>
    <w:rsid w:val="009D21BE"/>
    <w:rsid w:val="009D2A8F"/>
    <w:rsid w:val="009D2B65"/>
    <w:rsid w:val="009D2D5A"/>
    <w:rsid w:val="009D375A"/>
    <w:rsid w:val="009D3A6E"/>
    <w:rsid w:val="009D3AC0"/>
    <w:rsid w:val="009D3C3D"/>
    <w:rsid w:val="009D430F"/>
    <w:rsid w:val="009D4457"/>
    <w:rsid w:val="009D46EE"/>
    <w:rsid w:val="009D4790"/>
    <w:rsid w:val="009D4DEE"/>
    <w:rsid w:val="009D5288"/>
    <w:rsid w:val="009D52E3"/>
    <w:rsid w:val="009D5C0D"/>
    <w:rsid w:val="009D602F"/>
    <w:rsid w:val="009D663A"/>
    <w:rsid w:val="009D66AE"/>
    <w:rsid w:val="009D71D4"/>
    <w:rsid w:val="009D71E5"/>
    <w:rsid w:val="009D7546"/>
    <w:rsid w:val="009D765D"/>
    <w:rsid w:val="009D7760"/>
    <w:rsid w:val="009DF261"/>
    <w:rsid w:val="009E015D"/>
    <w:rsid w:val="009E03A3"/>
    <w:rsid w:val="009E04EC"/>
    <w:rsid w:val="009E057B"/>
    <w:rsid w:val="009E1B8E"/>
    <w:rsid w:val="009E1B90"/>
    <w:rsid w:val="009E2133"/>
    <w:rsid w:val="009E233F"/>
    <w:rsid w:val="009E2365"/>
    <w:rsid w:val="009E24FE"/>
    <w:rsid w:val="009E254F"/>
    <w:rsid w:val="009E2700"/>
    <w:rsid w:val="009E2728"/>
    <w:rsid w:val="009E2AD3"/>
    <w:rsid w:val="009E2AF2"/>
    <w:rsid w:val="009E2C3C"/>
    <w:rsid w:val="009E2E84"/>
    <w:rsid w:val="009E30F2"/>
    <w:rsid w:val="009E3326"/>
    <w:rsid w:val="009E38B3"/>
    <w:rsid w:val="009E39BF"/>
    <w:rsid w:val="009E3BAB"/>
    <w:rsid w:val="009E3E80"/>
    <w:rsid w:val="009E4577"/>
    <w:rsid w:val="009E47E5"/>
    <w:rsid w:val="009E4A53"/>
    <w:rsid w:val="009E4E84"/>
    <w:rsid w:val="009E52F9"/>
    <w:rsid w:val="009E53D2"/>
    <w:rsid w:val="009E56E0"/>
    <w:rsid w:val="009E5B16"/>
    <w:rsid w:val="009E5C72"/>
    <w:rsid w:val="009E5DEE"/>
    <w:rsid w:val="009E5E3E"/>
    <w:rsid w:val="009E65CD"/>
    <w:rsid w:val="009E6BDC"/>
    <w:rsid w:val="009E7532"/>
    <w:rsid w:val="009E75AF"/>
    <w:rsid w:val="009E76CE"/>
    <w:rsid w:val="009E77DF"/>
    <w:rsid w:val="009E7802"/>
    <w:rsid w:val="009E79B9"/>
    <w:rsid w:val="009E7A27"/>
    <w:rsid w:val="009E7AED"/>
    <w:rsid w:val="009E7F42"/>
    <w:rsid w:val="009F0092"/>
    <w:rsid w:val="009F07CF"/>
    <w:rsid w:val="009F08F4"/>
    <w:rsid w:val="009F0E19"/>
    <w:rsid w:val="009F1300"/>
    <w:rsid w:val="009F146F"/>
    <w:rsid w:val="009F1481"/>
    <w:rsid w:val="009F18B3"/>
    <w:rsid w:val="009F1FD3"/>
    <w:rsid w:val="009F21D7"/>
    <w:rsid w:val="009F2768"/>
    <w:rsid w:val="009F2D19"/>
    <w:rsid w:val="009F3001"/>
    <w:rsid w:val="009F3254"/>
    <w:rsid w:val="009F39C6"/>
    <w:rsid w:val="009F3C75"/>
    <w:rsid w:val="009F41C7"/>
    <w:rsid w:val="009F41D5"/>
    <w:rsid w:val="009F4261"/>
    <w:rsid w:val="009F43F1"/>
    <w:rsid w:val="009F45D3"/>
    <w:rsid w:val="009F481B"/>
    <w:rsid w:val="009F490C"/>
    <w:rsid w:val="009F4ADF"/>
    <w:rsid w:val="009F4DE0"/>
    <w:rsid w:val="009F4EFA"/>
    <w:rsid w:val="009F51B0"/>
    <w:rsid w:val="009F54F3"/>
    <w:rsid w:val="009F555D"/>
    <w:rsid w:val="009F559F"/>
    <w:rsid w:val="009F5632"/>
    <w:rsid w:val="009F5666"/>
    <w:rsid w:val="009F66B0"/>
    <w:rsid w:val="009F7670"/>
    <w:rsid w:val="009F7822"/>
    <w:rsid w:val="009F78EB"/>
    <w:rsid w:val="009F790B"/>
    <w:rsid w:val="00A0037E"/>
    <w:rsid w:val="00A004D3"/>
    <w:rsid w:val="00A007BE"/>
    <w:rsid w:val="00A00B19"/>
    <w:rsid w:val="00A01303"/>
    <w:rsid w:val="00A01974"/>
    <w:rsid w:val="00A025BC"/>
    <w:rsid w:val="00A02679"/>
    <w:rsid w:val="00A02A42"/>
    <w:rsid w:val="00A02C4F"/>
    <w:rsid w:val="00A02DF2"/>
    <w:rsid w:val="00A02E19"/>
    <w:rsid w:val="00A03197"/>
    <w:rsid w:val="00A03F26"/>
    <w:rsid w:val="00A04A09"/>
    <w:rsid w:val="00A04A23"/>
    <w:rsid w:val="00A04C25"/>
    <w:rsid w:val="00A04FD4"/>
    <w:rsid w:val="00A04FE7"/>
    <w:rsid w:val="00A055A4"/>
    <w:rsid w:val="00A05721"/>
    <w:rsid w:val="00A05821"/>
    <w:rsid w:val="00A05D1D"/>
    <w:rsid w:val="00A05D67"/>
    <w:rsid w:val="00A05EA2"/>
    <w:rsid w:val="00A06346"/>
    <w:rsid w:val="00A06726"/>
    <w:rsid w:val="00A06B2F"/>
    <w:rsid w:val="00A06DE3"/>
    <w:rsid w:val="00A07068"/>
    <w:rsid w:val="00A070F1"/>
    <w:rsid w:val="00A070F5"/>
    <w:rsid w:val="00A07514"/>
    <w:rsid w:val="00A075B9"/>
    <w:rsid w:val="00A076CC"/>
    <w:rsid w:val="00A07709"/>
    <w:rsid w:val="00A07B52"/>
    <w:rsid w:val="00A07BE3"/>
    <w:rsid w:val="00A07E44"/>
    <w:rsid w:val="00A10640"/>
    <w:rsid w:val="00A106F8"/>
    <w:rsid w:val="00A10A75"/>
    <w:rsid w:val="00A10C3C"/>
    <w:rsid w:val="00A10FE2"/>
    <w:rsid w:val="00A11366"/>
    <w:rsid w:val="00A1165C"/>
    <w:rsid w:val="00A11D38"/>
    <w:rsid w:val="00A11DD6"/>
    <w:rsid w:val="00A12351"/>
    <w:rsid w:val="00A125D6"/>
    <w:rsid w:val="00A12BBC"/>
    <w:rsid w:val="00A12FFC"/>
    <w:rsid w:val="00A13593"/>
    <w:rsid w:val="00A135A8"/>
    <w:rsid w:val="00A13A9B"/>
    <w:rsid w:val="00A14441"/>
    <w:rsid w:val="00A148D2"/>
    <w:rsid w:val="00A14A77"/>
    <w:rsid w:val="00A14A94"/>
    <w:rsid w:val="00A14BF3"/>
    <w:rsid w:val="00A14E53"/>
    <w:rsid w:val="00A14EAF"/>
    <w:rsid w:val="00A151E5"/>
    <w:rsid w:val="00A153D8"/>
    <w:rsid w:val="00A15461"/>
    <w:rsid w:val="00A15544"/>
    <w:rsid w:val="00A15580"/>
    <w:rsid w:val="00A158C4"/>
    <w:rsid w:val="00A15D0B"/>
    <w:rsid w:val="00A1604A"/>
    <w:rsid w:val="00A16449"/>
    <w:rsid w:val="00A16B9E"/>
    <w:rsid w:val="00A16CE0"/>
    <w:rsid w:val="00A16FEF"/>
    <w:rsid w:val="00A172D6"/>
    <w:rsid w:val="00A174C5"/>
    <w:rsid w:val="00A17791"/>
    <w:rsid w:val="00A17873"/>
    <w:rsid w:val="00A17E2D"/>
    <w:rsid w:val="00A17EAD"/>
    <w:rsid w:val="00A20035"/>
    <w:rsid w:val="00A202E2"/>
    <w:rsid w:val="00A2031A"/>
    <w:rsid w:val="00A20BD0"/>
    <w:rsid w:val="00A20D78"/>
    <w:rsid w:val="00A2136C"/>
    <w:rsid w:val="00A214FE"/>
    <w:rsid w:val="00A21C39"/>
    <w:rsid w:val="00A22A37"/>
    <w:rsid w:val="00A22BC0"/>
    <w:rsid w:val="00A22EFC"/>
    <w:rsid w:val="00A23492"/>
    <w:rsid w:val="00A2349A"/>
    <w:rsid w:val="00A23512"/>
    <w:rsid w:val="00A23B20"/>
    <w:rsid w:val="00A23F23"/>
    <w:rsid w:val="00A2409D"/>
    <w:rsid w:val="00A24698"/>
    <w:rsid w:val="00A2492F"/>
    <w:rsid w:val="00A25139"/>
    <w:rsid w:val="00A25F2C"/>
    <w:rsid w:val="00A26107"/>
    <w:rsid w:val="00A26389"/>
    <w:rsid w:val="00A264C8"/>
    <w:rsid w:val="00A26871"/>
    <w:rsid w:val="00A26ED4"/>
    <w:rsid w:val="00A2712B"/>
    <w:rsid w:val="00A27472"/>
    <w:rsid w:val="00A27A7D"/>
    <w:rsid w:val="00A27BFC"/>
    <w:rsid w:val="00A27C6D"/>
    <w:rsid w:val="00A3017E"/>
    <w:rsid w:val="00A30204"/>
    <w:rsid w:val="00A303B8"/>
    <w:rsid w:val="00A3076B"/>
    <w:rsid w:val="00A308B8"/>
    <w:rsid w:val="00A30A08"/>
    <w:rsid w:val="00A31A54"/>
    <w:rsid w:val="00A31B76"/>
    <w:rsid w:val="00A31D57"/>
    <w:rsid w:val="00A31E24"/>
    <w:rsid w:val="00A32421"/>
    <w:rsid w:val="00A32DF1"/>
    <w:rsid w:val="00A3316E"/>
    <w:rsid w:val="00A332B3"/>
    <w:rsid w:val="00A3330D"/>
    <w:rsid w:val="00A3331A"/>
    <w:rsid w:val="00A33CF9"/>
    <w:rsid w:val="00A34C10"/>
    <w:rsid w:val="00A35649"/>
    <w:rsid w:val="00A3568D"/>
    <w:rsid w:val="00A35838"/>
    <w:rsid w:val="00A35C31"/>
    <w:rsid w:val="00A3615D"/>
    <w:rsid w:val="00A361C3"/>
    <w:rsid w:val="00A3671D"/>
    <w:rsid w:val="00A3693B"/>
    <w:rsid w:val="00A37313"/>
    <w:rsid w:val="00A37352"/>
    <w:rsid w:val="00A37420"/>
    <w:rsid w:val="00A4000C"/>
    <w:rsid w:val="00A406E0"/>
    <w:rsid w:val="00A40750"/>
    <w:rsid w:val="00A411FA"/>
    <w:rsid w:val="00A412AE"/>
    <w:rsid w:val="00A4136D"/>
    <w:rsid w:val="00A414BB"/>
    <w:rsid w:val="00A41C9C"/>
    <w:rsid w:val="00A41F43"/>
    <w:rsid w:val="00A41F91"/>
    <w:rsid w:val="00A42F4C"/>
    <w:rsid w:val="00A42FCE"/>
    <w:rsid w:val="00A43133"/>
    <w:rsid w:val="00A43500"/>
    <w:rsid w:val="00A43A32"/>
    <w:rsid w:val="00A43A92"/>
    <w:rsid w:val="00A43CC8"/>
    <w:rsid w:val="00A43E30"/>
    <w:rsid w:val="00A440A2"/>
    <w:rsid w:val="00A44182"/>
    <w:rsid w:val="00A4454D"/>
    <w:rsid w:val="00A44EC1"/>
    <w:rsid w:val="00A4507A"/>
    <w:rsid w:val="00A4509F"/>
    <w:rsid w:val="00A454B3"/>
    <w:rsid w:val="00A4594C"/>
    <w:rsid w:val="00A45C9A"/>
    <w:rsid w:val="00A45D2D"/>
    <w:rsid w:val="00A45E52"/>
    <w:rsid w:val="00A46063"/>
    <w:rsid w:val="00A463E1"/>
    <w:rsid w:val="00A46652"/>
    <w:rsid w:val="00A46B7E"/>
    <w:rsid w:val="00A46D15"/>
    <w:rsid w:val="00A4713D"/>
    <w:rsid w:val="00A4733E"/>
    <w:rsid w:val="00A4750F"/>
    <w:rsid w:val="00A4792A"/>
    <w:rsid w:val="00A47936"/>
    <w:rsid w:val="00A47FCC"/>
    <w:rsid w:val="00A5014B"/>
    <w:rsid w:val="00A506E3"/>
    <w:rsid w:val="00A50708"/>
    <w:rsid w:val="00A508E4"/>
    <w:rsid w:val="00A50A94"/>
    <w:rsid w:val="00A50C96"/>
    <w:rsid w:val="00A50CA0"/>
    <w:rsid w:val="00A514B3"/>
    <w:rsid w:val="00A51529"/>
    <w:rsid w:val="00A51E80"/>
    <w:rsid w:val="00A520FB"/>
    <w:rsid w:val="00A523E8"/>
    <w:rsid w:val="00A52732"/>
    <w:rsid w:val="00A52B01"/>
    <w:rsid w:val="00A52BF2"/>
    <w:rsid w:val="00A52CDE"/>
    <w:rsid w:val="00A53000"/>
    <w:rsid w:val="00A531B7"/>
    <w:rsid w:val="00A5323B"/>
    <w:rsid w:val="00A538B9"/>
    <w:rsid w:val="00A5391B"/>
    <w:rsid w:val="00A53F4D"/>
    <w:rsid w:val="00A54488"/>
    <w:rsid w:val="00A545AD"/>
    <w:rsid w:val="00A546DF"/>
    <w:rsid w:val="00A54726"/>
    <w:rsid w:val="00A54AB2"/>
    <w:rsid w:val="00A54F0A"/>
    <w:rsid w:val="00A54FB4"/>
    <w:rsid w:val="00A55642"/>
    <w:rsid w:val="00A55699"/>
    <w:rsid w:val="00A5597B"/>
    <w:rsid w:val="00A55AC2"/>
    <w:rsid w:val="00A56213"/>
    <w:rsid w:val="00A56478"/>
    <w:rsid w:val="00A5647B"/>
    <w:rsid w:val="00A564E3"/>
    <w:rsid w:val="00A56737"/>
    <w:rsid w:val="00A5678A"/>
    <w:rsid w:val="00A568D8"/>
    <w:rsid w:val="00A56987"/>
    <w:rsid w:val="00A56AF3"/>
    <w:rsid w:val="00A56DE0"/>
    <w:rsid w:val="00A57763"/>
    <w:rsid w:val="00A57A7B"/>
    <w:rsid w:val="00A57D9C"/>
    <w:rsid w:val="00A57EB8"/>
    <w:rsid w:val="00A60529"/>
    <w:rsid w:val="00A60660"/>
    <w:rsid w:val="00A606B2"/>
    <w:rsid w:val="00A60E3A"/>
    <w:rsid w:val="00A612DF"/>
    <w:rsid w:val="00A6147F"/>
    <w:rsid w:val="00A615D5"/>
    <w:rsid w:val="00A619EF"/>
    <w:rsid w:val="00A620E8"/>
    <w:rsid w:val="00A62133"/>
    <w:rsid w:val="00A625DC"/>
    <w:rsid w:val="00A62870"/>
    <w:rsid w:val="00A62C62"/>
    <w:rsid w:val="00A630BA"/>
    <w:rsid w:val="00A6339D"/>
    <w:rsid w:val="00A637BD"/>
    <w:rsid w:val="00A63C18"/>
    <w:rsid w:val="00A63FAF"/>
    <w:rsid w:val="00A6456E"/>
    <w:rsid w:val="00A64B04"/>
    <w:rsid w:val="00A64DA7"/>
    <w:rsid w:val="00A653A2"/>
    <w:rsid w:val="00A653AD"/>
    <w:rsid w:val="00A65C43"/>
    <w:rsid w:val="00A65D6E"/>
    <w:rsid w:val="00A662DC"/>
    <w:rsid w:val="00A6630D"/>
    <w:rsid w:val="00A66323"/>
    <w:rsid w:val="00A6640D"/>
    <w:rsid w:val="00A669A5"/>
    <w:rsid w:val="00A66D1E"/>
    <w:rsid w:val="00A6710C"/>
    <w:rsid w:val="00A6741B"/>
    <w:rsid w:val="00A67440"/>
    <w:rsid w:val="00A6750B"/>
    <w:rsid w:val="00A6791D"/>
    <w:rsid w:val="00A70299"/>
    <w:rsid w:val="00A702F9"/>
    <w:rsid w:val="00A70679"/>
    <w:rsid w:val="00A70692"/>
    <w:rsid w:val="00A7069F"/>
    <w:rsid w:val="00A71A87"/>
    <w:rsid w:val="00A71AC2"/>
    <w:rsid w:val="00A71F79"/>
    <w:rsid w:val="00A727E9"/>
    <w:rsid w:val="00A72828"/>
    <w:rsid w:val="00A7356D"/>
    <w:rsid w:val="00A73674"/>
    <w:rsid w:val="00A736B3"/>
    <w:rsid w:val="00A73A1C"/>
    <w:rsid w:val="00A7408C"/>
    <w:rsid w:val="00A74226"/>
    <w:rsid w:val="00A746E6"/>
    <w:rsid w:val="00A746EC"/>
    <w:rsid w:val="00A74ED3"/>
    <w:rsid w:val="00A751CE"/>
    <w:rsid w:val="00A7569E"/>
    <w:rsid w:val="00A756CE"/>
    <w:rsid w:val="00A757B0"/>
    <w:rsid w:val="00A75DFB"/>
    <w:rsid w:val="00A75E37"/>
    <w:rsid w:val="00A75FB0"/>
    <w:rsid w:val="00A7626E"/>
    <w:rsid w:val="00A76D05"/>
    <w:rsid w:val="00A76EB6"/>
    <w:rsid w:val="00A77210"/>
    <w:rsid w:val="00A772C0"/>
    <w:rsid w:val="00A77670"/>
    <w:rsid w:val="00A776A4"/>
    <w:rsid w:val="00A80298"/>
    <w:rsid w:val="00A80495"/>
    <w:rsid w:val="00A8049D"/>
    <w:rsid w:val="00A8056B"/>
    <w:rsid w:val="00A80891"/>
    <w:rsid w:val="00A80A58"/>
    <w:rsid w:val="00A80ACA"/>
    <w:rsid w:val="00A80CC3"/>
    <w:rsid w:val="00A81102"/>
    <w:rsid w:val="00A813E8"/>
    <w:rsid w:val="00A8169D"/>
    <w:rsid w:val="00A822C2"/>
    <w:rsid w:val="00A824C4"/>
    <w:rsid w:val="00A8269E"/>
    <w:rsid w:val="00A82990"/>
    <w:rsid w:val="00A82E4A"/>
    <w:rsid w:val="00A8311E"/>
    <w:rsid w:val="00A83340"/>
    <w:rsid w:val="00A837C9"/>
    <w:rsid w:val="00A83A2B"/>
    <w:rsid w:val="00A845BA"/>
    <w:rsid w:val="00A851E5"/>
    <w:rsid w:val="00A85248"/>
    <w:rsid w:val="00A854CB"/>
    <w:rsid w:val="00A85DC2"/>
    <w:rsid w:val="00A85E14"/>
    <w:rsid w:val="00A85F21"/>
    <w:rsid w:val="00A86097"/>
    <w:rsid w:val="00A8614E"/>
    <w:rsid w:val="00A86267"/>
    <w:rsid w:val="00A86DE0"/>
    <w:rsid w:val="00A86E01"/>
    <w:rsid w:val="00A9027F"/>
    <w:rsid w:val="00A90323"/>
    <w:rsid w:val="00A90401"/>
    <w:rsid w:val="00A905A9"/>
    <w:rsid w:val="00A905CB"/>
    <w:rsid w:val="00A908CD"/>
    <w:rsid w:val="00A91001"/>
    <w:rsid w:val="00A921E3"/>
    <w:rsid w:val="00A922BD"/>
    <w:rsid w:val="00A9261D"/>
    <w:rsid w:val="00A926C5"/>
    <w:rsid w:val="00A928AE"/>
    <w:rsid w:val="00A92989"/>
    <w:rsid w:val="00A92D8F"/>
    <w:rsid w:val="00A93249"/>
    <w:rsid w:val="00A933B3"/>
    <w:rsid w:val="00A935F0"/>
    <w:rsid w:val="00A93974"/>
    <w:rsid w:val="00A93BA7"/>
    <w:rsid w:val="00A93BCC"/>
    <w:rsid w:val="00A93E92"/>
    <w:rsid w:val="00A94D20"/>
    <w:rsid w:val="00A95151"/>
    <w:rsid w:val="00A953DB"/>
    <w:rsid w:val="00A95AF4"/>
    <w:rsid w:val="00A962BD"/>
    <w:rsid w:val="00A96629"/>
    <w:rsid w:val="00A968EA"/>
    <w:rsid w:val="00A96A32"/>
    <w:rsid w:val="00A96C52"/>
    <w:rsid w:val="00A96C7E"/>
    <w:rsid w:val="00A9708A"/>
    <w:rsid w:val="00A97111"/>
    <w:rsid w:val="00A974A7"/>
    <w:rsid w:val="00A9752B"/>
    <w:rsid w:val="00A97867"/>
    <w:rsid w:val="00A97B17"/>
    <w:rsid w:val="00A97CC5"/>
    <w:rsid w:val="00AA0267"/>
    <w:rsid w:val="00AA068C"/>
    <w:rsid w:val="00AA0BF5"/>
    <w:rsid w:val="00AA0C64"/>
    <w:rsid w:val="00AA1627"/>
    <w:rsid w:val="00AA1672"/>
    <w:rsid w:val="00AA16DF"/>
    <w:rsid w:val="00AA18A1"/>
    <w:rsid w:val="00AA1A2E"/>
    <w:rsid w:val="00AA1B55"/>
    <w:rsid w:val="00AA2461"/>
    <w:rsid w:val="00AA252D"/>
    <w:rsid w:val="00AA2865"/>
    <w:rsid w:val="00AA28FA"/>
    <w:rsid w:val="00AA2A61"/>
    <w:rsid w:val="00AA2A95"/>
    <w:rsid w:val="00AA3233"/>
    <w:rsid w:val="00AA3A9B"/>
    <w:rsid w:val="00AA3BF1"/>
    <w:rsid w:val="00AA3EFE"/>
    <w:rsid w:val="00AA41BB"/>
    <w:rsid w:val="00AA482B"/>
    <w:rsid w:val="00AA4959"/>
    <w:rsid w:val="00AA49CE"/>
    <w:rsid w:val="00AA50D0"/>
    <w:rsid w:val="00AA5410"/>
    <w:rsid w:val="00AA5A7E"/>
    <w:rsid w:val="00AA5A9E"/>
    <w:rsid w:val="00AA5E11"/>
    <w:rsid w:val="00AA60F0"/>
    <w:rsid w:val="00AA65E9"/>
    <w:rsid w:val="00AA6B28"/>
    <w:rsid w:val="00AA6B7F"/>
    <w:rsid w:val="00AA75E7"/>
    <w:rsid w:val="00AB0424"/>
    <w:rsid w:val="00AB05EA"/>
    <w:rsid w:val="00AB1014"/>
    <w:rsid w:val="00AB110D"/>
    <w:rsid w:val="00AB128C"/>
    <w:rsid w:val="00AB1DAB"/>
    <w:rsid w:val="00AB21C6"/>
    <w:rsid w:val="00AB270E"/>
    <w:rsid w:val="00AB283D"/>
    <w:rsid w:val="00AB2841"/>
    <w:rsid w:val="00AB2914"/>
    <w:rsid w:val="00AB2ADE"/>
    <w:rsid w:val="00AB2B50"/>
    <w:rsid w:val="00AB2B6E"/>
    <w:rsid w:val="00AB2D75"/>
    <w:rsid w:val="00AB37C9"/>
    <w:rsid w:val="00AB3828"/>
    <w:rsid w:val="00AB3D5E"/>
    <w:rsid w:val="00AB3F55"/>
    <w:rsid w:val="00AB4431"/>
    <w:rsid w:val="00AB4898"/>
    <w:rsid w:val="00AB49B8"/>
    <w:rsid w:val="00AB4A2B"/>
    <w:rsid w:val="00AB5014"/>
    <w:rsid w:val="00AB5243"/>
    <w:rsid w:val="00AB52A9"/>
    <w:rsid w:val="00AB55A2"/>
    <w:rsid w:val="00AB5705"/>
    <w:rsid w:val="00AB5898"/>
    <w:rsid w:val="00AB5C98"/>
    <w:rsid w:val="00AB5CA1"/>
    <w:rsid w:val="00AB68ED"/>
    <w:rsid w:val="00AB6E4E"/>
    <w:rsid w:val="00AB6F67"/>
    <w:rsid w:val="00AB7730"/>
    <w:rsid w:val="00AB78DF"/>
    <w:rsid w:val="00AB7ADB"/>
    <w:rsid w:val="00AB7BED"/>
    <w:rsid w:val="00AB7BF7"/>
    <w:rsid w:val="00AB7E7D"/>
    <w:rsid w:val="00AC0078"/>
    <w:rsid w:val="00AC0285"/>
    <w:rsid w:val="00AC02A0"/>
    <w:rsid w:val="00AC0531"/>
    <w:rsid w:val="00AC08F5"/>
    <w:rsid w:val="00AC09F0"/>
    <w:rsid w:val="00AC0A93"/>
    <w:rsid w:val="00AC180D"/>
    <w:rsid w:val="00AC1891"/>
    <w:rsid w:val="00AC1CF8"/>
    <w:rsid w:val="00AC2080"/>
    <w:rsid w:val="00AC221B"/>
    <w:rsid w:val="00AC2358"/>
    <w:rsid w:val="00AC2B24"/>
    <w:rsid w:val="00AC2CD6"/>
    <w:rsid w:val="00AC30FC"/>
    <w:rsid w:val="00AC3C53"/>
    <w:rsid w:val="00AC49A0"/>
    <w:rsid w:val="00AC4BB4"/>
    <w:rsid w:val="00AC4BE2"/>
    <w:rsid w:val="00AC4BE9"/>
    <w:rsid w:val="00AC4CEA"/>
    <w:rsid w:val="00AC4ED4"/>
    <w:rsid w:val="00AC5B49"/>
    <w:rsid w:val="00AC5B8A"/>
    <w:rsid w:val="00AC5BF1"/>
    <w:rsid w:val="00AC5CD9"/>
    <w:rsid w:val="00AC5EED"/>
    <w:rsid w:val="00AC5FD6"/>
    <w:rsid w:val="00AC6695"/>
    <w:rsid w:val="00AC6A72"/>
    <w:rsid w:val="00AC6A97"/>
    <w:rsid w:val="00AC6DA7"/>
    <w:rsid w:val="00AC6F7D"/>
    <w:rsid w:val="00AC703D"/>
    <w:rsid w:val="00AC720A"/>
    <w:rsid w:val="00AC74DC"/>
    <w:rsid w:val="00AC7874"/>
    <w:rsid w:val="00AC78D0"/>
    <w:rsid w:val="00AC7985"/>
    <w:rsid w:val="00AC7DA1"/>
    <w:rsid w:val="00AD0054"/>
    <w:rsid w:val="00AD01D3"/>
    <w:rsid w:val="00AD0907"/>
    <w:rsid w:val="00AD0BC9"/>
    <w:rsid w:val="00AD0CCB"/>
    <w:rsid w:val="00AD0F0C"/>
    <w:rsid w:val="00AD1FEE"/>
    <w:rsid w:val="00AD3590"/>
    <w:rsid w:val="00AD38F6"/>
    <w:rsid w:val="00AD3C22"/>
    <w:rsid w:val="00AD3CB0"/>
    <w:rsid w:val="00AD4257"/>
    <w:rsid w:val="00AD4350"/>
    <w:rsid w:val="00AD4B59"/>
    <w:rsid w:val="00AD595F"/>
    <w:rsid w:val="00AD5986"/>
    <w:rsid w:val="00AD6097"/>
    <w:rsid w:val="00AD60EA"/>
    <w:rsid w:val="00AD6280"/>
    <w:rsid w:val="00AD67D4"/>
    <w:rsid w:val="00AD6EA7"/>
    <w:rsid w:val="00AD6F8D"/>
    <w:rsid w:val="00AD76B1"/>
    <w:rsid w:val="00AD7C1B"/>
    <w:rsid w:val="00AE03BB"/>
    <w:rsid w:val="00AE046D"/>
    <w:rsid w:val="00AE081C"/>
    <w:rsid w:val="00AE082C"/>
    <w:rsid w:val="00AE090F"/>
    <w:rsid w:val="00AE0B65"/>
    <w:rsid w:val="00AE0E4E"/>
    <w:rsid w:val="00AE0EFB"/>
    <w:rsid w:val="00AE1083"/>
    <w:rsid w:val="00AE1383"/>
    <w:rsid w:val="00AE17E5"/>
    <w:rsid w:val="00AE1ED5"/>
    <w:rsid w:val="00AE295B"/>
    <w:rsid w:val="00AE2B32"/>
    <w:rsid w:val="00AE2BBC"/>
    <w:rsid w:val="00AE3167"/>
    <w:rsid w:val="00AE31D1"/>
    <w:rsid w:val="00AE4331"/>
    <w:rsid w:val="00AE49DD"/>
    <w:rsid w:val="00AE4E52"/>
    <w:rsid w:val="00AE4EFD"/>
    <w:rsid w:val="00AE508B"/>
    <w:rsid w:val="00AE5398"/>
    <w:rsid w:val="00AE541A"/>
    <w:rsid w:val="00AE55F3"/>
    <w:rsid w:val="00AE583E"/>
    <w:rsid w:val="00AE5C87"/>
    <w:rsid w:val="00AE5E8D"/>
    <w:rsid w:val="00AE614D"/>
    <w:rsid w:val="00AE63F8"/>
    <w:rsid w:val="00AE641A"/>
    <w:rsid w:val="00AE651D"/>
    <w:rsid w:val="00AE6A7B"/>
    <w:rsid w:val="00AE6E9A"/>
    <w:rsid w:val="00AE6ED4"/>
    <w:rsid w:val="00AE7849"/>
    <w:rsid w:val="00AE7977"/>
    <w:rsid w:val="00AE7DA0"/>
    <w:rsid w:val="00AE7F15"/>
    <w:rsid w:val="00AE7F1E"/>
    <w:rsid w:val="00AF021A"/>
    <w:rsid w:val="00AF02D2"/>
    <w:rsid w:val="00AF0556"/>
    <w:rsid w:val="00AF098C"/>
    <w:rsid w:val="00AF0AB9"/>
    <w:rsid w:val="00AF0AE4"/>
    <w:rsid w:val="00AF0C1C"/>
    <w:rsid w:val="00AF0E5B"/>
    <w:rsid w:val="00AF118E"/>
    <w:rsid w:val="00AF1254"/>
    <w:rsid w:val="00AF1BE6"/>
    <w:rsid w:val="00AF1CB4"/>
    <w:rsid w:val="00AF1F10"/>
    <w:rsid w:val="00AF21FF"/>
    <w:rsid w:val="00AF24F4"/>
    <w:rsid w:val="00AF280D"/>
    <w:rsid w:val="00AF2FF7"/>
    <w:rsid w:val="00AF3008"/>
    <w:rsid w:val="00AF30BB"/>
    <w:rsid w:val="00AF3274"/>
    <w:rsid w:val="00AF39DE"/>
    <w:rsid w:val="00AF3D39"/>
    <w:rsid w:val="00AF3DB1"/>
    <w:rsid w:val="00AF497B"/>
    <w:rsid w:val="00AF4B1C"/>
    <w:rsid w:val="00AF4C13"/>
    <w:rsid w:val="00AF4E18"/>
    <w:rsid w:val="00AF50D1"/>
    <w:rsid w:val="00AF5359"/>
    <w:rsid w:val="00AF567F"/>
    <w:rsid w:val="00AF582F"/>
    <w:rsid w:val="00AF5BD0"/>
    <w:rsid w:val="00AF5C3C"/>
    <w:rsid w:val="00AF63FE"/>
    <w:rsid w:val="00AF645C"/>
    <w:rsid w:val="00AF6679"/>
    <w:rsid w:val="00AF67C7"/>
    <w:rsid w:val="00AF6A4C"/>
    <w:rsid w:val="00AF6B1D"/>
    <w:rsid w:val="00AF703D"/>
    <w:rsid w:val="00AF71EC"/>
    <w:rsid w:val="00AF7220"/>
    <w:rsid w:val="00AF7334"/>
    <w:rsid w:val="00AF7620"/>
    <w:rsid w:val="00B002BE"/>
    <w:rsid w:val="00B0043B"/>
    <w:rsid w:val="00B00857"/>
    <w:rsid w:val="00B00B03"/>
    <w:rsid w:val="00B00CAB"/>
    <w:rsid w:val="00B00E55"/>
    <w:rsid w:val="00B01537"/>
    <w:rsid w:val="00B01808"/>
    <w:rsid w:val="00B01CE4"/>
    <w:rsid w:val="00B01D90"/>
    <w:rsid w:val="00B02183"/>
    <w:rsid w:val="00B025D6"/>
    <w:rsid w:val="00B02D79"/>
    <w:rsid w:val="00B03BD4"/>
    <w:rsid w:val="00B04035"/>
    <w:rsid w:val="00B0413E"/>
    <w:rsid w:val="00B04155"/>
    <w:rsid w:val="00B043B5"/>
    <w:rsid w:val="00B047C2"/>
    <w:rsid w:val="00B0495D"/>
    <w:rsid w:val="00B04A9B"/>
    <w:rsid w:val="00B04CB1"/>
    <w:rsid w:val="00B04CFE"/>
    <w:rsid w:val="00B05104"/>
    <w:rsid w:val="00B0527A"/>
    <w:rsid w:val="00B0560A"/>
    <w:rsid w:val="00B05635"/>
    <w:rsid w:val="00B056E9"/>
    <w:rsid w:val="00B05B66"/>
    <w:rsid w:val="00B05FCD"/>
    <w:rsid w:val="00B06108"/>
    <w:rsid w:val="00B063E0"/>
    <w:rsid w:val="00B06AD8"/>
    <w:rsid w:val="00B06DDC"/>
    <w:rsid w:val="00B07620"/>
    <w:rsid w:val="00B07AEC"/>
    <w:rsid w:val="00B10059"/>
    <w:rsid w:val="00B1047E"/>
    <w:rsid w:val="00B10703"/>
    <w:rsid w:val="00B10818"/>
    <w:rsid w:val="00B108D1"/>
    <w:rsid w:val="00B10EB3"/>
    <w:rsid w:val="00B11383"/>
    <w:rsid w:val="00B1163B"/>
    <w:rsid w:val="00B11B01"/>
    <w:rsid w:val="00B120FC"/>
    <w:rsid w:val="00B12474"/>
    <w:rsid w:val="00B1278D"/>
    <w:rsid w:val="00B12C30"/>
    <w:rsid w:val="00B12D42"/>
    <w:rsid w:val="00B12D52"/>
    <w:rsid w:val="00B1314F"/>
    <w:rsid w:val="00B13369"/>
    <w:rsid w:val="00B13397"/>
    <w:rsid w:val="00B13545"/>
    <w:rsid w:val="00B13CE7"/>
    <w:rsid w:val="00B1417E"/>
    <w:rsid w:val="00B14543"/>
    <w:rsid w:val="00B1458C"/>
    <w:rsid w:val="00B14989"/>
    <w:rsid w:val="00B14F51"/>
    <w:rsid w:val="00B150C8"/>
    <w:rsid w:val="00B151CF"/>
    <w:rsid w:val="00B157E2"/>
    <w:rsid w:val="00B1592B"/>
    <w:rsid w:val="00B159C3"/>
    <w:rsid w:val="00B15ECC"/>
    <w:rsid w:val="00B16281"/>
    <w:rsid w:val="00B167D7"/>
    <w:rsid w:val="00B167E2"/>
    <w:rsid w:val="00B16C27"/>
    <w:rsid w:val="00B17179"/>
    <w:rsid w:val="00B176AA"/>
    <w:rsid w:val="00B17715"/>
    <w:rsid w:val="00B1773B"/>
    <w:rsid w:val="00B17825"/>
    <w:rsid w:val="00B17C33"/>
    <w:rsid w:val="00B17C55"/>
    <w:rsid w:val="00B17CEA"/>
    <w:rsid w:val="00B17E53"/>
    <w:rsid w:val="00B20044"/>
    <w:rsid w:val="00B20160"/>
    <w:rsid w:val="00B206C3"/>
    <w:rsid w:val="00B20807"/>
    <w:rsid w:val="00B21044"/>
    <w:rsid w:val="00B21321"/>
    <w:rsid w:val="00B220F4"/>
    <w:rsid w:val="00B2229E"/>
    <w:rsid w:val="00B225AB"/>
    <w:rsid w:val="00B2285E"/>
    <w:rsid w:val="00B23302"/>
    <w:rsid w:val="00B234B0"/>
    <w:rsid w:val="00B235E7"/>
    <w:rsid w:val="00B2369D"/>
    <w:rsid w:val="00B2371D"/>
    <w:rsid w:val="00B2412E"/>
    <w:rsid w:val="00B247AD"/>
    <w:rsid w:val="00B24FF3"/>
    <w:rsid w:val="00B2509E"/>
    <w:rsid w:val="00B25434"/>
    <w:rsid w:val="00B25D05"/>
    <w:rsid w:val="00B26362"/>
    <w:rsid w:val="00B26530"/>
    <w:rsid w:val="00B26622"/>
    <w:rsid w:val="00B26669"/>
    <w:rsid w:val="00B26861"/>
    <w:rsid w:val="00B26B85"/>
    <w:rsid w:val="00B2708A"/>
    <w:rsid w:val="00B2727E"/>
    <w:rsid w:val="00B2754E"/>
    <w:rsid w:val="00B276B4"/>
    <w:rsid w:val="00B27B90"/>
    <w:rsid w:val="00B27C52"/>
    <w:rsid w:val="00B27F87"/>
    <w:rsid w:val="00B303F6"/>
    <w:rsid w:val="00B304CE"/>
    <w:rsid w:val="00B307B7"/>
    <w:rsid w:val="00B30A74"/>
    <w:rsid w:val="00B3158C"/>
    <w:rsid w:val="00B3159A"/>
    <w:rsid w:val="00B3175C"/>
    <w:rsid w:val="00B31819"/>
    <w:rsid w:val="00B31C7B"/>
    <w:rsid w:val="00B31DEB"/>
    <w:rsid w:val="00B3250E"/>
    <w:rsid w:val="00B32C5E"/>
    <w:rsid w:val="00B33302"/>
    <w:rsid w:val="00B33514"/>
    <w:rsid w:val="00B344A8"/>
    <w:rsid w:val="00B347D4"/>
    <w:rsid w:val="00B34846"/>
    <w:rsid w:val="00B34F12"/>
    <w:rsid w:val="00B35486"/>
    <w:rsid w:val="00B357A7"/>
    <w:rsid w:val="00B35B3B"/>
    <w:rsid w:val="00B36028"/>
    <w:rsid w:val="00B3640D"/>
    <w:rsid w:val="00B364A2"/>
    <w:rsid w:val="00B36764"/>
    <w:rsid w:val="00B3677B"/>
    <w:rsid w:val="00B36807"/>
    <w:rsid w:val="00B36FF8"/>
    <w:rsid w:val="00B371BC"/>
    <w:rsid w:val="00B371E5"/>
    <w:rsid w:val="00B37756"/>
    <w:rsid w:val="00B37757"/>
    <w:rsid w:val="00B37AB7"/>
    <w:rsid w:val="00B37B84"/>
    <w:rsid w:val="00B37D74"/>
    <w:rsid w:val="00B40064"/>
    <w:rsid w:val="00B40260"/>
    <w:rsid w:val="00B4071E"/>
    <w:rsid w:val="00B408F8"/>
    <w:rsid w:val="00B409CF"/>
    <w:rsid w:val="00B40C80"/>
    <w:rsid w:val="00B41957"/>
    <w:rsid w:val="00B41A85"/>
    <w:rsid w:val="00B41AB4"/>
    <w:rsid w:val="00B41CE1"/>
    <w:rsid w:val="00B41F7F"/>
    <w:rsid w:val="00B42A2F"/>
    <w:rsid w:val="00B42E6A"/>
    <w:rsid w:val="00B42EA4"/>
    <w:rsid w:val="00B43654"/>
    <w:rsid w:val="00B436E1"/>
    <w:rsid w:val="00B43F68"/>
    <w:rsid w:val="00B44316"/>
    <w:rsid w:val="00B44F42"/>
    <w:rsid w:val="00B44FAF"/>
    <w:rsid w:val="00B4530D"/>
    <w:rsid w:val="00B4539F"/>
    <w:rsid w:val="00B45D5C"/>
    <w:rsid w:val="00B45F5F"/>
    <w:rsid w:val="00B460C6"/>
    <w:rsid w:val="00B4647A"/>
    <w:rsid w:val="00B4694C"/>
    <w:rsid w:val="00B471E5"/>
    <w:rsid w:val="00B4728D"/>
    <w:rsid w:val="00B4733F"/>
    <w:rsid w:val="00B4763A"/>
    <w:rsid w:val="00B47AA3"/>
    <w:rsid w:val="00B47DE7"/>
    <w:rsid w:val="00B47E18"/>
    <w:rsid w:val="00B50295"/>
    <w:rsid w:val="00B504B4"/>
    <w:rsid w:val="00B50974"/>
    <w:rsid w:val="00B50A44"/>
    <w:rsid w:val="00B51036"/>
    <w:rsid w:val="00B5111F"/>
    <w:rsid w:val="00B51260"/>
    <w:rsid w:val="00B51920"/>
    <w:rsid w:val="00B51C19"/>
    <w:rsid w:val="00B52099"/>
    <w:rsid w:val="00B5231A"/>
    <w:rsid w:val="00B52379"/>
    <w:rsid w:val="00B52645"/>
    <w:rsid w:val="00B52C03"/>
    <w:rsid w:val="00B52C39"/>
    <w:rsid w:val="00B52D1B"/>
    <w:rsid w:val="00B52EF4"/>
    <w:rsid w:val="00B531FF"/>
    <w:rsid w:val="00B534F0"/>
    <w:rsid w:val="00B539E7"/>
    <w:rsid w:val="00B53AFA"/>
    <w:rsid w:val="00B53B81"/>
    <w:rsid w:val="00B53BA4"/>
    <w:rsid w:val="00B53D77"/>
    <w:rsid w:val="00B53E83"/>
    <w:rsid w:val="00B53EEA"/>
    <w:rsid w:val="00B5408D"/>
    <w:rsid w:val="00B5412F"/>
    <w:rsid w:val="00B54880"/>
    <w:rsid w:val="00B549FC"/>
    <w:rsid w:val="00B54A4C"/>
    <w:rsid w:val="00B54B0A"/>
    <w:rsid w:val="00B54ED9"/>
    <w:rsid w:val="00B55524"/>
    <w:rsid w:val="00B56465"/>
    <w:rsid w:val="00B567F5"/>
    <w:rsid w:val="00B571D6"/>
    <w:rsid w:val="00B573F8"/>
    <w:rsid w:val="00B57483"/>
    <w:rsid w:val="00B575BF"/>
    <w:rsid w:val="00B57C90"/>
    <w:rsid w:val="00B57D37"/>
    <w:rsid w:val="00B608AC"/>
    <w:rsid w:val="00B60A3A"/>
    <w:rsid w:val="00B60B08"/>
    <w:rsid w:val="00B60BEA"/>
    <w:rsid w:val="00B60F6C"/>
    <w:rsid w:val="00B612EA"/>
    <w:rsid w:val="00B61819"/>
    <w:rsid w:val="00B61835"/>
    <w:rsid w:val="00B61B62"/>
    <w:rsid w:val="00B61C66"/>
    <w:rsid w:val="00B6204B"/>
    <w:rsid w:val="00B6222D"/>
    <w:rsid w:val="00B62458"/>
    <w:rsid w:val="00B62604"/>
    <w:rsid w:val="00B62DF2"/>
    <w:rsid w:val="00B631BC"/>
    <w:rsid w:val="00B63409"/>
    <w:rsid w:val="00B6363C"/>
    <w:rsid w:val="00B63E06"/>
    <w:rsid w:val="00B64025"/>
    <w:rsid w:val="00B647FD"/>
    <w:rsid w:val="00B64BCE"/>
    <w:rsid w:val="00B6509E"/>
    <w:rsid w:val="00B65104"/>
    <w:rsid w:val="00B65209"/>
    <w:rsid w:val="00B6524B"/>
    <w:rsid w:val="00B65389"/>
    <w:rsid w:val="00B65C83"/>
    <w:rsid w:val="00B65DCB"/>
    <w:rsid w:val="00B6610E"/>
    <w:rsid w:val="00B66351"/>
    <w:rsid w:val="00B665B9"/>
    <w:rsid w:val="00B66A87"/>
    <w:rsid w:val="00B66F69"/>
    <w:rsid w:val="00B6782C"/>
    <w:rsid w:val="00B679A3"/>
    <w:rsid w:val="00B67B0D"/>
    <w:rsid w:val="00B700FA"/>
    <w:rsid w:val="00B709CA"/>
    <w:rsid w:val="00B70DBE"/>
    <w:rsid w:val="00B70FAB"/>
    <w:rsid w:val="00B712D0"/>
    <w:rsid w:val="00B716FD"/>
    <w:rsid w:val="00B72023"/>
    <w:rsid w:val="00B7229B"/>
    <w:rsid w:val="00B72366"/>
    <w:rsid w:val="00B72B3E"/>
    <w:rsid w:val="00B7347B"/>
    <w:rsid w:val="00B736EC"/>
    <w:rsid w:val="00B73DC7"/>
    <w:rsid w:val="00B7404C"/>
    <w:rsid w:val="00B742AE"/>
    <w:rsid w:val="00B74D98"/>
    <w:rsid w:val="00B757E5"/>
    <w:rsid w:val="00B75A67"/>
    <w:rsid w:val="00B75AD7"/>
    <w:rsid w:val="00B75D12"/>
    <w:rsid w:val="00B75F5E"/>
    <w:rsid w:val="00B7625A"/>
    <w:rsid w:val="00B76655"/>
    <w:rsid w:val="00B76743"/>
    <w:rsid w:val="00B767C7"/>
    <w:rsid w:val="00B76E8A"/>
    <w:rsid w:val="00B76F4D"/>
    <w:rsid w:val="00B77806"/>
    <w:rsid w:val="00B779A4"/>
    <w:rsid w:val="00B77A8A"/>
    <w:rsid w:val="00B77CE5"/>
    <w:rsid w:val="00B77EBB"/>
    <w:rsid w:val="00B806CE"/>
    <w:rsid w:val="00B8086E"/>
    <w:rsid w:val="00B80CFD"/>
    <w:rsid w:val="00B80F59"/>
    <w:rsid w:val="00B8105F"/>
    <w:rsid w:val="00B81097"/>
    <w:rsid w:val="00B81EE3"/>
    <w:rsid w:val="00B81F38"/>
    <w:rsid w:val="00B81FEE"/>
    <w:rsid w:val="00B8208A"/>
    <w:rsid w:val="00B82120"/>
    <w:rsid w:val="00B82284"/>
    <w:rsid w:val="00B822CF"/>
    <w:rsid w:val="00B827DB"/>
    <w:rsid w:val="00B82D13"/>
    <w:rsid w:val="00B82F9D"/>
    <w:rsid w:val="00B830CB"/>
    <w:rsid w:val="00B83AC9"/>
    <w:rsid w:val="00B83B09"/>
    <w:rsid w:val="00B83B62"/>
    <w:rsid w:val="00B83F9F"/>
    <w:rsid w:val="00B84414"/>
    <w:rsid w:val="00B84A79"/>
    <w:rsid w:val="00B84AD6"/>
    <w:rsid w:val="00B84C10"/>
    <w:rsid w:val="00B8535F"/>
    <w:rsid w:val="00B8557F"/>
    <w:rsid w:val="00B8597C"/>
    <w:rsid w:val="00B85FA7"/>
    <w:rsid w:val="00B869D2"/>
    <w:rsid w:val="00B86DD7"/>
    <w:rsid w:val="00B86E9D"/>
    <w:rsid w:val="00B87775"/>
    <w:rsid w:val="00B8777A"/>
    <w:rsid w:val="00B878CD"/>
    <w:rsid w:val="00B87AB8"/>
    <w:rsid w:val="00B87D70"/>
    <w:rsid w:val="00B87F14"/>
    <w:rsid w:val="00B90B6E"/>
    <w:rsid w:val="00B917D8"/>
    <w:rsid w:val="00B91A89"/>
    <w:rsid w:val="00B91CB1"/>
    <w:rsid w:val="00B91E5D"/>
    <w:rsid w:val="00B91FAA"/>
    <w:rsid w:val="00B92175"/>
    <w:rsid w:val="00B92187"/>
    <w:rsid w:val="00B9249B"/>
    <w:rsid w:val="00B9257D"/>
    <w:rsid w:val="00B92686"/>
    <w:rsid w:val="00B92697"/>
    <w:rsid w:val="00B926EB"/>
    <w:rsid w:val="00B92A42"/>
    <w:rsid w:val="00B92AAA"/>
    <w:rsid w:val="00B92DE9"/>
    <w:rsid w:val="00B93002"/>
    <w:rsid w:val="00B93067"/>
    <w:rsid w:val="00B93B86"/>
    <w:rsid w:val="00B941D4"/>
    <w:rsid w:val="00B943D7"/>
    <w:rsid w:val="00B949C6"/>
    <w:rsid w:val="00B950BA"/>
    <w:rsid w:val="00B951FE"/>
    <w:rsid w:val="00B95280"/>
    <w:rsid w:val="00B952C7"/>
    <w:rsid w:val="00B9536C"/>
    <w:rsid w:val="00B95464"/>
    <w:rsid w:val="00B96B0C"/>
    <w:rsid w:val="00B96C91"/>
    <w:rsid w:val="00B97EF5"/>
    <w:rsid w:val="00BA0845"/>
    <w:rsid w:val="00BA08E0"/>
    <w:rsid w:val="00BA0B72"/>
    <w:rsid w:val="00BA0BF8"/>
    <w:rsid w:val="00BA0DEB"/>
    <w:rsid w:val="00BA138A"/>
    <w:rsid w:val="00BA173A"/>
    <w:rsid w:val="00BA1877"/>
    <w:rsid w:val="00BA1BF1"/>
    <w:rsid w:val="00BA1FFB"/>
    <w:rsid w:val="00BA26F9"/>
    <w:rsid w:val="00BA2B3F"/>
    <w:rsid w:val="00BA3276"/>
    <w:rsid w:val="00BA44EF"/>
    <w:rsid w:val="00BA489A"/>
    <w:rsid w:val="00BA4BA5"/>
    <w:rsid w:val="00BA4E45"/>
    <w:rsid w:val="00BA5160"/>
    <w:rsid w:val="00BA5518"/>
    <w:rsid w:val="00BA5817"/>
    <w:rsid w:val="00BA5886"/>
    <w:rsid w:val="00BA59FB"/>
    <w:rsid w:val="00BA5D61"/>
    <w:rsid w:val="00BA6789"/>
    <w:rsid w:val="00BA6873"/>
    <w:rsid w:val="00BA74A2"/>
    <w:rsid w:val="00BA7A36"/>
    <w:rsid w:val="00BA7ADE"/>
    <w:rsid w:val="00BA7E4F"/>
    <w:rsid w:val="00BA7F7C"/>
    <w:rsid w:val="00BB0C93"/>
    <w:rsid w:val="00BB12AC"/>
    <w:rsid w:val="00BB14A0"/>
    <w:rsid w:val="00BB14A3"/>
    <w:rsid w:val="00BB151C"/>
    <w:rsid w:val="00BB168E"/>
    <w:rsid w:val="00BB194C"/>
    <w:rsid w:val="00BB1D77"/>
    <w:rsid w:val="00BB1E96"/>
    <w:rsid w:val="00BB2A5F"/>
    <w:rsid w:val="00BB320A"/>
    <w:rsid w:val="00BB3CAB"/>
    <w:rsid w:val="00BB43E2"/>
    <w:rsid w:val="00BB472D"/>
    <w:rsid w:val="00BB54AC"/>
    <w:rsid w:val="00BB56EA"/>
    <w:rsid w:val="00BB5FE7"/>
    <w:rsid w:val="00BB6062"/>
    <w:rsid w:val="00BB63B9"/>
    <w:rsid w:val="00BB6426"/>
    <w:rsid w:val="00BB67C9"/>
    <w:rsid w:val="00BB6C72"/>
    <w:rsid w:val="00BB6EC1"/>
    <w:rsid w:val="00BB6EF9"/>
    <w:rsid w:val="00BB6FAF"/>
    <w:rsid w:val="00BB746B"/>
    <w:rsid w:val="00BB74F8"/>
    <w:rsid w:val="00BC0448"/>
    <w:rsid w:val="00BC048D"/>
    <w:rsid w:val="00BC05AA"/>
    <w:rsid w:val="00BC0603"/>
    <w:rsid w:val="00BC075F"/>
    <w:rsid w:val="00BC11C4"/>
    <w:rsid w:val="00BC15A0"/>
    <w:rsid w:val="00BC15DE"/>
    <w:rsid w:val="00BC17C8"/>
    <w:rsid w:val="00BC18E0"/>
    <w:rsid w:val="00BC1D38"/>
    <w:rsid w:val="00BC2373"/>
    <w:rsid w:val="00BC2768"/>
    <w:rsid w:val="00BC2AFE"/>
    <w:rsid w:val="00BC2FA3"/>
    <w:rsid w:val="00BC3509"/>
    <w:rsid w:val="00BC3599"/>
    <w:rsid w:val="00BC369C"/>
    <w:rsid w:val="00BC3B66"/>
    <w:rsid w:val="00BC421A"/>
    <w:rsid w:val="00BC441B"/>
    <w:rsid w:val="00BC4972"/>
    <w:rsid w:val="00BC4C14"/>
    <w:rsid w:val="00BC4D55"/>
    <w:rsid w:val="00BC4E8E"/>
    <w:rsid w:val="00BC5127"/>
    <w:rsid w:val="00BC5266"/>
    <w:rsid w:val="00BC5579"/>
    <w:rsid w:val="00BC57A2"/>
    <w:rsid w:val="00BC5996"/>
    <w:rsid w:val="00BC5EFA"/>
    <w:rsid w:val="00BC60E7"/>
    <w:rsid w:val="00BC6897"/>
    <w:rsid w:val="00BC6F75"/>
    <w:rsid w:val="00BC702E"/>
    <w:rsid w:val="00BC71E1"/>
    <w:rsid w:val="00BC722A"/>
    <w:rsid w:val="00BC73D4"/>
    <w:rsid w:val="00BC7408"/>
    <w:rsid w:val="00BC7C80"/>
    <w:rsid w:val="00BD000F"/>
    <w:rsid w:val="00BD007F"/>
    <w:rsid w:val="00BD01CD"/>
    <w:rsid w:val="00BD09EE"/>
    <w:rsid w:val="00BD0F98"/>
    <w:rsid w:val="00BD111C"/>
    <w:rsid w:val="00BD1293"/>
    <w:rsid w:val="00BD1308"/>
    <w:rsid w:val="00BD136A"/>
    <w:rsid w:val="00BD14C6"/>
    <w:rsid w:val="00BD16A0"/>
    <w:rsid w:val="00BD1B6C"/>
    <w:rsid w:val="00BD1D8F"/>
    <w:rsid w:val="00BD1F5B"/>
    <w:rsid w:val="00BD2077"/>
    <w:rsid w:val="00BD2A16"/>
    <w:rsid w:val="00BD3279"/>
    <w:rsid w:val="00BD33D4"/>
    <w:rsid w:val="00BD3A2A"/>
    <w:rsid w:val="00BD40B1"/>
    <w:rsid w:val="00BD42F5"/>
    <w:rsid w:val="00BD43D6"/>
    <w:rsid w:val="00BD47BB"/>
    <w:rsid w:val="00BD4F13"/>
    <w:rsid w:val="00BD53E2"/>
    <w:rsid w:val="00BD5500"/>
    <w:rsid w:val="00BD5A82"/>
    <w:rsid w:val="00BD625B"/>
    <w:rsid w:val="00BD634F"/>
    <w:rsid w:val="00BD65CA"/>
    <w:rsid w:val="00BD6A2F"/>
    <w:rsid w:val="00BD6E99"/>
    <w:rsid w:val="00BD7DEB"/>
    <w:rsid w:val="00BDE9CC"/>
    <w:rsid w:val="00BE0440"/>
    <w:rsid w:val="00BE0619"/>
    <w:rsid w:val="00BE0652"/>
    <w:rsid w:val="00BE073A"/>
    <w:rsid w:val="00BE0D45"/>
    <w:rsid w:val="00BE16A3"/>
    <w:rsid w:val="00BE1A45"/>
    <w:rsid w:val="00BE1EE6"/>
    <w:rsid w:val="00BE209B"/>
    <w:rsid w:val="00BE22B6"/>
    <w:rsid w:val="00BE24A5"/>
    <w:rsid w:val="00BE2526"/>
    <w:rsid w:val="00BE26B5"/>
    <w:rsid w:val="00BE29BA"/>
    <w:rsid w:val="00BE2C42"/>
    <w:rsid w:val="00BE2F76"/>
    <w:rsid w:val="00BE3165"/>
    <w:rsid w:val="00BE3905"/>
    <w:rsid w:val="00BE3D7C"/>
    <w:rsid w:val="00BE3DB4"/>
    <w:rsid w:val="00BE4178"/>
    <w:rsid w:val="00BE440F"/>
    <w:rsid w:val="00BE444F"/>
    <w:rsid w:val="00BE47BF"/>
    <w:rsid w:val="00BE4BCA"/>
    <w:rsid w:val="00BE51F0"/>
    <w:rsid w:val="00BE5374"/>
    <w:rsid w:val="00BE560A"/>
    <w:rsid w:val="00BE57A1"/>
    <w:rsid w:val="00BE5C60"/>
    <w:rsid w:val="00BE627A"/>
    <w:rsid w:val="00BE653D"/>
    <w:rsid w:val="00BE685B"/>
    <w:rsid w:val="00BE6AAA"/>
    <w:rsid w:val="00BE6C3E"/>
    <w:rsid w:val="00BE6CE8"/>
    <w:rsid w:val="00BE70BB"/>
    <w:rsid w:val="00BE7615"/>
    <w:rsid w:val="00BE7795"/>
    <w:rsid w:val="00BE7850"/>
    <w:rsid w:val="00BE7CB6"/>
    <w:rsid w:val="00BE7F97"/>
    <w:rsid w:val="00BF0057"/>
    <w:rsid w:val="00BF0530"/>
    <w:rsid w:val="00BF10CE"/>
    <w:rsid w:val="00BF1107"/>
    <w:rsid w:val="00BF13A7"/>
    <w:rsid w:val="00BF14C6"/>
    <w:rsid w:val="00BF17D4"/>
    <w:rsid w:val="00BF1B65"/>
    <w:rsid w:val="00BF1C85"/>
    <w:rsid w:val="00BF2450"/>
    <w:rsid w:val="00BF2ED3"/>
    <w:rsid w:val="00BF30F6"/>
    <w:rsid w:val="00BF312A"/>
    <w:rsid w:val="00BF3682"/>
    <w:rsid w:val="00BF3921"/>
    <w:rsid w:val="00BF3FB6"/>
    <w:rsid w:val="00BF41C9"/>
    <w:rsid w:val="00BF4666"/>
    <w:rsid w:val="00BF470D"/>
    <w:rsid w:val="00BF4BF7"/>
    <w:rsid w:val="00BF5A39"/>
    <w:rsid w:val="00BF5F58"/>
    <w:rsid w:val="00BF6237"/>
    <w:rsid w:val="00BF6768"/>
    <w:rsid w:val="00BF68FC"/>
    <w:rsid w:val="00BF6C21"/>
    <w:rsid w:val="00BF6E3E"/>
    <w:rsid w:val="00BF7841"/>
    <w:rsid w:val="00BF7C54"/>
    <w:rsid w:val="00C000C1"/>
    <w:rsid w:val="00C00854"/>
    <w:rsid w:val="00C00AD4"/>
    <w:rsid w:val="00C00DF0"/>
    <w:rsid w:val="00C01D5F"/>
    <w:rsid w:val="00C01E84"/>
    <w:rsid w:val="00C01F18"/>
    <w:rsid w:val="00C01F44"/>
    <w:rsid w:val="00C021DB"/>
    <w:rsid w:val="00C026EF"/>
    <w:rsid w:val="00C027B7"/>
    <w:rsid w:val="00C02E5D"/>
    <w:rsid w:val="00C0344B"/>
    <w:rsid w:val="00C0345A"/>
    <w:rsid w:val="00C03511"/>
    <w:rsid w:val="00C04692"/>
    <w:rsid w:val="00C04C3A"/>
    <w:rsid w:val="00C04EB6"/>
    <w:rsid w:val="00C04F78"/>
    <w:rsid w:val="00C05700"/>
    <w:rsid w:val="00C05826"/>
    <w:rsid w:val="00C05D1D"/>
    <w:rsid w:val="00C05D46"/>
    <w:rsid w:val="00C05FED"/>
    <w:rsid w:val="00C06013"/>
    <w:rsid w:val="00C0647B"/>
    <w:rsid w:val="00C06730"/>
    <w:rsid w:val="00C06C54"/>
    <w:rsid w:val="00C07081"/>
    <w:rsid w:val="00C0728F"/>
    <w:rsid w:val="00C074CD"/>
    <w:rsid w:val="00C0793A"/>
    <w:rsid w:val="00C07975"/>
    <w:rsid w:val="00C07A05"/>
    <w:rsid w:val="00C07C66"/>
    <w:rsid w:val="00C10471"/>
    <w:rsid w:val="00C104B7"/>
    <w:rsid w:val="00C10617"/>
    <w:rsid w:val="00C107C3"/>
    <w:rsid w:val="00C10ED9"/>
    <w:rsid w:val="00C1110A"/>
    <w:rsid w:val="00C115AF"/>
    <w:rsid w:val="00C11708"/>
    <w:rsid w:val="00C122B3"/>
    <w:rsid w:val="00C126A8"/>
    <w:rsid w:val="00C12825"/>
    <w:rsid w:val="00C12C39"/>
    <w:rsid w:val="00C1346F"/>
    <w:rsid w:val="00C13520"/>
    <w:rsid w:val="00C13A73"/>
    <w:rsid w:val="00C13DE0"/>
    <w:rsid w:val="00C13E12"/>
    <w:rsid w:val="00C13EAE"/>
    <w:rsid w:val="00C13ED9"/>
    <w:rsid w:val="00C143CA"/>
    <w:rsid w:val="00C145CD"/>
    <w:rsid w:val="00C146CF"/>
    <w:rsid w:val="00C14AD1"/>
    <w:rsid w:val="00C14F9B"/>
    <w:rsid w:val="00C14FAB"/>
    <w:rsid w:val="00C15726"/>
    <w:rsid w:val="00C15864"/>
    <w:rsid w:val="00C15E84"/>
    <w:rsid w:val="00C15F42"/>
    <w:rsid w:val="00C1607B"/>
    <w:rsid w:val="00C1610B"/>
    <w:rsid w:val="00C1611D"/>
    <w:rsid w:val="00C164E3"/>
    <w:rsid w:val="00C1650E"/>
    <w:rsid w:val="00C16739"/>
    <w:rsid w:val="00C16947"/>
    <w:rsid w:val="00C16BD7"/>
    <w:rsid w:val="00C16C9A"/>
    <w:rsid w:val="00C16CDD"/>
    <w:rsid w:val="00C16CED"/>
    <w:rsid w:val="00C16E36"/>
    <w:rsid w:val="00C175E4"/>
    <w:rsid w:val="00C1765E"/>
    <w:rsid w:val="00C17A3E"/>
    <w:rsid w:val="00C17E28"/>
    <w:rsid w:val="00C17EF7"/>
    <w:rsid w:val="00C202A4"/>
    <w:rsid w:val="00C2034D"/>
    <w:rsid w:val="00C20562"/>
    <w:rsid w:val="00C20C4F"/>
    <w:rsid w:val="00C20F6C"/>
    <w:rsid w:val="00C21153"/>
    <w:rsid w:val="00C21357"/>
    <w:rsid w:val="00C214BC"/>
    <w:rsid w:val="00C222B4"/>
    <w:rsid w:val="00C22654"/>
    <w:rsid w:val="00C22955"/>
    <w:rsid w:val="00C22C55"/>
    <w:rsid w:val="00C22D3F"/>
    <w:rsid w:val="00C22E1E"/>
    <w:rsid w:val="00C22EC3"/>
    <w:rsid w:val="00C232E0"/>
    <w:rsid w:val="00C23527"/>
    <w:rsid w:val="00C23CF6"/>
    <w:rsid w:val="00C23E14"/>
    <w:rsid w:val="00C24B5E"/>
    <w:rsid w:val="00C24CD1"/>
    <w:rsid w:val="00C2534F"/>
    <w:rsid w:val="00C25359"/>
    <w:rsid w:val="00C263AF"/>
    <w:rsid w:val="00C26B93"/>
    <w:rsid w:val="00C26B97"/>
    <w:rsid w:val="00C26FA8"/>
    <w:rsid w:val="00C272C7"/>
    <w:rsid w:val="00C27450"/>
    <w:rsid w:val="00C2751A"/>
    <w:rsid w:val="00C27613"/>
    <w:rsid w:val="00C27759"/>
    <w:rsid w:val="00C27915"/>
    <w:rsid w:val="00C30058"/>
    <w:rsid w:val="00C304F4"/>
    <w:rsid w:val="00C30AD8"/>
    <w:rsid w:val="00C30B15"/>
    <w:rsid w:val="00C30B5C"/>
    <w:rsid w:val="00C30D0A"/>
    <w:rsid w:val="00C30D89"/>
    <w:rsid w:val="00C3115D"/>
    <w:rsid w:val="00C3135E"/>
    <w:rsid w:val="00C31367"/>
    <w:rsid w:val="00C317A2"/>
    <w:rsid w:val="00C31855"/>
    <w:rsid w:val="00C31A0B"/>
    <w:rsid w:val="00C321DE"/>
    <w:rsid w:val="00C326A7"/>
    <w:rsid w:val="00C32B96"/>
    <w:rsid w:val="00C32DEA"/>
    <w:rsid w:val="00C32E46"/>
    <w:rsid w:val="00C3310D"/>
    <w:rsid w:val="00C33448"/>
    <w:rsid w:val="00C33535"/>
    <w:rsid w:val="00C336D5"/>
    <w:rsid w:val="00C33A25"/>
    <w:rsid w:val="00C342BD"/>
    <w:rsid w:val="00C343FC"/>
    <w:rsid w:val="00C34A88"/>
    <w:rsid w:val="00C34BD7"/>
    <w:rsid w:val="00C34C5D"/>
    <w:rsid w:val="00C34C74"/>
    <w:rsid w:val="00C35240"/>
    <w:rsid w:val="00C36281"/>
    <w:rsid w:val="00C3651F"/>
    <w:rsid w:val="00C36633"/>
    <w:rsid w:val="00C3668A"/>
    <w:rsid w:val="00C36E9D"/>
    <w:rsid w:val="00C36F44"/>
    <w:rsid w:val="00C37471"/>
    <w:rsid w:val="00C37A0C"/>
    <w:rsid w:val="00C37BB6"/>
    <w:rsid w:val="00C37C2B"/>
    <w:rsid w:val="00C37C86"/>
    <w:rsid w:val="00C37E59"/>
    <w:rsid w:val="00C37E9C"/>
    <w:rsid w:val="00C4075A"/>
    <w:rsid w:val="00C4091C"/>
    <w:rsid w:val="00C40CB3"/>
    <w:rsid w:val="00C410B5"/>
    <w:rsid w:val="00C410FB"/>
    <w:rsid w:val="00C411B4"/>
    <w:rsid w:val="00C412B1"/>
    <w:rsid w:val="00C4185D"/>
    <w:rsid w:val="00C418B6"/>
    <w:rsid w:val="00C419C5"/>
    <w:rsid w:val="00C42138"/>
    <w:rsid w:val="00C426D3"/>
    <w:rsid w:val="00C42875"/>
    <w:rsid w:val="00C43737"/>
    <w:rsid w:val="00C4380F"/>
    <w:rsid w:val="00C43A07"/>
    <w:rsid w:val="00C43F16"/>
    <w:rsid w:val="00C43FFE"/>
    <w:rsid w:val="00C4415B"/>
    <w:rsid w:val="00C4422F"/>
    <w:rsid w:val="00C4436C"/>
    <w:rsid w:val="00C444BA"/>
    <w:rsid w:val="00C44A0B"/>
    <w:rsid w:val="00C44DD0"/>
    <w:rsid w:val="00C44F84"/>
    <w:rsid w:val="00C45083"/>
    <w:rsid w:val="00C4514D"/>
    <w:rsid w:val="00C4542D"/>
    <w:rsid w:val="00C45727"/>
    <w:rsid w:val="00C4582B"/>
    <w:rsid w:val="00C45A62"/>
    <w:rsid w:val="00C45D84"/>
    <w:rsid w:val="00C461B2"/>
    <w:rsid w:val="00C46492"/>
    <w:rsid w:val="00C466B5"/>
    <w:rsid w:val="00C4687F"/>
    <w:rsid w:val="00C46D76"/>
    <w:rsid w:val="00C46DE6"/>
    <w:rsid w:val="00C4759B"/>
    <w:rsid w:val="00C47677"/>
    <w:rsid w:val="00C47C8E"/>
    <w:rsid w:val="00C50048"/>
    <w:rsid w:val="00C5048D"/>
    <w:rsid w:val="00C505F3"/>
    <w:rsid w:val="00C50681"/>
    <w:rsid w:val="00C5081E"/>
    <w:rsid w:val="00C50822"/>
    <w:rsid w:val="00C50E48"/>
    <w:rsid w:val="00C50FFC"/>
    <w:rsid w:val="00C5113E"/>
    <w:rsid w:val="00C516E5"/>
    <w:rsid w:val="00C517C2"/>
    <w:rsid w:val="00C51C0E"/>
    <w:rsid w:val="00C52847"/>
    <w:rsid w:val="00C52AAA"/>
    <w:rsid w:val="00C52BF0"/>
    <w:rsid w:val="00C52FD1"/>
    <w:rsid w:val="00C52FF9"/>
    <w:rsid w:val="00C52FFE"/>
    <w:rsid w:val="00C531DC"/>
    <w:rsid w:val="00C533ED"/>
    <w:rsid w:val="00C5359B"/>
    <w:rsid w:val="00C538C8"/>
    <w:rsid w:val="00C5396C"/>
    <w:rsid w:val="00C53AAB"/>
    <w:rsid w:val="00C53AF7"/>
    <w:rsid w:val="00C53E2A"/>
    <w:rsid w:val="00C54104"/>
    <w:rsid w:val="00C54695"/>
    <w:rsid w:val="00C548B6"/>
    <w:rsid w:val="00C54AFB"/>
    <w:rsid w:val="00C54EF6"/>
    <w:rsid w:val="00C553B2"/>
    <w:rsid w:val="00C554B5"/>
    <w:rsid w:val="00C55545"/>
    <w:rsid w:val="00C5576F"/>
    <w:rsid w:val="00C55C39"/>
    <w:rsid w:val="00C563AE"/>
    <w:rsid w:val="00C564C4"/>
    <w:rsid w:val="00C568FD"/>
    <w:rsid w:val="00C569EA"/>
    <w:rsid w:val="00C56DBE"/>
    <w:rsid w:val="00C56EF2"/>
    <w:rsid w:val="00C570A6"/>
    <w:rsid w:val="00C579F3"/>
    <w:rsid w:val="00C6001E"/>
    <w:rsid w:val="00C600B3"/>
    <w:rsid w:val="00C60135"/>
    <w:rsid w:val="00C6092E"/>
    <w:rsid w:val="00C61464"/>
    <w:rsid w:val="00C61BD2"/>
    <w:rsid w:val="00C61BF9"/>
    <w:rsid w:val="00C62056"/>
    <w:rsid w:val="00C62B08"/>
    <w:rsid w:val="00C63122"/>
    <w:rsid w:val="00C638C1"/>
    <w:rsid w:val="00C63965"/>
    <w:rsid w:val="00C63B28"/>
    <w:rsid w:val="00C63B3A"/>
    <w:rsid w:val="00C63C57"/>
    <w:rsid w:val="00C64132"/>
    <w:rsid w:val="00C65039"/>
    <w:rsid w:val="00C652F1"/>
    <w:rsid w:val="00C6537C"/>
    <w:rsid w:val="00C65419"/>
    <w:rsid w:val="00C65EE4"/>
    <w:rsid w:val="00C65F01"/>
    <w:rsid w:val="00C6625A"/>
    <w:rsid w:val="00C66334"/>
    <w:rsid w:val="00C66543"/>
    <w:rsid w:val="00C66610"/>
    <w:rsid w:val="00C66B66"/>
    <w:rsid w:val="00C66D9F"/>
    <w:rsid w:val="00C671F5"/>
    <w:rsid w:val="00C674A2"/>
    <w:rsid w:val="00C67816"/>
    <w:rsid w:val="00C67890"/>
    <w:rsid w:val="00C67DF6"/>
    <w:rsid w:val="00C67E7D"/>
    <w:rsid w:val="00C67E8E"/>
    <w:rsid w:val="00C70763"/>
    <w:rsid w:val="00C70D0F"/>
    <w:rsid w:val="00C713BA"/>
    <w:rsid w:val="00C71B50"/>
    <w:rsid w:val="00C72177"/>
    <w:rsid w:val="00C725A4"/>
    <w:rsid w:val="00C72C77"/>
    <w:rsid w:val="00C73485"/>
    <w:rsid w:val="00C73904"/>
    <w:rsid w:val="00C73B0C"/>
    <w:rsid w:val="00C73D49"/>
    <w:rsid w:val="00C74AD7"/>
    <w:rsid w:val="00C74B8C"/>
    <w:rsid w:val="00C74D4C"/>
    <w:rsid w:val="00C74D84"/>
    <w:rsid w:val="00C756A7"/>
    <w:rsid w:val="00C758CF"/>
    <w:rsid w:val="00C75B08"/>
    <w:rsid w:val="00C75D94"/>
    <w:rsid w:val="00C75EA8"/>
    <w:rsid w:val="00C75F2B"/>
    <w:rsid w:val="00C762A4"/>
    <w:rsid w:val="00C76419"/>
    <w:rsid w:val="00C7651E"/>
    <w:rsid w:val="00C765BE"/>
    <w:rsid w:val="00C76932"/>
    <w:rsid w:val="00C7693C"/>
    <w:rsid w:val="00C77082"/>
    <w:rsid w:val="00C779F9"/>
    <w:rsid w:val="00C77B41"/>
    <w:rsid w:val="00C77B7F"/>
    <w:rsid w:val="00C80C52"/>
    <w:rsid w:val="00C80E40"/>
    <w:rsid w:val="00C81382"/>
    <w:rsid w:val="00C8244A"/>
    <w:rsid w:val="00C8257C"/>
    <w:rsid w:val="00C825A2"/>
    <w:rsid w:val="00C825E6"/>
    <w:rsid w:val="00C8265F"/>
    <w:rsid w:val="00C8268F"/>
    <w:rsid w:val="00C82BEF"/>
    <w:rsid w:val="00C82D45"/>
    <w:rsid w:val="00C82D5E"/>
    <w:rsid w:val="00C8331E"/>
    <w:rsid w:val="00C83535"/>
    <w:rsid w:val="00C83AE6"/>
    <w:rsid w:val="00C83D48"/>
    <w:rsid w:val="00C83D84"/>
    <w:rsid w:val="00C8434C"/>
    <w:rsid w:val="00C84A69"/>
    <w:rsid w:val="00C84ABF"/>
    <w:rsid w:val="00C84ADE"/>
    <w:rsid w:val="00C84E15"/>
    <w:rsid w:val="00C8515C"/>
    <w:rsid w:val="00C85798"/>
    <w:rsid w:val="00C85A8A"/>
    <w:rsid w:val="00C85E5E"/>
    <w:rsid w:val="00C861AF"/>
    <w:rsid w:val="00C861E0"/>
    <w:rsid w:val="00C864DC"/>
    <w:rsid w:val="00C86B16"/>
    <w:rsid w:val="00C86E2C"/>
    <w:rsid w:val="00C870AA"/>
    <w:rsid w:val="00C8711A"/>
    <w:rsid w:val="00C87436"/>
    <w:rsid w:val="00C8797C"/>
    <w:rsid w:val="00C87A72"/>
    <w:rsid w:val="00C87AC1"/>
    <w:rsid w:val="00C87FA6"/>
    <w:rsid w:val="00C907A8"/>
    <w:rsid w:val="00C91051"/>
    <w:rsid w:val="00C91152"/>
    <w:rsid w:val="00C9128F"/>
    <w:rsid w:val="00C912B1"/>
    <w:rsid w:val="00C91651"/>
    <w:rsid w:val="00C917A4"/>
    <w:rsid w:val="00C917B1"/>
    <w:rsid w:val="00C919DC"/>
    <w:rsid w:val="00C91A47"/>
    <w:rsid w:val="00C91E28"/>
    <w:rsid w:val="00C91FF5"/>
    <w:rsid w:val="00C92022"/>
    <w:rsid w:val="00C922A2"/>
    <w:rsid w:val="00C92530"/>
    <w:rsid w:val="00C92D9D"/>
    <w:rsid w:val="00C9361A"/>
    <w:rsid w:val="00C93689"/>
    <w:rsid w:val="00C936F9"/>
    <w:rsid w:val="00C93AEF"/>
    <w:rsid w:val="00C93C7E"/>
    <w:rsid w:val="00C93D57"/>
    <w:rsid w:val="00C940D2"/>
    <w:rsid w:val="00C942CB"/>
    <w:rsid w:val="00C9439D"/>
    <w:rsid w:val="00C94564"/>
    <w:rsid w:val="00C946C1"/>
    <w:rsid w:val="00C94AD0"/>
    <w:rsid w:val="00C94FFB"/>
    <w:rsid w:val="00C95193"/>
    <w:rsid w:val="00C958B6"/>
    <w:rsid w:val="00C95A37"/>
    <w:rsid w:val="00C95C01"/>
    <w:rsid w:val="00C9605F"/>
    <w:rsid w:val="00C961A8"/>
    <w:rsid w:val="00C961E5"/>
    <w:rsid w:val="00C9651F"/>
    <w:rsid w:val="00C9661A"/>
    <w:rsid w:val="00C96788"/>
    <w:rsid w:val="00C96994"/>
    <w:rsid w:val="00C96B54"/>
    <w:rsid w:val="00C970E6"/>
    <w:rsid w:val="00C97463"/>
    <w:rsid w:val="00C9749D"/>
    <w:rsid w:val="00C97C98"/>
    <w:rsid w:val="00C97CEE"/>
    <w:rsid w:val="00CA02E8"/>
    <w:rsid w:val="00CA0559"/>
    <w:rsid w:val="00CA059A"/>
    <w:rsid w:val="00CA05CC"/>
    <w:rsid w:val="00CA07CC"/>
    <w:rsid w:val="00CA08C7"/>
    <w:rsid w:val="00CA0991"/>
    <w:rsid w:val="00CA0C1A"/>
    <w:rsid w:val="00CA0E8B"/>
    <w:rsid w:val="00CA1143"/>
    <w:rsid w:val="00CA11D8"/>
    <w:rsid w:val="00CA1581"/>
    <w:rsid w:val="00CA162A"/>
    <w:rsid w:val="00CA1826"/>
    <w:rsid w:val="00CA1A5A"/>
    <w:rsid w:val="00CA1C20"/>
    <w:rsid w:val="00CA1F86"/>
    <w:rsid w:val="00CA26A5"/>
    <w:rsid w:val="00CA26EA"/>
    <w:rsid w:val="00CA28C7"/>
    <w:rsid w:val="00CA2EF8"/>
    <w:rsid w:val="00CA2FB2"/>
    <w:rsid w:val="00CA30EF"/>
    <w:rsid w:val="00CA34C9"/>
    <w:rsid w:val="00CA3557"/>
    <w:rsid w:val="00CA3937"/>
    <w:rsid w:val="00CA3A6D"/>
    <w:rsid w:val="00CA3CC1"/>
    <w:rsid w:val="00CA3D3A"/>
    <w:rsid w:val="00CA42D6"/>
    <w:rsid w:val="00CA435C"/>
    <w:rsid w:val="00CA4396"/>
    <w:rsid w:val="00CA43C1"/>
    <w:rsid w:val="00CA4A2D"/>
    <w:rsid w:val="00CA4AC4"/>
    <w:rsid w:val="00CA4D77"/>
    <w:rsid w:val="00CA521F"/>
    <w:rsid w:val="00CA528A"/>
    <w:rsid w:val="00CA529A"/>
    <w:rsid w:val="00CA52D0"/>
    <w:rsid w:val="00CA53B4"/>
    <w:rsid w:val="00CA5A67"/>
    <w:rsid w:val="00CA5BCF"/>
    <w:rsid w:val="00CA672A"/>
    <w:rsid w:val="00CA6C7F"/>
    <w:rsid w:val="00CA7215"/>
    <w:rsid w:val="00CA75D9"/>
    <w:rsid w:val="00CA7EB9"/>
    <w:rsid w:val="00CA7F99"/>
    <w:rsid w:val="00CB0176"/>
    <w:rsid w:val="00CB05AD"/>
    <w:rsid w:val="00CB0678"/>
    <w:rsid w:val="00CB0DB8"/>
    <w:rsid w:val="00CB0EE5"/>
    <w:rsid w:val="00CB1420"/>
    <w:rsid w:val="00CB1574"/>
    <w:rsid w:val="00CB15E9"/>
    <w:rsid w:val="00CB1753"/>
    <w:rsid w:val="00CB1979"/>
    <w:rsid w:val="00CB1BD7"/>
    <w:rsid w:val="00CB204C"/>
    <w:rsid w:val="00CB22EB"/>
    <w:rsid w:val="00CB2389"/>
    <w:rsid w:val="00CB2414"/>
    <w:rsid w:val="00CB2566"/>
    <w:rsid w:val="00CB2BD5"/>
    <w:rsid w:val="00CB2DCC"/>
    <w:rsid w:val="00CB2F1E"/>
    <w:rsid w:val="00CB32C3"/>
    <w:rsid w:val="00CB3483"/>
    <w:rsid w:val="00CB43F0"/>
    <w:rsid w:val="00CB4936"/>
    <w:rsid w:val="00CB4C2C"/>
    <w:rsid w:val="00CB4E53"/>
    <w:rsid w:val="00CB4E98"/>
    <w:rsid w:val="00CB4FF3"/>
    <w:rsid w:val="00CB52AC"/>
    <w:rsid w:val="00CB5920"/>
    <w:rsid w:val="00CB5C4C"/>
    <w:rsid w:val="00CB5C55"/>
    <w:rsid w:val="00CB5ED9"/>
    <w:rsid w:val="00CB6336"/>
    <w:rsid w:val="00CB648D"/>
    <w:rsid w:val="00CB6798"/>
    <w:rsid w:val="00CB6D7E"/>
    <w:rsid w:val="00CB7401"/>
    <w:rsid w:val="00CB7635"/>
    <w:rsid w:val="00CB7679"/>
    <w:rsid w:val="00CB76F4"/>
    <w:rsid w:val="00CB7B1B"/>
    <w:rsid w:val="00CC00A3"/>
    <w:rsid w:val="00CC0193"/>
    <w:rsid w:val="00CC033C"/>
    <w:rsid w:val="00CC045B"/>
    <w:rsid w:val="00CC09ED"/>
    <w:rsid w:val="00CC0AA7"/>
    <w:rsid w:val="00CC0AC3"/>
    <w:rsid w:val="00CC0BC6"/>
    <w:rsid w:val="00CC0C4D"/>
    <w:rsid w:val="00CC0D4A"/>
    <w:rsid w:val="00CC0D9A"/>
    <w:rsid w:val="00CC0E9B"/>
    <w:rsid w:val="00CC0EC6"/>
    <w:rsid w:val="00CC1298"/>
    <w:rsid w:val="00CC12E8"/>
    <w:rsid w:val="00CC1551"/>
    <w:rsid w:val="00CC1A31"/>
    <w:rsid w:val="00CC1D1A"/>
    <w:rsid w:val="00CC1EE3"/>
    <w:rsid w:val="00CC20B0"/>
    <w:rsid w:val="00CC2DC5"/>
    <w:rsid w:val="00CC2F56"/>
    <w:rsid w:val="00CC3866"/>
    <w:rsid w:val="00CC3A27"/>
    <w:rsid w:val="00CC44C1"/>
    <w:rsid w:val="00CC4CA3"/>
    <w:rsid w:val="00CC4E0D"/>
    <w:rsid w:val="00CC5864"/>
    <w:rsid w:val="00CC5CAD"/>
    <w:rsid w:val="00CC61E8"/>
    <w:rsid w:val="00CC624A"/>
    <w:rsid w:val="00CC6260"/>
    <w:rsid w:val="00CC65D1"/>
    <w:rsid w:val="00CC6E05"/>
    <w:rsid w:val="00CC6FFD"/>
    <w:rsid w:val="00CC7201"/>
    <w:rsid w:val="00CC7278"/>
    <w:rsid w:val="00CC72B1"/>
    <w:rsid w:val="00CC72C1"/>
    <w:rsid w:val="00CC72F3"/>
    <w:rsid w:val="00CC761A"/>
    <w:rsid w:val="00CC7A60"/>
    <w:rsid w:val="00CC7CB1"/>
    <w:rsid w:val="00CD0131"/>
    <w:rsid w:val="00CD0301"/>
    <w:rsid w:val="00CD046D"/>
    <w:rsid w:val="00CD05F9"/>
    <w:rsid w:val="00CD06DD"/>
    <w:rsid w:val="00CD075E"/>
    <w:rsid w:val="00CD08CE"/>
    <w:rsid w:val="00CD0CD8"/>
    <w:rsid w:val="00CD0D85"/>
    <w:rsid w:val="00CD12B8"/>
    <w:rsid w:val="00CD1404"/>
    <w:rsid w:val="00CD156A"/>
    <w:rsid w:val="00CD17AD"/>
    <w:rsid w:val="00CD1E34"/>
    <w:rsid w:val="00CD1FCF"/>
    <w:rsid w:val="00CD247B"/>
    <w:rsid w:val="00CD2609"/>
    <w:rsid w:val="00CD289E"/>
    <w:rsid w:val="00CD2902"/>
    <w:rsid w:val="00CD297A"/>
    <w:rsid w:val="00CD34C5"/>
    <w:rsid w:val="00CD3921"/>
    <w:rsid w:val="00CD3D48"/>
    <w:rsid w:val="00CD3E37"/>
    <w:rsid w:val="00CD4816"/>
    <w:rsid w:val="00CD487A"/>
    <w:rsid w:val="00CD49FD"/>
    <w:rsid w:val="00CD4DA9"/>
    <w:rsid w:val="00CD5686"/>
    <w:rsid w:val="00CD5C8A"/>
    <w:rsid w:val="00CD5F40"/>
    <w:rsid w:val="00CD654A"/>
    <w:rsid w:val="00CD67C0"/>
    <w:rsid w:val="00CD69B0"/>
    <w:rsid w:val="00CD704F"/>
    <w:rsid w:val="00CD765D"/>
    <w:rsid w:val="00CD7A1D"/>
    <w:rsid w:val="00CD7AA7"/>
    <w:rsid w:val="00CD7B4E"/>
    <w:rsid w:val="00CE077C"/>
    <w:rsid w:val="00CE07B7"/>
    <w:rsid w:val="00CE0BFF"/>
    <w:rsid w:val="00CE0CEF"/>
    <w:rsid w:val="00CE0DEA"/>
    <w:rsid w:val="00CE101E"/>
    <w:rsid w:val="00CE110A"/>
    <w:rsid w:val="00CE1185"/>
    <w:rsid w:val="00CE118C"/>
    <w:rsid w:val="00CE14DC"/>
    <w:rsid w:val="00CE19E4"/>
    <w:rsid w:val="00CE1CB3"/>
    <w:rsid w:val="00CE1D26"/>
    <w:rsid w:val="00CE2362"/>
    <w:rsid w:val="00CE24DC"/>
    <w:rsid w:val="00CE25B2"/>
    <w:rsid w:val="00CE25FF"/>
    <w:rsid w:val="00CE261C"/>
    <w:rsid w:val="00CE2680"/>
    <w:rsid w:val="00CE27A0"/>
    <w:rsid w:val="00CE28E3"/>
    <w:rsid w:val="00CE28F5"/>
    <w:rsid w:val="00CE327F"/>
    <w:rsid w:val="00CE3E87"/>
    <w:rsid w:val="00CE3EC7"/>
    <w:rsid w:val="00CE4524"/>
    <w:rsid w:val="00CE48BD"/>
    <w:rsid w:val="00CE48FF"/>
    <w:rsid w:val="00CE4C02"/>
    <w:rsid w:val="00CE50E6"/>
    <w:rsid w:val="00CE54CD"/>
    <w:rsid w:val="00CE5B28"/>
    <w:rsid w:val="00CE65E8"/>
    <w:rsid w:val="00CE67F9"/>
    <w:rsid w:val="00CE69F7"/>
    <w:rsid w:val="00CE702E"/>
    <w:rsid w:val="00CE732E"/>
    <w:rsid w:val="00CE73E9"/>
    <w:rsid w:val="00CE7AA5"/>
    <w:rsid w:val="00CF0986"/>
    <w:rsid w:val="00CF0CAA"/>
    <w:rsid w:val="00CF1885"/>
    <w:rsid w:val="00CF1A00"/>
    <w:rsid w:val="00CF1A2D"/>
    <w:rsid w:val="00CF1FDC"/>
    <w:rsid w:val="00CF21C5"/>
    <w:rsid w:val="00CF2365"/>
    <w:rsid w:val="00CF24BF"/>
    <w:rsid w:val="00CF2568"/>
    <w:rsid w:val="00CF26CF"/>
    <w:rsid w:val="00CF2913"/>
    <w:rsid w:val="00CF2A63"/>
    <w:rsid w:val="00CF2A91"/>
    <w:rsid w:val="00CF2C08"/>
    <w:rsid w:val="00CF2EA6"/>
    <w:rsid w:val="00CF2EBB"/>
    <w:rsid w:val="00CF2FB5"/>
    <w:rsid w:val="00CF3167"/>
    <w:rsid w:val="00CF3DC8"/>
    <w:rsid w:val="00CF3DEB"/>
    <w:rsid w:val="00CF401E"/>
    <w:rsid w:val="00CF419F"/>
    <w:rsid w:val="00CF439F"/>
    <w:rsid w:val="00CF4DB8"/>
    <w:rsid w:val="00CF5D9A"/>
    <w:rsid w:val="00CF5F18"/>
    <w:rsid w:val="00CF6277"/>
    <w:rsid w:val="00CF62BC"/>
    <w:rsid w:val="00CF62C5"/>
    <w:rsid w:val="00CF64B5"/>
    <w:rsid w:val="00CF6DFC"/>
    <w:rsid w:val="00CF6E43"/>
    <w:rsid w:val="00CF7041"/>
    <w:rsid w:val="00CF7120"/>
    <w:rsid w:val="00CF724C"/>
    <w:rsid w:val="00CF7560"/>
    <w:rsid w:val="00CF7A6A"/>
    <w:rsid w:val="00CF7C71"/>
    <w:rsid w:val="00D000BF"/>
    <w:rsid w:val="00D001B4"/>
    <w:rsid w:val="00D003B7"/>
    <w:rsid w:val="00D00476"/>
    <w:rsid w:val="00D00CBA"/>
    <w:rsid w:val="00D00DA0"/>
    <w:rsid w:val="00D00E36"/>
    <w:rsid w:val="00D00E79"/>
    <w:rsid w:val="00D0111F"/>
    <w:rsid w:val="00D01685"/>
    <w:rsid w:val="00D0186C"/>
    <w:rsid w:val="00D0192A"/>
    <w:rsid w:val="00D01B83"/>
    <w:rsid w:val="00D01BB4"/>
    <w:rsid w:val="00D01F8F"/>
    <w:rsid w:val="00D0218E"/>
    <w:rsid w:val="00D02565"/>
    <w:rsid w:val="00D02D4A"/>
    <w:rsid w:val="00D02F4F"/>
    <w:rsid w:val="00D0310B"/>
    <w:rsid w:val="00D03C88"/>
    <w:rsid w:val="00D03F30"/>
    <w:rsid w:val="00D03FF7"/>
    <w:rsid w:val="00D043B1"/>
    <w:rsid w:val="00D04B4D"/>
    <w:rsid w:val="00D04CB3"/>
    <w:rsid w:val="00D05352"/>
    <w:rsid w:val="00D05516"/>
    <w:rsid w:val="00D0563D"/>
    <w:rsid w:val="00D0570B"/>
    <w:rsid w:val="00D062C9"/>
    <w:rsid w:val="00D075B2"/>
    <w:rsid w:val="00D0761C"/>
    <w:rsid w:val="00D07863"/>
    <w:rsid w:val="00D100E4"/>
    <w:rsid w:val="00D10186"/>
    <w:rsid w:val="00D10499"/>
    <w:rsid w:val="00D104DE"/>
    <w:rsid w:val="00D10D82"/>
    <w:rsid w:val="00D10EE3"/>
    <w:rsid w:val="00D11279"/>
    <w:rsid w:val="00D116D4"/>
    <w:rsid w:val="00D11746"/>
    <w:rsid w:val="00D117D1"/>
    <w:rsid w:val="00D11B39"/>
    <w:rsid w:val="00D12178"/>
    <w:rsid w:val="00D12321"/>
    <w:rsid w:val="00D12745"/>
    <w:rsid w:val="00D12A46"/>
    <w:rsid w:val="00D12E58"/>
    <w:rsid w:val="00D12FF3"/>
    <w:rsid w:val="00D130C1"/>
    <w:rsid w:val="00D13244"/>
    <w:rsid w:val="00D1324E"/>
    <w:rsid w:val="00D134F0"/>
    <w:rsid w:val="00D136FF"/>
    <w:rsid w:val="00D13865"/>
    <w:rsid w:val="00D14E59"/>
    <w:rsid w:val="00D154C7"/>
    <w:rsid w:val="00D1598E"/>
    <w:rsid w:val="00D16269"/>
    <w:rsid w:val="00D162F4"/>
    <w:rsid w:val="00D16752"/>
    <w:rsid w:val="00D174AB"/>
    <w:rsid w:val="00D17F2C"/>
    <w:rsid w:val="00D20031"/>
    <w:rsid w:val="00D2022D"/>
    <w:rsid w:val="00D204CA"/>
    <w:rsid w:val="00D20755"/>
    <w:rsid w:val="00D20930"/>
    <w:rsid w:val="00D20934"/>
    <w:rsid w:val="00D2115C"/>
    <w:rsid w:val="00D21301"/>
    <w:rsid w:val="00D21551"/>
    <w:rsid w:val="00D21832"/>
    <w:rsid w:val="00D21916"/>
    <w:rsid w:val="00D22268"/>
    <w:rsid w:val="00D22300"/>
    <w:rsid w:val="00D227E4"/>
    <w:rsid w:val="00D22A4E"/>
    <w:rsid w:val="00D22EC1"/>
    <w:rsid w:val="00D2301E"/>
    <w:rsid w:val="00D23767"/>
    <w:rsid w:val="00D239F3"/>
    <w:rsid w:val="00D23A64"/>
    <w:rsid w:val="00D23C46"/>
    <w:rsid w:val="00D245DC"/>
    <w:rsid w:val="00D246B3"/>
    <w:rsid w:val="00D2471C"/>
    <w:rsid w:val="00D24861"/>
    <w:rsid w:val="00D24BB2"/>
    <w:rsid w:val="00D24D32"/>
    <w:rsid w:val="00D24D5E"/>
    <w:rsid w:val="00D2513A"/>
    <w:rsid w:val="00D25641"/>
    <w:rsid w:val="00D25710"/>
    <w:rsid w:val="00D2581C"/>
    <w:rsid w:val="00D25B09"/>
    <w:rsid w:val="00D25DD5"/>
    <w:rsid w:val="00D25EE2"/>
    <w:rsid w:val="00D2671C"/>
    <w:rsid w:val="00D26897"/>
    <w:rsid w:val="00D26A0B"/>
    <w:rsid w:val="00D26FB9"/>
    <w:rsid w:val="00D273FF"/>
    <w:rsid w:val="00D274EF"/>
    <w:rsid w:val="00D27C29"/>
    <w:rsid w:val="00D3066E"/>
    <w:rsid w:val="00D313B3"/>
    <w:rsid w:val="00D315A1"/>
    <w:rsid w:val="00D31683"/>
    <w:rsid w:val="00D317FD"/>
    <w:rsid w:val="00D31CAD"/>
    <w:rsid w:val="00D31E05"/>
    <w:rsid w:val="00D31EA9"/>
    <w:rsid w:val="00D32154"/>
    <w:rsid w:val="00D3217E"/>
    <w:rsid w:val="00D3292B"/>
    <w:rsid w:val="00D32C14"/>
    <w:rsid w:val="00D33643"/>
    <w:rsid w:val="00D33A9E"/>
    <w:rsid w:val="00D33DFA"/>
    <w:rsid w:val="00D33F02"/>
    <w:rsid w:val="00D33FF0"/>
    <w:rsid w:val="00D34852"/>
    <w:rsid w:val="00D357BF"/>
    <w:rsid w:val="00D358F7"/>
    <w:rsid w:val="00D35A39"/>
    <w:rsid w:val="00D35FD0"/>
    <w:rsid w:val="00D36376"/>
    <w:rsid w:val="00D36449"/>
    <w:rsid w:val="00D366D1"/>
    <w:rsid w:val="00D36788"/>
    <w:rsid w:val="00D36C21"/>
    <w:rsid w:val="00D36E67"/>
    <w:rsid w:val="00D36F47"/>
    <w:rsid w:val="00D36FB6"/>
    <w:rsid w:val="00D3700F"/>
    <w:rsid w:val="00D376A4"/>
    <w:rsid w:val="00D37809"/>
    <w:rsid w:val="00D3799D"/>
    <w:rsid w:val="00D37EF5"/>
    <w:rsid w:val="00D37FD9"/>
    <w:rsid w:val="00D403B7"/>
    <w:rsid w:val="00D40787"/>
    <w:rsid w:val="00D40D47"/>
    <w:rsid w:val="00D4107E"/>
    <w:rsid w:val="00D41335"/>
    <w:rsid w:val="00D419C9"/>
    <w:rsid w:val="00D428B9"/>
    <w:rsid w:val="00D43246"/>
    <w:rsid w:val="00D4348E"/>
    <w:rsid w:val="00D43562"/>
    <w:rsid w:val="00D4428A"/>
    <w:rsid w:val="00D44D04"/>
    <w:rsid w:val="00D45105"/>
    <w:rsid w:val="00D451B0"/>
    <w:rsid w:val="00D45736"/>
    <w:rsid w:val="00D45750"/>
    <w:rsid w:val="00D457EA"/>
    <w:rsid w:val="00D457FD"/>
    <w:rsid w:val="00D45C42"/>
    <w:rsid w:val="00D45E7B"/>
    <w:rsid w:val="00D4699F"/>
    <w:rsid w:val="00D46B1B"/>
    <w:rsid w:val="00D46B5D"/>
    <w:rsid w:val="00D46D06"/>
    <w:rsid w:val="00D47026"/>
    <w:rsid w:val="00D470E5"/>
    <w:rsid w:val="00D4735D"/>
    <w:rsid w:val="00D47536"/>
    <w:rsid w:val="00D4758A"/>
    <w:rsid w:val="00D47737"/>
    <w:rsid w:val="00D47A0C"/>
    <w:rsid w:val="00D47F82"/>
    <w:rsid w:val="00D502ED"/>
    <w:rsid w:val="00D509D3"/>
    <w:rsid w:val="00D50ABF"/>
    <w:rsid w:val="00D510CB"/>
    <w:rsid w:val="00D51D92"/>
    <w:rsid w:val="00D51EA1"/>
    <w:rsid w:val="00D52084"/>
    <w:rsid w:val="00D526A2"/>
    <w:rsid w:val="00D52822"/>
    <w:rsid w:val="00D52B99"/>
    <w:rsid w:val="00D52E54"/>
    <w:rsid w:val="00D52F03"/>
    <w:rsid w:val="00D52F49"/>
    <w:rsid w:val="00D52FF5"/>
    <w:rsid w:val="00D52FF6"/>
    <w:rsid w:val="00D53335"/>
    <w:rsid w:val="00D53566"/>
    <w:rsid w:val="00D5365C"/>
    <w:rsid w:val="00D5390D"/>
    <w:rsid w:val="00D53A2E"/>
    <w:rsid w:val="00D53A7F"/>
    <w:rsid w:val="00D53CBF"/>
    <w:rsid w:val="00D53E51"/>
    <w:rsid w:val="00D541B7"/>
    <w:rsid w:val="00D54A15"/>
    <w:rsid w:val="00D54E3A"/>
    <w:rsid w:val="00D54F3B"/>
    <w:rsid w:val="00D551A3"/>
    <w:rsid w:val="00D553FD"/>
    <w:rsid w:val="00D5596D"/>
    <w:rsid w:val="00D55CDF"/>
    <w:rsid w:val="00D55FE5"/>
    <w:rsid w:val="00D562A9"/>
    <w:rsid w:val="00D5653F"/>
    <w:rsid w:val="00D567C0"/>
    <w:rsid w:val="00D56DFA"/>
    <w:rsid w:val="00D573F4"/>
    <w:rsid w:val="00D57578"/>
    <w:rsid w:val="00D57688"/>
    <w:rsid w:val="00D602A0"/>
    <w:rsid w:val="00D602CC"/>
    <w:rsid w:val="00D60465"/>
    <w:rsid w:val="00D60E22"/>
    <w:rsid w:val="00D610DD"/>
    <w:rsid w:val="00D61176"/>
    <w:rsid w:val="00D61302"/>
    <w:rsid w:val="00D6157A"/>
    <w:rsid w:val="00D618D2"/>
    <w:rsid w:val="00D619EA"/>
    <w:rsid w:val="00D61ED2"/>
    <w:rsid w:val="00D61F6E"/>
    <w:rsid w:val="00D62392"/>
    <w:rsid w:val="00D6279D"/>
    <w:rsid w:val="00D62A5E"/>
    <w:rsid w:val="00D62DDB"/>
    <w:rsid w:val="00D62F4D"/>
    <w:rsid w:val="00D630F2"/>
    <w:rsid w:val="00D63126"/>
    <w:rsid w:val="00D63220"/>
    <w:rsid w:val="00D639CB"/>
    <w:rsid w:val="00D63CB9"/>
    <w:rsid w:val="00D63CC2"/>
    <w:rsid w:val="00D63F79"/>
    <w:rsid w:val="00D63FCF"/>
    <w:rsid w:val="00D645A6"/>
    <w:rsid w:val="00D64B9E"/>
    <w:rsid w:val="00D64CAE"/>
    <w:rsid w:val="00D650AB"/>
    <w:rsid w:val="00D652D9"/>
    <w:rsid w:val="00D658A2"/>
    <w:rsid w:val="00D65D21"/>
    <w:rsid w:val="00D66061"/>
    <w:rsid w:val="00D66615"/>
    <w:rsid w:val="00D66A5D"/>
    <w:rsid w:val="00D671DB"/>
    <w:rsid w:val="00D676D8"/>
    <w:rsid w:val="00D67EE5"/>
    <w:rsid w:val="00D69632"/>
    <w:rsid w:val="00D7003A"/>
    <w:rsid w:val="00D705DE"/>
    <w:rsid w:val="00D70814"/>
    <w:rsid w:val="00D70C07"/>
    <w:rsid w:val="00D70DDA"/>
    <w:rsid w:val="00D71111"/>
    <w:rsid w:val="00D711EB"/>
    <w:rsid w:val="00D71831"/>
    <w:rsid w:val="00D71E5B"/>
    <w:rsid w:val="00D71E8D"/>
    <w:rsid w:val="00D71EA4"/>
    <w:rsid w:val="00D72759"/>
    <w:rsid w:val="00D729B9"/>
    <w:rsid w:val="00D73305"/>
    <w:rsid w:val="00D7366C"/>
    <w:rsid w:val="00D73AD9"/>
    <w:rsid w:val="00D73C64"/>
    <w:rsid w:val="00D74441"/>
    <w:rsid w:val="00D752D2"/>
    <w:rsid w:val="00D7533B"/>
    <w:rsid w:val="00D75EE4"/>
    <w:rsid w:val="00D76959"/>
    <w:rsid w:val="00D76A02"/>
    <w:rsid w:val="00D76BCD"/>
    <w:rsid w:val="00D774AA"/>
    <w:rsid w:val="00D7771A"/>
    <w:rsid w:val="00D77CF8"/>
    <w:rsid w:val="00D80162"/>
    <w:rsid w:val="00D8029E"/>
    <w:rsid w:val="00D80324"/>
    <w:rsid w:val="00D803E6"/>
    <w:rsid w:val="00D80A74"/>
    <w:rsid w:val="00D80B3E"/>
    <w:rsid w:val="00D80B7A"/>
    <w:rsid w:val="00D80C29"/>
    <w:rsid w:val="00D80C74"/>
    <w:rsid w:val="00D81892"/>
    <w:rsid w:val="00D81932"/>
    <w:rsid w:val="00D81AB1"/>
    <w:rsid w:val="00D81C3A"/>
    <w:rsid w:val="00D81D27"/>
    <w:rsid w:val="00D82904"/>
    <w:rsid w:val="00D82C59"/>
    <w:rsid w:val="00D83060"/>
    <w:rsid w:val="00D8316D"/>
    <w:rsid w:val="00D83287"/>
    <w:rsid w:val="00D83803"/>
    <w:rsid w:val="00D83B51"/>
    <w:rsid w:val="00D846D0"/>
    <w:rsid w:val="00D84917"/>
    <w:rsid w:val="00D84EAB"/>
    <w:rsid w:val="00D84EC1"/>
    <w:rsid w:val="00D84ECA"/>
    <w:rsid w:val="00D8500C"/>
    <w:rsid w:val="00D8525E"/>
    <w:rsid w:val="00D854B2"/>
    <w:rsid w:val="00D854F7"/>
    <w:rsid w:val="00D8557F"/>
    <w:rsid w:val="00D857F0"/>
    <w:rsid w:val="00D85A8A"/>
    <w:rsid w:val="00D85BE6"/>
    <w:rsid w:val="00D8640D"/>
    <w:rsid w:val="00D864D8"/>
    <w:rsid w:val="00D867AC"/>
    <w:rsid w:val="00D870FF"/>
    <w:rsid w:val="00D872DE"/>
    <w:rsid w:val="00D87BA1"/>
    <w:rsid w:val="00D87BF9"/>
    <w:rsid w:val="00D87EE5"/>
    <w:rsid w:val="00D87FB8"/>
    <w:rsid w:val="00D9041B"/>
    <w:rsid w:val="00D90D5C"/>
    <w:rsid w:val="00D90DBB"/>
    <w:rsid w:val="00D9141D"/>
    <w:rsid w:val="00D914C0"/>
    <w:rsid w:val="00D9168B"/>
    <w:rsid w:val="00D91A33"/>
    <w:rsid w:val="00D91E4E"/>
    <w:rsid w:val="00D92867"/>
    <w:rsid w:val="00D9296F"/>
    <w:rsid w:val="00D92DEA"/>
    <w:rsid w:val="00D93132"/>
    <w:rsid w:val="00D935BD"/>
    <w:rsid w:val="00D93781"/>
    <w:rsid w:val="00D93918"/>
    <w:rsid w:val="00D93A00"/>
    <w:rsid w:val="00D93ED2"/>
    <w:rsid w:val="00D9453F"/>
    <w:rsid w:val="00D94577"/>
    <w:rsid w:val="00D946C9"/>
    <w:rsid w:val="00D949B3"/>
    <w:rsid w:val="00D94ABC"/>
    <w:rsid w:val="00D94CF3"/>
    <w:rsid w:val="00D94E0B"/>
    <w:rsid w:val="00D95233"/>
    <w:rsid w:val="00D954D1"/>
    <w:rsid w:val="00D95506"/>
    <w:rsid w:val="00D95761"/>
    <w:rsid w:val="00D9587B"/>
    <w:rsid w:val="00D95949"/>
    <w:rsid w:val="00D962D5"/>
    <w:rsid w:val="00D9630F"/>
    <w:rsid w:val="00D967A8"/>
    <w:rsid w:val="00D968EB"/>
    <w:rsid w:val="00D96CC4"/>
    <w:rsid w:val="00D97664"/>
    <w:rsid w:val="00D97D21"/>
    <w:rsid w:val="00D97DE6"/>
    <w:rsid w:val="00DA02A0"/>
    <w:rsid w:val="00DA057A"/>
    <w:rsid w:val="00DA058E"/>
    <w:rsid w:val="00DA0AE5"/>
    <w:rsid w:val="00DA199A"/>
    <w:rsid w:val="00DA1BE5"/>
    <w:rsid w:val="00DA1BFF"/>
    <w:rsid w:val="00DA2111"/>
    <w:rsid w:val="00DA26EC"/>
    <w:rsid w:val="00DA26FF"/>
    <w:rsid w:val="00DA2A7F"/>
    <w:rsid w:val="00DA2BEA"/>
    <w:rsid w:val="00DA338C"/>
    <w:rsid w:val="00DA34F8"/>
    <w:rsid w:val="00DA39E4"/>
    <w:rsid w:val="00DA3E6F"/>
    <w:rsid w:val="00DA3FEE"/>
    <w:rsid w:val="00DA4222"/>
    <w:rsid w:val="00DA4634"/>
    <w:rsid w:val="00DA4725"/>
    <w:rsid w:val="00DA4777"/>
    <w:rsid w:val="00DA4A2F"/>
    <w:rsid w:val="00DA4D2D"/>
    <w:rsid w:val="00DA4E83"/>
    <w:rsid w:val="00DA512C"/>
    <w:rsid w:val="00DA5330"/>
    <w:rsid w:val="00DA58CF"/>
    <w:rsid w:val="00DA5AA8"/>
    <w:rsid w:val="00DA5E8F"/>
    <w:rsid w:val="00DA62F6"/>
    <w:rsid w:val="00DA6351"/>
    <w:rsid w:val="00DA6422"/>
    <w:rsid w:val="00DA6546"/>
    <w:rsid w:val="00DA6765"/>
    <w:rsid w:val="00DA6FC2"/>
    <w:rsid w:val="00DA70B0"/>
    <w:rsid w:val="00DA75E3"/>
    <w:rsid w:val="00DA7A98"/>
    <w:rsid w:val="00DA7AF7"/>
    <w:rsid w:val="00DB003C"/>
    <w:rsid w:val="00DB05D6"/>
    <w:rsid w:val="00DB0BEF"/>
    <w:rsid w:val="00DB1791"/>
    <w:rsid w:val="00DB19A7"/>
    <w:rsid w:val="00DB1E91"/>
    <w:rsid w:val="00DB2F53"/>
    <w:rsid w:val="00DB3C12"/>
    <w:rsid w:val="00DB42E0"/>
    <w:rsid w:val="00DB4410"/>
    <w:rsid w:val="00DB46B6"/>
    <w:rsid w:val="00DB4987"/>
    <w:rsid w:val="00DB5117"/>
    <w:rsid w:val="00DB56A9"/>
    <w:rsid w:val="00DB5E7E"/>
    <w:rsid w:val="00DB6031"/>
    <w:rsid w:val="00DB64CF"/>
    <w:rsid w:val="00DB664A"/>
    <w:rsid w:val="00DB6A9C"/>
    <w:rsid w:val="00DB7341"/>
    <w:rsid w:val="00DB73F6"/>
    <w:rsid w:val="00DB7463"/>
    <w:rsid w:val="00DB75BE"/>
    <w:rsid w:val="00DB7A41"/>
    <w:rsid w:val="00DC0139"/>
    <w:rsid w:val="00DC0277"/>
    <w:rsid w:val="00DC0475"/>
    <w:rsid w:val="00DC05B0"/>
    <w:rsid w:val="00DC0903"/>
    <w:rsid w:val="00DC0CCC"/>
    <w:rsid w:val="00DC0D34"/>
    <w:rsid w:val="00DC1005"/>
    <w:rsid w:val="00DC14AF"/>
    <w:rsid w:val="00DC16A9"/>
    <w:rsid w:val="00DC1720"/>
    <w:rsid w:val="00DC1A66"/>
    <w:rsid w:val="00DC1AC2"/>
    <w:rsid w:val="00DC1BD7"/>
    <w:rsid w:val="00DC1C1A"/>
    <w:rsid w:val="00DC1E12"/>
    <w:rsid w:val="00DC1E7D"/>
    <w:rsid w:val="00DC2554"/>
    <w:rsid w:val="00DC257C"/>
    <w:rsid w:val="00DC2641"/>
    <w:rsid w:val="00DC3128"/>
    <w:rsid w:val="00DC3633"/>
    <w:rsid w:val="00DC3A4E"/>
    <w:rsid w:val="00DC3B0B"/>
    <w:rsid w:val="00DC3BB5"/>
    <w:rsid w:val="00DC3F35"/>
    <w:rsid w:val="00DC40CE"/>
    <w:rsid w:val="00DC4108"/>
    <w:rsid w:val="00DC4672"/>
    <w:rsid w:val="00DC4859"/>
    <w:rsid w:val="00DC4BD2"/>
    <w:rsid w:val="00DC4E4A"/>
    <w:rsid w:val="00DC4EC7"/>
    <w:rsid w:val="00DC4F64"/>
    <w:rsid w:val="00DC50C5"/>
    <w:rsid w:val="00DC5583"/>
    <w:rsid w:val="00DC57F2"/>
    <w:rsid w:val="00DC5A1A"/>
    <w:rsid w:val="00DC5AEA"/>
    <w:rsid w:val="00DC6056"/>
    <w:rsid w:val="00DC64A7"/>
    <w:rsid w:val="00DC6829"/>
    <w:rsid w:val="00DC6BB5"/>
    <w:rsid w:val="00DC73F8"/>
    <w:rsid w:val="00DC78CC"/>
    <w:rsid w:val="00DC799F"/>
    <w:rsid w:val="00DC7AD4"/>
    <w:rsid w:val="00DC7FAD"/>
    <w:rsid w:val="00DD06D2"/>
    <w:rsid w:val="00DD072C"/>
    <w:rsid w:val="00DD0953"/>
    <w:rsid w:val="00DD0B66"/>
    <w:rsid w:val="00DD0E7A"/>
    <w:rsid w:val="00DD133F"/>
    <w:rsid w:val="00DD13DA"/>
    <w:rsid w:val="00DD1A95"/>
    <w:rsid w:val="00DD1C9A"/>
    <w:rsid w:val="00DD1E39"/>
    <w:rsid w:val="00DD228A"/>
    <w:rsid w:val="00DD2377"/>
    <w:rsid w:val="00DD254D"/>
    <w:rsid w:val="00DD2556"/>
    <w:rsid w:val="00DD2620"/>
    <w:rsid w:val="00DD2793"/>
    <w:rsid w:val="00DD296A"/>
    <w:rsid w:val="00DD297B"/>
    <w:rsid w:val="00DD2C81"/>
    <w:rsid w:val="00DD323D"/>
    <w:rsid w:val="00DD3975"/>
    <w:rsid w:val="00DD3E43"/>
    <w:rsid w:val="00DD4489"/>
    <w:rsid w:val="00DD4A0B"/>
    <w:rsid w:val="00DD4AB4"/>
    <w:rsid w:val="00DD4C18"/>
    <w:rsid w:val="00DD4D24"/>
    <w:rsid w:val="00DD5182"/>
    <w:rsid w:val="00DD539F"/>
    <w:rsid w:val="00DD5E1D"/>
    <w:rsid w:val="00DD5E9F"/>
    <w:rsid w:val="00DD6596"/>
    <w:rsid w:val="00DD659E"/>
    <w:rsid w:val="00DD6DB4"/>
    <w:rsid w:val="00DD6F4A"/>
    <w:rsid w:val="00DD78A4"/>
    <w:rsid w:val="00DD7B60"/>
    <w:rsid w:val="00DE0926"/>
    <w:rsid w:val="00DE0DEA"/>
    <w:rsid w:val="00DE0F86"/>
    <w:rsid w:val="00DE0FEF"/>
    <w:rsid w:val="00DE1113"/>
    <w:rsid w:val="00DE12B6"/>
    <w:rsid w:val="00DE19FF"/>
    <w:rsid w:val="00DE1CE8"/>
    <w:rsid w:val="00DE2496"/>
    <w:rsid w:val="00DE2E96"/>
    <w:rsid w:val="00DE2FF6"/>
    <w:rsid w:val="00DE31CC"/>
    <w:rsid w:val="00DE3228"/>
    <w:rsid w:val="00DE335E"/>
    <w:rsid w:val="00DE34A5"/>
    <w:rsid w:val="00DE35D8"/>
    <w:rsid w:val="00DE40B2"/>
    <w:rsid w:val="00DE40B5"/>
    <w:rsid w:val="00DE41C4"/>
    <w:rsid w:val="00DE498A"/>
    <w:rsid w:val="00DE4A33"/>
    <w:rsid w:val="00DE4C5F"/>
    <w:rsid w:val="00DE50DC"/>
    <w:rsid w:val="00DE51C7"/>
    <w:rsid w:val="00DE566C"/>
    <w:rsid w:val="00DE569C"/>
    <w:rsid w:val="00DE5815"/>
    <w:rsid w:val="00DE5CA7"/>
    <w:rsid w:val="00DE66B2"/>
    <w:rsid w:val="00DE6807"/>
    <w:rsid w:val="00DE6D03"/>
    <w:rsid w:val="00DE7099"/>
    <w:rsid w:val="00DE77A6"/>
    <w:rsid w:val="00DE780F"/>
    <w:rsid w:val="00DE7B03"/>
    <w:rsid w:val="00DE7D01"/>
    <w:rsid w:val="00DF0427"/>
    <w:rsid w:val="00DF0616"/>
    <w:rsid w:val="00DF0F3B"/>
    <w:rsid w:val="00DF0FAA"/>
    <w:rsid w:val="00DF2123"/>
    <w:rsid w:val="00DF23BB"/>
    <w:rsid w:val="00DF2A0F"/>
    <w:rsid w:val="00DF2A81"/>
    <w:rsid w:val="00DF3087"/>
    <w:rsid w:val="00DF30FD"/>
    <w:rsid w:val="00DF33A5"/>
    <w:rsid w:val="00DF341B"/>
    <w:rsid w:val="00DF3850"/>
    <w:rsid w:val="00DF39E9"/>
    <w:rsid w:val="00DF431B"/>
    <w:rsid w:val="00DF4613"/>
    <w:rsid w:val="00DF4D6C"/>
    <w:rsid w:val="00DF5517"/>
    <w:rsid w:val="00DF5564"/>
    <w:rsid w:val="00DF5732"/>
    <w:rsid w:val="00DF5F35"/>
    <w:rsid w:val="00DF5FA4"/>
    <w:rsid w:val="00DF6AA2"/>
    <w:rsid w:val="00DF6BE5"/>
    <w:rsid w:val="00DF713B"/>
    <w:rsid w:val="00DF742F"/>
    <w:rsid w:val="00DF74D9"/>
    <w:rsid w:val="00DF768F"/>
    <w:rsid w:val="00DF777F"/>
    <w:rsid w:val="00DF799B"/>
    <w:rsid w:val="00DF7FA2"/>
    <w:rsid w:val="00E006D2"/>
    <w:rsid w:val="00E00798"/>
    <w:rsid w:val="00E008F0"/>
    <w:rsid w:val="00E0120C"/>
    <w:rsid w:val="00E01295"/>
    <w:rsid w:val="00E017E0"/>
    <w:rsid w:val="00E01998"/>
    <w:rsid w:val="00E01E63"/>
    <w:rsid w:val="00E02265"/>
    <w:rsid w:val="00E026A0"/>
    <w:rsid w:val="00E029E2"/>
    <w:rsid w:val="00E02B36"/>
    <w:rsid w:val="00E02B7B"/>
    <w:rsid w:val="00E03299"/>
    <w:rsid w:val="00E0360B"/>
    <w:rsid w:val="00E03A96"/>
    <w:rsid w:val="00E03C19"/>
    <w:rsid w:val="00E05056"/>
    <w:rsid w:val="00E0515E"/>
    <w:rsid w:val="00E05D56"/>
    <w:rsid w:val="00E05FF4"/>
    <w:rsid w:val="00E06396"/>
    <w:rsid w:val="00E0715B"/>
    <w:rsid w:val="00E071C5"/>
    <w:rsid w:val="00E072EA"/>
    <w:rsid w:val="00E074A0"/>
    <w:rsid w:val="00E079B8"/>
    <w:rsid w:val="00E100F8"/>
    <w:rsid w:val="00E105A9"/>
    <w:rsid w:val="00E108BB"/>
    <w:rsid w:val="00E10A26"/>
    <w:rsid w:val="00E112D9"/>
    <w:rsid w:val="00E116C7"/>
    <w:rsid w:val="00E11A3F"/>
    <w:rsid w:val="00E11AF4"/>
    <w:rsid w:val="00E1210B"/>
    <w:rsid w:val="00E12598"/>
    <w:rsid w:val="00E12608"/>
    <w:rsid w:val="00E12698"/>
    <w:rsid w:val="00E127D8"/>
    <w:rsid w:val="00E128A6"/>
    <w:rsid w:val="00E12F9A"/>
    <w:rsid w:val="00E13253"/>
    <w:rsid w:val="00E1366A"/>
    <w:rsid w:val="00E138F7"/>
    <w:rsid w:val="00E13C4E"/>
    <w:rsid w:val="00E1452A"/>
    <w:rsid w:val="00E14575"/>
    <w:rsid w:val="00E15056"/>
    <w:rsid w:val="00E151C3"/>
    <w:rsid w:val="00E154B8"/>
    <w:rsid w:val="00E15C0D"/>
    <w:rsid w:val="00E15C3C"/>
    <w:rsid w:val="00E15DB1"/>
    <w:rsid w:val="00E16173"/>
    <w:rsid w:val="00E16B9D"/>
    <w:rsid w:val="00E16D3C"/>
    <w:rsid w:val="00E17552"/>
    <w:rsid w:val="00E175D9"/>
    <w:rsid w:val="00E176AA"/>
    <w:rsid w:val="00E17A50"/>
    <w:rsid w:val="00E17E48"/>
    <w:rsid w:val="00E203F9"/>
    <w:rsid w:val="00E20937"/>
    <w:rsid w:val="00E20ECB"/>
    <w:rsid w:val="00E20F95"/>
    <w:rsid w:val="00E214C5"/>
    <w:rsid w:val="00E21571"/>
    <w:rsid w:val="00E219DF"/>
    <w:rsid w:val="00E219F6"/>
    <w:rsid w:val="00E21B03"/>
    <w:rsid w:val="00E21ED1"/>
    <w:rsid w:val="00E22445"/>
    <w:rsid w:val="00E22475"/>
    <w:rsid w:val="00E2259F"/>
    <w:rsid w:val="00E22BAB"/>
    <w:rsid w:val="00E23253"/>
    <w:rsid w:val="00E23AD5"/>
    <w:rsid w:val="00E244DE"/>
    <w:rsid w:val="00E24627"/>
    <w:rsid w:val="00E24673"/>
    <w:rsid w:val="00E24B5F"/>
    <w:rsid w:val="00E24FAB"/>
    <w:rsid w:val="00E250C5"/>
    <w:rsid w:val="00E256D2"/>
    <w:rsid w:val="00E25A95"/>
    <w:rsid w:val="00E25B5F"/>
    <w:rsid w:val="00E25C4A"/>
    <w:rsid w:val="00E25E3C"/>
    <w:rsid w:val="00E2605D"/>
    <w:rsid w:val="00E260A3"/>
    <w:rsid w:val="00E26230"/>
    <w:rsid w:val="00E264E0"/>
    <w:rsid w:val="00E26619"/>
    <w:rsid w:val="00E26D15"/>
    <w:rsid w:val="00E270BE"/>
    <w:rsid w:val="00E27357"/>
    <w:rsid w:val="00E27DDB"/>
    <w:rsid w:val="00E30091"/>
    <w:rsid w:val="00E303D5"/>
    <w:rsid w:val="00E3059A"/>
    <w:rsid w:val="00E3070B"/>
    <w:rsid w:val="00E309AB"/>
    <w:rsid w:val="00E30BC1"/>
    <w:rsid w:val="00E30D7F"/>
    <w:rsid w:val="00E30F8C"/>
    <w:rsid w:val="00E3157B"/>
    <w:rsid w:val="00E31702"/>
    <w:rsid w:val="00E31B75"/>
    <w:rsid w:val="00E31D7E"/>
    <w:rsid w:val="00E31DED"/>
    <w:rsid w:val="00E3201E"/>
    <w:rsid w:val="00E3242E"/>
    <w:rsid w:val="00E32547"/>
    <w:rsid w:val="00E325C4"/>
    <w:rsid w:val="00E33053"/>
    <w:rsid w:val="00E330C9"/>
    <w:rsid w:val="00E330FD"/>
    <w:rsid w:val="00E3330E"/>
    <w:rsid w:val="00E333D5"/>
    <w:rsid w:val="00E3351F"/>
    <w:rsid w:val="00E338D5"/>
    <w:rsid w:val="00E33992"/>
    <w:rsid w:val="00E33B8E"/>
    <w:rsid w:val="00E33CBB"/>
    <w:rsid w:val="00E33DB9"/>
    <w:rsid w:val="00E33EF4"/>
    <w:rsid w:val="00E340DE"/>
    <w:rsid w:val="00E345DF"/>
    <w:rsid w:val="00E3482D"/>
    <w:rsid w:val="00E348E6"/>
    <w:rsid w:val="00E3494C"/>
    <w:rsid w:val="00E34AB6"/>
    <w:rsid w:val="00E34EAE"/>
    <w:rsid w:val="00E3538F"/>
    <w:rsid w:val="00E353BC"/>
    <w:rsid w:val="00E354E0"/>
    <w:rsid w:val="00E35961"/>
    <w:rsid w:val="00E36291"/>
    <w:rsid w:val="00E36309"/>
    <w:rsid w:val="00E363FD"/>
    <w:rsid w:val="00E367F8"/>
    <w:rsid w:val="00E36929"/>
    <w:rsid w:val="00E369B0"/>
    <w:rsid w:val="00E369D0"/>
    <w:rsid w:val="00E36A88"/>
    <w:rsid w:val="00E36B3F"/>
    <w:rsid w:val="00E36C79"/>
    <w:rsid w:val="00E36E13"/>
    <w:rsid w:val="00E36F3A"/>
    <w:rsid w:val="00E37161"/>
    <w:rsid w:val="00E376F1"/>
    <w:rsid w:val="00E378FE"/>
    <w:rsid w:val="00E37F37"/>
    <w:rsid w:val="00E40451"/>
    <w:rsid w:val="00E4045E"/>
    <w:rsid w:val="00E40471"/>
    <w:rsid w:val="00E40679"/>
    <w:rsid w:val="00E40C0B"/>
    <w:rsid w:val="00E40DAE"/>
    <w:rsid w:val="00E40F62"/>
    <w:rsid w:val="00E41030"/>
    <w:rsid w:val="00E4121B"/>
    <w:rsid w:val="00E41294"/>
    <w:rsid w:val="00E41481"/>
    <w:rsid w:val="00E41FA0"/>
    <w:rsid w:val="00E420B9"/>
    <w:rsid w:val="00E4213A"/>
    <w:rsid w:val="00E4260A"/>
    <w:rsid w:val="00E426A8"/>
    <w:rsid w:val="00E43249"/>
    <w:rsid w:val="00E436A2"/>
    <w:rsid w:val="00E4370D"/>
    <w:rsid w:val="00E44223"/>
    <w:rsid w:val="00E44B69"/>
    <w:rsid w:val="00E45021"/>
    <w:rsid w:val="00E457CD"/>
    <w:rsid w:val="00E458D8"/>
    <w:rsid w:val="00E45C95"/>
    <w:rsid w:val="00E45D55"/>
    <w:rsid w:val="00E46195"/>
    <w:rsid w:val="00E4625B"/>
    <w:rsid w:val="00E462D4"/>
    <w:rsid w:val="00E46335"/>
    <w:rsid w:val="00E463D6"/>
    <w:rsid w:val="00E46677"/>
    <w:rsid w:val="00E46683"/>
    <w:rsid w:val="00E46745"/>
    <w:rsid w:val="00E46780"/>
    <w:rsid w:val="00E46EAB"/>
    <w:rsid w:val="00E47404"/>
    <w:rsid w:val="00E4793F"/>
    <w:rsid w:val="00E47F44"/>
    <w:rsid w:val="00E50163"/>
    <w:rsid w:val="00E5016D"/>
    <w:rsid w:val="00E501DE"/>
    <w:rsid w:val="00E50702"/>
    <w:rsid w:val="00E508CF"/>
    <w:rsid w:val="00E50E0B"/>
    <w:rsid w:val="00E51006"/>
    <w:rsid w:val="00E514DD"/>
    <w:rsid w:val="00E51537"/>
    <w:rsid w:val="00E51618"/>
    <w:rsid w:val="00E518A7"/>
    <w:rsid w:val="00E51B7A"/>
    <w:rsid w:val="00E51C0C"/>
    <w:rsid w:val="00E520F9"/>
    <w:rsid w:val="00E52832"/>
    <w:rsid w:val="00E529F5"/>
    <w:rsid w:val="00E52B59"/>
    <w:rsid w:val="00E52C1C"/>
    <w:rsid w:val="00E53307"/>
    <w:rsid w:val="00E5331A"/>
    <w:rsid w:val="00E5351C"/>
    <w:rsid w:val="00E5356B"/>
    <w:rsid w:val="00E53899"/>
    <w:rsid w:val="00E53E00"/>
    <w:rsid w:val="00E54221"/>
    <w:rsid w:val="00E542C7"/>
    <w:rsid w:val="00E544E0"/>
    <w:rsid w:val="00E5495E"/>
    <w:rsid w:val="00E549A8"/>
    <w:rsid w:val="00E54A03"/>
    <w:rsid w:val="00E54BF0"/>
    <w:rsid w:val="00E54EE7"/>
    <w:rsid w:val="00E55698"/>
    <w:rsid w:val="00E55716"/>
    <w:rsid w:val="00E56241"/>
    <w:rsid w:val="00E5637F"/>
    <w:rsid w:val="00E5650A"/>
    <w:rsid w:val="00E5651E"/>
    <w:rsid w:val="00E56546"/>
    <w:rsid w:val="00E566AD"/>
    <w:rsid w:val="00E56859"/>
    <w:rsid w:val="00E5693E"/>
    <w:rsid w:val="00E56986"/>
    <w:rsid w:val="00E569A3"/>
    <w:rsid w:val="00E569BF"/>
    <w:rsid w:val="00E569EC"/>
    <w:rsid w:val="00E56B7F"/>
    <w:rsid w:val="00E574EC"/>
    <w:rsid w:val="00E57F7D"/>
    <w:rsid w:val="00E57F9C"/>
    <w:rsid w:val="00E60834"/>
    <w:rsid w:val="00E60B25"/>
    <w:rsid w:val="00E6106B"/>
    <w:rsid w:val="00E615F9"/>
    <w:rsid w:val="00E6193C"/>
    <w:rsid w:val="00E61A11"/>
    <w:rsid w:val="00E61C5A"/>
    <w:rsid w:val="00E61CC4"/>
    <w:rsid w:val="00E61F1D"/>
    <w:rsid w:val="00E62023"/>
    <w:rsid w:val="00E623D2"/>
    <w:rsid w:val="00E62BC2"/>
    <w:rsid w:val="00E62C91"/>
    <w:rsid w:val="00E62C96"/>
    <w:rsid w:val="00E62FA1"/>
    <w:rsid w:val="00E62FDE"/>
    <w:rsid w:val="00E630FF"/>
    <w:rsid w:val="00E63179"/>
    <w:rsid w:val="00E636E2"/>
    <w:rsid w:val="00E63760"/>
    <w:rsid w:val="00E63A77"/>
    <w:rsid w:val="00E63D6C"/>
    <w:rsid w:val="00E63DAA"/>
    <w:rsid w:val="00E64663"/>
    <w:rsid w:val="00E6489D"/>
    <w:rsid w:val="00E64D62"/>
    <w:rsid w:val="00E64DC6"/>
    <w:rsid w:val="00E64F54"/>
    <w:rsid w:val="00E64FD3"/>
    <w:rsid w:val="00E651B9"/>
    <w:rsid w:val="00E651DF"/>
    <w:rsid w:val="00E65268"/>
    <w:rsid w:val="00E6545D"/>
    <w:rsid w:val="00E6548B"/>
    <w:rsid w:val="00E6592A"/>
    <w:rsid w:val="00E65F62"/>
    <w:rsid w:val="00E66A2C"/>
    <w:rsid w:val="00E66B42"/>
    <w:rsid w:val="00E66F7D"/>
    <w:rsid w:val="00E670D8"/>
    <w:rsid w:val="00E67137"/>
    <w:rsid w:val="00E67D78"/>
    <w:rsid w:val="00E67DEC"/>
    <w:rsid w:val="00E67E29"/>
    <w:rsid w:val="00E67E82"/>
    <w:rsid w:val="00E7002C"/>
    <w:rsid w:val="00E7019E"/>
    <w:rsid w:val="00E70629"/>
    <w:rsid w:val="00E7065A"/>
    <w:rsid w:val="00E70787"/>
    <w:rsid w:val="00E70AE7"/>
    <w:rsid w:val="00E70C25"/>
    <w:rsid w:val="00E70E42"/>
    <w:rsid w:val="00E71822"/>
    <w:rsid w:val="00E71ACC"/>
    <w:rsid w:val="00E71E4C"/>
    <w:rsid w:val="00E7221D"/>
    <w:rsid w:val="00E72569"/>
    <w:rsid w:val="00E72CF6"/>
    <w:rsid w:val="00E72E57"/>
    <w:rsid w:val="00E736C3"/>
    <w:rsid w:val="00E739D9"/>
    <w:rsid w:val="00E73B17"/>
    <w:rsid w:val="00E73F09"/>
    <w:rsid w:val="00E74025"/>
    <w:rsid w:val="00E74157"/>
    <w:rsid w:val="00E7476C"/>
    <w:rsid w:val="00E74C54"/>
    <w:rsid w:val="00E7615F"/>
    <w:rsid w:val="00E76AE0"/>
    <w:rsid w:val="00E76BA8"/>
    <w:rsid w:val="00E76CC3"/>
    <w:rsid w:val="00E76FBB"/>
    <w:rsid w:val="00E779C2"/>
    <w:rsid w:val="00E77A63"/>
    <w:rsid w:val="00E77CD0"/>
    <w:rsid w:val="00E77D00"/>
    <w:rsid w:val="00E77E86"/>
    <w:rsid w:val="00E77F68"/>
    <w:rsid w:val="00E80099"/>
    <w:rsid w:val="00E8017B"/>
    <w:rsid w:val="00E8029D"/>
    <w:rsid w:val="00E80652"/>
    <w:rsid w:val="00E80B77"/>
    <w:rsid w:val="00E80F77"/>
    <w:rsid w:val="00E81930"/>
    <w:rsid w:val="00E81A4E"/>
    <w:rsid w:val="00E81A87"/>
    <w:rsid w:val="00E81C74"/>
    <w:rsid w:val="00E81D51"/>
    <w:rsid w:val="00E81D52"/>
    <w:rsid w:val="00E81D9E"/>
    <w:rsid w:val="00E82508"/>
    <w:rsid w:val="00E828FE"/>
    <w:rsid w:val="00E82DD1"/>
    <w:rsid w:val="00E830BD"/>
    <w:rsid w:val="00E830E2"/>
    <w:rsid w:val="00E83363"/>
    <w:rsid w:val="00E83380"/>
    <w:rsid w:val="00E83948"/>
    <w:rsid w:val="00E83CF9"/>
    <w:rsid w:val="00E83D6F"/>
    <w:rsid w:val="00E83EE5"/>
    <w:rsid w:val="00E8434B"/>
    <w:rsid w:val="00E848E5"/>
    <w:rsid w:val="00E84B3C"/>
    <w:rsid w:val="00E84B88"/>
    <w:rsid w:val="00E85534"/>
    <w:rsid w:val="00E85D07"/>
    <w:rsid w:val="00E85D97"/>
    <w:rsid w:val="00E86125"/>
    <w:rsid w:val="00E8647D"/>
    <w:rsid w:val="00E866C8"/>
    <w:rsid w:val="00E869E5"/>
    <w:rsid w:val="00E86C04"/>
    <w:rsid w:val="00E86D11"/>
    <w:rsid w:val="00E86D55"/>
    <w:rsid w:val="00E872A2"/>
    <w:rsid w:val="00E8765C"/>
    <w:rsid w:val="00E876FC"/>
    <w:rsid w:val="00E901AB"/>
    <w:rsid w:val="00E90690"/>
    <w:rsid w:val="00E90886"/>
    <w:rsid w:val="00E90CF5"/>
    <w:rsid w:val="00E911F6"/>
    <w:rsid w:val="00E917D9"/>
    <w:rsid w:val="00E918E9"/>
    <w:rsid w:val="00E91C06"/>
    <w:rsid w:val="00E92238"/>
    <w:rsid w:val="00E926DF"/>
    <w:rsid w:val="00E926E3"/>
    <w:rsid w:val="00E92974"/>
    <w:rsid w:val="00E92F98"/>
    <w:rsid w:val="00E930F8"/>
    <w:rsid w:val="00E932D0"/>
    <w:rsid w:val="00E9331D"/>
    <w:rsid w:val="00E936E6"/>
    <w:rsid w:val="00E93A2B"/>
    <w:rsid w:val="00E945B2"/>
    <w:rsid w:val="00E94921"/>
    <w:rsid w:val="00E94C53"/>
    <w:rsid w:val="00E951DF"/>
    <w:rsid w:val="00E95322"/>
    <w:rsid w:val="00E95490"/>
    <w:rsid w:val="00E95BB7"/>
    <w:rsid w:val="00E95E54"/>
    <w:rsid w:val="00E96053"/>
    <w:rsid w:val="00E96273"/>
    <w:rsid w:val="00E968C1"/>
    <w:rsid w:val="00E96B7A"/>
    <w:rsid w:val="00E971F6"/>
    <w:rsid w:val="00E97B29"/>
    <w:rsid w:val="00E97CE8"/>
    <w:rsid w:val="00E97F1E"/>
    <w:rsid w:val="00EA0074"/>
    <w:rsid w:val="00EA0E54"/>
    <w:rsid w:val="00EA14FD"/>
    <w:rsid w:val="00EA1769"/>
    <w:rsid w:val="00EA1B65"/>
    <w:rsid w:val="00EA1E57"/>
    <w:rsid w:val="00EA200D"/>
    <w:rsid w:val="00EA2384"/>
    <w:rsid w:val="00EA27B1"/>
    <w:rsid w:val="00EA2B31"/>
    <w:rsid w:val="00EA2D42"/>
    <w:rsid w:val="00EA2F3A"/>
    <w:rsid w:val="00EA3671"/>
    <w:rsid w:val="00EA42FE"/>
    <w:rsid w:val="00EA476E"/>
    <w:rsid w:val="00EA47BC"/>
    <w:rsid w:val="00EA4904"/>
    <w:rsid w:val="00EA4C8F"/>
    <w:rsid w:val="00EA50CD"/>
    <w:rsid w:val="00EA52B2"/>
    <w:rsid w:val="00EA57F0"/>
    <w:rsid w:val="00EA59A6"/>
    <w:rsid w:val="00EA6230"/>
    <w:rsid w:val="00EA6408"/>
    <w:rsid w:val="00EA6A1A"/>
    <w:rsid w:val="00EA6D3B"/>
    <w:rsid w:val="00EA7634"/>
    <w:rsid w:val="00EA7B12"/>
    <w:rsid w:val="00EB076E"/>
    <w:rsid w:val="00EB0DEA"/>
    <w:rsid w:val="00EB1F63"/>
    <w:rsid w:val="00EB200C"/>
    <w:rsid w:val="00EB23B7"/>
    <w:rsid w:val="00EB2507"/>
    <w:rsid w:val="00EB27BC"/>
    <w:rsid w:val="00EB2A57"/>
    <w:rsid w:val="00EB2EC6"/>
    <w:rsid w:val="00EB2FEC"/>
    <w:rsid w:val="00EB319E"/>
    <w:rsid w:val="00EB3469"/>
    <w:rsid w:val="00EB3C60"/>
    <w:rsid w:val="00EB3ECB"/>
    <w:rsid w:val="00EB3F41"/>
    <w:rsid w:val="00EB445C"/>
    <w:rsid w:val="00EB46C0"/>
    <w:rsid w:val="00EB4CCB"/>
    <w:rsid w:val="00EB4EBB"/>
    <w:rsid w:val="00EB4F18"/>
    <w:rsid w:val="00EB51A4"/>
    <w:rsid w:val="00EB5A25"/>
    <w:rsid w:val="00EB5BC5"/>
    <w:rsid w:val="00EB5DD1"/>
    <w:rsid w:val="00EB6678"/>
    <w:rsid w:val="00EB6A32"/>
    <w:rsid w:val="00EB6A65"/>
    <w:rsid w:val="00EB6F1A"/>
    <w:rsid w:val="00EB7645"/>
    <w:rsid w:val="00EB76F7"/>
    <w:rsid w:val="00EB77C6"/>
    <w:rsid w:val="00EB7E30"/>
    <w:rsid w:val="00EC0A66"/>
    <w:rsid w:val="00EC0D8E"/>
    <w:rsid w:val="00EC135F"/>
    <w:rsid w:val="00EC173E"/>
    <w:rsid w:val="00EC1DF8"/>
    <w:rsid w:val="00EC1FB0"/>
    <w:rsid w:val="00EC24CD"/>
    <w:rsid w:val="00EC289C"/>
    <w:rsid w:val="00EC2E51"/>
    <w:rsid w:val="00EC33A0"/>
    <w:rsid w:val="00EC3401"/>
    <w:rsid w:val="00EC37D5"/>
    <w:rsid w:val="00EC3973"/>
    <w:rsid w:val="00EC39F4"/>
    <w:rsid w:val="00EC3B9E"/>
    <w:rsid w:val="00EC404E"/>
    <w:rsid w:val="00EC4297"/>
    <w:rsid w:val="00EC4393"/>
    <w:rsid w:val="00EC4836"/>
    <w:rsid w:val="00EC4981"/>
    <w:rsid w:val="00EC49F5"/>
    <w:rsid w:val="00EC4DFD"/>
    <w:rsid w:val="00EC5088"/>
    <w:rsid w:val="00EC5214"/>
    <w:rsid w:val="00EC5481"/>
    <w:rsid w:val="00EC58F7"/>
    <w:rsid w:val="00EC598E"/>
    <w:rsid w:val="00EC6038"/>
    <w:rsid w:val="00EC6BC6"/>
    <w:rsid w:val="00EC78C1"/>
    <w:rsid w:val="00EC7AA8"/>
    <w:rsid w:val="00EC7CE7"/>
    <w:rsid w:val="00EC7FDD"/>
    <w:rsid w:val="00ED01DE"/>
    <w:rsid w:val="00ED0295"/>
    <w:rsid w:val="00ED03FB"/>
    <w:rsid w:val="00ED073E"/>
    <w:rsid w:val="00ED08FD"/>
    <w:rsid w:val="00ED0D05"/>
    <w:rsid w:val="00ED1049"/>
    <w:rsid w:val="00ED13A0"/>
    <w:rsid w:val="00ED17CC"/>
    <w:rsid w:val="00ED1E2C"/>
    <w:rsid w:val="00ED21C2"/>
    <w:rsid w:val="00ED24C0"/>
    <w:rsid w:val="00ED2534"/>
    <w:rsid w:val="00ED2551"/>
    <w:rsid w:val="00ED2AAD"/>
    <w:rsid w:val="00ED2F10"/>
    <w:rsid w:val="00ED37F5"/>
    <w:rsid w:val="00ED3962"/>
    <w:rsid w:val="00ED3B16"/>
    <w:rsid w:val="00ED4104"/>
    <w:rsid w:val="00ED4198"/>
    <w:rsid w:val="00ED4706"/>
    <w:rsid w:val="00ED4B00"/>
    <w:rsid w:val="00ED4EBB"/>
    <w:rsid w:val="00ED552A"/>
    <w:rsid w:val="00ED5848"/>
    <w:rsid w:val="00ED5CC8"/>
    <w:rsid w:val="00ED5E38"/>
    <w:rsid w:val="00ED60B3"/>
    <w:rsid w:val="00ED71E3"/>
    <w:rsid w:val="00ED73DC"/>
    <w:rsid w:val="00ED7C53"/>
    <w:rsid w:val="00ED7D7B"/>
    <w:rsid w:val="00EE044F"/>
    <w:rsid w:val="00EE06FE"/>
    <w:rsid w:val="00EE0E85"/>
    <w:rsid w:val="00EE0FBE"/>
    <w:rsid w:val="00EE1259"/>
    <w:rsid w:val="00EE1448"/>
    <w:rsid w:val="00EE1593"/>
    <w:rsid w:val="00EE1F17"/>
    <w:rsid w:val="00EE20DB"/>
    <w:rsid w:val="00EE21B0"/>
    <w:rsid w:val="00EE2CF7"/>
    <w:rsid w:val="00EE30E4"/>
    <w:rsid w:val="00EE3277"/>
    <w:rsid w:val="00EE379E"/>
    <w:rsid w:val="00EE39FF"/>
    <w:rsid w:val="00EE3D09"/>
    <w:rsid w:val="00EE3FA0"/>
    <w:rsid w:val="00EE4490"/>
    <w:rsid w:val="00EE4EEF"/>
    <w:rsid w:val="00EE521C"/>
    <w:rsid w:val="00EE536A"/>
    <w:rsid w:val="00EE5BB4"/>
    <w:rsid w:val="00EE5DFA"/>
    <w:rsid w:val="00EE5F25"/>
    <w:rsid w:val="00EE638A"/>
    <w:rsid w:val="00EE6832"/>
    <w:rsid w:val="00EE6D11"/>
    <w:rsid w:val="00EE7248"/>
    <w:rsid w:val="00EE727C"/>
    <w:rsid w:val="00EE74AB"/>
    <w:rsid w:val="00EE78E2"/>
    <w:rsid w:val="00EE79FE"/>
    <w:rsid w:val="00EE7F05"/>
    <w:rsid w:val="00EF0579"/>
    <w:rsid w:val="00EF0A40"/>
    <w:rsid w:val="00EF0F6D"/>
    <w:rsid w:val="00EF15E1"/>
    <w:rsid w:val="00EF165D"/>
    <w:rsid w:val="00EF1755"/>
    <w:rsid w:val="00EF18F6"/>
    <w:rsid w:val="00EF1A12"/>
    <w:rsid w:val="00EF2C03"/>
    <w:rsid w:val="00EF350D"/>
    <w:rsid w:val="00EF35F9"/>
    <w:rsid w:val="00EF36BE"/>
    <w:rsid w:val="00EF376D"/>
    <w:rsid w:val="00EF3A70"/>
    <w:rsid w:val="00EF3BE7"/>
    <w:rsid w:val="00EF3D58"/>
    <w:rsid w:val="00EF426F"/>
    <w:rsid w:val="00EF437D"/>
    <w:rsid w:val="00EF478E"/>
    <w:rsid w:val="00EF4856"/>
    <w:rsid w:val="00EF50E0"/>
    <w:rsid w:val="00EF529B"/>
    <w:rsid w:val="00EF52D7"/>
    <w:rsid w:val="00EF5571"/>
    <w:rsid w:val="00EF5842"/>
    <w:rsid w:val="00EF59D3"/>
    <w:rsid w:val="00EF5CA5"/>
    <w:rsid w:val="00EF5F12"/>
    <w:rsid w:val="00EF6411"/>
    <w:rsid w:val="00EF66D3"/>
    <w:rsid w:val="00EF673D"/>
    <w:rsid w:val="00EF67C2"/>
    <w:rsid w:val="00EF6AD2"/>
    <w:rsid w:val="00EF6F3A"/>
    <w:rsid w:val="00EF6FF1"/>
    <w:rsid w:val="00EF7063"/>
    <w:rsid w:val="00EF7084"/>
    <w:rsid w:val="00EF72E7"/>
    <w:rsid w:val="00EF777C"/>
    <w:rsid w:val="00EF77EB"/>
    <w:rsid w:val="00EF7E42"/>
    <w:rsid w:val="00F0006A"/>
    <w:rsid w:val="00F002DF"/>
    <w:rsid w:val="00F00901"/>
    <w:rsid w:val="00F00C74"/>
    <w:rsid w:val="00F01044"/>
    <w:rsid w:val="00F01174"/>
    <w:rsid w:val="00F01958"/>
    <w:rsid w:val="00F02024"/>
    <w:rsid w:val="00F020ED"/>
    <w:rsid w:val="00F021ED"/>
    <w:rsid w:val="00F024CA"/>
    <w:rsid w:val="00F02509"/>
    <w:rsid w:val="00F0256C"/>
    <w:rsid w:val="00F02775"/>
    <w:rsid w:val="00F02A5A"/>
    <w:rsid w:val="00F02AB6"/>
    <w:rsid w:val="00F02D55"/>
    <w:rsid w:val="00F030AE"/>
    <w:rsid w:val="00F030EE"/>
    <w:rsid w:val="00F03B11"/>
    <w:rsid w:val="00F03B39"/>
    <w:rsid w:val="00F03C13"/>
    <w:rsid w:val="00F03FDC"/>
    <w:rsid w:val="00F03FFA"/>
    <w:rsid w:val="00F04029"/>
    <w:rsid w:val="00F04052"/>
    <w:rsid w:val="00F040BC"/>
    <w:rsid w:val="00F04542"/>
    <w:rsid w:val="00F046C4"/>
    <w:rsid w:val="00F047E8"/>
    <w:rsid w:val="00F04995"/>
    <w:rsid w:val="00F04AF1"/>
    <w:rsid w:val="00F04BD7"/>
    <w:rsid w:val="00F04FED"/>
    <w:rsid w:val="00F05243"/>
    <w:rsid w:val="00F055D6"/>
    <w:rsid w:val="00F05784"/>
    <w:rsid w:val="00F05B7D"/>
    <w:rsid w:val="00F05BC8"/>
    <w:rsid w:val="00F06339"/>
    <w:rsid w:val="00F06673"/>
    <w:rsid w:val="00F06961"/>
    <w:rsid w:val="00F06C61"/>
    <w:rsid w:val="00F06DF3"/>
    <w:rsid w:val="00F071D5"/>
    <w:rsid w:val="00F07C18"/>
    <w:rsid w:val="00F07DCE"/>
    <w:rsid w:val="00F07FA9"/>
    <w:rsid w:val="00F0E014"/>
    <w:rsid w:val="00F10013"/>
    <w:rsid w:val="00F1066F"/>
    <w:rsid w:val="00F10AC8"/>
    <w:rsid w:val="00F115D5"/>
    <w:rsid w:val="00F11657"/>
    <w:rsid w:val="00F116BE"/>
    <w:rsid w:val="00F117B9"/>
    <w:rsid w:val="00F11BDE"/>
    <w:rsid w:val="00F11F0A"/>
    <w:rsid w:val="00F120D3"/>
    <w:rsid w:val="00F121A0"/>
    <w:rsid w:val="00F12525"/>
    <w:rsid w:val="00F12561"/>
    <w:rsid w:val="00F12695"/>
    <w:rsid w:val="00F132A6"/>
    <w:rsid w:val="00F136C4"/>
    <w:rsid w:val="00F139CB"/>
    <w:rsid w:val="00F1415F"/>
    <w:rsid w:val="00F14201"/>
    <w:rsid w:val="00F14651"/>
    <w:rsid w:val="00F14F1C"/>
    <w:rsid w:val="00F1508C"/>
    <w:rsid w:val="00F151CF"/>
    <w:rsid w:val="00F1557D"/>
    <w:rsid w:val="00F1578E"/>
    <w:rsid w:val="00F157C9"/>
    <w:rsid w:val="00F159B9"/>
    <w:rsid w:val="00F15CF9"/>
    <w:rsid w:val="00F15EB8"/>
    <w:rsid w:val="00F160DF"/>
    <w:rsid w:val="00F16687"/>
    <w:rsid w:val="00F16ABA"/>
    <w:rsid w:val="00F16AE5"/>
    <w:rsid w:val="00F16B61"/>
    <w:rsid w:val="00F171D3"/>
    <w:rsid w:val="00F173A9"/>
    <w:rsid w:val="00F17442"/>
    <w:rsid w:val="00F1768D"/>
    <w:rsid w:val="00F17C79"/>
    <w:rsid w:val="00F17D0D"/>
    <w:rsid w:val="00F17E11"/>
    <w:rsid w:val="00F2011F"/>
    <w:rsid w:val="00F202CA"/>
    <w:rsid w:val="00F203FA"/>
    <w:rsid w:val="00F205B3"/>
    <w:rsid w:val="00F20763"/>
    <w:rsid w:val="00F208DA"/>
    <w:rsid w:val="00F208FD"/>
    <w:rsid w:val="00F20A09"/>
    <w:rsid w:val="00F21519"/>
    <w:rsid w:val="00F220FD"/>
    <w:rsid w:val="00F2225B"/>
    <w:rsid w:val="00F227C8"/>
    <w:rsid w:val="00F2326B"/>
    <w:rsid w:val="00F23B39"/>
    <w:rsid w:val="00F23CB7"/>
    <w:rsid w:val="00F23DD7"/>
    <w:rsid w:val="00F240C0"/>
    <w:rsid w:val="00F2427D"/>
    <w:rsid w:val="00F248E1"/>
    <w:rsid w:val="00F257B5"/>
    <w:rsid w:val="00F25B40"/>
    <w:rsid w:val="00F25B70"/>
    <w:rsid w:val="00F25D37"/>
    <w:rsid w:val="00F26442"/>
    <w:rsid w:val="00F2679F"/>
    <w:rsid w:val="00F268CA"/>
    <w:rsid w:val="00F2720E"/>
    <w:rsid w:val="00F27581"/>
    <w:rsid w:val="00F27587"/>
    <w:rsid w:val="00F27706"/>
    <w:rsid w:val="00F27713"/>
    <w:rsid w:val="00F2776D"/>
    <w:rsid w:val="00F27D1A"/>
    <w:rsid w:val="00F30082"/>
    <w:rsid w:val="00F30553"/>
    <w:rsid w:val="00F305B4"/>
    <w:rsid w:val="00F30B02"/>
    <w:rsid w:val="00F30B90"/>
    <w:rsid w:val="00F30D1E"/>
    <w:rsid w:val="00F31422"/>
    <w:rsid w:val="00F31E51"/>
    <w:rsid w:val="00F31F02"/>
    <w:rsid w:val="00F32778"/>
    <w:rsid w:val="00F328DC"/>
    <w:rsid w:val="00F32B66"/>
    <w:rsid w:val="00F32E82"/>
    <w:rsid w:val="00F33323"/>
    <w:rsid w:val="00F33506"/>
    <w:rsid w:val="00F33C46"/>
    <w:rsid w:val="00F33D39"/>
    <w:rsid w:val="00F3435F"/>
    <w:rsid w:val="00F3462C"/>
    <w:rsid w:val="00F346E6"/>
    <w:rsid w:val="00F348A3"/>
    <w:rsid w:val="00F34BE5"/>
    <w:rsid w:val="00F34C40"/>
    <w:rsid w:val="00F35024"/>
    <w:rsid w:val="00F35266"/>
    <w:rsid w:val="00F356CD"/>
    <w:rsid w:val="00F35BC0"/>
    <w:rsid w:val="00F35D8A"/>
    <w:rsid w:val="00F35E30"/>
    <w:rsid w:val="00F3627C"/>
    <w:rsid w:val="00F362CA"/>
    <w:rsid w:val="00F368F7"/>
    <w:rsid w:val="00F36A59"/>
    <w:rsid w:val="00F36B1B"/>
    <w:rsid w:val="00F36EE8"/>
    <w:rsid w:val="00F36F65"/>
    <w:rsid w:val="00F37295"/>
    <w:rsid w:val="00F3746A"/>
    <w:rsid w:val="00F37925"/>
    <w:rsid w:val="00F38842"/>
    <w:rsid w:val="00F4051A"/>
    <w:rsid w:val="00F40864"/>
    <w:rsid w:val="00F40B75"/>
    <w:rsid w:val="00F4116A"/>
    <w:rsid w:val="00F41692"/>
    <w:rsid w:val="00F41774"/>
    <w:rsid w:val="00F4181E"/>
    <w:rsid w:val="00F419F3"/>
    <w:rsid w:val="00F420DC"/>
    <w:rsid w:val="00F42173"/>
    <w:rsid w:val="00F421AB"/>
    <w:rsid w:val="00F42250"/>
    <w:rsid w:val="00F4295B"/>
    <w:rsid w:val="00F42BA9"/>
    <w:rsid w:val="00F42F32"/>
    <w:rsid w:val="00F430E4"/>
    <w:rsid w:val="00F4341C"/>
    <w:rsid w:val="00F434B3"/>
    <w:rsid w:val="00F4352E"/>
    <w:rsid w:val="00F437BB"/>
    <w:rsid w:val="00F43BBD"/>
    <w:rsid w:val="00F43CBC"/>
    <w:rsid w:val="00F43D53"/>
    <w:rsid w:val="00F43E53"/>
    <w:rsid w:val="00F43E6B"/>
    <w:rsid w:val="00F43E83"/>
    <w:rsid w:val="00F43F14"/>
    <w:rsid w:val="00F44318"/>
    <w:rsid w:val="00F44774"/>
    <w:rsid w:val="00F44895"/>
    <w:rsid w:val="00F4496F"/>
    <w:rsid w:val="00F455CE"/>
    <w:rsid w:val="00F4587B"/>
    <w:rsid w:val="00F45C74"/>
    <w:rsid w:val="00F45CAF"/>
    <w:rsid w:val="00F46304"/>
    <w:rsid w:val="00F463BC"/>
    <w:rsid w:val="00F46E36"/>
    <w:rsid w:val="00F46F0B"/>
    <w:rsid w:val="00F46F8D"/>
    <w:rsid w:val="00F470FF"/>
    <w:rsid w:val="00F471C4"/>
    <w:rsid w:val="00F47380"/>
    <w:rsid w:val="00F4762C"/>
    <w:rsid w:val="00F47858"/>
    <w:rsid w:val="00F47AD8"/>
    <w:rsid w:val="00F47AD9"/>
    <w:rsid w:val="00F47F2F"/>
    <w:rsid w:val="00F5020D"/>
    <w:rsid w:val="00F50470"/>
    <w:rsid w:val="00F50585"/>
    <w:rsid w:val="00F506E0"/>
    <w:rsid w:val="00F507F6"/>
    <w:rsid w:val="00F50DAA"/>
    <w:rsid w:val="00F50FB0"/>
    <w:rsid w:val="00F51029"/>
    <w:rsid w:val="00F51301"/>
    <w:rsid w:val="00F51537"/>
    <w:rsid w:val="00F51696"/>
    <w:rsid w:val="00F516E3"/>
    <w:rsid w:val="00F51ACE"/>
    <w:rsid w:val="00F51D50"/>
    <w:rsid w:val="00F51D8B"/>
    <w:rsid w:val="00F51EFB"/>
    <w:rsid w:val="00F52AEE"/>
    <w:rsid w:val="00F52BB7"/>
    <w:rsid w:val="00F52CC1"/>
    <w:rsid w:val="00F533E8"/>
    <w:rsid w:val="00F5352C"/>
    <w:rsid w:val="00F53B3D"/>
    <w:rsid w:val="00F53DD5"/>
    <w:rsid w:val="00F54219"/>
    <w:rsid w:val="00F54832"/>
    <w:rsid w:val="00F54A95"/>
    <w:rsid w:val="00F54F3D"/>
    <w:rsid w:val="00F54F51"/>
    <w:rsid w:val="00F5591D"/>
    <w:rsid w:val="00F56302"/>
    <w:rsid w:val="00F56D88"/>
    <w:rsid w:val="00F56D8C"/>
    <w:rsid w:val="00F57089"/>
    <w:rsid w:val="00F57400"/>
    <w:rsid w:val="00F57885"/>
    <w:rsid w:val="00F5796A"/>
    <w:rsid w:val="00F579D9"/>
    <w:rsid w:val="00F57A6E"/>
    <w:rsid w:val="00F57AD7"/>
    <w:rsid w:val="00F57D9A"/>
    <w:rsid w:val="00F60152"/>
    <w:rsid w:val="00F606BE"/>
    <w:rsid w:val="00F609AD"/>
    <w:rsid w:val="00F60AC3"/>
    <w:rsid w:val="00F60AD7"/>
    <w:rsid w:val="00F60DD4"/>
    <w:rsid w:val="00F61BFB"/>
    <w:rsid w:val="00F62D2C"/>
    <w:rsid w:val="00F62DD6"/>
    <w:rsid w:val="00F63515"/>
    <w:rsid w:val="00F6352F"/>
    <w:rsid w:val="00F637F2"/>
    <w:rsid w:val="00F63968"/>
    <w:rsid w:val="00F63D7A"/>
    <w:rsid w:val="00F63F99"/>
    <w:rsid w:val="00F64019"/>
    <w:rsid w:val="00F64160"/>
    <w:rsid w:val="00F64558"/>
    <w:rsid w:val="00F64BB0"/>
    <w:rsid w:val="00F64C7E"/>
    <w:rsid w:val="00F64FB2"/>
    <w:rsid w:val="00F652FA"/>
    <w:rsid w:val="00F6558F"/>
    <w:rsid w:val="00F655AC"/>
    <w:rsid w:val="00F65601"/>
    <w:rsid w:val="00F65B87"/>
    <w:rsid w:val="00F65CF2"/>
    <w:rsid w:val="00F66144"/>
    <w:rsid w:val="00F66245"/>
    <w:rsid w:val="00F66A3F"/>
    <w:rsid w:val="00F66BD8"/>
    <w:rsid w:val="00F66C25"/>
    <w:rsid w:val="00F66CB7"/>
    <w:rsid w:val="00F66DD6"/>
    <w:rsid w:val="00F6713F"/>
    <w:rsid w:val="00F673F1"/>
    <w:rsid w:val="00F6757E"/>
    <w:rsid w:val="00F6763C"/>
    <w:rsid w:val="00F67E73"/>
    <w:rsid w:val="00F67EB2"/>
    <w:rsid w:val="00F707A5"/>
    <w:rsid w:val="00F70956"/>
    <w:rsid w:val="00F70C09"/>
    <w:rsid w:val="00F70CF5"/>
    <w:rsid w:val="00F70DC0"/>
    <w:rsid w:val="00F70F35"/>
    <w:rsid w:val="00F71013"/>
    <w:rsid w:val="00F71247"/>
    <w:rsid w:val="00F714FD"/>
    <w:rsid w:val="00F71586"/>
    <w:rsid w:val="00F7169D"/>
    <w:rsid w:val="00F717AA"/>
    <w:rsid w:val="00F717B6"/>
    <w:rsid w:val="00F71D37"/>
    <w:rsid w:val="00F72363"/>
    <w:rsid w:val="00F72583"/>
    <w:rsid w:val="00F726D1"/>
    <w:rsid w:val="00F727DD"/>
    <w:rsid w:val="00F7290E"/>
    <w:rsid w:val="00F7293B"/>
    <w:rsid w:val="00F72CF5"/>
    <w:rsid w:val="00F73315"/>
    <w:rsid w:val="00F73A80"/>
    <w:rsid w:val="00F73AEA"/>
    <w:rsid w:val="00F73D48"/>
    <w:rsid w:val="00F73E11"/>
    <w:rsid w:val="00F7427C"/>
    <w:rsid w:val="00F745FB"/>
    <w:rsid w:val="00F74604"/>
    <w:rsid w:val="00F74AB0"/>
    <w:rsid w:val="00F74B51"/>
    <w:rsid w:val="00F74CEC"/>
    <w:rsid w:val="00F751DB"/>
    <w:rsid w:val="00F7527C"/>
    <w:rsid w:val="00F7582D"/>
    <w:rsid w:val="00F75E35"/>
    <w:rsid w:val="00F7612A"/>
    <w:rsid w:val="00F76538"/>
    <w:rsid w:val="00F76626"/>
    <w:rsid w:val="00F767EB"/>
    <w:rsid w:val="00F76E3B"/>
    <w:rsid w:val="00F774DB"/>
    <w:rsid w:val="00F77B49"/>
    <w:rsid w:val="00F77FB6"/>
    <w:rsid w:val="00F806A6"/>
    <w:rsid w:val="00F80714"/>
    <w:rsid w:val="00F80943"/>
    <w:rsid w:val="00F80BCF"/>
    <w:rsid w:val="00F80BE9"/>
    <w:rsid w:val="00F80CF1"/>
    <w:rsid w:val="00F81362"/>
    <w:rsid w:val="00F813DC"/>
    <w:rsid w:val="00F813E4"/>
    <w:rsid w:val="00F81F28"/>
    <w:rsid w:val="00F823B3"/>
    <w:rsid w:val="00F8293B"/>
    <w:rsid w:val="00F82D1E"/>
    <w:rsid w:val="00F83165"/>
    <w:rsid w:val="00F837A1"/>
    <w:rsid w:val="00F83EB2"/>
    <w:rsid w:val="00F84256"/>
    <w:rsid w:val="00F84636"/>
    <w:rsid w:val="00F84B98"/>
    <w:rsid w:val="00F84BED"/>
    <w:rsid w:val="00F853BD"/>
    <w:rsid w:val="00F854A6"/>
    <w:rsid w:val="00F854EE"/>
    <w:rsid w:val="00F85663"/>
    <w:rsid w:val="00F85A13"/>
    <w:rsid w:val="00F85DD9"/>
    <w:rsid w:val="00F8602D"/>
    <w:rsid w:val="00F86105"/>
    <w:rsid w:val="00F867B6"/>
    <w:rsid w:val="00F86981"/>
    <w:rsid w:val="00F874ED"/>
    <w:rsid w:val="00F877D3"/>
    <w:rsid w:val="00F87E16"/>
    <w:rsid w:val="00F87F4C"/>
    <w:rsid w:val="00F90162"/>
    <w:rsid w:val="00F9017B"/>
    <w:rsid w:val="00F9072A"/>
    <w:rsid w:val="00F90CD5"/>
    <w:rsid w:val="00F91119"/>
    <w:rsid w:val="00F91245"/>
    <w:rsid w:val="00F91353"/>
    <w:rsid w:val="00F920D6"/>
    <w:rsid w:val="00F92406"/>
    <w:rsid w:val="00F925C8"/>
    <w:rsid w:val="00F926C0"/>
    <w:rsid w:val="00F926E4"/>
    <w:rsid w:val="00F92A21"/>
    <w:rsid w:val="00F92C42"/>
    <w:rsid w:val="00F92FA2"/>
    <w:rsid w:val="00F930F8"/>
    <w:rsid w:val="00F933A7"/>
    <w:rsid w:val="00F93418"/>
    <w:rsid w:val="00F93C8B"/>
    <w:rsid w:val="00F93CDB"/>
    <w:rsid w:val="00F942C6"/>
    <w:rsid w:val="00F9452A"/>
    <w:rsid w:val="00F9468F"/>
    <w:rsid w:val="00F946F6"/>
    <w:rsid w:val="00F95C1E"/>
    <w:rsid w:val="00F95D82"/>
    <w:rsid w:val="00F96122"/>
    <w:rsid w:val="00F966CB"/>
    <w:rsid w:val="00F9684A"/>
    <w:rsid w:val="00F96CA6"/>
    <w:rsid w:val="00F96F39"/>
    <w:rsid w:val="00F9722F"/>
    <w:rsid w:val="00F97258"/>
    <w:rsid w:val="00F97F1A"/>
    <w:rsid w:val="00F97FBB"/>
    <w:rsid w:val="00FA0381"/>
    <w:rsid w:val="00FA063C"/>
    <w:rsid w:val="00FA0825"/>
    <w:rsid w:val="00FA08AD"/>
    <w:rsid w:val="00FA0D98"/>
    <w:rsid w:val="00FA15A1"/>
    <w:rsid w:val="00FA1606"/>
    <w:rsid w:val="00FA167B"/>
    <w:rsid w:val="00FA1889"/>
    <w:rsid w:val="00FA1904"/>
    <w:rsid w:val="00FA1DFC"/>
    <w:rsid w:val="00FA22EF"/>
    <w:rsid w:val="00FA2A68"/>
    <w:rsid w:val="00FA2D1F"/>
    <w:rsid w:val="00FA2F27"/>
    <w:rsid w:val="00FA3740"/>
    <w:rsid w:val="00FA3898"/>
    <w:rsid w:val="00FA3BC8"/>
    <w:rsid w:val="00FA4150"/>
    <w:rsid w:val="00FA430F"/>
    <w:rsid w:val="00FA443A"/>
    <w:rsid w:val="00FA4CCF"/>
    <w:rsid w:val="00FA4F64"/>
    <w:rsid w:val="00FA5766"/>
    <w:rsid w:val="00FA6474"/>
    <w:rsid w:val="00FA64C4"/>
    <w:rsid w:val="00FA67FC"/>
    <w:rsid w:val="00FA6CBC"/>
    <w:rsid w:val="00FA6F42"/>
    <w:rsid w:val="00FA70E9"/>
    <w:rsid w:val="00FA71BB"/>
    <w:rsid w:val="00FA7440"/>
    <w:rsid w:val="00FA7472"/>
    <w:rsid w:val="00FA74AD"/>
    <w:rsid w:val="00FA7A3D"/>
    <w:rsid w:val="00FA7D7D"/>
    <w:rsid w:val="00FB006A"/>
    <w:rsid w:val="00FB0111"/>
    <w:rsid w:val="00FB0832"/>
    <w:rsid w:val="00FB08CF"/>
    <w:rsid w:val="00FB1B8F"/>
    <w:rsid w:val="00FB1C5E"/>
    <w:rsid w:val="00FB1EB4"/>
    <w:rsid w:val="00FB25B2"/>
    <w:rsid w:val="00FB2C02"/>
    <w:rsid w:val="00FB3108"/>
    <w:rsid w:val="00FB34A7"/>
    <w:rsid w:val="00FB372A"/>
    <w:rsid w:val="00FB3751"/>
    <w:rsid w:val="00FB384E"/>
    <w:rsid w:val="00FB393E"/>
    <w:rsid w:val="00FB3F73"/>
    <w:rsid w:val="00FB4102"/>
    <w:rsid w:val="00FB5547"/>
    <w:rsid w:val="00FB5B6F"/>
    <w:rsid w:val="00FB5C23"/>
    <w:rsid w:val="00FB5F9B"/>
    <w:rsid w:val="00FB620D"/>
    <w:rsid w:val="00FB66F6"/>
    <w:rsid w:val="00FB6D0C"/>
    <w:rsid w:val="00FB6D7E"/>
    <w:rsid w:val="00FB6F67"/>
    <w:rsid w:val="00FB6FA6"/>
    <w:rsid w:val="00FB75AA"/>
    <w:rsid w:val="00FB7844"/>
    <w:rsid w:val="00FB7AA8"/>
    <w:rsid w:val="00FB7DE5"/>
    <w:rsid w:val="00FC00D1"/>
    <w:rsid w:val="00FC0AC1"/>
    <w:rsid w:val="00FC0AD7"/>
    <w:rsid w:val="00FC0ADD"/>
    <w:rsid w:val="00FC0BF1"/>
    <w:rsid w:val="00FC0E21"/>
    <w:rsid w:val="00FC10DE"/>
    <w:rsid w:val="00FC12C1"/>
    <w:rsid w:val="00FC147A"/>
    <w:rsid w:val="00FC17B2"/>
    <w:rsid w:val="00FC1A58"/>
    <w:rsid w:val="00FC2259"/>
    <w:rsid w:val="00FC2321"/>
    <w:rsid w:val="00FC2363"/>
    <w:rsid w:val="00FC2422"/>
    <w:rsid w:val="00FC2AB2"/>
    <w:rsid w:val="00FC2AD4"/>
    <w:rsid w:val="00FC2D17"/>
    <w:rsid w:val="00FC2D2C"/>
    <w:rsid w:val="00FC2D5F"/>
    <w:rsid w:val="00FC3B4D"/>
    <w:rsid w:val="00FC42E5"/>
    <w:rsid w:val="00FC43F1"/>
    <w:rsid w:val="00FC451A"/>
    <w:rsid w:val="00FC4530"/>
    <w:rsid w:val="00FC47AE"/>
    <w:rsid w:val="00FC47E3"/>
    <w:rsid w:val="00FC483C"/>
    <w:rsid w:val="00FC49C5"/>
    <w:rsid w:val="00FC4E14"/>
    <w:rsid w:val="00FC4F21"/>
    <w:rsid w:val="00FC55E4"/>
    <w:rsid w:val="00FC5603"/>
    <w:rsid w:val="00FC59E6"/>
    <w:rsid w:val="00FC5AB2"/>
    <w:rsid w:val="00FC5CC5"/>
    <w:rsid w:val="00FC6308"/>
    <w:rsid w:val="00FC650C"/>
    <w:rsid w:val="00FC681D"/>
    <w:rsid w:val="00FC712E"/>
    <w:rsid w:val="00FC74F9"/>
    <w:rsid w:val="00FC79EE"/>
    <w:rsid w:val="00FD0272"/>
    <w:rsid w:val="00FD0B28"/>
    <w:rsid w:val="00FD0B5C"/>
    <w:rsid w:val="00FD0E82"/>
    <w:rsid w:val="00FD13DD"/>
    <w:rsid w:val="00FD162F"/>
    <w:rsid w:val="00FD17BA"/>
    <w:rsid w:val="00FD2684"/>
    <w:rsid w:val="00FD26F0"/>
    <w:rsid w:val="00FD2A21"/>
    <w:rsid w:val="00FD2B10"/>
    <w:rsid w:val="00FD2C9D"/>
    <w:rsid w:val="00FD2F74"/>
    <w:rsid w:val="00FD3198"/>
    <w:rsid w:val="00FD32BD"/>
    <w:rsid w:val="00FD3B94"/>
    <w:rsid w:val="00FD40DD"/>
    <w:rsid w:val="00FD43B3"/>
    <w:rsid w:val="00FD43E7"/>
    <w:rsid w:val="00FD45E7"/>
    <w:rsid w:val="00FD4E2D"/>
    <w:rsid w:val="00FD5F3E"/>
    <w:rsid w:val="00FD5F95"/>
    <w:rsid w:val="00FD625C"/>
    <w:rsid w:val="00FD6295"/>
    <w:rsid w:val="00FD667D"/>
    <w:rsid w:val="00FD68A5"/>
    <w:rsid w:val="00FD7035"/>
    <w:rsid w:val="00FD7384"/>
    <w:rsid w:val="00FD75C3"/>
    <w:rsid w:val="00FD7A86"/>
    <w:rsid w:val="00FD7CF6"/>
    <w:rsid w:val="00FD7FDA"/>
    <w:rsid w:val="00FE00F9"/>
    <w:rsid w:val="00FE01A3"/>
    <w:rsid w:val="00FE05C3"/>
    <w:rsid w:val="00FE09BA"/>
    <w:rsid w:val="00FE09DD"/>
    <w:rsid w:val="00FE0E08"/>
    <w:rsid w:val="00FE0FF3"/>
    <w:rsid w:val="00FE1118"/>
    <w:rsid w:val="00FE1397"/>
    <w:rsid w:val="00FE1623"/>
    <w:rsid w:val="00FE1F24"/>
    <w:rsid w:val="00FE2163"/>
    <w:rsid w:val="00FE2989"/>
    <w:rsid w:val="00FE2A57"/>
    <w:rsid w:val="00FE2DF3"/>
    <w:rsid w:val="00FE3213"/>
    <w:rsid w:val="00FE32E9"/>
    <w:rsid w:val="00FE3336"/>
    <w:rsid w:val="00FE3388"/>
    <w:rsid w:val="00FE3489"/>
    <w:rsid w:val="00FE374D"/>
    <w:rsid w:val="00FE38EC"/>
    <w:rsid w:val="00FE3A6F"/>
    <w:rsid w:val="00FE3F6C"/>
    <w:rsid w:val="00FE40E5"/>
    <w:rsid w:val="00FE4672"/>
    <w:rsid w:val="00FE4739"/>
    <w:rsid w:val="00FE4D99"/>
    <w:rsid w:val="00FE4DB2"/>
    <w:rsid w:val="00FE500F"/>
    <w:rsid w:val="00FE5116"/>
    <w:rsid w:val="00FE51C9"/>
    <w:rsid w:val="00FE57D8"/>
    <w:rsid w:val="00FE58A5"/>
    <w:rsid w:val="00FE5939"/>
    <w:rsid w:val="00FE5C91"/>
    <w:rsid w:val="00FE5ECB"/>
    <w:rsid w:val="00FE6685"/>
    <w:rsid w:val="00FE681D"/>
    <w:rsid w:val="00FE69E3"/>
    <w:rsid w:val="00FE6C4F"/>
    <w:rsid w:val="00FE6F02"/>
    <w:rsid w:val="00FE74D2"/>
    <w:rsid w:val="00FE74DF"/>
    <w:rsid w:val="00FE7825"/>
    <w:rsid w:val="00FE7F9B"/>
    <w:rsid w:val="00FF001B"/>
    <w:rsid w:val="00FF044F"/>
    <w:rsid w:val="00FF079D"/>
    <w:rsid w:val="00FF0C7F"/>
    <w:rsid w:val="00FF0D5F"/>
    <w:rsid w:val="00FF0DBD"/>
    <w:rsid w:val="00FF1039"/>
    <w:rsid w:val="00FF1497"/>
    <w:rsid w:val="00FF1A5F"/>
    <w:rsid w:val="00FF1C3B"/>
    <w:rsid w:val="00FF1FA8"/>
    <w:rsid w:val="00FF2100"/>
    <w:rsid w:val="00FF241B"/>
    <w:rsid w:val="00FF2754"/>
    <w:rsid w:val="00FF283E"/>
    <w:rsid w:val="00FF2D39"/>
    <w:rsid w:val="00FF3090"/>
    <w:rsid w:val="00FF3650"/>
    <w:rsid w:val="00FF3A07"/>
    <w:rsid w:val="00FF3CAC"/>
    <w:rsid w:val="00FF3DAE"/>
    <w:rsid w:val="00FF3FEA"/>
    <w:rsid w:val="00FF456C"/>
    <w:rsid w:val="00FF4C68"/>
    <w:rsid w:val="00FF5474"/>
    <w:rsid w:val="00FF54D2"/>
    <w:rsid w:val="00FF5924"/>
    <w:rsid w:val="00FF5AF8"/>
    <w:rsid w:val="00FF5BFB"/>
    <w:rsid w:val="00FF5D90"/>
    <w:rsid w:val="00FF5E60"/>
    <w:rsid w:val="00FF618C"/>
    <w:rsid w:val="00FF61EA"/>
    <w:rsid w:val="00FF6292"/>
    <w:rsid w:val="00FF659C"/>
    <w:rsid w:val="00FF676B"/>
    <w:rsid w:val="00FF7794"/>
    <w:rsid w:val="00FF7A9C"/>
    <w:rsid w:val="00FF7D9A"/>
    <w:rsid w:val="00FF7F2F"/>
    <w:rsid w:val="00FF7FA6"/>
    <w:rsid w:val="0100D579"/>
    <w:rsid w:val="01431392"/>
    <w:rsid w:val="014324B2"/>
    <w:rsid w:val="014E2F68"/>
    <w:rsid w:val="0164D388"/>
    <w:rsid w:val="016D41E8"/>
    <w:rsid w:val="018C0A06"/>
    <w:rsid w:val="01AAEE08"/>
    <w:rsid w:val="01AF8732"/>
    <w:rsid w:val="01CAE3E1"/>
    <w:rsid w:val="01ED5074"/>
    <w:rsid w:val="01EDA6DB"/>
    <w:rsid w:val="02013E6F"/>
    <w:rsid w:val="022B0554"/>
    <w:rsid w:val="0238159A"/>
    <w:rsid w:val="0240B8BA"/>
    <w:rsid w:val="025EE2A7"/>
    <w:rsid w:val="026087D4"/>
    <w:rsid w:val="0262E079"/>
    <w:rsid w:val="026D55B7"/>
    <w:rsid w:val="0276A03E"/>
    <w:rsid w:val="028013D2"/>
    <w:rsid w:val="02A71DC2"/>
    <w:rsid w:val="02AA44F0"/>
    <w:rsid w:val="02D2F083"/>
    <w:rsid w:val="02E20EFE"/>
    <w:rsid w:val="03341AAE"/>
    <w:rsid w:val="03387C5F"/>
    <w:rsid w:val="033E5773"/>
    <w:rsid w:val="034EC35B"/>
    <w:rsid w:val="0354FDA7"/>
    <w:rsid w:val="03573F24"/>
    <w:rsid w:val="038DE17A"/>
    <w:rsid w:val="0396CC17"/>
    <w:rsid w:val="03A2AB8A"/>
    <w:rsid w:val="03DF4F1D"/>
    <w:rsid w:val="04214E6F"/>
    <w:rsid w:val="043538A7"/>
    <w:rsid w:val="04367023"/>
    <w:rsid w:val="04445DB0"/>
    <w:rsid w:val="04513FFA"/>
    <w:rsid w:val="047BB0D6"/>
    <w:rsid w:val="04979BD3"/>
    <w:rsid w:val="0499E7A4"/>
    <w:rsid w:val="04B25E54"/>
    <w:rsid w:val="04B30D60"/>
    <w:rsid w:val="04C9D6BD"/>
    <w:rsid w:val="04D2E4AF"/>
    <w:rsid w:val="04E8E951"/>
    <w:rsid w:val="04EAAE95"/>
    <w:rsid w:val="04FAFF79"/>
    <w:rsid w:val="051A1610"/>
    <w:rsid w:val="052FF388"/>
    <w:rsid w:val="0542D6AF"/>
    <w:rsid w:val="05493575"/>
    <w:rsid w:val="05646520"/>
    <w:rsid w:val="05816F40"/>
    <w:rsid w:val="059E5D30"/>
    <w:rsid w:val="05CE1513"/>
    <w:rsid w:val="05D783C7"/>
    <w:rsid w:val="05DE1B61"/>
    <w:rsid w:val="05E7B747"/>
    <w:rsid w:val="05F254C0"/>
    <w:rsid w:val="05F586DA"/>
    <w:rsid w:val="060D2C8E"/>
    <w:rsid w:val="062B31EF"/>
    <w:rsid w:val="06399298"/>
    <w:rsid w:val="063CA265"/>
    <w:rsid w:val="065058C9"/>
    <w:rsid w:val="0651D86B"/>
    <w:rsid w:val="065679C5"/>
    <w:rsid w:val="06B2CA27"/>
    <w:rsid w:val="06B42BE8"/>
    <w:rsid w:val="06B6771E"/>
    <w:rsid w:val="06B708DE"/>
    <w:rsid w:val="06BC6923"/>
    <w:rsid w:val="06D81576"/>
    <w:rsid w:val="06FF29C7"/>
    <w:rsid w:val="0711B915"/>
    <w:rsid w:val="071B5E86"/>
    <w:rsid w:val="071FF006"/>
    <w:rsid w:val="07480950"/>
    <w:rsid w:val="0757EA95"/>
    <w:rsid w:val="075C4DE6"/>
    <w:rsid w:val="076AFEE9"/>
    <w:rsid w:val="0770077E"/>
    <w:rsid w:val="077666A2"/>
    <w:rsid w:val="079B4E17"/>
    <w:rsid w:val="07A249D2"/>
    <w:rsid w:val="07ACD18E"/>
    <w:rsid w:val="07B0ABE6"/>
    <w:rsid w:val="07BD1228"/>
    <w:rsid w:val="07BE1167"/>
    <w:rsid w:val="07CB9C20"/>
    <w:rsid w:val="07F70BEF"/>
    <w:rsid w:val="07FD0489"/>
    <w:rsid w:val="07FFBF33"/>
    <w:rsid w:val="0810ABDE"/>
    <w:rsid w:val="08184518"/>
    <w:rsid w:val="08634D3D"/>
    <w:rsid w:val="0866A822"/>
    <w:rsid w:val="086937A0"/>
    <w:rsid w:val="08872CD2"/>
    <w:rsid w:val="089867A9"/>
    <w:rsid w:val="08A6A04D"/>
    <w:rsid w:val="08AF7BDA"/>
    <w:rsid w:val="08BA1EDA"/>
    <w:rsid w:val="08CC182E"/>
    <w:rsid w:val="08DF411B"/>
    <w:rsid w:val="08E3A607"/>
    <w:rsid w:val="09017565"/>
    <w:rsid w:val="0913EC72"/>
    <w:rsid w:val="091CD8D2"/>
    <w:rsid w:val="0928D077"/>
    <w:rsid w:val="09371E78"/>
    <w:rsid w:val="0943B448"/>
    <w:rsid w:val="0946EACF"/>
    <w:rsid w:val="097272F0"/>
    <w:rsid w:val="0973CA3E"/>
    <w:rsid w:val="098BF47F"/>
    <w:rsid w:val="0990C204"/>
    <w:rsid w:val="099CD27E"/>
    <w:rsid w:val="09A25D80"/>
    <w:rsid w:val="09AF2BDF"/>
    <w:rsid w:val="09C0BD7E"/>
    <w:rsid w:val="09E6CC53"/>
    <w:rsid w:val="09EBE203"/>
    <w:rsid w:val="09EE6FA7"/>
    <w:rsid w:val="09EEB88A"/>
    <w:rsid w:val="0A002812"/>
    <w:rsid w:val="0A019910"/>
    <w:rsid w:val="0A06524A"/>
    <w:rsid w:val="0A0ADCCB"/>
    <w:rsid w:val="0A0E358C"/>
    <w:rsid w:val="0A19557D"/>
    <w:rsid w:val="0A1E969D"/>
    <w:rsid w:val="0A2C526A"/>
    <w:rsid w:val="0A503A77"/>
    <w:rsid w:val="0A65D041"/>
    <w:rsid w:val="0A73D8B8"/>
    <w:rsid w:val="0A87DC8C"/>
    <w:rsid w:val="0A8E9463"/>
    <w:rsid w:val="0AA0BE2F"/>
    <w:rsid w:val="0ABB555B"/>
    <w:rsid w:val="0AC9A49E"/>
    <w:rsid w:val="0ADCDD57"/>
    <w:rsid w:val="0AF83747"/>
    <w:rsid w:val="0B00EBF4"/>
    <w:rsid w:val="0B01C5F1"/>
    <w:rsid w:val="0B0CC249"/>
    <w:rsid w:val="0B1E62A9"/>
    <w:rsid w:val="0B255B26"/>
    <w:rsid w:val="0B351912"/>
    <w:rsid w:val="0B5563EC"/>
    <w:rsid w:val="0B577BF3"/>
    <w:rsid w:val="0B64244A"/>
    <w:rsid w:val="0B708B42"/>
    <w:rsid w:val="0B772A8C"/>
    <w:rsid w:val="0B7AF10D"/>
    <w:rsid w:val="0B97BC39"/>
    <w:rsid w:val="0BC60BB3"/>
    <w:rsid w:val="0BD14819"/>
    <w:rsid w:val="0BDE37F1"/>
    <w:rsid w:val="0BEF4E98"/>
    <w:rsid w:val="0BF59A5C"/>
    <w:rsid w:val="0C139655"/>
    <w:rsid w:val="0C23E695"/>
    <w:rsid w:val="0C300F20"/>
    <w:rsid w:val="0C309FBE"/>
    <w:rsid w:val="0C9F8468"/>
    <w:rsid w:val="0CA8291B"/>
    <w:rsid w:val="0CC97927"/>
    <w:rsid w:val="0CCE338F"/>
    <w:rsid w:val="0CD8FA5E"/>
    <w:rsid w:val="0CFB49BC"/>
    <w:rsid w:val="0D0DC572"/>
    <w:rsid w:val="0D0E3441"/>
    <w:rsid w:val="0D21CD34"/>
    <w:rsid w:val="0D2FA58E"/>
    <w:rsid w:val="0D40B516"/>
    <w:rsid w:val="0D512C02"/>
    <w:rsid w:val="0D876BFA"/>
    <w:rsid w:val="0D93AD6A"/>
    <w:rsid w:val="0DA964CE"/>
    <w:rsid w:val="0DB7953C"/>
    <w:rsid w:val="0DBD523F"/>
    <w:rsid w:val="0DC538CD"/>
    <w:rsid w:val="0DD23BDF"/>
    <w:rsid w:val="0DE28B56"/>
    <w:rsid w:val="0DE9273C"/>
    <w:rsid w:val="0E013382"/>
    <w:rsid w:val="0E045A02"/>
    <w:rsid w:val="0E0B977A"/>
    <w:rsid w:val="0E1A6618"/>
    <w:rsid w:val="0E2117FF"/>
    <w:rsid w:val="0E29F4E5"/>
    <w:rsid w:val="0E2AA292"/>
    <w:rsid w:val="0E3E9EF6"/>
    <w:rsid w:val="0E46F5B5"/>
    <w:rsid w:val="0E4C0308"/>
    <w:rsid w:val="0E4F3971"/>
    <w:rsid w:val="0E5ADE09"/>
    <w:rsid w:val="0EAF3D5F"/>
    <w:rsid w:val="0EBDDC0C"/>
    <w:rsid w:val="0EDBB262"/>
    <w:rsid w:val="0EE6F06F"/>
    <w:rsid w:val="0EFE8D3F"/>
    <w:rsid w:val="0F192D44"/>
    <w:rsid w:val="0F385A44"/>
    <w:rsid w:val="0F3AFBF6"/>
    <w:rsid w:val="0F46E9E0"/>
    <w:rsid w:val="0F809538"/>
    <w:rsid w:val="0F918DDB"/>
    <w:rsid w:val="0F9A6173"/>
    <w:rsid w:val="0FA459BD"/>
    <w:rsid w:val="0FAFB69B"/>
    <w:rsid w:val="0FC6199C"/>
    <w:rsid w:val="0FCE709D"/>
    <w:rsid w:val="0FF20D13"/>
    <w:rsid w:val="10384A56"/>
    <w:rsid w:val="1046E00A"/>
    <w:rsid w:val="10895FCF"/>
    <w:rsid w:val="109447B8"/>
    <w:rsid w:val="10A0320D"/>
    <w:rsid w:val="10BBE635"/>
    <w:rsid w:val="10BCDE59"/>
    <w:rsid w:val="10DAB50C"/>
    <w:rsid w:val="10E4884F"/>
    <w:rsid w:val="10F348F3"/>
    <w:rsid w:val="1106E4DA"/>
    <w:rsid w:val="11168AFB"/>
    <w:rsid w:val="11245496"/>
    <w:rsid w:val="11391472"/>
    <w:rsid w:val="1144D36D"/>
    <w:rsid w:val="114B86FC"/>
    <w:rsid w:val="11531234"/>
    <w:rsid w:val="1159DA53"/>
    <w:rsid w:val="116CB2CD"/>
    <w:rsid w:val="11708BF7"/>
    <w:rsid w:val="1188486A"/>
    <w:rsid w:val="119807B4"/>
    <w:rsid w:val="11A5CA89"/>
    <w:rsid w:val="11D7B37B"/>
    <w:rsid w:val="11E40E30"/>
    <w:rsid w:val="11EFD40D"/>
    <w:rsid w:val="12456EC3"/>
    <w:rsid w:val="124D7F94"/>
    <w:rsid w:val="125A6BAA"/>
    <w:rsid w:val="12680B15"/>
    <w:rsid w:val="127A836B"/>
    <w:rsid w:val="12940F1E"/>
    <w:rsid w:val="1298C1F1"/>
    <w:rsid w:val="12C38ED5"/>
    <w:rsid w:val="12DC6CFD"/>
    <w:rsid w:val="12EC840E"/>
    <w:rsid w:val="12F50568"/>
    <w:rsid w:val="13041D64"/>
    <w:rsid w:val="130D0A64"/>
    <w:rsid w:val="13304235"/>
    <w:rsid w:val="1331C324"/>
    <w:rsid w:val="1342C240"/>
    <w:rsid w:val="134835D3"/>
    <w:rsid w:val="134DFB08"/>
    <w:rsid w:val="134EF23C"/>
    <w:rsid w:val="13746864"/>
    <w:rsid w:val="137C78A9"/>
    <w:rsid w:val="138E6AC7"/>
    <w:rsid w:val="139E192A"/>
    <w:rsid w:val="13AB0F62"/>
    <w:rsid w:val="13C092F2"/>
    <w:rsid w:val="13CF742C"/>
    <w:rsid w:val="144F1E63"/>
    <w:rsid w:val="14617590"/>
    <w:rsid w:val="14882AC7"/>
    <w:rsid w:val="14B1E7E2"/>
    <w:rsid w:val="14D6D173"/>
    <w:rsid w:val="14E2C52A"/>
    <w:rsid w:val="14E97370"/>
    <w:rsid w:val="14F08C15"/>
    <w:rsid w:val="14F117A3"/>
    <w:rsid w:val="14F7272E"/>
    <w:rsid w:val="14FFCEAE"/>
    <w:rsid w:val="15163E88"/>
    <w:rsid w:val="151AA931"/>
    <w:rsid w:val="15559860"/>
    <w:rsid w:val="1558D5B9"/>
    <w:rsid w:val="1592302A"/>
    <w:rsid w:val="15A544FD"/>
    <w:rsid w:val="15AEC1A6"/>
    <w:rsid w:val="15C4AD07"/>
    <w:rsid w:val="15C4EB50"/>
    <w:rsid w:val="15CB2A2C"/>
    <w:rsid w:val="15EA4827"/>
    <w:rsid w:val="15ED3696"/>
    <w:rsid w:val="15F1AC03"/>
    <w:rsid w:val="16038B37"/>
    <w:rsid w:val="160E7298"/>
    <w:rsid w:val="1622B9A4"/>
    <w:rsid w:val="163C647D"/>
    <w:rsid w:val="16462BD2"/>
    <w:rsid w:val="164632C5"/>
    <w:rsid w:val="164C0729"/>
    <w:rsid w:val="164EBA43"/>
    <w:rsid w:val="16633D2E"/>
    <w:rsid w:val="166B03D4"/>
    <w:rsid w:val="168A0EF3"/>
    <w:rsid w:val="168F2995"/>
    <w:rsid w:val="169BEF79"/>
    <w:rsid w:val="16B1AF3E"/>
    <w:rsid w:val="16B6A5A5"/>
    <w:rsid w:val="16B6D1F7"/>
    <w:rsid w:val="16D6D8E0"/>
    <w:rsid w:val="16E32A00"/>
    <w:rsid w:val="16EEF823"/>
    <w:rsid w:val="170CF32D"/>
    <w:rsid w:val="17103BB0"/>
    <w:rsid w:val="173D64F0"/>
    <w:rsid w:val="1742CFE8"/>
    <w:rsid w:val="1781C515"/>
    <w:rsid w:val="17876064"/>
    <w:rsid w:val="17CC0357"/>
    <w:rsid w:val="17D7EF5E"/>
    <w:rsid w:val="17EC461D"/>
    <w:rsid w:val="17EEC002"/>
    <w:rsid w:val="17FA709F"/>
    <w:rsid w:val="17FBA0D0"/>
    <w:rsid w:val="1810A3A4"/>
    <w:rsid w:val="18239FA9"/>
    <w:rsid w:val="183AC81D"/>
    <w:rsid w:val="18678337"/>
    <w:rsid w:val="186B7038"/>
    <w:rsid w:val="187D3753"/>
    <w:rsid w:val="187F64FD"/>
    <w:rsid w:val="18B37A47"/>
    <w:rsid w:val="18E9CBC2"/>
    <w:rsid w:val="1945F7B6"/>
    <w:rsid w:val="194BF0A1"/>
    <w:rsid w:val="194EED56"/>
    <w:rsid w:val="195B9186"/>
    <w:rsid w:val="198216B9"/>
    <w:rsid w:val="19A0D353"/>
    <w:rsid w:val="19A827E5"/>
    <w:rsid w:val="19E3BD0E"/>
    <w:rsid w:val="19ED5B85"/>
    <w:rsid w:val="1A0D2186"/>
    <w:rsid w:val="1A12F9C6"/>
    <w:rsid w:val="1A1408C2"/>
    <w:rsid w:val="1A27DCD8"/>
    <w:rsid w:val="1A2FE52F"/>
    <w:rsid w:val="1A4D71A9"/>
    <w:rsid w:val="1A586C13"/>
    <w:rsid w:val="1A708AE6"/>
    <w:rsid w:val="1A84B792"/>
    <w:rsid w:val="1A8E6E08"/>
    <w:rsid w:val="1A9F1B09"/>
    <w:rsid w:val="1AB24025"/>
    <w:rsid w:val="1AB63F21"/>
    <w:rsid w:val="1AB6E0C8"/>
    <w:rsid w:val="1ABA9F12"/>
    <w:rsid w:val="1ABE93AE"/>
    <w:rsid w:val="1AC374A2"/>
    <w:rsid w:val="1AC75AA0"/>
    <w:rsid w:val="1ADCCB9D"/>
    <w:rsid w:val="1AF10029"/>
    <w:rsid w:val="1AF161A1"/>
    <w:rsid w:val="1B172DC0"/>
    <w:rsid w:val="1B3B0518"/>
    <w:rsid w:val="1B3C3A0E"/>
    <w:rsid w:val="1B50C1F3"/>
    <w:rsid w:val="1B5BB1BA"/>
    <w:rsid w:val="1B6EBD64"/>
    <w:rsid w:val="1B84F839"/>
    <w:rsid w:val="1B874C71"/>
    <w:rsid w:val="1BA26436"/>
    <w:rsid w:val="1BAB504D"/>
    <w:rsid w:val="1BAC902F"/>
    <w:rsid w:val="1BAF4732"/>
    <w:rsid w:val="1BB9AA0F"/>
    <w:rsid w:val="1BD694D0"/>
    <w:rsid w:val="1BF5CEED"/>
    <w:rsid w:val="1C036A74"/>
    <w:rsid w:val="1C358985"/>
    <w:rsid w:val="1C55C267"/>
    <w:rsid w:val="1C56FA7A"/>
    <w:rsid w:val="1C659ED3"/>
    <w:rsid w:val="1C65BED3"/>
    <w:rsid w:val="1C6CF088"/>
    <w:rsid w:val="1C993FE0"/>
    <w:rsid w:val="1CA957EC"/>
    <w:rsid w:val="1CC21198"/>
    <w:rsid w:val="1CCF56D1"/>
    <w:rsid w:val="1CF8287A"/>
    <w:rsid w:val="1D0B0483"/>
    <w:rsid w:val="1D14D2E1"/>
    <w:rsid w:val="1D1E023E"/>
    <w:rsid w:val="1D2EC214"/>
    <w:rsid w:val="1D558920"/>
    <w:rsid w:val="1D6D2C72"/>
    <w:rsid w:val="1D8C54ED"/>
    <w:rsid w:val="1DB7C109"/>
    <w:rsid w:val="1DC3C404"/>
    <w:rsid w:val="1DDC66B6"/>
    <w:rsid w:val="1DF0FF27"/>
    <w:rsid w:val="1DFED206"/>
    <w:rsid w:val="1E067B8B"/>
    <w:rsid w:val="1E09D3E5"/>
    <w:rsid w:val="1E0BAACC"/>
    <w:rsid w:val="1E258330"/>
    <w:rsid w:val="1E3ADBA1"/>
    <w:rsid w:val="1E703AD1"/>
    <w:rsid w:val="1E7251DA"/>
    <w:rsid w:val="1E7F8081"/>
    <w:rsid w:val="1E8204A4"/>
    <w:rsid w:val="1E967212"/>
    <w:rsid w:val="1EBEE1E3"/>
    <w:rsid w:val="1ED9EA2A"/>
    <w:rsid w:val="1EDCAEE4"/>
    <w:rsid w:val="1EE5E41A"/>
    <w:rsid w:val="1EED0E9E"/>
    <w:rsid w:val="1F555C24"/>
    <w:rsid w:val="1F5BDBC4"/>
    <w:rsid w:val="1F7C1CE6"/>
    <w:rsid w:val="1FA3DB16"/>
    <w:rsid w:val="1FAFB57F"/>
    <w:rsid w:val="1FB3AE99"/>
    <w:rsid w:val="1FB8721C"/>
    <w:rsid w:val="1FEF8C5F"/>
    <w:rsid w:val="1FF7FD74"/>
    <w:rsid w:val="1FFD8B48"/>
    <w:rsid w:val="2014A643"/>
    <w:rsid w:val="2055D2FB"/>
    <w:rsid w:val="207414C8"/>
    <w:rsid w:val="20864E99"/>
    <w:rsid w:val="209FD82A"/>
    <w:rsid w:val="20B4B9A2"/>
    <w:rsid w:val="20CAD82F"/>
    <w:rsid w:val="20D41910"/>
    <w:rsid w:val="20DEC2CF"/>
    <w:rsid w:val="21086450"/>
    <w:rsid w:val="211B236B"/>
    <w:rsid w:val="211B39BF"/>
    <w:rsid w:val="212E2FAE"/>
    <w:rsid w:val="214A6250"/>
    <w:rsid w:val="217248C8"/>
    <w:rsid w:val="21A87F25"/>
    <w:rsid w:val="21B07902"/>
    <w:rsid w:val="21B3ADC9"/>
    <w:rsid w:val="21E32AE5"/>
    <w:rsid w:val="21ED92FD"/>
    <w:rsid w:val="220C75A1"/>
    <w:rsid w:val="220DEB3C"/>
    <w:rsid w:val="221CB43B"/>
    <w:rsid w:val="221F8271"/>
    <w:rsid w:val="2252AD7A"/>
    <w:rsid w:val="226E9851"/>
    <w:rsid w:val="22707EAA"/>
    <w:rsid w:val="228B0C54"/>
    <w:rsid w:val="22A350A6"/>
    <w:rsid w:val="22B14C67"/>
    <w:rsid w:val="22B9B328"/>
    <w:rsid w:val="22BDCA6F"/>
    <w:rsid w:val="22C824BA"/>
    <w:rsid w:val="22CA000F"/>
    <w:rsid w:val="22D75ACB"/>
    <w:rsid w:val="22F9C69F"/>
    <w:rsid w:val="22FD7B27"/>
    <w:rsid w:val="231E8222"/>
    <w:rsid w:val="2335E1CE"/>
    <w:rsid w:val="233CDD05"/>
    <w:rsid w:val="2358CE74"/>
    <w:rsid w:val="235E9363"/>
    <w:rsid w:val="2388A01B"/>
    <w:rsid w:val="23A5BF02"/>
    <w:rsid w:val="23AFF3E9"/>
    <w:rsid w:val="23D4D7AA"/>
    <w:rsid w:val="23D57635"/>
    <w:rsid w:val="23D8635C"/>
    <w:rsid w:val="23EB0F62"/>
    <w:rsid w:val="24007D53"/>
    <w:rsid w:val="24030142"/>
    <w:rsid w:val="242E6A7A"/>
    <w:rsid w:val="245FBAED"/>
    <w:rsid w:val="2463DF10"/>
    <w:rsid w:val="2477080D"/>
    <w:rsid w:val="2480A025"/>
    <w:rsid w:val="249827C8"/>
    <w:rsid w:val="24A14625"/>
    <w:rsid w:val="24B0981D"/>
    <w:rsid w:val="24BB3640"/>
    <w:rsid w:val="24BF2E51"/>
    <w:rsid w:val="24CBD8B0"/>
    <w:rsid w:val="24D8DC54"/>
    <w:rsid w:val="24E265C4"/>
    <w:rsid w:val="2507DE01"/>
    <w:rsid w:val="25429565"/>
    <w:rsid w:val="25544CB9"/>
    <w:rsid w:val="25579A72"/>
    <w:rsid w:val="255F15FA"/>
    <w:rsid w:val="2564B77D"/>
    <w:rsid w:val="25899F86"/>
    <w:rsid w:val="258BDE75"/>
    <w:rsid w:val="25A6A6B5"/>
    <w:rsid w:val="25AD2989"/>
    <w:rsid w:val="25AEBBFB"/>
    <w:rsid w:val="25C39755"/>
    <w:rsid w:val="25CF6082"/>
    <w:rsid w:val="25DE174C"/>
    <w:rsid w:val="25EBB117"/>
    <w:rsid w:val="25EF1D45"/>
    <w:rsid w:val="26309EBF"/>
    <w:rsid w:val="263BB246"/>
    <w:rsid w:val="264EB6D9"/>
    <w:rsid w:val="267225A3"/>
    <w:rsid w:val="269F32D9"/>
    <w:rsid w:val="2703B0CF"/>
    <w:rsid w:val="27369BF2"/>
    <w:rsid w:val="27440224"/>
    <w:rsid w:val="2761EBC3"/>
    <w:rsid w:val="276553DF"/>
    <w:rsid w:val="276FB20E"/>
    <w:rsid w:val="278A27C8"/>
    <w:rsid w:val="27939D52"/>
    <w:rsid w:val="279F392B"/>
    <w:rsid w:val="27B92C58"/>
    <w:rsid w:val="27CF7E35"/>
    <w:rsid w:val="27EB57E2"/>
    <w:rsid w:val="27F0A18C"/>
    <w:rsid w:val="27F26736"/>
    <w:rsid w:val="2811A07B"/>
    <w:rsid w:val="2828F0FD"/>
    <w:rsid w:val="28636BED"/>
    <w:rsid w:val="2863D1FC"/>
    <w:rsid w:val="286D11EA"/>
    <w:rsid w:val="28750AB2"/>
    <w:rsid w:val="28A81EB5"/>
    <w:rsid w:val="28AD3515"/>
    <w:rsid w:val="28B4D62A"/>
    <w:rsid w:val="28B60204"/>
    <w:rsid w:val="28BC0688"/>
    <w:rsid w:val="28BD240F"/>
    <w:rsid w:val="28D46D3F"/>
    <w:rsid w:val="294A605B"/>
    <w:rsid w:val="294DF52A"/>
    <w:rsid w:val="294F91FF"/>
    <w:rsid w:val="2970C263"/>
    <w:rsid w:val="29835478"/>
    <w:rsid w:val="29836B24"/>
    <w:rsid w:val="299AC8CA"/>
    <w:rsid w:val="299F5C51"/>
    <w:rsid w:val="29A215A3"/>
    <w:rsid w:val="29C304DB"/>
    <w:rsid w:val="29E77563"/>
    <w:rsid w:val="29F2D5BA"/>
    <w:rsid w:val="29F61DA9"/>
    <w:rsid w:val="29FFA25D"/>
    <w:rsid w:val="2A0F221C"/>
    <w:rsid w:val="2A1B8F64"/>
    <w:rsid w:val="2A1F1C20"/>
    <w:rsid w:val="2A4D586A"/>
    <w:rsid w:val="2AB88D3F"/>
    <w:rsid w:val="2AECC912"/>
    <w:rsid w:val="2AF6308C"/>
    <w:rsid w:val="2AF6D43C"/>
    <w:rsid w:val="2B3B2CB2"/>
    <w:rsid w:val="2B4A74E4"/>
    <w:rsid w:val="2B551E5D"/>
    <w:rsid w:val="2B74C246"/>
    <w:rsid w:val="2B7F88D5"/>
    <w:rsid w:val="2B89E499"/>
    <w:rsid w:val="2BC9C3FC"/>
    <w:rsid w:val="2BCC2398"/>
    <w:rsid w:val="2BD19D2B"/>
    <w:rsid w:val="2BD321DA"/>
    <w:rsid w:val="2BE41B44"/>
    <w:rsid w:val="2BEC0D65"/>
    <w:rsid w:val="2BF50E47"/>
    <w:rsid w:val="2C21DAB8"/>
    <w:rsid w:val="2C2DB1AA"/>
    <w:rsid w:val="2C378C42"/>
    <w:rsid w:val="2C3FD1FC"/>
    <w:rsid w:val="2C63ACA8"/>
    <w:rsid w:val="2C642638"/>
    <w:rsid w:val="2C9598FA"/>
    <w:rsid w:val="2C99ACDC"/>
    <w:rsid w:val="2CA7652D"/>
    <w:rsid w:val="2CA8D7A2"/>
    <w:rsid w:val="2CDC4B48"/>
    <w:rsid w:val="2CDC7684"/>
    <w:rsid w:val="2CF93C9C"/>
    <w:rsid w:val="2D069EF4"/>
    <w:rsid w:val="2D0AB8F7"/>
    <w:rsid w:val="2D0E1FC4"/>
    <w:rsid w:val="2D2C7191"/>
    <w:rsid w:val="2D5ECBD8"/>
    <w:rsid w:val="2D88F746"/>
    <w:rsid w:val="2D98A69A"/>
    <w:rsid w:val="2DAD5A33"/>
    <w:rsid w:val="2DC5D028"/>
    <w:rsid w:val="2DD355D1"/>
    <w:rsid w:val="2DE8B2A6"/>
    <w:rsid w:val="2E0B891D"/>
    <w:rsid w:val="2E10DDFF"/>
    <w:rsid w:val="2E2469D4"/>
    <w:rsid w:val="2E314D11"/>
    <w:rsid w:val="2E33DA6B"/>
    <w:rsid w:val="2E3A77B6"/>
    <w:rsid w:val="2E4C62FB"/>
    <w:rsid w:val="2E4C7314"/>
    <w:rsid w:val="2E5B2314"/>
    <w:rsid w:val="2E7EB87E"/>
    <w:rsid w:val="2E93CBDC"/>
    <w:rsid w:val="2EC4358E"/>
    <w:rsid w:val="2EE13002"/>
    <w:rsid w:val="2EF3C891"/>
    <w:rsid w:val="2F2AB2AB"/>
    <w:rsid w:val="2F2CE002"/>
    <w:rsid w:val="2F362883"/>
    <w:rsid w:val="2F3DDC5D"/>
    <w:rsid w:val="2F3DE056"/>
    <w:rsid w:val="2F61EEEB"/>
    <w:rsid w:val="2F6F56B9"/>
    <w:rsid w:val="2F792AC2"/>
    <w:rsid w:val="2F8CE05D"/>
    <w:rsid w:val="2F92C53D"/>
    <w:rsid w:val="2F9F1FB1"/>
    <w:rsid w:val="2FA5510E"/>
    <w:rsid w:val="2FC4AA3F"/>
    <w:rsid w:val="2FC53ACC"/>
    <w:rsid w:val="2FE8335C"/>
    <w:rsid w:val="300C2167"/>
    <w:rsid w:val="305601C6"/>
    <w:rsid w:val="30703529"/>
    <w:rsid w:val="30796F09"/>
    <w:rsid w:val="308390C7"/>
    <w:rsid w:val="30B3003D"/>
    <w:rsid w:val="30B7E173"/>
    <w:rsid w:val="30D99883"/>
    <w:rsid w:val="30E49481"/>
    <w:rsid w:val="30E72181"/>
    <w:rsid w:val="30F8E76E"/>
    <w:rsid w:val="31041F4A"/>
    <w:rsid w:val="313BFD60"/>
    <w:rsid w:val="313C1E79"/>
    <w:rsid w:val="313E1287"/>
    <w:rsid w:val="3156FF31"/>
    <w:rsid w:val="31580A94"/>
    <w:rsid w:val="318C46C0"/>
    <w:rsid w:val="31B0BBD6"/>
    <w:rsid w:val="31C6072C"/>
    <w:rsid w:val="31F61A86"/>
    <w:rsid w:val="31F64DAB"/>
    <w:rsid w:val="3207BE7D"/>
    <w:rsid w:val="3213D853"/>
    <w:rsid w:val="3216A28E"/>
    <w:rsid w:val="322923EE"/>
    <w:rsid w:val="322D0AED"/>
    <w:rsid w:val="322DD89F"/>
    <w:rsid w:val="323F54D2"/>
    <w:rsid w:val="32412E4F"/>
    <w:rsid w:val="3251000D"/>
    <w:rsid w:val="32689B66"/>
    <w:rsid w:val="326B2A92"/>
    <w:rsid w:val="327305E3"/>
    <w:rsid w:val="32942E4E"/>
    <w:rsid w:val="32B8199F"/>
    <w:rsid w:val="32BA8688"/>
    <w:rsid w:val="32C2D229"/>
    <w:rsid w:val="32D7F893"/>
    <w:rsid w:val="32F9B816"/>
    <w:rsid w:val="32FF23DD"/>
    <w:rsid w:val="3304E112"/>
    <w:rsid w:val="3306407E"/>
    <w:rsid w:val="330780A8"/>
    <w:rsid w:val="331AA8B2"/>
    <w:rsid w:val="3321E1A5"/>
    <w:rsid w:val="33391BBD"/>
    <w:rsid w:val="334577F5"/>
    <w:rsid w:val="3354C26A"/>
    <w:rsid w:val="335EB452"/>
    <w:rsid w:val="33636A58"/>
    <w:rsid w:val="33806BD0"/>
    <w:rsid w:val="33813FFF"/>
    <w:rsid w:val="33D28456"/>
    <w:rsid w:val="33F6823C"/>
    <w:rsid w:val="34105E88"/>
    <w:rsid w:val="343C0079"/>
    <w:rsid w:val="345D47CA"/>
    <w:rsid w:val="346E81EE"/>
    <w:rsid w:val="347384FA"/>
    <w:rsid w:val="3473EC9F"/>
    <w:rsid w:val="347C6D4D"/>
    <w:rsid w:val="348DCD36"/>
    <w:rsid w:val="34AFD357"/>
    <w:rsid w:val="34BC3CF8"/>
    <w:rsid w:val="34C3C84E"/>
    <w:rsid w:val="35026FFA"/>
    <w:rsid w:val="350B4A3D"/>
    <w:rsid w:val="35376020"/>
    <w:rsid w:val="353CA84B"/>
    <w:rsid w:val="353E9C29"/>
    <w:rsid w:val="3556E1B4"/>
    <w:rsid w:val="358550DC"/>
    <w:rsid w:val="3598645C"/>
    <w:rsid w:val="35A0F17B"/>
    <w:rsid w:val="35BB79A6"/>
    <w:rsid w:val="35DCF466"/>
    <w:rsid w:val="35F336B5"/>
    <w:rsid w:val="35F765B7"/>
    <w:rsid w:val="360AF7E5"/>
    <w:rsid w:val="360FC379"/>
    <w:rsid w:val="36146843"/>
    <w:rsid w:val="3632A89D"/>
    <w:rsid w:val="3633A472"/>
    <w:rsid w:val="365C7A8A"/>
    <w:rsid w:val="365CF8F3"/>
    <w:rsid w:val="367BF07A"/>
    <w:rsid w:val="36B0C746"/>
    <w:rsid w:val="36C091FD"/>
    <w:rsid w:val="36CC5D41"/>
    <w:rsid w:val="36FF2E90"/>
    <w:rsid w:val="3710C89C"/>
    <w:rsid w:val="37371520"/>
    <w:rsid w:val="3743DB94"/>
    <w:rsid w:val="379ACFB0"/>
    <w:rsid w:val="379DA359"/>
    <w:rsid w:val="37B5794D"/>
    <w:rsid w:val="37C49A66"/>
    <w:rsid w:val="37C52496"/>
    <w:rsid w:val="37CB7787"/>
    <w:rsid w:val="37D121B4"/>
    <w:rsid w:val="37F7B5DC"/>
    <w:rsid w:val="37F9868E"/>
    <w:rsid w:val="381748BA"/>
    <w:rsid w:val="38186721"/>
    <w:rsid w:val="3822BFA5"/>
    <w:rsid w:val="3829F0EA"/>
    <w:rsid w:val="383B85B6"/>
    <w:rsid w:val="3840AAD2"/>
    <w:rsid w:val="385457FF"/>
    <w:rsid w:val="38561EEF"/>
    <w:rsid w:val="386FFD49"/>
    <w:rsid w:val="3873D913"/>
    <w:rsid w:val="388EFC1A"/>
    <w:rsid w:val="38955AD9"/>
    <w:rsid w:val="38B1EA18"/>
    <w:rsid w:val="38BE3153"/>
    <w:rsid w:val="38C04191"/>
    <w:rsid w:val="38D4E41E"/>
    <w:rsid w:val="38E0339F"/>
    <w:rsid w:val="38F02718"/>
    <w:rsid w:val="390E7610"/>
    <w:rsid w:val="392D163D"/>
    <w:rsid w:val="392EBC92"/>
    <w:rsid w:val="39443F12"/>
    <w:rsid w:val="395D587F"/>
    <w:rsid w:val="39A7A9DC"/>
    <w:rsid w:val="39B56D9D"/>
    <w:rsid w:val="39C5DCCC"/>
    <w:rsid w:val="39DCAFCC"/>
    <w:rsid w:val="39E1D714"/>
    <w:rsid w:val="39EC34E5"/>
    <w:rsid w:val="39F67530"/>
    <w:rsid w:val="3A198474"/>
    <w:rsid w:val="3A33792D"/>
    <w:rsid w:val="3A4E0053"/>
    <w:rsid w:val="3A71A13A"/>
    <w:rsid w:val="3A79BA60"/>
    <w:rsid w:val="3AB976E0"/>
    <w:rsid w:val="3AD0CA0A"/>
    <w:rsid w:val="3ADAE8D7"/>
    <w:rsid w:val="3ADB0AC3"/>
    <w:rsid w:val="3AE0B53B"/>
    <w:rsid w:val="3AF22B71"/>
    <w:rsid w:val="3AF6A114"/>
    <w:rsid w:val="3AFAAB28"/>
    <w:rsid w:val="3B14AD6D"/>
    <w:rsid w:val="3B18BE81"/>
    <w:rsid w:val="3B281E4B"/>
    <w:rsid w:val="3B28E883"/>
    <w:rsid w:val="3B4C6215"/>
    <w:rsid w:val="3B4FD4E5"/>
    <w:rsid w:val="3BA469E2"/>
    <w:rsid w:val="3BAE9A82"/>
    <w:rsid w:val="3BC1453F"/>
    <w:rsid w:val="3BD8FE6F"/>
    <w:rsid w:val="3BE5E86D"/>
    <w:rsid w:val="3C0C9E94"/>
    <w:rsid w:val="3C141413"/>
    <w:rsid w:val="3C205D44"/>
    <w:rsid w:val="3C3D215B"/>
    <w:rsid w:val="3C526B57"/>
    <w:rsid w:val="3C678A5C"/>
    <w:rsid w:val="3C69A51B"/>
    <w:rsid w:val="3C849613"/>
    <w:rsid w:val="3CC2AB2B"/>
    <w:rsid w:val="3CDA379E"/>
    <w:rsid w:val="3CE1EC48"/>
    <w:rsid w:val="3CEAC2FD"/>
    <w:rsid w:val="3D05A3E8"/>
    <w:rsid w:val="3D0A5D5D"/>
    <w:rsid w:val="3D0B769D"/>
    <w:rsid w:val="3D1CB073"/>
    <w:rsid w:val="3D1E0822"/>
    <w:rsid w:val="3D2CBC5A"/>
    <w:rsid w:val="3D30749E"/>
    <w:rsid w:val="3D3E236D"/>
    <w:rsid w:val="3D710910"/>
    <w:rsid w:val="3D7DC0F2"/>
    <w:rsid w:val="3D806BEE"/>
    <w:rsid w:val="3D819081"/>
    <w:rsid w:val="3D91A276"/>
    <w:rsid w:val="3DA575D7"/>
    <w:rsid w:val="3DB94C82"/>
    <w:rsid w:val="3DC44FF1"/>
    <w:rsid w:val="3DC95168"/>
    <w:rsid w:val="3DE290FF"/>
    <w:rsid w:val="3DE4A80C"/>
    <w:rsid w:val="3DFB44CB"/>
    <w:rsid w:val="3DFC0985"/>
    <w:rsid w:val="3E0392E4"/>
    <w:rsid w:val="3E07E51F"/>
    <w:rsid w:val="3E218509"/>
    <w:rsid w:val="3E305E44"/>
    <w:rsid w:val="3E3842AD"/>
    <w:rsid w:val="3E39AFE4"/>
    <w:rsid w:val="3E4AFF9D"/>
    <w:rsid w:val="3E5BD3DA"/>
    <w:rsid w:val="3E83E700"/>
    <w:rsid w:val="3E86935E"/>
    <w:rsid w:val="3E97288E"/>
    <w:rsid w:val="3EA2ABD9"/>
    <w:rsid w:val="3EA42157"/>
    <w:rsid w:val="3F03ED5D"/>
    <w:rsid w:val="3F12CF10"/>
    <w:rsid w:val="3F254799"/>
    <w:rsid w:val="3F47FAC5"/>
    <w:rsid w:val="3F6AD64F"/>
    <w:rsid w:val="3F6DC5B5"/>
    <w:rsid w:val="3FAEABE3"/>
    <w:rsid w:val="3FC40A63"/>
    <w:rsid w:val="3FC948EC"/>
    <w:rsid w:val="3FF7984D"/>
    <w:rsid w:val="3FFA8091"/>
    <w:rsid w:val="400612E7"/>
    <w:rsid w:val="400E7E93"/>
    <w:rsid w:val="4018E883"/>
    <w:rsid w:val="403E5446"/>
    <w:rsid w:val="404A27DE"/>
    <w:rsid w:val="404B3114"/>
    <w:rsid w:val="405610C6"/>
    <w:rsid w:val="4056A189"/>
    <w:rsid w:val="405A3F1D"/>
    <w:rsid w:val="4069B17E"/>
    <w:rsid w:val="40A71FF6"/>
    <w:rsid w:val="40ADC7BC"/>
    <w:rsid w:val="40C17080"/>
    <w:rsid w:val="40D02450"/>
    <w:rsid w:val="40FA921C"/>
    <w:rsid w:val="4102F827"/>
    <w:rsid w:val="41123A15"/>
    <w:rsid w:val="41244F13"/>
    <w:rsid w:val="412BF785"/>
    <w:rsid w:val="4138C7AF"/>
    <w:rsid w:val="4144FF05"/>
    <w:rsid w:val="415686C6"/>
    <w:rsid w:val="417F3D05"/>
    <w:rsid w:val="4181EF80"/>
    <w:rsid w:val="41B8ECF7"/>
    <w:rsid w:val="41C24BBE"/>
    <w:rsid w:val="41DE9915"/>
    <w:rsid w:val="42267B7F"/>
    <w:rsid w:val="422F1495"/>
    <w:rsid w:val="424C2C95"/>
    <w:rsid w:val="426A5CA1"/>
    <w:rsid w:val="429E12C4"/>
    <w:rsid w:val="42B43BB7"/>
    <w:rsid w:val="42C3E03D"/>
    <w:rsid w:val="42F98E31"/>
    <w:rsid w:val="42FB9607"/>
    <w:rsid w:val="42FF5F87"/>
    <w:rsid w:val="430E5847"/>
    <w:rsid w:val="431E3109"/>
    <w:rsid w:val="431FFF6A"/>
    <w:rsid w:val="4337B9A4"/>
    <w:rsid w:val="433A3A88"/>
    <w:rsid w:val="43629561"/>
    <w:rsid w:val="43739B2E"/>
    <w:rsid w:val="4378830B"/>
    <w:rsid w:val="4387B3E4"/>
    <w:rsid w:val="43DAD390"/>
    <w:rsid w:val="43ED0E1D"/>
    <w:rsid w:val="4416EB51"/>
    <w:rsid w:val="4432A95A"/>
    <w:rsid w:val="44555E08"/>
    <w:rsid w:val="445754A5"/>
    <w:rsid w:val="44628A1C"/>
    <w:rsid w:val="44A2BF32"/>
    <w:rsid w:val="44B45845"/>
    <w:rsid w:val="44C5931C"/>
    <w:rsid w:val="44D6C8B1"/>
    <w:rsid w:val="44E1AA94"/>
    <w:rsid w:val="44FA790C"/>
    <w:rsid w:val="4503DE36"/>
    <w:rsid w:val="4504F6B6"/>
    <w:rsid w:val="451EAD9B"/>
    <w:rsid w:val="452BC30A"/>
    <w:rsid w:val="453223CB"/>
    <w:rsid w:val="453763C3"/>
    <w:rsid w:val="454B4F2E"/>
    <w:rsid w:val="45536017"/>
    <w:rsid w:val="4569C975"/>
    <w:rsid w:val="457579A5"/>
    <w:rsid w:val="4575B00C"/>
    <w:rsid w:val="457D1BD0"/>
    <w:rsid w:val="458E7680"/>
    <w:rsid w:val="458F407A"/>
    <w:rsid w:val="45AA0254"/>
    <w:rsid w:val="45BE6545"/>
    <w:rsid w:val="45D1A967"/>
    <w:rsid w:val="45EC6038"/>
    <w:rsid w:val="45F78465"/>
    <w:rsid w:val="46085821"/>
    <w:rsid w:val="46288F75"/>
    <w:rsid w:val="46434509"/>
    <w:rsid w:val="4652A7A7"/>
    <w:rsid w:val="467959DA"/>
    <w:rsid w:val="46B42DE6"/>
    <w:rsid w:val="46D4AF4C"/>
    <w:rsid w:val="46EC00D3"/>
    <w:rsid w:val="46F8DB0B"/>
    <w:rsid w:val="4717DE28"/>
    <w:rsid w:val="471F5C5F"/>
    <w:rsid w:val="4751BAF6"/>
    <w:rsid w:val="47798A34"/>
    <w:rsid w:val="478A8A00"/>
    <w:rsid w:val="4794E6BC"/>
    <w:rsid w:val="47B945C1"/>
    <w:rsid w:val="47BD5233"/>
    <w:rsid w:val="48125C21"/>
    <w:rsid w:val="48132696"/>
    <w:rsid w:val="48151E91"/>
    <w:rsid w:val="48209658"/>
    <w:rsid w:val="48263BF2"/>
    <w:rsid w:val="482A28E3"/>
    <w:rsid w:val="486636F9"/>
    <w:rsid w:val="486DF0E2"/>
    <w:rsid w:val="487301C3"/>
    <w:rsid w:val="4881E8FE"/>
    <w:rsid w:val="48928B74"/>
    <w:rsid w:val="48C5E60C"/>
    <w:rsid w:val="48D29F2E"/>
    <w:rsid w:val="48D58570"/>
    <w:rsid w:val="48F85897"/>
    <w:rsid w:val="4913FD6B"/>
    <w:rsid w:val="494FC7D1"/>
    <w:rsid w:val="49587999"/>
    <w:rsid w:val="4972EA83"/>
    <w:rsid w:val="49774885"/>
    <w:rsid w:val="49811851"/>
    <w:rsid w:val="4997E6BE"/>
    <w:rsid w:val="49B1646E"/>
    <w:rsid w:val="49C5AF91"/>
    <w:rsid w:val="49D512DF"/>
    <w:rsid w:val="49DEC5D7"/>
    <w:rsid w:val="49E04A97"/>
    <w:rsid w:val="4A1B137F"/>
    <w:rsid w:val="4A207BE6"/>
    <w:rsid w:val="4AA48B1F"/>
    <w:rsid w:val="4AB14F21"/>
    <w:rsid w:val="4ACA222D"/>
    <w:rsid w:val="4ADB0975"/>
    <w:rsid w:val="4AEA3E31"/>
    <w:rsid w:val="4B072D7D"/>
    <w:rsid w:val="4B10A70C"/>
    <w:rsid w:val="4B135E7E"/>
    <w:rsid w:val="4B2F3EC2"/>
    <w:rsid w:val="4B32DD7D"/>
    <w:rsid w:val="4B5523D8"/>
    <w:rsid w:val="4B5C8DEA"/>
    <w:rsid w:val="4B7ADD3E"/>
    <w:rsid w:val="4B8FF1C8"/>
    <w:rsid w:val="4B92D64B"/>
    <w:rsid w:val="4B971DB4"/>
    <w:rsid w:val="4BAFA5E8"/>
    <w:rsid w:val="4BBEBACE"/>
    <w:rsid w:val="4BDE1DB1"/>
    <w:rsid w:val="4BF28A02"/>
    <w:rsid w:val="4BF73495"/>
    <w:rsid w:val="4C1FF86D"/>
    <w:rsid w:val="4C2277A3"/>
    <w:rsid w:val="4C2500A0"/>
    <w:rsid w:val="4C2B4B60"/>
    <w:rsid w:val="4C3D562A"/>
    <w:rsid w:val="4C5D144D"/>
    <w:rsid w:val="4C609E4F"/>
    <w:rsid w:val="4C68C365"/>
    <w:rsid w:val="4C87FD71"/>
    <w:rsid w:val="4C8B8429"/>
    <w:rsid w:val="4CAAFDDD"/>
    <w:rsid w:val="4CB8B913"/>
    <w:rsid w:val="4CDBB18F"/>
    <w:rsid w:val="4CDEA31A"/>
    <w:rsid w:val="4D004BD1"/>
    <w:rsid w:val="4D0321AE"/>
    <w:rsid w:val="4D45E5C6"/>
    <w:rsid w:val="4D5A3FBB"/>
    <w:rsid w:val="4D8EF5CD"/>
    <w:rsid w:val="4D992A9D"/>
    <w:rsid w:val="4DAB3F97"/>
    <w:rsid w:val="4DAC9CEA"/>
    <w:rsid w:val="4DBC313A"/>
    <w:rsid w:val="4DD71196"/>
    <w:rsid w:val="4DD826DD"/>
    <w:rsid w:val="4DE97C3F"/>
    <w:rsid w:val="4E292BCC"/>
    <w:rsid w:val="4E4C9D6F"/>
    <w:rsid w:val="4E56935C"/>
    <w:rsid w:val="4E6BAD34"/>
    <w:rsid w:val="4E71BC59"/>
    <w:rsid w:val="4E71D5A4"/>
    <w:rsid w:val="4E83C721"/>
    <w:rsid w:val="4E884D83"/>
    <w:rsid w:val="4EC0CB31"/>
    <w:rsid w:val="4ECA3D11"/>
    <w:rsid w:val="4ECAC70A"/>
    <w:rsid w:val="4EDD285E"/>
    <w:rsid w:val="4F060DED"/>
    <w:rsid w:val="4F0D292E"/>
    <w:rsid w:val="4F341EEF"/>
    <w:rsid w:val="4F57EE51"/>
    <w:rsid w:val="4F67CC71"/>
    <w:rsid w:val="4F7F5E48"/>
    <w:rsid w:val="4F7FED97"/>
    <w:rsid w:val="4FEFB6F9"/>
    <w:rsid w:val="501A58B1"/>
    <w:rsid w:val="501B3147"/>
    <w:rsid w:val="503EB3B1"/>
    <w:rsid w:val="5042204D"/>
    <w:rsid w:val="5060C6AF"/>
    <w:rsid w:val="50708A55"/>
    <w:rsid w:val="507207B7"/>
    <w:rsid w:val="508AA48A"/>
    <w:rsid w:val="508B61F0"/>
    <w:rsid w:val="508CD8F5"/>
    <w:rsid w:val="50C0FEB9"/>
    <w:rsid w:val="50C49D22"/>
    <w:rsid w:val="50C79002"/>
    <w:rsid w:val="50CA904A"/>
    <w:rsid w:val="50D03C69"/>
    <w:rsid w:val="50DF7761"/>
    <w:rsid w:val="50F967C6"/>
    <w:rsid w:val="50FF1381"/>
    <w:rsid w:val="5108F84F"/>
    <w:rsid w:val="513C2E6C"/>
    <w:rsid w:val="5140B3C5"/>
    <w:rsid w:val="51585C2A"/>
    <w:rsid w:val="51592AD9"/>
    <w:rsid w:val="516A41EE"/>
    <w:rsid w:val="5177B25F"/>
    <w:rsid w:val="517D30F6"/>
    <w:rsid w:val="51A04181"/>
    <w:rsid w:val="51B8F668"/>
    <w:rsid w:val="51D82709"/>
    <w:rsid w:val="51D872FD"/>
    <w:rsid w:val="51DB2D8E"/>
    <w:rsid w:val="51F4DADF"/>
    <w:rsid w:val="520262A0"/>
    <w:rsid w:val="5213E309"/>
    <w:rsid w:val="521C397B"/>
    <w:rsid w:val="52211788"/>
    <w:rsid w:val="5227A72F"/>
    <w:rsid w:val="522A40D6"/>
    <w:rsid w:val="522BA962"/>
    <w:rsid w:val="5242EA2E"/>
    <w:rsid w:val="525CDF28"/>
    <w:rsid w:val="5260125A"/>
    <w:rsid w:val="527533EC"/>
    <w:rsid w:val="527A610D"/>
    <w:rsid w:val="527D5347"/>
    <w:rsid w:val="527EF609"/>
    <w:rsid w:val="52836A1D"/>
    <w:rsid w:val="528BE9F2"/>
    <w:rsid w:val="528C4CCD"/>
    <w:rsid w:val="528E7AF1"/>
    <w:rsid w:val="52C7B1E5"/>
    <w:rsid w:val="52CBEBF3"/>
    <w:rsid w:val="52CEFC38"/>
    <w:rsid w:val="52DF3634"/>
    <w:rsid w:val="52E096FC"/>
    <w:rsid w:val="52F6BBD0"/>
    <w:rsid w:val="52F922F6"/>
    <w:rsid w:val="531264AF"/>
    <w:rsid w:val="532A5DB9"/>
    <w:rsid w:val="533FE685"/>
    <w:rsid w:val="5352D7EA"/>
    <w:rsid w:val="53594B50"/>
    <w:rsid w:val="535F252B"/>
    <w:rsid w:val="53A77BF1"/>
    <w:rsid w:val="53A80AD6"/>
    <w:rsid w:val="53B311AE"/>
    <w:rsid w:val="53BDC05E"/>
    <w:rsid w:val="53EB668F"/>
    <w:rsid w:val="53F3FF84"/>
    <w:rsid w:val="54034735"/>
    <w:rsid w:val="5408A7A1"/>
    <w:rsid w:val="5433A978"/>
    <w:rsid w:val="5436B443"/>
    <w:rsid w:val="543BA08F"/>
    <w:rsid w:val="543FAB3D"/>
    <w:rsid w:val="544FB532"/>
    <w:rsid w:val="545FFAC2"/>
    <w:rsid w:val="5466DC1D"/>
    <w:rsid w:val="5479302B"/>
    <w:rsid w:val="549090F6"/>
    <w:rsid w:val="549124AD"/>
    <w:rsid w:val="54C711B1"/>
    <w:rsid w:val="54CBE447"/>
    <w:rsid w:val="54F027D2"/>
    <w:rsid w:val="5514E167"/>
    <w:rsid w:val="552DF950"/>
    <w:rsid w:val="553F3427"/>
    <w:rsid w:val="5547A687"/>
    <w:rsid w:val="5556D950"/>
    <w:rsid w:val="5559E43A"/>
    <w:rsid w:val="557A7A21"/>
    <w:rsid w:val="558C597C"/>
    <w:rsid w:val="5592547D"/>
    <w:rsid w:val="559F1FB2"/>
    <w:rsid w:val="55A32DA2"/>
    <w:rsid w:val="55B6517C"/>
    <w:rsid w:val="55B6DA0B"/>
    <w:rsid w:val="55B9CC9D"/>
    <w:rsid w:val="55CE71D0"/>
    <w:rsid w:val="55D960BD"/>
    <w:rsid w:val="5615481B"/>
    <w:rsid w:val="5627877A"/>
    <w:rsid w:val="56339051"/>
    <w:rsid w:val="56605A68"/>
    <w:rsid w:val="56A83CD0"/>
    <w:rsid w:val="56B9650D"/>
    <w:rsid w:val="56CAC361"/>
    <w:rsid w:val="56CAEB0C"/>
    <w:rsid w:val="56EA3508"/>
    <w:rsid w:val="572AC9B7"/>
    <w:rsid w:val="5751913A"/>
    <w:rsid w:val="5754DEDE"/>
    <w:rsid w:val="5760EA22"/>
    <w:rsid w:val="576FC254"/>
    <w:rsid w:val="577A6913"/>
    <w:rsid w:val="57A64213"/>
    <w:rsid w:val="57BFF906"/>
    <w:rsid w:val="57CCCF3D"/>
    <w:rsid w:val="57D10DC8"/>
    <w:rsid w:val="57F2CB2A"/>
    <w:rsid w:val="57F3617A"/>
    <w:rsid w:val="5800CA3A"/>
    <w:rsid w:val="581553D4"/>
    <w:rsid w:val="581EF735"/>
    <w:rsid w:val="5824949A"/>
    <w:rsid w:val="58306CDB"/>
    <w:rsid w:val="5852D317"/>
    <w:rsid w:val="58557BDA"/>
    <w:rsid w:val="586CC6BF"/>
    <w:rsid w:val="58767167"/>
    <w:rsid w:val="587EAF1B"/>
    <w:rsid w:val="587EEC85"/>
    <w:rsid w:val="5886563D"/>
    <w:rsid w:val="588C3DDC"/>
    <w:rsid w:val="58A5CD19"/>
    <w:rsid w:val="58B2F2A6"/>
    <w:rsid w:val="58CD476B"/>
    <w:rsid w:val="58DAA45B"/>
    <w:rsid w:val="58E50C3E"/>
    <w:rsid w:val="58F0924E"/>
    <w:rsid w:val="58F1142A"/>
    <w:rsid w:val="58FA75B6"/>
    <w:rsid w:val="590F9C73"/>
    <w:rsid w:val="5912B4A2"/>
    <w:rsid w:val="593D1D7B"/>
    <w:rsid w:val="59472039"/>
    <w:rsid w:val="5968C4DA"/>
    <w:rsid w:val="5971BC3E"/>
    <w:rsid w:val="598D442E"/>
    <w:rsid w:val="59C450AE"/>
    <w:rsid w:val="59EE72A9"/>
    <w:rsid w:val="59FBA6E2"/>
    <w:rsid w:val="5A0C1865"/>
    <w:rsid w:val="5A6C6935"/>
    <w:rsid w:val="5A77674F"/>
    <w:rsid w:val="5A9A914A"/>
    <w:rsid w:val="5AC7A672"/>
    <w:rsid w:val="5ACE1379"/>
    <w:rsid w:val="5ADBFA71"/>
    <w:rsid w:val="5B1C683E"/>
    <w:rsid w:val="5B22720C"/>
    <w:rsid w:val="5B374515"/>
    <w:rsid w:val="5B5B0FE4"/>
    <w:rsid w:val="5B77816B"/>
    <w:rsid w:val="5B8EC069"/>
    <w:rsid w:val="5B927B11"/>
    <w:rsid w:val="5BB3B2DD"/>
    <w:rsid w:val="5BD79899"/>
    <w:rsid w:val="5BEB5DE4"/>
    <w:rsid w:val="5C02873F"/>
    <w:rsid w:val="5C2B9C29"/>
    <w:rsid w:val="5C660F77"/>
    <w:rsid w:val="5C78895C"/>
    <w:rsid w:val="5C8077DA"/>
    <w:rsid w:val="5C96C8FE"/>
    <w:rsid w:val="5C995BDE"/>
    <w:rsid w:val="5CA26C11"/>
    <w:rsid w:val="5CBC0335"/>
    <w:rsid w:val="5CBC4F5B"/>
    <w:rsid w:val="5CBE3419"/>
    <w:rsid w:val="5CDBEC96"/>
    <w:rsid w:val="5CDC29A9"/>
    <w:rsid w:val="5CE31303"/>
    <w:rsid w:val="5CEDF3A6"/>
    <w:rsid w:val="5CF5B883"/>
    <w:rsid w:val="5CF8C7D2"/>
    <w:rsid w:val="5D021E7F"/>
    <w:rsid w:val="5D057363"/>
    <w:rsid w:val="5D06DA41"/>
    <w:rsid w:val="5D2FDE8E"/>
    <w:rsid w:val="5D6084A4"/>
    <w:rsid w:val="5D8EFC9A"/>
    <w:rsid w:val="5D9818E1"/>
    <w:rsid w:val="5DA31900"/>
    <w:rsid w:val="5DAE5C49"/>
    <w:rsid w:val="5DC54661"/>
    <w:rsid w:val="5DF828B2"/>
    <w:rsid w:val="5DFB6EAD"/>
    <w:rsid w:val="5E053538"/>
    <w:rsid w:val="5E2C6B40"/>
    <w:rsid w:val="5E3A8598"/>
    <w:rsid w:val="5E46D3E3"/>
    <w:rsid w:val="5EA5D3E1"/>
    <w:rsid w:val="5EB97730"/>
    <w:rsid w:val="5ED01663"/>
    <w:rsid w:val="5ED98A18"/>
    <w:rsid w:val="5EE595E9"/>
    <w:rsid w:val="5EE9E92E"/>
    <w:rsid w:val="5F1F5DD8"/>
    <w:rsid w:val="5F2590E1"/>
    <w:rsid w:val="5F2B6FDA"/>
    <w:rsid w:val="5F367A74"/>
    <w:rsid w:val="5F3ADF60"/>
    <w:rsid w:val="5F637F3A"/>
    <w:rsid w:val="5F6E114A"/>
    <w:rsid w:val="5F72F1EA"/>
    <w:rsid w:val="5F765C1F"/>
    <w:rsid w:val="5F8C7F68"/>
    <w:rsid w:val="5F919653"/>
    <w:rsid w:val="5FA7F3B3"/>
    <w:rsid w:val="5FADEC50"/>
    <w:rsid w:val="5FD7A984"/>
    <w:rsid w:val="5FDD01B3"/>
    <w:rsid w:val="5FE58E50"/>
    <w:rsid w:val="600C7DB7"/>
    <w:rsid w:val="60113B91"/>
    <w:rsid w:val="6033ECCC"/>
    <w:rsid w:val="6037368C"/>
    <w:rsid w:val="60682D12"/>
    <w:rsid w:val="609C0C16"/>
    <w:rsid w:val="60AECA21"/>
    <w:rsid w:val="60B81EEE"/>
    <w:rsid w:val="60D1A8C5"/>
    <w:rsid w:val="60D83A0F"/>
    <w:rsid w:val="60F25700"/>
    <w:rsid w:val="60FBDB5A"/>
    <w:rsid w:val="6136917B"/>
    <w:rsid w:val="6142D54B"/>
    <w:rsid w:val="6143480D"/>
    <w:rsid w:val="61879304"/>
    <w:rsid w:val="6198A70D"/>
    <w:rsid w:val="619F7A71"/>
    <w:rsid w:val="61B0B7F4"/>
    <w:rsid w:val="61DF76CE"/>
    <w:rsid w:val="61E182F6"/>
    <w:rsid w:val="62275140"/>
    <w:rsid w:val="624B5CCF"/>
    <w:rsid w:val="624B870C"/>
    <w:rsid w:val="62700545"/>
    <w:rsid w:val="627C9FCB"/>
    <w:rsid w:val="62859A14"/>
    <w:rsid w:val="62916BF2"/>
    <w:rsid w:val="62A86515"/>
    <w:rsid w:val="62AC82C9"/>
    <w:rsid w:val="62E93008"/>
    <w:rsid w:val="6309DA74"/>
    <w:rsid w:val="63227B16"/>
    <w:rsid w:val="6346B780"/>
    <w:rsid w:val="634CF96C"/>
    <w:rsid w:val="6355105E"/>
    <w:rsid w:val="637B94C9"/>
    <w:rsid w:val="6395C594"/>
    <w:rsid w:val="639A29C0"/>
    <w:rsid w:val="63B39171"/>
    <w:rsid w:val="63C098D8"/>
    <w:rsid w:val="63C6DC0B"/>
    <w:rsid w:val="63C753C7"/>
    <w:rsid w:val="642CE2A0"/>
    <w:rsid w:val="643575B6"/>
    <w:rsid w:val="643DD5EE"/>
    <w:rsid w:val="643FE2DC"/>
    <w:rsid w:val="6467EF3B"/>
    <w:rsid w:val="64743CC6"/>
    <w:rsid w:val="64885DD2"/>
    <w:rsid w:val="648B89BF"/>
    <w:rsid w:val="649CE402"/>
    <w:rsid w:val="64B0D045"/>
    <w:rsid w:val="64B48673"/>
    <w:rsid w:val="64BA4F84"/>
    <w:rsid w:val="64D39B10"/>
    <w:rsid w:val="64DFB1E9"/>
    <w:rsid w:val="64E26F8A"/>
    <w:rsid w:val="64FA94F1"/>
    <w:rsid w:val="651119F5"/>
    <w:rsid w:val="657059A5"/>
    <w:rsid w:val="65789C96"/>
    <w:rsid w:val="65A8F51F"/>
    <w:rsid w:val="65C1144A"/>
    <w:rsid w:val="65D8BD11"/>
    <w:rsid w:val="65E3689D"/>
    <w:rsid w:val="6601BE79"/>
    <w:rsid w:val="6634BDDE"/>
    <w:rsid w:val="663F6487"/>
    <w:rsid w:val="665E7270"/>
    <w:rsid w:val="6664844C"/>
    <w:rsid w:val="667C18F3"/>
    <w:rsid w:val="6687F648"/>
    <w:rsid w:val="669F0A42"/>
    <w:rsid w:val="66A3CE3C"/>
    <w:rsid w:val="66ACFCFE"/>
    <w:rsid w:val="66BA88FB"/>
    <w:rsid w:val="66D3CBAE"/>
    <w:rsid w:val="66D47DDB"/>
    <w:rsid w:val="66DE985C"/>
    <w:rsid w:val="66F915D8"/>
    <w:rsid w:val="6717F75E"/>
    <w:rsid w:val="6724F8BD"/>
    <w:rsid w:val="67408EBE"/>
    <w:rsid w:val="6754C1CC"/>
    <w:rsid w:val="675AD85D"/>
    <w:rsid w:val="6770332D"/>
    <w:rsid w:val="67A36A5C"/>
    <w:rsid w:val="67AE2C45"/>
    <w:rsid w:val="67B7B369"/>
    <w:rsid w:val="67C56B8F"/>
    <w:rsid w:val="67DBE4EF"/>
    <w:rsid w:val="6806D1A4"/>
    <w:rsid w:val="6820F137"/>
    <w:rsid w:val="6834A8C3"/>
    <w:rsid w:val="6849963B"/>
    <w:rsid w:val="6862D8F6"/>
    <w:rsid w:val="6878FF41"/>
    <w:rsid w:val="689F4478"/>
    <w:rsid w:val="68B1739A"/>
    <w:rsid w:val="68F008E0"/>
    <w:rsid w:val="690A17D4"/>
    <w:rsid w:val="6926EE74"/>
    <w:rsid w:val="6938B0E6"/>
    <w:rsid w:val="69408048"/>
    <w:rsid w:val="6940CA7C"/>
    <w:rsid w:val="6942E4BE"/>
    <w:rsid w:val="694B52FE"/>
    <w:rsid w:val="696E06FB"/>
    <w:rsid w:val="69827383"/>
    <w:rsid w:val="69943DC3"/>
    <w:rsid w:val="69AEB547"/>
    <w:rsid w:val="69BFF77E"/>
    <w:rsid w:val="69CB6765"/>
    <w:rsid w:val="69D87119"/>
    <w:rsid w:val="69F2870A"/>
    <w:rsid w:val="69FDB938"/>
    <w:rsid w:val="6A0EA033"/>
    <w:rsid w:val="6A409DDA"/>
    <w:rsid w:val="6A42F455"/>
    <w:rsid w:val="6A60D2D9"/>
    <w:rsid w:val="6A816FB4"/>
    <w:rsid w:val="6A8D00C4"/>
    <w:rsid w:val="6A9FFF7B"/>
    <w:rsid w:val="6AA95C31"/>
    <w:rsid w:val="6ABCF51A"/>
    <w:rsid w:val="6ABD9F9E"/>
    <w:rsid w:val="6AD200A5"/>
    <w:rsid w:val="6AE974AD"/>
    <w:rsid w:val="6AEAA241"/>
    <w:rsid w:val="6AFEB983"/>
    <w:rsid w:val="6B06966B"/>
    <w:rsid w:val="6B0C0AE7"/>
    <w:rsid w:val="6B10C5AC"/>
    <w:rsid w:val="6B3D97A9"/>
    <w:rsid w:val="6B419EBD"/>
    <w:rsid w:val="6B694628"/>
    <w:rsid w:val="6B6AA5A8"/>
    <w:rsid w:val="6B932E38"/>
    <w:rsid w:val="6B96B427"/>
    <w:rsid w:val="6B985B75"/>
    <w:rsid w:val="6C39F3FD"/>
    <w:rsid w:val="6C662347"/>
    <w:rsid w:val="6C867384"/>
    <w:rsid w:val="6C940A14"/>
    <w:rsid w:val="6C96CDEE"/>
    <w:rsid w:val="6C9EE0E7"/>
    <w:rsid w:val="6CAF3721"/>
    <w:rsid w:val="6CE45DCB"/>
    <w:rsid w:val="6CFA0C19"/>
    <w:rsid w:val="6D165160"/>
    <w:rsid w:val="6D2668DA"/>
    <w:rsid w:val="6D35F7EE"/>
    <w:rsid w:val="6D482C9E"/>
    <w:rsid w:val="6D5F14BB"/>
    <w:rsid w:val="6D6069D6"/>
    <w:rsid w:val="6D617E54"/>
    <w:rsid w:val="6D7E13C5"/>
    <w:rsid w:val="6D8C7878"/>
    <w:rsid w:val="6DC9571F"/>
    <w:rsid w:val="6DCFE0D1"/>
    <w:rsid w:val="6DD3CF9F"/>
    <w:rsid w:val="6DD50CC4"/>
    <w:rsid w:val="6DD7B936"/>
    <w:rsid w:val="6DE1C6C1"/>
    <w:rsid w:val="6E010A9A"/>
    <w:rsid w:val="6E1064CA"/>
    <w:rsid w:val="6E3E2CBF"/>
    <w:rsid w:val="6E43071E"/>
    <w:rsid w:val="6E54C76F"/>
    <w:rsid w:val="6E78E047"/>
    <w:rsid w:val="6E9CBC77"/>
    <w:rsid w:val="6EBA275B"/>
    <w:rsid w:val="6EEBD441"/>
    <w:rsid w:val="6F7694E5"/>
    <w:rsid w:val="6F83B2A4"/>
    <w:rsid w:val="6F93089B"/>
    <w:rsid w:val="6F946682"/>
    <w:rsid w:val="6F9C83AA"/>
    <w:rsid w:val="6FB0AA28"/>
    <w:rsid w:val="6FB1B9A8"/>
    <w:rsid w:val="6FCB8879"/>
    <w:rsid w:val="6FE9C8A6"/>
    <w:rsid w:val="70181560"/>
    <w:rsid w:val="701EA57D"/>
    <w:rsid w:val="70394158"/>
    <w:rsid w:val="7069B061"/>
    <w:rsid w:val="707D7C09"/>
    <w:rsid w:val="70A21E08"/>
    <w:rsid w:val="70A46B10"/>
    <w:rsid w:val="70A6A622"/>
    <w:rsid w:val="70B1B37C"/>
    <w:rsid w:val="70BF7A06"/>
    <w:rsid w:val="70D141B7"/>
    <w:rsid w:val="70D2A6DF"/>
    <w:rsid w:val="70EBF58E"/>
    <w:rsid w:val="710A609C"/>
    <w:rsid w:val="711D60EB"/>
    <w:rsid w:val="71206FBA"/>
    <w:rsid w:val="7133F350"/>
    <w:rsid w:val="714446E6"/>
    <w:rsid w:val="715848A4"/>
    <w:rsid w:val="715BB3A8"/>
    <w:rsid w:val="71893D33"/>
    <w:rsid w:val="71AC4AFB"/>
    <w:rsid w:val="71B02D7F"/>
    <w:rsid w:val="72072B86"/>
    <w:rsid w:val="72233AF1"/>
    <w:rsid w:val="72370427"/>
    <w:rsid w:val="723747B9"/>
    <w:rsid w:val="72A1050E"/>
    <w:rsid w:val="72AB6C8A"/>
    <w:rsid w:val="72BBEE64"/>
    <w:rsid w:val="72DCE5FC"/>
    <w:rsid w:val="72F1CB18"/>
    <w:rsid w:val="730ABC11"/>
    <w:rsid w:val="73124B6F"/>
    <w:rsid w:val="7329693E"/>
    <w:rsid w:val="732FD7C4"/>
    <w:rsid w:val="73345DA0"/>
    <w:rsid w:val="7351FC99"/>
    <w:rsid w:val="7377DB24"/>
    <w:rsid w:val="737C52E9"/>
    <w:rsid w:val="73854C13"/>
    <w:rsid w:val="7387D9D4"/>
    <w:rsid w:val="738B3766"/>
    <w:rsid w:val="739202AC"/>
    <w:rsid w:val="739E7726"/>
    <w:rsid w:val="73BAEE69"/>
    <w:rsid w:val="73D00628"/>
    <w:rsid w:val="73F044C0"/>
    <w:rsid w:val="740822BB"/>
    <w:rsid w:val="7433B880"/>
    <w:rsid w:val="7435A6EA"/>
    <w:rsid w:val="743FCD68"/>
    <w:rsid w:val="7440D790"/>
    <w:rsid w:val="74495BEB"/>
    <w:rsid w:val="745AB633"/>
    <w:rsid w:val="748F3D7C"/>
    <w:rsid w:val="7490287F"/>
    <w:rsid w:val="74BB2598"/>
    <w:rsid w:val="74C68721"/>
    <w:rsid w:val="74FC7EF0"/>
    <w:rsid w:val="75042ADD"/>
    <w:rsid w:val="750FC851"/>
    <w:rsid w:val="75319DEB"/>
    <w:rsid w:val="7539B089"/>
    <w:rsid w:val="754C0E85"/>
    <w:rsid w:val="754DEBB3"/>
    <w:rsid w:val="754E8F7B"/>
    <w:rsid w:val="757CFE6E"/>
    <w:rsid w:val="758AF68E"/>
    <w:rsid w:val="75979CC3"/>
    <w:rsid w:val="75C80B30"/>
    <w:rsid w:val="75D89979"/>
    <w:rsid w:val="75E5A3DB"/>
    <w:rsid w:val="75FD9D4A"/>
    <w:rsid w:val="760789F7"/>
    <w:rsid w:val="7607D76A"/>
    <w:rsid w:val="76157B05"/>
    <w:rsid w:val="7682959C"/>
    <w:rsid w:val="76C49BD2"/>
    <w:rsid w:val="76F0A0FE"/>
    <w:rsid w:val="76F34B6D"/>
    <w:rsid w:val="76F3B807"/>
    <w:rsid w:val="76FA7EE0"/>
    <w:rsid w:val="770D9674"/>
    <w:rsid w:val="7715D073"/>
    <w:rsid w:val="7735FE11"/>
    <w:rsid w:val="773AB059"/>
    <w:rsid w:val="773BC088"/>
    <w:rsid w:val="774DFEFA"/>
    <w:rsid w:val="77571D91"/>
    <w:rsid w:val="7762A08E"/>
    <w:rsid w:val="777B6149"/>
    <w:rsid w:val="777C6D16"/>
    <w:rsid w:val="777FD2C6"/>
    <w:rsid w:val="77CF7DE6"/>
    <w:rsid w:val="78247125"/>
    <w:rsid w:val="7826D440"/>
    <w:rsid w:val="782A90E6"/>
    <w:rsid w:val="783B0338"/>
    <w:rsid w:val="783BE5EC"/>
    <w:rsid w:val="78420906"/>
    <w:rsid w:val="7843FA16"/>
    <w:rsid w:val="78691B81"/>
    <w:rsid w:val="7881FF90"/>
    <w:rsid w:val="7882BE65"/>
    <w:rsid w:val="7885F20B"/>
    <w:rsid w:val="78BE86E9"/>
    <w:rsid w:val="78D6B999"/>
    <w:rsid w:val="78D88B17"/>
    <w:rsid w:val="78D8F9D4"/>
    <w:rsid w:val="78DAB17F"/>
    <w:rsid w:val="78DD972B"/>
    <w:rsid w:val="78FA9EBF"/>
    <w:rsid w:val="7911365A"/>
    <w:rsid w:val="79273E9E"/>
    <w:rsid w:val="793ED0F0"/>
    <w:rsid w:val="793F4E36"/>
    <w:rsid w:val="794AF0B8"/>
    <w:rsid w:val="795A9A34"/>
    <w:rsid w:val="79618D17"/>
    <w:rsid w:val="796E194B"/>
    <w:rsid w:val="797921C8"/>
    <w:rsid w:val="7993EA2A"/>
    <w:rsid w:val="79A02E0E"/>
    <w:rsid w:val="79B17AE2"/>
    <w:rsid w:val="79C071F9"/>
    <w:rsid w:val="79D3CD4B"/>
    <w:rsid w:val="79F4BC54"/>
    <w:rsid w:val="79F94A99"/>
    <w:rsid w:val="7A02C671"/>
    <w:rsid w:val="7A2CE27E"/>
    <w:rsid w:val="7A3A223F"/>
    <w:rsid w:val="7A6EE6B1"/>
    <w:rsid w:val="7A827AFA"/>
    <w:rsid w:val="7A8C7676"/>
    <w:rsid w:val="7A91F26D"/>
    <w:rsid w:val="7AADF8DC"/>
    <w:rsid w:val="7AC0A072"/>
    <w:rsid w:val="7AD75C84"/>
    <w:rsid w:val="7AFD8AF6"/>
    <w:rsid w:val="7B1AB960"/>
    <w:rsid w:val="7B1FF4E5"/>
    <w:rsid w:val="7B3D297C"/>
    <w:rsid w:val="7B4DFF05"/>
    <w:rsid w:val="7B503F51"/>
    <w:rsid w:val="7B6D04BD"/>
    <w:rsid w:val="7B81FBC3"/>
    <w:rsid w:val="7B84658D"/>
    <w:rsid w:val="7B919544"/>
    <w:rsid w:val="7BA08E04"/>
    <w:rsid w:val="7BA93EF7"/>
    <w:rsid w:val="7BB1F71A"/>
    <w:rsid w:val="7BFDC23F"/>
    <w:rsid w:val="7C041E39"/>
    <w:rsid w:val="7C0BE8B2"/>
    <w:rsid w:val="7C25E736"/>
    <w:rsid w:val="7C6C84F3"/>
    <w:rsid w:val="7C8068C9"/>
    <w:rsid w:val="7C81886D"/>
    <w:rsid w:val="7C8B2894"/>
    <w:rsid w:val="7C9E05CD"/>
    <w:rsid w:val="7CA6CF81"/>
    <w:rsid w:val="7CBEE26A"/>
    <w:rsid w:val="7CC1AF00"/>
    <w:rsid w:val="7CCA0CDF"/>
    <w:rsid w:val="7CE4CE1E"/>
    <w:rsid w:val="7CF31A31"/>
    <w:rsid w:val="7CF37E79"/>
    <w:rsid w:val="7D3462B0"/>
    <w:rsid w:val="7D42F9C1"/>
    <w:rsid w:val="7D692A16"/>
    <w:rsid w:val="7D86EE48"/>
    <w:rsid w:val="7D9D4DAD"/>
    <w:rsid w:val="7DAC7B77"/>
    <w:rsid w:val="7DB3B9D6"/>
    <w:rsid w:val="7DC6569D"/>
    <w:rsid w:val="7DEEED09"/>
    <w:rsid w:val="7DFB073F"/>
    <w:rsid w:val="7E08B59B"/>
    <w:rsid w:val="7E0CBB00"/>
    <w:rsid w:val="7E13248E"/>
    <w:rsid w:val="7E17E59C"/>
    <w:rsid w:val="7E18260E"/>
    <w:rsid w:val="7E21F63D"/>
    <w:rsid w:val="7E34775A"/>
    <w:rsid w:val="7E4003B5"/>
    <w:rsid w:val="7E48EDF8"/>
    <w:rsid w:val="7E4AAC9F"/>
    <w:rsid w:val="7E97F867"/>
    <w:rsid w:val="7E9FFFEA"/>
    <w:rsid w:val="7EA18C3D"/>
    <w:rsid w:val="7EB1E6D0"/>
    <w:rsid w:val="7ED33DDC"/>
    <w:rsid w:val="7ED7AF2F"/>
    <w:rsid w:val="7EDEC15B"/>
    <w:rsid w:val="7EFCA264"/>
    <w:rsid w:val="7F19BFF9"/>
    <w:rsid w:val="7F21FAA9"/>
    <w:rsid w:val="7F2840B2"/>
    <w:rsid w:val="7F4A0109"/>
    <w:rsid w:val="7F4F7594"/>
    <w:rsid w:val="7F562CF5"/>
    <w:rsid w:val="7F6AD564"/>
    <w:rsid w:val="7F6F1712"/>
    <w:rsid w:val="7F7F50E5"/>
    <w:rsid w:val="7F82416A"/>
    <w:rsid w:val="7F8EE6A2"/>
    <w:rsid w:val="7FA9385A"/>
    <w:rsid w:val="7FD0B0CB"/>
    <w:rsid w:val="7FE91C07"/>
    <w:rsid w:val="7FEE90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0C02FE"/>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14:scene3d>
        <w14:camera w14:prst="orthographicFront"/>
        <w14:lightRig w14:rig="threePt" w14:dir="t">
          <w14:rot w14:lat="0" w14:lon="0" w14:rev="0"/>
        </w14:lightRig>
      </w14:scene3d>
    </w:rPr>
  </w:style>
  <w:style w:type="paragraph" w:styleId="Heading3">
    <w:name w:val="heading 3"/>
    <w:basedOn w:val="Normal"/>
    <w:next w:val="Normal"/>
    <w:link w:val="Heading3Char"/>
    <w:uiPriority w:val="9"/>
    <w:unhideWhenUsed/>
    <w:qFormat/>
    <w:rsid w:val="008346FA"/>
    <w:pPr>
      <w:keepNext/>
      <w:keepLines/>
      <w:tabs>
        <w:tab w:val="left" w:pos="851"/>
      </w:tabs>
      <w:spacing w:before="360" w:after="200" w:line="240" w:lineRule="auto"/>
      <w:jc w:val="both"/>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A4136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05AFB"/>
    <w:pPr>
      <w:keepNext/>
      <w:keepLines/>
      <w:spacing w:before="40" w:after="24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705AFB"/>
    <w:pPr>
      <w:keepNext/>
      <w:keepLines/>
      <w:spacing w:before="40" w:after="2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705AFB"/>
    <w:pPr>
      <w:keepNext/>
      <w:keepLines/>
      <w:spacing w:before="40" w:after="2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0C02FE"/>
    <w:rPr>
      <w:rFonts w:ascii="Franklin Gothic Medium" w:eastAsiaTheme="majorEastAsia" w:hAnsi="Franklin Gothic Medium" w:cstheme="majorBidi"/>
      <w:color w:val="000000" w:themeColor="text1"/>
      <w:sz w:val="32"/>
      <w:szCs w:val="26"/>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uiPriority w:val="9"/>
    <w:rsid w:val="008346FA"/>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autoRedefine/>
    <w:qFormat/>
    <w:rsid w:val="00B76655"/>
    <w:pPr>
      <w:keepNext/>
      <w:spacing w:before="24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 Antiqua" w:hAnsi="Book Antiqua"/>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B76655"/>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Dossier table,Section 3- footnotes,CMA Table Template,PBAC table,MSD Table Grid,HTAtableplain,Lash Style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8A544B"/>
    <w:pPr>
      <w:tabs>
        <w:tab w:val="left" w:pos="1100"/>
        <w:tab w:val="left" w:pos="1531"/>
        <w:tab w:val="right" w:leader="dot" w:pos="9010"/>
      </w:tabs>
      <w:spacing w:after="100" w:line="240" w:lineRule="auto"/>
    </w:pPr>
    <w:rPr>
      <w:rFonts w:ascii="Franklin Gothic Medium" w:eastAsiaTheme="majorEastAsia" w:hAnsi="Franklin Gothic Medium" w:cstheme="majorBidi"/>
      <w:bCs/>
      <w:noProof/>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D81D27"/>
    <w:pPr>
      <w:tabs>
        <w:tab w:val="right" w:leader="dot" w:pos="9016"/>
      </w:tabs>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5C1425"/>
    <w:pPr>
      <w:numPr>
        <w:numId w:val="3"/>
      </w:numPr>
      <w:spacing w:after="120" w:line="240" w:lineRule="auto"/>
    </w:p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ind w:left="1134" w:hanging="1134"/>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ook Antiqua" w:hAnsi="Book Antiqu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ook Antiqua" w:hAnsi="Book Antiqu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ook Antiqua" w:hAnsi="Book Antiqua"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unhideWhenUsed/>
    <w:rsid w:val="00D13865"/>
    <w:rPr>
      <w:color w:val="605E5C"/>
      <w:shd w:val="clear" w:color="auto" w:fill="E1DFDD"/>
    </w:rPr>
  </w:style>
  <w:style w:type="character" w:styleId="EndnoteReference">
    <w:name w:val="endnote reference"/>
    <w:basedOn w:val="DefaultParagraphFont"/>
    <w:uiPriority w:val="99"/>
    <w:semiHidden/>
    <w:unhideWhenUsed/>
    <w:rsid w:val="00F171D3"/>
    <w:rPr>
      <w:vertAlign w:val="superscript"/>
    </w:rPr>
  </w:style>
  <w:style w:type="paragraph" w:customStyle="1" w:styleId="pf0">
    <w:name w:val="pf0"/>
    <w:basedOn w:val="Normal"/>
    <w:rsid w:val="00093C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093C09"/>
    <w:rPr>
      <w:rFonts w:ascii="Segoe UI" w:hAnsi="Segoe UI" w:cs="Segoe UI" w:hint="default"/>
      <w:sz w:val="18"/>
      <w:szCs w:val="18"/>
    </w:rPr>
  </w:style>
  <w:style w:type="table" w:customStyle="1" w:styleId="TableGrid3">
    <w:name w:val="Table Grid3"/>
    <w:basedOn w:val="TableNormal"/>
    <w:next w:val="TableGrid"/>
    <w:uiPriority w:val="59"/>
    <w:rsid w:val="0077466D"/>
    <w:pPr>
      <w:spacing w:after="0" w:line="240" w:lineRule="auto"/>
    </w:pPr>
    <w:rPr>
      <w:rFonts w:eastAsia="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 note"/>
    <w:basedOn w:val="Normal"/>
    <w:qFormat/>
    <w:rsid w:val="00C63965"/>
    <w:pPr>
      <w:spacing w:before="20" w:after="360" w:line="240" w:lineRule="auto"/>
      <w:ind w:left="284" w:hanging="142"/>
      <w:contextualSpacing/>
    </w:pPr>
    <w:rPr>
      <w:rFonts w:asciiTheme="minorHAnsi" w:hAnsiTheme="minorHAnsi"/>
      <w:i/>
      <w:sz w:val="16"/>
      <w:szCs w:val="24"/>
    </w:rPr>
  </w:style>
  <w:style w:type="character" w:customStyle="1" w:styleId="Heading5Char">
    <w:name w:val="Heading 5 Char"/>
    <w:basedOn w:val="DefaultParagraphFont"/>
    <w:link w:val="Heading5"/>
    <w:uiPriority w:val="9"/>
    <w:rsid w:val="00A4136D"/>
    <w:rPr>
      <w:rFonts w:asciiTheme="majorHAnsi" w:eastAsiaTheme="majorEastAsia" w:hAnsiTheme="majorHAnsi" w:cstheme="majorBidi"/>
      <w:color w:val="2E74B5" w:themeColor="accent1" w:themeShade="BF"/>
    </w:rPr>
  </w:style>
  <w:style w:type="character" w:customStyle="1" w:styleId="ui-provider">
    <w:name w:val="ui-provider"/>
    <w:basedOn w:val="DefaultParagraphFont"/>
    <w:rsid w:val="00CE327F"/>
  </w:style>
  <w:style w:type="paragraph" w:styleId="EndnoteText">
    <w:name w:val="endnote text"/>
    <w:basedOn w:val="Normal"/>
    <w:link w:val="EndnoteTextChar"/>
    <w:uiPriority w:val="99"/>
    <w:semiHidden/>
    <w:unhideWhenUsed/>
    <w:rsid w:val="00E071C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071C5"/>
    <w:rPr>
      <w:rFonts w:ascii="Franklin Gothic Book" w:hAnsi="Franklin Gothic Book"/>
      <w:sz w:val="20"/>
      <w:szCs w:val="20"/>
    </w:rPr>
  </w:style>
  <w:style w:type="paragraph" w:customStyle="1" w:styleId="EndNoteBibliographyTitle">
    <w:name w:val="EndNote Bibliography Title"/>
    <w:basedOn w:val="Normal"/>
    <w:link w:val="EndNoteBibliographyTitleChar"/>
    <w:rsid w:val="00522696"/>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522696"/>
    <w:rPr>
      <w:rFonts w:ascii="Franklin Gothic Book" w:hAnsi="Franklin Gothic Book"/>
      <w:noProof/>
      <w:lang w:val="en-US"/>
    </w:rPr>
  </w:style>
  <w:style w:type="paragraph" w:customStyle="1" w:styleId="EndNoteBibliography">
    <w:name w:val="EndNote Bibliography"/>
    <w:basedOn w:val="Normal"/>
    <w:link w:val="EndNoteBibliographyChar"/>
    <w:rsid w:val="00522696"/>
    <w:pPr>
      <w:spacing w:line="240" w:lineRule="auto"/>
    </w:pPr>
    <w:rPr>
      <w:noProof/>
      <w:lang w:val="en-US"/>
    </w:rPr>
  </w:style>
  <w:style w:type="character" w:customStyle="1" w:styleId="EndNoteBibliographyChar">
    <w:name w:val="EndNote Bibliography Char"/>
    <w:basedOn w:val="DefaultParagraphFont"/>
    <w:link w:val="EndNoteBibliography"/>
    <w:rsid w:val="00522696"/>
    <w:rPr>
      <w:rFonts w:ascii="Franklin Gothic Book" w:hAnsi="Franklin Gothic Book"/>
      <w:noProof/>
      <w:lang w:val="en-US"/>
    </w:rPr>
  </w:style>
  <w:style w:type="paragraph" w:styleId="NormalWeb">
    <w:name w:val="Normal (Web)"/>
    <w:basedOn w:val="Normal"/>
    <w:uiPriority w:val="99"/>
    <w:semiHidden/>
    <w:unhideWhenUsed/>
    <w:rsid w:val="009737F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737F4"/>
  </w:style>
  <w:style w:type="character" w:customStyle="1" w:styleId="eop">
    <w:name w:val="eop"/>
    <w:basedOn w:val="DefaultParagraphFont"/>
    <w:rsid w:val="009737F4"/>
  </w:style>
  <w:style w:type="paragraph" w:customStyle="1" w:styleId="Default">
    <w:name w:val="Default"/>
    <w:rsid w:val="009737F4"/>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rsid w:val="00705AF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705AF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705AFB"/>
    <w:rPr>
      <w:rFonts w:asciiTheme="majorHAnsi" w:eastAsiaTheme="majorEastAsia" w:hAnsiTheme="majorHAnsi" w:cstheme="majorBidi"/>
      <w:color w:val="272727" w:themeColor="text1" w:themeTint="D8"/>
      <w:sz w:val="21"/>
      <w:szCs w:val="21"/>
    </w:rPr>
  </w:style>
  <w:style w:type="table" w:customStyle="1" w:styleId="TableGrid11">
    <w:name w:val="Table Grid11"/>
    <w:basedOn w:val="TableNormal"/>
    <w:next w:val="TableGrid"/>
    <w:locked/>
    <w:rsid w:val="00705AFB"/>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ahnschrift Light Condensed" w:hAnsi="Bahnschrift Light Condensed"/>
        <w:b w:val="0"/>
        <w:sz w:val="20"/>
      </w:rPr>
    </w:tblStylePr>
  </w:style>
  <w:style w:type="table" w:customStyle="1" w:styleId="PBACTableStyle1">
    <w:name w:val="PBAC Table Style1"/>
    <w:basedOn w:val="TableGrid10"/>
    <w:uiPriority w:val="99"/>
    <w:rsid w:val="00705AFB"/>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ook Antiqua" w:hAnsi="Book Antiqu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ook Antiqua" w:hAnsi="Book Antiqu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ook Antiqua" w:hAnsi="Book Antiqua" w:hint="default"/>
        <w:i/>
        <w:iCs/>
        <w:sz w:val="20"/>
        <w:szCs w:val="20"/>
      </w:rPr>
      <w:tblPr/>
      <w:tcPr>
        <w:tcBorders>
          <w:tl2br w:val="none" w:sz="0" w:space="0" w:color="auto"/>
          <w:tr2bl w:val="none" w:sz="0" w:space="0" w:color="auto"/>
        </w:tcBorders>
      </w:tcPr>
    </w:tblStylePr>
  </w:style>
  <w:style w:type="paragraph" w:customStyle="1" w:styleId="msonormal0">
    <w:name w:val="msonormal"/>
    <w:basedOn w:val="Normal"/>
    <w:rsid w:val="00705AF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705AFB"/>
    <w:pPr>
      <w:spacing w:before="100" w:beforeAutospacing="1" w:after="100" w:afterAutospacing="1" w:line="240" w:lineRule="auto"/>
    </w:pPr>
    <w:rPr>
      <w:rFonts w:ascii="Tahoma" w:eastAsia="Times New Roman" w:hAnsi="Tahoma" w:cs="Tahoma"/>
      <w:color w:val="000000"/>
      <w:sz w:val="18"/>
      <w:szCs w:val="18"/>
      <w:lang w:eastAsia="en-AU"/>
    </w:rPr>
  </w:style>
  <w:style w:type="paragraph" w:customStyle="1" w:styleId="font6">
    <w:name w:val="font6"/>
    <w:basedOn w:val="Normal"/>
    <w:rsid w:val="00705AFB"/>
    <w:pPr>
      <w:spacing w:before="100" w:beforeAutospacing="1" w:after="100" w:afterAutospacing="1" w:line="240" w:lineRule="auto"/>
    </w:pPr>
    <w:rPr>
      <w:rFonts w:ascii="Tahoma" w:eastAsia="Times New Roman" w:hAnsi="Tahoma" w:cs="Tahoma"/>
      <w:b/>
      <w:bCs/>
      <w:color w:val="000000"/>
      <w:sz w:val="18"/>
      <w:szCs w:val="18"/>
      <w:lang w:eastAsia="en-AU"/>
    </w:rPr>
  </w:style>
  <w:style w:type="paragraph" w:customStyle="1" w:styleId="xl67">
    <w:name w:val="xl67"/>
    <w:basedOn w:val="Normal"/>
    <w:rsid w:val="00705AFB"/>
    <w:pPr>
      <w:spacing w:before="100" w:beforeAutospacing="1" w:after="100" w:afterAutospacing="1" w:line="240" w:lineRule="auto"/>
      <w:textAlignment w:val="top"/>
    </w:pPr>
    <w:rPr>
      <w:rFonts w:ascii="Times New Roman" w:eastAsia="Times New Roman" w:hAnsi="Times New Roman" w:cs="Times New Roman"/>
      <w:sz w:val="20"/>
      <w:szCs w:val="20"/>
      <w:lang w:eastAsia="en-AU"/>
    </w:rPr>
  </w:style>
  <w:style w:type="paragraph" w:customStyle="1" w:styleId="xl68">
    <w:name w:val="xl68"/>
    <w:basedOn w:val="Normal"/>
    <w:rsid w:val="00705AFB"/>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en-AU"/>
    </w:rPr>
  </w:style>
  <w:style w:type="paragraph" w:customStyle="1" w:styleId="xl69">
    <w:name w:val="xl69"/>
    <w:basedOn w:val="Normal"/>
    <w:rsid w:val="00705AFB"/>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en-AU"/>
    </w:rPr>
  </w:style>
  <w:style w:type="paragraph" w:customStyle="1" w:styleId="xl70">
    <w:name w:val="xl70"/>
    <w:basedOn w:val="Normal"/>
    <w:rsid w:val="00705AFB"/>
    <w:pPr>
      <w:shd w:val="clear" w:color="000000" w:fill="BFBFBF"/>
      <w:spacing w:before="100" w:beforeAutospacing="1" w:after="100" w:afterAutospacing="1" w:line="240" w:lineRule="auto"/>
      <w:jc w:val="center"/>
      <w:textAlignment w:val="top"/>
    </w:pPr>
    <w:rPr>
      <w:rFonts w:ascii="Times New Roman" w:eastAsia="Times New Roman" w:hAnsi="Times New Roman" w:cs="Times New Roman"/>
      <w:sz w:val="20"/>
      <w:szCs w:val="20"/>
      <w:lang w:eastAsia="en-AU"/>
    </w:rPr>
  </w:style>
  <w:style w:type="paragraph" w:customStyle="1" w:styleId="xl71">
    <w:name w:val="xl71"/>
    <w:basedOn w:val="Normal"/>
    <w:rsid w:val="00705AFB"/>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0"/>
      <w:szCs w:val="20"/>
      <w:lang w:eastAsia="en-AU"/>
    </w:rPr>
  </w:style>
  <w:style w:type="character" w:styleId="Mention">
    <w:name w:val="Mention"/>
    <w:basedOn w:val="DefaultParagraphFont"/>
    <w:uiPriority w:val="99"/>
    <w:unhideWhenUsed/>
    <w:rsid w:val="00705AFB"/>
    <w:rPr>
      <w:color w:val="2B579A"/>
      <w:shd w:val="clear" w:color="auto" w:fill="E1DFDD"/>
    </w:rPr>
  </w:style>
  <w:style w:type="paragraph" w:customStyle="1" w:styleId="xl72">
    <w:name w:val="xl72"/>
    <w:basedOn w:val="Normal"/>
    <w:rsid w:val="007B5A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73">
    <w:name w:val="xl73"/>
    <w:basedOn w:val="Normal"/>
    <w:rsid w:val="007B5A80"/>
    <w:pPr>
      <w:spacing w:before="100" w:beforeAutospacing="1" w:after="100" w:afterAutospacing="1" w:line="240" w:lineRule="auto"/>
      <w:textAlignment w:val="center"/>
    </w:pPr>
    <w:rPr>
      <w:rFonts w:ascii="Arial Narrow" w:eastAsia="Times New Roman" w:hAnsi="Arial Narrow" w:cs="Times New Roman"/>
      <w:sz w:val="20"/>
      <w:szCs w:val="20"/>
      <w:lang w:eastAsia="en-AU"/>
    </w:rPr>
  </w:style>
  <w:style w:type="paragraph" w:customStyle="1" w:styleId="xl74">
    <w:name w:val="xl74"/>
    <w:basedOn w:val="Normal"/>
    <w:rsid w:val="007B5A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75">
    <w:name w:val="xl75"/>
    <w:basedOn w:val="Normal"/>
    <w:rsid w:val="007B5A80"/>
    <w:pP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76">
    <w:name w:val="xl76"/>
    <w:basedOn w:val="Normal"/>
    <w:rsid w:val="007B5A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77">
    <w:name w:val="xl77"/>
    <w:basedOn w:val="Normal"/>
    <w:rsid w:val="007B5A80"/>
    <w:pPr>
      <w:spacing w:before="100" w:beforeAutospacing="1" w:after="100" w:afterAutospacing="1" w:line="240" w:lineRule="auto"/>
      <w:textAlignment w:val="center"/>
    </w:pPr>
    <w:rPr>
      <w:rFonts w:ascii="Arial Narrow" w:eastAsia="Times New Roman" w:hAnsi="Arial Narrow" w:cs="Times New Roman"/>
      <w:b/>
      <w:bCs/>
      <w:sz w:val="28"/>
      <w:szCs w:val="28"/>
      <w:lang w:eastAsia="en-AU"/>
    </w:rPr>
  </w:style>
  <w:style w:type="paragraph" w:customStyle="1" w:styleId="xl78">
    <w:name w:val="xl78"/>
    <w:basedOn w:val="Normal"/>
    <w:rsid w:val="007B5A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en-AU"/>
    </w:rPr>
  </w:style>
  <w:style w:type="paragraph" w:customStyle="1" w:styleId="xl79">
    <w:name w:val="xl79"/>
    <w:basedOn w:val="Normal"/>
    <w:rsid w:val="007B5A8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80">
    <w:name w:val="xl80"/>
    <w:basedOn w:val="Normal"/>
    <w:rsid w:val="007B5A8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81">
    <w:name w:val="xl81"/>
    <w:basedOn w:val="Normal"/>
    <w:rsid w:val="007B5A80"/>
    <w:pPr>
      <w:shd w:val="clear" w:color="000000" w:fill="9BC2E6"/>
      <w:spacing w:before="100" w:beforeAutospacing="1" w:after="100" w:afterAutospacing="1" w:line="240" w:lineRule="auto"/>
      <w:textAlignment w:val="center"/>
    </w:pPr>
    <w:rPr>
      <w:rFonts w:ascii="Arial Narrow" w:eastAsia="Times New Roman" w:hAnsi="Arial Narrow" w:cs="Times New Roman"/>
      <w:b/>
      <w:bCs/>
      <w:sz w:val="28"/>
      <w:szCs w:val="28"/>
      <w:lang w:eastAsia="en-AU"/>
    </w:rPr>
  </w:style>
  <w:style w:type="paragraph" w:customStyle="1" w:styleId="xl82">
    <w:name w:val="xl82"/>
    <w:basedOn w:val="Normal"/>
    <w:rsid w:val="007B5A80"/>
    <w:pPr>
      <w:spacing w:before="100" w:beforeAutospacing="1" w:after="100" w:afterAutospacing="1" w:line="240" w:lineRule="auto"/>
      <w:jc w:val="center"/>
    </w:pPr>
    <w:rPr>
      <w:rFonts w:ascii="Times New Roman" w:eastAsia="Times New Roman" w:hAnsi="Times New Roman" w:cs="Times New Roman"/>
      <w:b/>
      <w:bCs/>
      <w:sz w:val="24"/>
      <w:szCs w:val="24"/>
      <w:lang w:eastAsia="en-AU"/>
    </w:rPr>
  </w:style>
  <w:style w:type="paragraph" w:customStyle="1" w:styleId="xl83">
    <w:name w:val="xl83"/>
    <w:basedOn w:val="Normal"/>
    <w:rsid w:val="007B5A80"/>
    <w:pPr>
      <w:shd w:val="clear" w:color="000000" w:fill="9BC2E6"/>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4">
    <w:name w:val="xl84"/>
    <w:basedOn w:val="Normal"/>
    <w:rsid w:val="007B5A80"/>
    <w:pPr>
      <w:shd w:val="clear" w:color="000000" w:fill="9BC2E6"/>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PBACTableStyle2">
    <w:name w:val="PBAC Table Style2"/>
    <w:basedOn w:val="TableGrid10"/>
    <w:uiPriority w:val="99"/>
    <w:rsid w:val="003A27EC"/>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ook Antiqua" w:hAnsi="Book Antiqu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ook Antiqua" w:hAnsi="Book Antiqu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ook Antiqua" w:hAnsi="Book Antiqua"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TableGrid111">
    <w:name w:val="Table Grid111"/>
    <w:basedOn w:val="TableNormal"/>
    <w:next w:val="TableGrid"/>
    <w:locked/>
    <w:rsid w:val="003A27EC"/>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 Antiqua" w:hAnsi="Book Antiqua"/>
        <w:b w:val="0"/>
        <w:sz w:val="20"/>
      </w:rPr>
    </w:tblStylePr>
  </w:style>
  <w:style w:type="table" w:customStyle="1" w:styleId="PBACTableStyle11">
    <w:name w:val="PBAC Table Style11"/>
    <w:basedOn w:val="TableGrid10"/>
    <w:uiPriority w:val="99"/>
    <w:rsid w:val="003A27EC"/>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ook Antiqua" w:hAnsi="Book Antiqu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ook Antiqua" w:hAnsi="Book Antiqu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ook Antiqua" w:hAnsi="Book Antiqua" w:hint="default"/>
        <w:i/>
        <w:iCs/>
        <w:sz w:val="20"/>
        <w:szCs w:val="20"/>
      </w:rPr>
      <w:tblPr/>
      <w:tcPr>
        <w:tcBorders>
          <w:tl2br w:val="none" w:sz="0" w:space="0" w:color="auto"/>
          <w:tr2bl w:val="none" w:sz="0" w:space="0" w:color="auto"/>
        </w:tcBorders>
      </w:tcPr>
    </w:tblStylePr>
  </w:style>
  <w:style w:type="table" w:customStyle="1" w:styleId="TableGrid12">
    <w:name w:val="Table Grid12"/>
    <w:basedOn w:val="TableNormal"/>
    <w:next w:val="TableGrid"/>
    <w:locked/>
    <w:rsid w:val="003A27EC"/>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 Antiqua" w:hAnsi="Book Antiqua"/>
        <w:b w:val="0"/>
        <w:sz w:val="20"/>
      </w:rPr>
    </w:tblStylePr>
  </w:style>
  <w:style w:type="table" w:customStyle="1" w:styleId="PBACTableStyle21">
    <w:name w:val="PBAC Table Style21"/>
    <w:basedOn w:val="TableGrid10"/>
    <w:uiPriority w:val="99"/>
    <w:rsid w:val="003A27EC"/>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ook Antiqua" w:hAnsi="Book Antiqu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ook Antiqua" w:hAnsi="Book Antiqu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ook Antiqua" w:hAnsi="Book Antiqua"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BoxName0">
    <w:name w:val="BoxName"/>
    <w:basedOn w:val="Normal"/>
    <w:rsid w:val="00A76D05"/>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A76D05"/>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A76D05"/>
    <w:pPr>
      <w:numPr>
        <w:numId w:val="10"/>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character" w:customStyle="1" w:styleId="contentpasted4">
    <w:name w:val="contentpasted4"/>
    <w:basedOn w:val="DefaultParagraphFont"/>
    <w:rsid w:val="000148F2"/>
  </w:style>
  <w:style w:type="paragraph" w:styleId="BodyText">
    <w:name w:val="Body Text"/>
    <w:basedOn w:val="Normal"/>
    <w:link w:val="BodyTextChar"/>
    <w:rsid w:val="009653B7"/>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9653B7"/>
    <w:rPr>
      <w:rFonts w:ascii="Book Antiqua" w:eastAsia="Times New Roman" w:hAnsi="Book Antiqua" w:cs="Times New Roman"/>
      <w:sz w:val="24"/>
      <w:szCs w:val="20"/>
    </w:rPr>
  </w:style>
  <w:style w:type="paragraph" w:customStyle="1" w:styleId="BulletBeforeDash">
    <w:name w:val="BulletBeforeDash"/>
    <w:basedOn w:val="Normal"/>
    <w:rsid w:val="005C1A6A"/>
    <w:pPr>
      <w:numPr>
        <w:numId w:val="14"/>
      </w:numPr>
      <w:spacing w:before="0" w:after="0" w:line="240" w:lineRule="auto"/>
      <w:ind w:left="720"/>
    </w:pPr>
    <w:rPr>
      <w:rFonts w:ascii="Times New Roman" w:eastAsia="Times New Roman" w:hAnsi="Times New Roman" w:cs="Times New Roman"/>
      <w:color w:val="000000"/>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9793">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43678089">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07705999">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74872489">
      <w:bodyDiv w:val="1"/>
      <w:marLeft w:val="0"/>
      <w:marRight w:val="0"/>
      <w:marTop w:val="0"/>
      <w:marBottom w:val="0"/>
      <w:divBdr>
        <w:top w:val="none" w:sz="0" w:space="0" w:color="auto"/>
        <w:left w:val="none" w:sz="0" w:space="0" w:color="auto"/>
        <w:bottom w:val="none" w:sz="0" w:space="0" w:color="auto"/>
        <w:right w:val="none" w:sz="0" w:space="0" w:color="auto"/>
      </w:divBdr>
    </w:div>
    <w:div w:id="329916490">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1030005">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59611635">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49769561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77120119">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26799377">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0701313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897013753">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45115114">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97927704">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56123525">
      <w:bodyDiv w:val="1"/>
      <w:marLeft w:val="0"/>
      <w:marRight w:val="0"/>
      <w:marTop w:val="0"/>
      <w:marBottom w:val="0"/>
      <w:divBdr>
        <w:top w:val="none" w:sz="0" w:space="0" w:color="auto"/>
        <w:left w:val="none" w:sz="0" w:space="0" w:color="auto"/>
        <w:bottom w:val="none" w:sz="0" w:space="0" w:color="auto"/>
        <w:right w:val="none" w:sz="0" w:space="0" w:color="auto"/>
      </w:divBdr>
    </w:div>
    <w:div w:id="1097100008">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3015699">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97307962">
      <w:bodyDiv w:val="1"/>
      <w:marLeft w:val="0"/>
      <w:marRight w:val="0"/>
      <w:marTop w:val="0"/>
      <w:marBottom w:val="0"/>
      <w:divBdr>
        <w:top w:val="none" w:sz="0" w:space="0" w:color="auto"/>
        <w:left w:val="none" w:sz="0" w:space="0" w:color="auto"/>
        <w:bottom w:val="none" w:sz="0" w:space="0" w:color="auto"/>
        <w:right w:val="none" w:sz="0" w:space="0" w:color="auto"/>
      </w:divBdr>
    </w:div>
    <w:div w:id="1549100285">
      <w:bodyDiv w:val="1"/>
      <w:marLeft w:val="0"/>
      <w:marRight w:val="0"/>
      <w:marTop w:val="0"/>
      <w:marBottom w:val="0"/>
      <w:divBdr>
        <w:top w:val="none" w:sz="0" w:space="0" w:color="auto"/>
        <w:left w:val="none" w:sz="0" w:space="0" w:color="auto"/>
        <w:bottom w:val="none" w:sz="0" w:space="0" w:color="auto"/>
        <w:right w:val="none" w:sz="0" w:space="0" w:color="auto"/>
      </w:divBdr>
    </w:div>
    <w:div w:id="1576478556">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33367131">
      <w:bodyDiv w:val="1"/>
      <w:marLeft w:val="0"/>
      <w:marRight w:val="0"/>
      <w:marTop w:val="0"/>
      <w:marBottom w:val="0"/>
      <w:divBdr>
        <w:top w:val="none" w:sz="0" w:space="0" w:color="auto"/>
        <w:left w:val="none" w:sz="0" w:space="0" w:color="auto"/>
        <w:bottom w:val="none" w:sz="0" w:space="0" w:color="auto"/>
        <w:right w:val="none" w:sz="0" w:space="0" w:color="auto"/>
      </w:divBdr>
    </w:div>
    <w:div w:id="1636834600">
      <w:bodyDiv w:val="1"/>
      <w:marLeft w:val="0"/>
      <w:marRight w:val="0"/>
      <w:marTop w:val="0"/>
      <w:marBottom w:val="0"/>
      <w:divBdr>
        <w:top w:val="none" w:sz="0" w:space="0" w:color="auto"/>
        <w:left w:val="none" w:sz="0" w:space="0" w:color="auto"/>
        <w:bottom w:val="none" w:sz="0" w:space="0" w:color="auto"/>
        <w:right w:val="none" w:sz="0" w:space="0" w:color="auto"/>
      </w:divBdr>
    </w:div>
    <w:div w:id="1651589548">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58723485">
      <w:bodyDiv w:val="1"/>
      <w:marLeft w:val="0"/>
      <w:marRight w:val="0"/>
      <w:marTop w:val="0"/>
      <w:marBottom w:val="0"/>
      <w:divBdr>
        <w:top w:val="none" w:sz="0" w:space="0" w:color="auto"/>
        <w:left w:val="none" w:sz="0" w:space="0" w:color="auto"/>
        <w:bottom w:val="none" w:sz="0" w:space="0" w:color="auto"/>
        <w:right w:val="none" w:sz="0" w:space="0" w:color="auto"/>
      </w:divBdr>
    </w:div>
    <w:div w:id="1742602575">
      <w:bodyDiv w:val="1"/>
      <w:marLeft w:val="0"/>
      <w:marRight w:val="0"/>
      <w:marTop w:val="0"/>
      <w:marBottom w:val="0"/>
      <w:divBdr>
        <w:top w:val="none" w:sz="0" w:space="0" w:color="auto"/>
        <w:left w:val="none" w:sz="0" w:space="0" w:color="auto"/>
        <w:bottom w:val="none" w:sz="0" w:space="0" w:color="auto"/>
        <w:right w:val="none" w:sz="0" w:space="0" w:color="auto"/>
      </w:divBdr>
    </w:div>
    <w:div w:id="1780029289">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45053466">
      <w:bodyDiv w:val="1"/>
      <w:marLeft w:val="0"/>
      <w:marRight w:val="0"/>
      <w:marTop w:val="0"/>
      <w:marBottom w:val="0"/>
      <w:divBdr>
        <w:top w:val="none" w:sz="0" w:space="0" w:color="auto"/>
        <w:left w:val="none" w:sz="0" w:space="0" w:color="auto"/>
        <w:bottom w:val="none" w:sz="0" w:space="0" w:color="auto"/>
        <w:right w:val="none" w:sz="0" w:space="0" w:color="auto"/>
      </w:divBdr>
    </w:div>
    <w:div w:id="1870025403">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4343993">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0953130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22778682">
      <w:bodyDiv w:val="1"/>
      <w:marLeft w:val="0"/>
      <w:marRight w:val="0"/>
      <w:marTop w:val="0"/>
      <w:marBottom w:val="0"/>
      <w:divBdr>
        <w:top w:val="none" w:sz="0" w:space="0" w:color="auto"/>
        <w:left w:val="none" w:sz="0" w:space="0" w:color="auto"/>
        <w:bottom w:val="none" w:sz="0" w:space="0" w:color="auto"/>
        <w:right w:val="none" w:sz="0" w:space="0" w:color="auto"/>
      </w:divBdr>
    </w:div>
    <w:div w:id="2058315293">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 w:id="213879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msac.gov.au/internet/msac/publishing.nsf/Content/Hom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ptodate.com/contents/x-linked-adrenoleukodystrophy-and-adrenomyeloneuropathy" TargetMode="External"/><Relationship Id="rId2" Type="http://schemas.openxmlformats.org/officeDocument/2006/relationships/hyperlink" Target="https://www.health.gov.au/resources/publications/newborn-bloodspot-screening-national-policy-framework?language=en" TargetMode="External"/><Relationship Id="rId1" Type="http://schemas.openxmlformats.org/officeDocument/2006/relationships/hyperlink" Target="http://www.msac.gov.au/internet/msac/publishing.nsf/Content/1737-public" TargetMode="External"/><Relationship Id="rId4" Type="http://schemas.openxmlformats.org/officeDocument/2006/relationships/hyperlink" Target="https://www.health.gov.au/resources/publications/newborn-bloodspot-screening-national-policy-framework?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EC862-DE60-4118-9756-B20D3C7F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26777</Words>
  <Characters>152635</Characters>
  <Application>Microsoft Office Word</Application>
  <DocSecurity>0</DocSecurity>
  <Lines>1271</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179054</CharactersWithSpaces>
  <SharedDoc>false</SharedDoc>
  <HLinks>
    <vt:vector size="42" baseType="variant">
      <vt:variant>
        <vt:i4>6684716</vt:i4>
      </vt:variant>
      <vt:variant>
        <vt:i4>361</vt:i4>
      </vt:variant>
      <vt:variant>
        <vt:i4>0</vt:i4>
      </vt:variant>
      <vt:variant>
        <vt:i4>5</vt:i4>
      </vt:variant>
      <vt:variant>
        <vt:lpwstr>http://msac.gov.au/internet/msac/publishing.nsf/Content/Home-1</vt:lpwstr>
      </vt:variant>
      <vt:variant>
        <vt:lpwstr/>
      </vt:variant>
      <vt:variant>
        <vt:i4>3997744</vt:i4>
      </vt:variant>
      <vt:variant>
        <vt:i4>0</vt:i4>
      </vt:variant>
      <vt:variant>
        <vt:i4>0</vt:i4>
      </vt:variant>
      <vt:variant>
        <vt:i4>5</vt:i4>
      </vt:variant>
      <vt:variant>
        <vt:lpwstr>http://www.msac.gov.au/</vt:lpwstr>
      </vt:variant>
      <vt:variant>
        <vt:lpwstr/>
      </vt:variant>
      <vt:variant>
        <vt:i4>2752554</vt:i4>
      </vt:variant>
      <vt:variant>
        <vt:i4>9</vt:i4>
      </vt:variant>
      <vt:variant>
        <vt:i4>0</vt:i4>
      </vt:variant>
      <vt:variant>
        <vt:i4>5</vt:i4>
      </vt:variant>
      <vt:variant>
        <vt:lpwstr>https://www.health.gov.au/resources/publications/newborn-bloodspot-screening-national-policy-framework?language=en</vt:lpwstr>
      </vt:variant>
      <vt:variant>
        <vt:lpwstr/>
      </vt:variant>
      <vt:variant>
        <vt:i4>8126560</vt:i4>
      </vt:variant>
      <vt:variant>
        <vt:i4>6</vt:i4>
      </vt:variant>
      <vt:variant>
        <vt:i4>0</vt:i4>
      </vt:variant>
      <vt:variant>
        <vt:i4>5</vt:i4>
      </vt:variant>
      <vt:variant>
        <vt:lpwstr>https://www.uptodate.com/contents/x-linked-adrenoleukodystrophy-and-adrenomyeloneuropathy</vt:lpwstr>
      </vt:variant>
      <vt:variant>
        <vt:lpwstr>H3329080115</vt:lpwstr>
      </vt:variant>
      <vt:variant>
        <vt:i4>2752554</vt:i4>
      </vt:variant>
      <vt:variant>
        <vt:i4>3</vt:i4>
      </vt:variant>
      <vt:variant>
        <vt:i4>0</vt:i4>
      </vt:variant>
      <vt:variant>
        <vt:i4>5</vt:i4>
      </vt:variant>
      <vt:variant>
        <vt:lpwstr>https://www.health.gov.au/resources/publications/newborn-bloodspot-screening-national-policy-framework?language=en</vt:lpwstr>
      </vt:variant>
      <vt:variant>
        <vt:lpwstr/>
      </vt:variant>
      <vt:variant>
        <vt:i4>2490475</vt:i4>
      </vt:variant>
      <vt:variant>
        <vt:i4>0</vt:i4>
      </vt:variant>
      <vt:variant>
        <vt:i4>0</vt:i4>
      </vt:variant>
      <vt:variant>
        <vt:i4>5</vt:i4>
      </vt:variant>
      <vt:variant>
        <vt:lpwstr>http://www.msac.gov.au/internet/msac/publishing.nsf/Content/1737-public</vt:lpwstr>
      </vt:variant>
      <vt:variant>
        <vt:lpwstr/>
      </vt:variant>
      <vt:variant>
        <vt:i4>917554</vt:i4>
      </vt:variant>
      <vt:variant>
        <vt:i4>0</vt:i4>
      </vt:variant>
      <vt:variant>
        <vt:i4>0</vt:i4>
      </vt:variant>
      <vt:variant>
        <vt:i4>5</vt:i4>
      </vt:variant>
      <vt:variant>
        <vt:lpwstr>mailto:Sadia.AFRIN@Health.gov.au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2023-09-29T03:46:00Z</dcterms:created>
  <dcterms:modified xsi:type="dcterms:W3CDTF">2023-09-29T03:46:00Z</dcterms:modified>
</cp:coreProperties>
</file>