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51721" w14:textId="77777777" w:rsidR="00111108" w:rsidRPr="00707064" w:rsidRDefault="00111108" w:rsidP="00111108">
      <w:pPr>
        <w:spacing w:after="240"/>
        <w:jc w:val="center"/>
        <w:rPr>
          <w:b/>
          <w:i/>
          <w:szCs w:val="24"/>
          <w:highlight w:val="yellow"/>
        </w:rPr>
      </w:pPr>
      <w:r>
        <w:rPr>
          <w:rFonts w:ascii="Arial" w:hAnsi="Arial" w:cs="Arial"/>
          <w:b/>
          <w:noProof/>
          <w:color w:val="000080"/>
          <w:sz w:val="28"/>
          <w:szCs w:val="28"/>
        </w:rPr>
        <w:drawing>
          <wp:inline distT="0" distB="0" distL="0" distR="0" wp14:anchorId="47552547" wp14:editId="2883E904">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1464FCB8" w14:textId="77777777" w:rsidR="00111108" w:rsidRPr="00F715D1" w:rsidRDefault="00111108" w:rsidP="00111108">
      <w:pPr>
        <w:pStyle w:val="Title"/>
        <w:tabs>
          <w:tab w:val="left" w:pos="1926"/>
          <w:tab w:val="center" w:pos="4513"/>
        </w:tabs>
        <w:jc w:val="left"/>
      </w:pPr>
      <w:r>
        <w:tab/>
      </w:r>
      <w:r>
        <w:tab/>
      </w:r>
      <w:r w:rsidRPr="00F715D1">
        <w:t>Public Summary Document</w:t>
      </w:r>
    </w:p>
    <w:p w14:paraId="013FED5F" w14:textId="29D926F9" w:rsidR="00111108" w:rsidRPr="00F715D1" w:rsidRDefault="00111108" w:rsidP="00111108">
      <w:pPr>
        <w:pStyle w:val="Subtitle"/>
      </w:pPr>
      <w:r w:rsidRPr="00F715D1">
        <w:t xml:space="preserve">Application No. </w:t>
      </w:r>
      <w:r>
        <w:t>1566</w:t>
      </w:r>
      <w:r w:rsidRPr="00F715D1">
        <w:t xml:space="preserve"> – </w:t>
      </w:r>
      <w:r w:rsidR="00DC333B">
        <w:t xml:space="preserve">Review of immunoglobulin use for </w:t>
      </w:r>
      <w:r>
        <w:rPr>
          <w:rFonts w:cs="Helvetica"/>
        </w:rPr>
        <w:t>Myasthenia Gravis</w:t>
      </w:r>
    </w:p>
    <w:p w14:paraId="0C8216C7" w14:textId="48B925A6" w:rsidR="00111108" w:rsidRPr="00F715D1" w:rsidRDefault="00111108" w:rsidP="00111108">
      <w:pPr>
        <w:tabs>
          <w:tab w:val="left" w:pos="3686"/>
        </w:tabs>
        <w:spacing w:after="240"/>
        <w:rPr>
          <w:rFonts w:ascii="Arial" w:hAnsi="Arial" w:cs="Arial"/>
          <w:b/>
          <w:szCs w:val="24"/>
        </w:rPr>
      </w:pPr>
      <w:r w:rsidRPr="00F715D1">
        <w:rPr>
          <w:rFonts w:ascii="Arial" w:hAnsi="Arial" w:cs="Arial"/>
          <w:b/>
          <w:szCs w:val="24"/>
        </w:rPr>
        <w:t>Applicant</w:t>
      </w:r>
      <w:r w:rsidR="00F47115">
        <w:rPr>
          <w:rFonts w:ascii="Arial" w:hAnsi="Arial" w:cs="Arial"/>
          <w:b/>
          <w:szCs w:val="24"/>
        </w:rPr>
        <w:t>:</w:t>
      </w:r>
      <w:r w:rsidR="00F47115">
        <w:rPr>
          <w:rFonts w:ascii="Arial" w:hAnsi="Arial" w:cs="Arial"/>
          <w:b/>
          <w:szCs w:val="24"/>
        </w:rPr>
        <w:tab/>
        <w:t>National Blood</w:t>
      </w:r>
      <w:r>
        <w:rPr>
          <w:rFonts w:ascii="Arial" w:hAnsi="Arial" w:cs="Arial"/>
          <w:b/>
          <w:szCs w:val="24"/>
        </w:rPr>
        <w:t xml:space="preserve"> Authority</w:t>
      </w:r>
    </w:p>
    <w:p w14:paraId="75B08BC9" w14:textId="7D1C746A" w:rsidR="00111108" w:rsidRPr="00F715D1" w:rsidRDefault="00111108" w:rsidP="00111108">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t xml:space="preserve">MSAC </w:t>
      </w:r>
      <w:r>
        <w:rPr>
          <w:rFonts w:ascii="Arial" w:hAnsi="Arial" w:cs="Arial"/>
          <w:b/>
          <w:szCs w:val="24"/>
        </w:rPr>
        <w:t>78</w:t>
      </w:r>
      <w:r w:rsidRPr="00F715D1">
        <w:rPr>
          <w:rFonts w:ascii="Arial" w:hAnsi="Arial" w:cs="Arial"/>
          <w:b/>
          <w:szCs w:val="24"/>
          <w:vertAlign w:val="superscript"/>
        </w:rPr>
        <w:t>th</w:t>
      </w:r>
      <w:r w:rsidRPr="00F715D1">
        <w:rPr>
          <w:rFonts w:ascii="Arial" w:hAnsi="Arial" w:cs="Arial"/>
          <w:b/>
          <w:szCs w:val="24"/>
        </w:rPr>
        <w:t xml:space="preserve"> Meeting, </w:t>
      </w:r>
      <w:r>
        <w:rPr>
          <w:rFonts w:ascii="Arial" w:hAnsi="Arial" w:cs="Arial"/>
          <w:b/>
          <w:szCs w:val="24"/>
        </w:rPr>
        <w:t>3 April 2020</w:t>
      </w:r>
    </w:p>
    <w:p w14:paraId="10EF8BE8" w14:textId="77777777" w:rsidR="00111108" w:rsidRPr="00B03EAB" w:rsidRDefault="00111108" w:rsidP="00111108">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Pr>
          <w:szCs w:val="24"/>
        </w:rPr>
        <w:t>h its Terms of Reference</w:t>
      </w:r>
      <w:proofErr w:type="gramEnd"/>
      <w:r>
        <w:rPr>
          <w:szCs w:val="24"/>
        </w:rPr>
        <w:t>,</w:t>
      </w:r>
      <w:r w:rsidRPr="00F715D1">
        <w:rPr>
          <w:szCs w:val="24"/>
        </w:rPr>
        <w:t xml:space="preserve"> </w:t>
      </w:r>
      <w:hyperlink r:id="rId9" w:tooltip="Link to Medical Services Advisory Committee website" w:history="1">
        <w:proofErr w:type="gramStart"/>
        <w:r w:rsidRPr="00F715D1">
          <w:rPr>
            <w:rStyle w:val="Hyperlink"/>
            <w:szCs w:val="24"/>
          </w:rPr>
          <w:t>visit the MSAC website</w:t>
        </w:r>
        <w:proofErr w:type="gramEnd"/>
      </w:hyperlink>
    </w:p>
    <w:p w14:paraId="50D6F21C" w14:textId="77777777" w:rsidR="00111108" w:rsidRPr="00F715D1" w:rsidRDefault="00111108" w:rsidP="00111108">
      <w:pPr>
        <w:pStyle w:val="Heading1"/>
      </w:pPr>
      <w:r w:rsidRPr="00F715D1">
        <w:t xml:space="preserve">Purpose of application </w:t>
      </w:r>
    </w:p>
    <w:p w14:paraId="415FAAFE" w14:textId="02A263EC" w:rsidR="00FC227A" w:rsidRDefault="00FC227A" w:rsidP="00FC227A">
      <w:pPr>
        <w:tabs>
          <w:tab w:val="left" w:pos="720"/>
          <w:tab w:val="left" w:pos="1140"/>
        </w:tabs>
        <w:rPr>
          <w:szCs w:val="24"/>
        </w:rPr>
      </w:pPr>
      <w:r>
        <w:rPr>
          <w:szCs w:val="24"/>
        </w:rPr>
        <w:t xml:space="preserve">This Post-market Review requests MSAC advice on the Government funded supply of human gamma immunoglobulin (IgG) therapy under the National Blood Arrangements for the treatment of myasthenia gravis (MG). The application (referral) </w:t>
      </w:r>
      <w:proofErr w:type="gramStart"/>
      <w:r>
        <w:rPr>
          <w:szCs w:val="24"/>
        </w:rPr>
        <w:t>was received</w:t>
      </w:r>
      <w:proofErr w:type="gramEnd"/>
      <w:r>
        <w:rPr>
          <w:szCs w:val="24"/>
        </w:rPr>
        <w:t xml:space="preserve"> by the Department of Health from the National Blood Authority (NBA).</w:t>
      </w:r>
    </w:p>
    <w:p w14:paraId="3512379E" w14:textId="77777777" w:rsidR="00111108" w:rsidRPr="00F715D1" w:rsidRDefault="00111108" w:rsidP="00111108">
      <w:pPr>
        <w:pStyle w:val="Heading1"/>
      </w:pPr>
      <w:r w:rsidRPr="00F715D1">
        <w:t>MSAC’s advice to the Minister</w:t>
      </w:r>
    </w:p>
    <w:p w14:paraId="092FC01F" w14:textId="7CAD1972" w:rsidR="00111108" w:rsidRDefault="001E67FE" w:rsidP="00111108">
      <w:pPr>
        <w:pStyle w:val="Default"/>
        <w:spacing w:after="240"/>
        <w:rPr>
          <w:color w:val="auto"/>
        </w:rPr>
      </w:pPr>
      <w:r>
        <w:rPr>
          <w:color w:val="auto"/>
        </w:rPr>
        <w:t xml:space="preserve">After considering the strength of the available evidence in relation to comparative safety, </w:t>
      </w:r>
      <w:proofErr w:type="gramStart"/>
      <w:r>
        <w:rPr>
          <w:color w:val="auto"/>
        </w:rPr>
        <w:t>clinical</w:t>
      </w:r>
      <w:proofErr w:type="gramEnd"/>
      <w:r>
        <w:rPr>
          <w:color w:val="auto"/>
        </w:rPr>
        <w:t xml:space="preserve"> effectiveness and cost-effectiveness, MSAC advised that funding should continue for all three indications of myasthenia gravis. MSAC noted there is likely clinical benefit and cost-effectiveness to support continued funding of immunoglobulin for patients at risk of</w:t>
      </w:r>
      <w:r w:rsidR="007F20FE">
        <w:rPr>
          <w:color w:val="auto"/>
        </w:rPr>
        <w:t>, or</w:t>
      </w:r>
      <w:r>
        <w:rPr>
          <w:color w:val="auto"/>
        </w:rPr>
        <w:t xml:space="preserve"> in</w:t>
      </w:r>
      <w:r w:rsidR="007F20FE">
        <w:rPr>
          <w:color w:val="auto"/>
        </w:rPr>
        <w:t>,</w:t>
      </w:r>
      <w:r>
        <w:rPr>
          <w:color w:val="auto"/>
        </w:rPr>
        <w:t xml:space="preserve"> </w:t>
      </w:r>
      <w:proofErr w:type="spellStart"/>
      <w:r>
        <w:rPr>
          <w:color w:val="auto"/>
        </w:rPr>
        <w:t>myasthenic</w:t>
      </w:r>
      <w:proofErr w:type="spellEnd"/>
      <w:r>
        <w:rPr>
          <w:color w:val="auto"/>
        </w:rPr>
        <w:t xml:space="preserve"> crisis (indication 1). For patient</w:t>
      </w:r>
      <w:r w:rsidR="00D37D25">
        <w:rPr>
          <w:color w:val="auto"/>
        </w:rPr>
        <w:t>s</w:t>
      </w:r>
      <w:r>
        <w:rPr>
          <w:color w:val="auto"/>
        </w:rPr>
        <w:t xml:space="preserve"> with advanced MG with planned surgery (indication 2) and patients on maintenance therapy for moderate to severe </w:t>
      </w:r>
      <w:r w:rsidR="007F20FE">
        <w:rPr>
          <w:color w:val="auto"/>
        </w:rPr>
        <w:t xml:space="preserve">MG </w:t>
      </w:r>
      <w:r>
        <w:rPr>
          <w:color w:val="auto"/>
        </w:rPr>
        <w:t xml:space="preserve">(indication 3), MSAC advised that the evidence suggests that immunoglobulin is an effective therapy. MSAC recommended maintaining access to immunoglobulin therapy for these two indications </w:t>
      </w:r>
      <w:proofErr w:type="gramStart"/>
      <w:r>
        <w:rPr>
          <w:color w:val="auto"/>
        </w:rPr>
        <w:t>on the basis of</w:t>
      </w:r>
      <w:proofErr w:type="gramEnd"/>
      <w:r>
        <w:rPr>
          <w:color w:val="auto"/>
        </w:rPr>
        <w:t xml:space="preserve"> low Ig use and high clinical need for indication 2, and equity of access issues </w:t>
      </w:r>
      <w:r w:rsidR="00930558">
        <w:rPr>
          <w:color w:val="auto"/>
        </w:rPr>
        <w:t>to</w:t>
      </w:r>
      <w:r>
        <w:rPr>
          <w:color w:val="auto"/>
        </w:rPr>
        <w:t xml:space="preserve"> an alternative treatment (plasma exchange) for indication 3. However, MSAC advise</w:t>
      </w:r>
      <w:r w:rsidR="007F20FE">
        <w:rPr>
          <w:color w:val="auto"/>
        </w:rPr>
        <w:t>d</w:t>
      </w:r>
      <w:r>
        <w:rPr>
          <w:color w:val="auto"/>
        </w:rPr>
        <w:t xml:space="preserve"> that more data </w:t>
      </w:r>
      <w:proofErr w:type="gramStart"/>
      <w:r>
        <w:rPr>
          <w:color w:val="auto"/>
        </w:rPr>
        <w:t>should be collected</w:t>
      </w:r>
      <w:proofErr w:type="gramEnd"/>
      <w:r>
        <w:rPr>
          <w:color w:val="auto"/>
        </w:rPr>
        <w:t xml:space="preserve"> on the long-term benefits and patterns of use of immunoglobulin therapy, particularly for maintenance treatment</w:t>
      </w:r>
      <w:r w:rsidR="007F20FE">
        <w:rPr>
          <w:color w:val="auto"/>
        </w:rPr>
        <w:t xml:space="preserve"> of MG</w:t>
      </w:r>
      <w:r>
        <w:rPr>
          <w:color w:val="auto"/>
        </w:rPr>
        <w:t>, which represents the majority of use in this condition and</w:t>
      </w:r>
      <w:r w:rsidR="00913A57">
        <w:rPr>
          <w:color w:val="auto"/>
        </w:rPr>
        <w:t xml:space="preserve"> with </w:t>
      </w:r>
      <w:r>
        <w:rPr>
          <w:color w:val="auto"/>
        </w:rPr>
        <w:t>uncertain cost-effectiveness.</w:t>
      </w:r>
    </w:p>
    <w:p w14:paraId="69589BC6" w14:textId="66316123" w:rsidR="00C40B21" w:rsidRPr="00C40B21" w:rsidRDefault="00720B96" w:rsidP="00111108">
      <w:pPr>
        <w:pStyle w:val="Default"/>
        <w:spacing w:after="240"/>
        <w:rPr>
          <w:color w:val="auto"/>
        </w:rPr>
      </w:pPr>
      <w:r w:rsidRPr="00B135D0">
        <w:t>MSAC noted the estimated net costs to government of approximately $40.7 million in 2020, increasing to $</w:t>
      </w:r>
      <w:r w:rsidR="008B1EBF">
        <w:t>53.7</w:t>
      </w:r>
      <w:r w:rsidRPr="00B135D0">
        <w:t xml:space="preserve"> million by 2024, </w:t>
      </w:r>
      <w:r>
        <w:t xml:space="preserve">and </w:t>
      </w:r>
      <w:r w:rsidRPr="00B135D0">
        <w:t xml:space="preserve">totalling approximately $236 million over the 5 year projected period to 2024. </w:t>
      </w:r>
      <w:r>
        <w:t xml:space="preserve">However, </w:t>
      </w:r>
      <w:r w:rsidRPr="00B135D0">
        <w:t>MSAC noted that these</w:t>
      </w:r>
      <w:r>
        <w:t xml:space="preserve"> are over</w:t>
      </w:r>
      <w:r w:rsidRPr="00B135D0">
        <w:t>estimates,</w:t>
      </w:r>
      <w:r>
        <w:t xml:space="preserve"> as they</w:t>
      </w:r>
      <w:r w:rsidRPr="00B135D0">
        <w:t xml:space="preserve"> do not include cost-offsets associated with reductions in comparator therap</w:t>
      </w:r>
      <w:r w:rsidR="007F20FE">
        <w:t>ies</w:t>
      </w:r>
      <w:r w:rsidRPr="00B135D0">
        <w:t xml:space="preserve"> (including </w:t>
      </w:r>
      <w:r w:rsidR="002A19B8">
        <w:t>plasma exchange</w:t>
      </w:r>
      <w:r w:rsidRPr="00B135D0">
        <w:t>, surgery or pharmaceuticals).</w:t>
      </w:r>
    </w:p>
    <w:tbl>
      <w:tblPr>
        <w:tblStyle w:val="TableGrid"/>
        <w:tblW w:w="0" w:type="auto"/>
        <w:tblLook w:val="04A0" w:firstRow="1" w:lastRow="0" w:firstColumn="1" w:lastColumn="0" w:noHBand="0" w:noVBand="1"/>
        <w:tblCaption w:val="Consumer summary"/>
      </w:tblPr>
      <w:tblGrid>
        <w:gridCol w:w="9016"/>
      </w:tblGrid>
      <w:tr w:rsidR="00111108" w14:paraId="6A961D62" w14:textId="77777777" w:rsidTr="00325D65">
        <w:trPr>
          <w:tblHeader/>
        </w:trPr>
        <w:tc>
          <w:tcPr>
            <w:tcW w:w="9242" w:type="dxa"/>
          </w:tcPr>
          <w:p w14:paraId="07EA2329" w14:textId="77777777" w:rsidR="00111108" w:rsidRPr="00F77986" w:rsidRDefault="00111108" w:rsidP="00BA6645">
            <w:pPr>
              <w:pStyle w:val="Default"/>
              <w:spacing w:before="120" w:after="240"/>
              <w:rPr>
                <w:b/>
                <w:color w:val="auto"/>
                <w:sz w:val="24"/>
                <w:szCs w:val="24"/>
              </w:rPr>
            </w:pPr>
            <w:r w:rsidRPr="00F77986">
              <w:rPr>
                <w:b/>
                <w:color w:val="auto"/>
                <w:sz w:val="24"/>
                <w:szCs w:val="24"/>
              </w:rPr>
              <w:lastRenderedPageBreak/>
              <w:t>Consumer summary</w:t>
            </w:r>
          </w:p>
          <w:p w14:paraId="03DA654C" w14:textId="1A865A1D" w:rsidR="00C40B21" w:rsidRPr="00F77986" w:rsidRDefault="00C40B21" w:rsidP="00C40B21">
            <w:pPr>
              <w:pStyle w:val="Default"/>
              <w:spacing w:after="240"/>
              <w:rPr>
                <w:sz w:val="24"/>
                <w:szCs w:val="24"/>
              </w:rPr>
            </w:pPr>
            <w:r w:rsidRPr="00F77986">
              <w:rPr>
                <w:sz w:val="24"/>
                <w:szCs w:val="24"/>
              </w:rPr>
              <w:t>The National Blood Authority (NBA) sought advice from MSAC on the government-funded supply of human antibodies (immunoglobulin, or Ig) used to treat myasthenia gravis</w:t>
            </w:r>
            <w:r w:rsidR="00D13F03" w:rsidRPr="00F77986">
              <w:rPr>
                <w:sz w:val="24"/>
                <w:szCs w:val="24"/>
              </w:rPr>
              <w:t xml:space="preserve"> (MG)</w:t>
            </w:r>
            <w:r w:rsidRPr="00F77986">
              <w:rPr>
                <w:sz w:val="24"/>
                <w:szCs w:val="24"/>
              </w:rPr>
              <w:t>.</w:t>
            </w:r>
          </w:p>
          <w:p w14:paraId="166080CE" w14:textId="50F61DB4" w:rsidR="00C40B21" w:rsidRPr="00F77986" w:rsidRDefault="00D13F03" w:rsidP="00C40B21">
            <w:pPr>
              <w:pStyle w:val="Default"/>
              <w:spacing w:after="240"/>
              <w:rPr>
                <w:sz w:val="24"/>
                <w:szCs w:val="24"/>
              </w:rPr>
            </w:pPr>
            <w:r w:rsidRPr="00F77986">
              <w:rPr>
                <w:sz w:val="24"/>
                <w:szCs w:val="24"/>
              </w:rPr>
              <w:t>MG</w:t>
            </w:r>
            <w:r w:rsidR="00C40B21" w:rsidRPr="00F77986">
              <w:rPr>
                <w:sz w:val="24"/>
                <w:szCs w:val="24"/>
              </w:rPr>
              <w:t xml:space="preserve"> is an autoimmune condition</w:t>
            </w:r>
            <w:r w:rsidR="005008CD">
              <w:rPr>
                <w:sz w:val="24"/>
                <w:szCs w:val="24"/>
              </w:rPr>
              <w:t xml:space="preserve">: a condition where the </w:t>
            </w:r>
            <w:proofErr w:type="gramStart"/>
            <w:r w:rsidR="005008CD">
              <w:rPr>
                <w:sz w:val="24"/>
                <w:szCs w:val="24"/>
              </w:rPr>
              <w:t>body’s</w:t>
            </w:r>
            <w:proofErr w:type="gramEnd"/>
            <w:r w:rsidR="005008CD">
              <w:rPr>
                <w:sz w:val="24"/>
                <w:szCs w:val="24"/>
              </w:rPr>
              <w:t xml:space="preserve"> immune or disease fighting system attacks healthy cells. MG</w:t>
            </w:r>
            <w:r w:rsidR="00C40B21" w:rsidRPr="00F77986">
              <w:rPr>
                <w:sz w:val="24"/>
                <w:szCs w:val="24"/>
              </w:rPr>
              <w:t xml:space="preserve"> </w:t>
            </w:r>
            <w:r w:rsidR="007F20FE" w:rsidRPr="00F77986">
              <w:rPr>
                <w:sz w:val="24"/>
                <w:szCs w:val="24"/>
              </w:rPr>
              <w:t xml:space="preserve">affects </w:t>
            </w:r>
            <w:r w:rsidR="00C40B21" w:rsidRPr="00F77986">
              <w:rPr>
                <w:sz w:val="24"/>
                <w:szCs w:val="24"/>
              </w:rPr>
              <w:t>the transmission of signals from the nerves to the muscles, causing muscle weakness</w:t>
            </w:r>
            <w:r w:rsidR="007F20FE" w:rsidRPr="00F77986">
              <w:rPr>
                <w:sz w:val="24"/>
                <w:szCs w:val="24"/>
              </w:rPr>
              <w:t xml:space="preserve"> and fatigue</w:t>
            </w:r>
            <w:r w:rsidR="00C40B21" w:rsidRPr="00F77986">
              <w:rPr>
                <w:sz w:val="24"/>
                <w:szCs w:val="24"/>
              </w:rPr>
              <w:t xml:space="preserve">. </w:t>
            </w:r>
            <w:r w:rsidR="005008CD">
              <w:rPr>
                <w:sz w:val="24"/>
                <w:szCs w:val="24"/>
              </w:rPr>
              <w:t>People affected by MG often have difficulty swallowing, double vision and roping eyelids</w:t>
            </w:r>
            <w:r w:rsidR="00B20DE6">
              <w:rPr>
                <w:sz w:val="24"/>
                <w:szCs w:val="24"/>
              </w:rPr>
              <w:t xml:space="preserve">. </w:t>
            </w:r>
            <w:r w:rsidR="005008CD">
              <w:rPr>
                <w:sz w:val="24"/>
                <w:szCs w:val="24"/>
              </w:rPr>
              <w:t xml:space="preserve">We </w:t>
            </w:r>
            <w:proofErr w:type="gramStart"/>
            <w:r w:rsidR="005008CD">
              <w:rPr>
                <w:sz w:val="24"/>
                <w:szCs w:val="24"/>
              </w:rPr>
              <w:t>don’t</w:t>
            </w:r>
            <w:proofErr w:type="gramEnd"/>
            <w:r w:rsidR="005008CD">
              <w:rPr>
                <w:sz w:val="24"/>
                <w:szCs w:val="24"/>
              </w:rPr>
              <w:t xml:space="preserve"> know exactly how immunoglobulin works – we just know it reduces the way the body attacks healthy cells.</w:t>
            </w:r>
          </w:p>
          <w:p w14:paraId="05143FF0" w14:textId="68EAD210" w:rsidR="00D13F03" w:rsidRPr="00F77986" w:rsidRDefault="005008CD" w:rsidP="00C40B21">
            <w:pPr>
              <w:pStyle w:val="Default"/>
              <w:spacing w:after="240"/>
              <w:rPr>
                <w:sz w:val="24"/>
                <w:szCs w:val="24"/>
              </w:rPr>
            </w:pPr>
            <w:r>
              <w:rPr>
                <w:sz w:val="24"/>
                <w:szCs w:val="24"/>
              </w:rPr>
              <w:t>People</w:t>
            </w:r>
            <w:r w:rsidRPr="00F77986">
              <w:rPr>
                <w:sz w:val="24"/>
                <w:szCs w:val="24"/>
              </w:rPr>
              <w:t xml:space="preserve"> </w:t>
            </w:r>
            <w:r w:rsidR="00D13F03" w:rsidRPr="00F77986">
              <w:rPr>
                <w:sz w:val="24"/>
                <w:szCs w:val="24"/>
              </w:rPr>
              <w:t>with MG may have access to Ig therapy for short-term treatment</w:t>
            </w:r>
            <w:r>
              <w:rPr>
                <w:sz w:val="24"/>
                <w:szCs w:val="24"/>
              </w:rPr>
              <w:t>,</w:t>
            </w:r>
            <w:r w:rsidR="00B20DE6">
              <w:rPr>
                <w:sz w:val="24"/>
                <w:szCs w:val="24"/>
              </w:rPr>
              <w:t xml:space="preserve"> </w:t>
            </w:r>
            <w:r>
              <w:rPr>
                <w:sz w:val="24"/>
                <w:szCs w:val="24"/>
              </w:rPr>
              <w:t xml:space="preserve">for example </w:t>
            </w:r>
            <w:r w:rsidR="00D13F03" w:rsidRPr="00F77986">
              <w:rPr>
                <w:sz w:val="24"/>
                <w:szCs w:val="24"/>
              </w:rPr>
              <w:t>prior to surgery</w:t>
            </w:r>
            <w:r>
              <w:rPr>
                <w:sz w:val="24"/>
                <w:szCs w:val="24"/>
              </w:rPr>
              <w:t xml:space="preserve"> or for a </w:t>
            </w:r>
            <w:proofErr w:type="spellStart"/>
            <w:r>
              <w:rPr>
                <w:sz w:val="24"/>
                <w:szCs w:val="24"/>
              </w:rPr>
              <w:t>myasthenic</w:t>
            </w:r>
            <w:proofErr w:type="spellEnd"/>
            <w:r>
              <w:rPr>
                <w:sz w:val="24"/>
                <w:szCs w:val="24"/>
              </w:rPr>
              <w:t xml:space="preserve"> crisis i</w:t>
            </w:r>
            <w:r w:rsidR="00B20DE6">
              <w:rPr>
                <w:sz w:val="24"/>
                <w:szCs w:val="24"/>
              </w:rPr>
              <w:t xml:space="preserve">.e. </w:t>
            </w:r>
            <w:r>
              <w:rPr>
                <w:sz w:val="24"/>
                <w:szCs w:val="24"/>
              </w:rPr>
              <w:t>where muscle weakness affects breathing to the extent that a person needs assistance to breathe</w:t>
            </w:r>
            <w:r w:rsidR="00D13F03" w:rsidRPr="00F77986">
              <w:rPr>
                <w:sz w:val="24"/>
                <w:szCs w:val="24"/>
              </w:rPr>
              <w:t xml:space="preserve">, or </w:t>
            </w:r>
            <w:r>
              <w:rPr>
                <w:sz w:val="24"/>
                <w:szCs w:val="24"/>
              </w:rPr>
              <w:t xml:space="preserve">for </w:t>
            </w:r>
            <w:r w:rsidR="00D13F03" w:rsidRPr="00F77986">
              <w:rPr>
                <w:sz w:val="24"/>
                <w:szCs w:val="24"/>
              </w:rPr>
              <w:t>long-term maintenance therapy.</w:t>
            </w:r>
          </w:p>
          <w:p w14:paraId="62750BD0" w14:textId="7F01714D" w:rsidR="00DB5B54" w:rsidRPr="00F77986" w:rsidRDefault="00D13F03" w:rsidP="00C40B21">
            <w:pPr>
              <w:pStyle w:val="Default"/>
              <w:spacing w:after="240"/>
              <w:rPr>
                <w:sz w:val="24"/>
                <w:szCs w:val="24"/>
              </w:rPr>
            </w:pPr>
            <w:proofErr w:type="gramStart"/>
            <w:r w:rsidRPr="00F77986">
              <w:rPr>
                <w:sz w:val="24"/>
                <w:szCs w:val="24"/>
              </w:rPr>
              <w:t>MSAC considered that</w:t>
            </w:r>
            <w:r w:rsidR="00DB5B54" w:rsidRPr="00F77986">
              <w:rPr>
                <w:sz w:val="24"/>
                <w:szCs w:val="24"/>
              </w:rPr>
              <w:t xml:space="preserve"> in general,</w:t>
            </w:r>
            <w:r w:rsidRPr="00F77986">
              <w:rPr>
                <w:sz w:val="24"/>
                <w:szCs w:val="24"/>
              </w:rPr>
              <w:t xml:space="preserve"> Ig use is likely to be safe and </w:t>
            </w:r>
            <w:r w:rsidR="00976001" w:rsidRPr="00F77986">
              <w:rPr>
                <w:sz w:val="24"/>
                <w:szCs w:val="24"/>
              </w:rPr>
              <w:t xml:space="preserve">effective for the treatment of </w:t>
            </w:r>
            <w:r w:rsidR="005008CD" w:rsidRPr="00F77986">
              <w:rPr>
                <w:sz w:val="24"/>
                <w:szCs w:val="24"/>
              </w:rPr>
              <w:t>p</w:t>
            </w:r>
            <w:r w:rsidR="005008CD">
              <w:rPr>
                <w:sz w:val="24"/>
                <w:szCs w:val="24"/>
              </w:rPr>
              <w:t>eople</w:t>
            </w:r>
            <w:r w:rsidR="005008CD" w:rsidRPr="00F77986">
              <w:rPr>
                <w:sz w:val="24"/>
                <w:szCs w:val="24"/>
              </w:rPr>
              <w:t xml:space="preserve"> </w:t>
            </w:r>
            <w:r w:rsidR="00976001" w:rsidRPr="00F77986">
              <w:rPr>
                <w:sz w:val="24"/>
                <w:szCs w:val="24"/>
              </w:rPr>
              <w:t xml:space="preserve">with MG, but that more data should be collected on the long-term </w:t>
            </w:r>
            <w:r w:rsidR="00930558" w:rsidRPr="00F77986">
              <w:rPr>
                <w:sz w:val="24"/>
                <w:szCs w:val="24"/>
              </w:rPr>
              <w:t xml:space="preserve">health </w:t>
            </w:r>
            <w:r w:rsidR="00976001" w:rsidRPr="00F77986">
              <w:rPr>
                <w:sz w:val="24"/>
                <w:szCs w:val="24"/>
              </w:rPr>
              <w:t xml:space="preserve">benefits and how Ig is being used, especially </w:t>
            </w:r>
            <w:r w:rsidR="005008CD">
              <w:rPr>
                <w:sz w:val="24"/>
                <w:szCs w:val="24"/>
              </w:rPr>
              <w:t>with people</w:t>
            </w:r>
            <w:r w:rsidR="00930558" w:rsidRPr="00F77986">
              <w:rPr>
                <w:sz w:val="24"/>
                <w:szCs w:val="24"/>
              </w:rPr>
              <w:t xml:space="preserve"> receiving</w:t>
            </w:r>
            <w:r w:rsidR="00976001" w:rsidRPr="00F77986">
              <w:rPr>
                <w:sz w:val="24"/>
                <w:szCs w:val="24"/>
              </w:rPr>
              <w:t xml:space="preserve"> maintenance treatment </w:t>
            </w:r>
            <w:r w:rsidR="00930558" w:rsidRPr="00F77986">
              <w:rPr>
                <w:sz w:val="24"/>
                <w:szCs w:val="24"/>
              </w:rPr>
              <w:t xml:space="preserve">for moderate to severe </w:t>
            </w:r>
            <w:r w:rsidR="00976001" w:rsidRPr="00F77986">
              <w:rPr>
                <w:sz w:val="24"/>
                <w:szCs w:val="24"/>
              </w:rPr>
              <w:t>MG</w:t>
            </w:r>
            <w:r w:rsidR="00930558" w:rsidRPr="00F77986">
              <w:rPr>
                <w:sz w:val="24"/>
                <w:szCs w:val="24"/>
              </w:rPr>
              <w:t xml:space="preserve">. </w:t>
            </w:r>
            <w:r w:rsidR="004B0C90" w:rsidRPr="00F77986">
              <w:rPr>
                <w:sz w:val="24"/>
                <w:szCs w:val="24"/>
              </w:rPr>
              <w:t>MSAC noted that</w:t>
            </w:r>
            <w:r w:rsidR="00DB5B54" w:rsidRPr="00F77986">
              <w:rPr>
                <w:sz w:val="24"/>
                <w:szCs w:val="24"/>
              </w:rPr>
              <w:t xml:space="preserve"> </w:t>
            </w:r>
            <w:r w:rsidR="00EB3631" w:rsidRPr="00F77986">
              <w:rPr>
                <w:sz w:val="24"/>
                <w:szCs w:val="24"/>
              </w:rPr>
              <w:t>there is poor evidence on which to make decisions about the</w:t>
            </w:r>
            <w:r w:rsidR="00930558" w:rsidRPr="00F77986">
              <w:rPr>
                <w:sz w:val="24"/>
                <w:szCs w:val="24"/>
              </w:rPr>
              <w:t xml:space="preserve"> </w:t>
            </w:r>
            <w:r w:rsidR="004B0C90" w:rsidRPr="00F77986">
              <w:rPr>
                <w:sz w:val="24"/>
                <w:szCs w:val="24"/>
              </w:rPr>
              <w:t>effective</w:t>
            </w:r>
            <w:r w:rsidR="00930558" w:rsidRPr="00F77986">
              <w:rPr>
                <w:sz w:val="24"/>
                <w:szCs w:val="24"/>
              </w:rPr>
              <w:t>ness</w:t>
            </w:r>
            <w:r w:rsidR="004B0C90" w:rsidRPr="00F77986">
              <w:rPr>
                <w:sz w:val="24"/>
                <w:szCs w:val="24"/>
              </w:rPr>
              <w:t xml:space="preserve"> and </w:t>
            </w:r>
            <w:r w:rsidR="00DB5B54" w:rsidRPr="00F77986">
              <w:rPr>
                <w:sz w:val="24"/>
                <w:szCs w:val="24"/>
              </w:rPr>
              <w:t>cost-effective</w:t>
            </w:r>
            <w:r w:rsidR="00EB3631" w:rsidRPr="00F77986">
              <w:rPr>
                <w:sz w:val="24"/>
                <w:szCs w:val="24"/>
              </w:rPr>
              <w:t xml:space="preserve">ness of </w:t>
            </w:r>
            <w:r w:rsidR="004B0C90" w:rsidRPr="00F77986">
              <w:rPr>
                <w:sz w:val="24"/>
                <w:szCs w:val="24"/>
              </w:rPr>
              <w:t xml:space="preserve">Ig </w:t>
            </w:r>
            <w:r w:rsidR="00EB3631" w:rsidRPr="00F77986">
              <w:rPr>
                <w:sz w:val="24"/>
                <w:szCs w:val="24"/>
              </w:rPr>
              <w:t>for the</w:t>
            </w:r>
            <w:r w:rsidR="004B0C90" w:rsidRPr="00F77986">
              <w:rPr>
                <w:sz w:val="24"/>
                <w:szCs w:val="24"/>
              </w:rPr>
              <w:t xml:space="preserve"> long-term </w:t>
            </w:r>
            <w:r w:rsidR="00EB3631" w:rsidRPr="00F77986">
              <w:rPr>
                <w:sz w:val="24"/>
                <w:szCs w:val="24"/>
              </w:rPr>
              <w:t xml:space="preserve">maintenance </w:t>
            </w:r>
            <w:r w:rsidR="004B0C90" w:rsidRPr="00F77986">
              <w:rPr>
                <w:sz w:val="24"/>
                <w:szCs w:val="24"/>
              </w:rPr>
              <w:t>treatment</w:t>
            </w:r>
            <w:r w:rsidR="00B156B9" w:rsidRPr="00F77986">
              <w:rPr>
                <w:sz w:val="24"/>
                <w:szCs w:val="24"/>
              </w:rPr>
              <w:t xml:space="preserve"> </w:t>
            </w:r>
            <w:r w:rsidR="00930558" w:rsidRPr="00F77986">
              <w:rPr>
                <w:sz w:val="24"/>
                <w:szCs w:val="24"/>
              </w:rPr>
              <w:t xml:space="preserve">of MG </w:t>
            </w:r>
            <w:r w:rsidR="00B156B9" w:rsidRPr="00F77986">
              <w:rPr>
                <w:sz w:val="24"/>
                <w:szCs w:val="24"/>
              </w:rPr>
              <w:t>compared with other treatments</w:t>
            </w:r>
            <w:r w:rsidR="00DB5B54" w:rsidRPr="00F77986">
              <w:rPr>
                <w:sz w:val="24"/>
                <w:szCs w:val="24"/>
              </w:rPr>
              <w:t>.</w:t>
            </w:r>
            <w:proofErr w:type="gramEnd"/>
          </w:p>
          <w:p w14:paraId="3F6F7B00" w14:textId="1ED798F8" w:rsidR="00C40B21" w:rsidRPr="00F77986" w:rsidRDefault="00CA70F8" w:rsidP="00C40B21">
            <w:pPr>
              <w:pStyle w:val="Default"/>
              <w:spacing w:after="240"/>
              <w:rPr>
                <w:sz w:val="24"/>
                <w:szCs w:val="24"/>
              </w:rPr>
            </w:pPr>
            <w:r w:rsidRPr="00F77986">
              <w:rPr>
                <w:sz w:val="24"/>
                <w:szCs w:val="24"/>
              </w:rPr>
              <w:t>MSAC noted that the main alternative treatment</w:t>
            </w:r>
            <w:r w:rsidR="00DB5B54" w:rsidRPr="00F77986">
              <w:rPr>
                <w:sz w:val="24"/>
                <w:szCs w:val="24"/>
              </w:rPr>
              <w:t xml:space="preserve"> for MG</w:t>
            </w:r>
            <w:r w:rsidR="00B20DE6">
              <w:rPr>
                <w:sz w:val="24"/>
                <w:szCs w:val="24"/>
              </w:rPr>
              <w:t xml:space="preserve"> (plasma exchange) </w:t>
            </w:r>
            <w:proofErr w:type="gramStart"/>
            <w:r w:rsidR="00B20DE6">
              <w:rPr>
                <w:sz w:val="24"/>
                <w:szCs w:val="24"/>
              </w:rPr>
              <w:t xml:space="preserve">is usually </w:t>
            </w:r>
            <w:r w:rsidR="00DB5B54" w:rsidRPr="00F77986">
              <w:rPr>
                <w:sz w:val="24"/>
                <w:szCs w:val="24"/>
              </w:rPr>
              <w:t>performed</w:t>
            </w:r>
            <w:proofErr w:type="gramEnd"/>
            <w:r w:rsidRPr="00F77986">
              <w:rPr>
                <w:sz w:val="24"/>
                <w:szCs w:val="24"/>
              </w:rPr>
              <w:t xml:space="preserve"> in major hospitals</w:t>
            </w:r>
            <w:r w:rsidR="00DB5B54" w:rsidRPr="00F77986">
              <w:rPr>
                <w:sz w:val="24"/>
                <w:szCs w:val="24"/>
              </w:rPr>
              <w:t xml:space="preserve"> and that restricting access to Ig may mean that </w:t>
            </w:r>
            <w:r w:rsidR="00930558" w:rsidRPr="00F77986">
              <w:rPr>
                <w:sz w:val="24"/>
                <w:szCs w:val="24"/>
              </w:rPr>
              <w:t xml:space="preserve">an effective </w:t>
            </w:r>
            <w:r w:rsidR="00DB5B54" w:rsidRPr="00F77986">
              <w:rPr>
                <w:sz w:val="24"/>
                <w:szCs w:val="24"/>
              </w:rPr>
              <w:t>treatment is not a</w:t>
            </w:r>
            <w:r w:rsidR="004B0C90" w:rsidRPr="00F77986">
              <w:rPr>
                <w:sz w:val="24"/>
                <w:szCs w:val="24"/>
              </w:rPr>
              <w:t>ccessible</w:t>
            </w:r>
            <w:r w:rsidR="00DB5B54" w:rsidRPr="00F77986">
              <w:rPr>
                <w:sz w:val="24"/>
                <w:szCs w:val="24"/>
              </w:rPr>
              <w:t xml:space="preserve"> to all </w:t>
            </w:r>
            <w:r w:rsidR="005008CD">
              <w:rPr>
                <w:sz w:val="24"/>
                <w:szCs w:val="24"/>
              </w:rPr>
              <w:t>people who need it</w:t>
            </w:r>
            <w:r w:rsidR="00DB5B54" w:rsidRPr="00F77986">
              <w:rPr>
                <w:sz w:val="24"/>
                <w:szCs w:val="24"/>
              </w:rPr>
              <w:t>.</w:t>
            </w:r>
            <w:r w:rsidRPr="00F77986">
              <w:rPr>
                <w:sz w:val="24"/>
                <w:szCs w:val="24"/>
              </w:rPr>
              <w:t xml:space="preserve"> </w:t>
            </w:r>
            <w:r w:rsidR="00DB5B54" w:rsidRPr="00F77986">
              <w:rPr>
                <w:sz w:val="24"/>
                <w:szCs w:val="24"/>
              </w:rPr>
              <w:t>Overall, MSAC advised that funding of Ig for the treatment of MG should continue.</w:t>
            </w:r>
          </w:p>
          <w:p w14:paraId="4F8FA135" w14:textId="59323883" w:rsidR="004B0C90" w:rsidRPr="00F77986" w:rsidRDefault="004B0C90" w:rsidP="004B0C90">
            <w:pPr>
              <w:pStyle w:val="Default"/>
              <w:rPr>
                <w:sz w:val="24"/>
                <w:szCs w:val="24"/>
              </w:rPr>
            </w:pPr>
            <w:r w:rsidRPr="00F77986">
              <w:rPr>
                <w:sz w:val="24"/>
                <w:szCs w:val="24"/>
              </w:rPr>
              <w:t xml:space="preserve">In 2017/18, approximately </w:t>
            </w:r>
            <w:r w:rsidR="008B1EBF" w:rsidRPr="00F77986">
              <w:rPr>
                <w:sz w:val="24"/>
                <w:szCs w:val="24"/>
              </w:rPr>
              <w:t>1,174</w:t>
            </w:r>
            <w:r w:rsidRPr="00F77986">
              <w:rPr>
                <w:sz w:val="24"/>
                <w:szCs w:val="24"/>
              </w:rPr>
              <w:t xml:space="preserve"> people accessed Ig therapy for MG and this number </w:t>
            </w:r>
            <w:proofErr w:type="gramStart"/>
            <w:r w:rsidR="00EB3631" w:rsidRPr="00F77986">
              <w:rPr>
                <w:sz w:val="24"/>
                <w:szCs w:val="24"/>
              </w:rPr>
              <w:t>is expected</w:t>
            </w:r>
            <w:proofErr w:type="gramEnd"/>
            <w:r w:rsidRPr="00F77986">
              <w:rPr>
                <w:sz w:val="24"/>
                <w:szCs w:val="24"/>
              </w:rPr>
              <w:t xml:space="preserve"> to increase to around </w:t>
            </w:r>
            <w:r w:rsidR="008B1EBF" w:rsidRPr="00F77986">
              <w:rPr>
                <w:sz w:val="24"/>
                <w:szCs w:val="24"/>
              </w:rPr>
              <w:t>1,718</w:t>
            </w:r>
            <w:r w:rsidRPr="00F77986">
              <w:rPr>
                <w:sz w:val="24"/>
                <w:szCs w:val="24"/>
              </w:rPr>
              <w:t xml:space="preserve"> people by 2024. </w:t>
            </w:r>
            <w:r w:rsidR="006157B9" w:rsidRPr="00F77986">
              <w:rPr>
                <w:sz w:val="24"/>
                <w:szCs w:val="24"/>
              </w:rPr>
              <w:t>MSAC noted that Ig is a high cost therapy</w:t>
            </w:r>
            <w:r w:rsidRPr="00F77986">
              <w:rPr>
                <w:sz w:val="24"/>
                <w:szCs w:val="24"/>
              </w:rPr>
              <w:t xml:space="preserve"> – the review estimated that Ig </w:t>
            </w:r>
            <w:proofErr w:type="gramStart"/>
            <w:r w:rsidRPr="00F77986">
              <w:rPr>
                <w:sz w:val="24"/>
                <w:szCs w:val="24"/>
              </w:rPr>
              <w:t>will</w:t>
            </w:r>
            <w:proofErr w:type="gramEnd"/>
            <w:r w:rsidRPr="00F77986">
              <w:rPr>
                <w:sz w:val="24"/>
                <w:szCs w:val="24"/>
              </w:rPr>
              <w:t xml:space="preserve"> cost the government approximately $</w:t>
            </w:r>
            <w:r w:rsidR="0012221C" w:rsidRPr="00F77986">
              <w:rPr>
                <w:sz w:val="24"/>
                <w:szCs w:val="24"/>
              </w:rPr>
              <w:t>40.7</w:t>
            </w:r>
            <w:r w:rsidR="00EA21E9">
              <w:rPr>
                <w:sz w:val="24"/>
                <w:szCs w:val="24"/>
              </w:rPr>
              <w:t> </w:t>
            </w:r>
            <w:r w:rsidRPr="00F77986">
              <w:rPr>
                <w:sz w:val="24"/>
                <w:szCs w:val="24"/>
              </w:rPr>
              <w:t xml:space="preserve">million </w:t>
            </w:r>
            <w:r w:rsidR="00EB3631" w:rsidRPr="00F77986">
              <w:rPr>
                <w:sz w:val="24"/>
                <w:szCs w:val="24"/>
              </w:rPr>
              <w:t xml:space="preserve">to treat patients with MG </w:t>
            </w:r>
            <w:r w:rsidRPr="00F77986">
              <w:rPr>
                <w:sz w:val="24"/>
                <w:szCs w:val="24"/>
              </w:rPr>
              <w:t xml:space="preserve">in 2020. In 2018/19, a total of 6.57 million grams of Ig </w:t>
            </w:r>
            <w:proofErr w:type="gramStart"/>
            <w:r w:rsidRPr="00F77986">
              <w:rPr>
                <w:sz w:val="24"/>
                <w:szCs w:val="24"/>
              </w:rPr>
              <w:t>was supplied</w:t>
            </w:r>
            <w:proofErr w:type="gramEnd"/>
            <w:r w:rsidRPr="00F77986">
              <w:rPr>
                <w:sz w:val="24"/>
                <w:szCs w:val="24"/>
              </w:rPr>
              <w:t xml:space="preserve"> nationally for all</w:t>
            </w:r>
            <w:r w:rsidR="00EB3631" w:rsidRPr="00F77986">
              <w:rPr>
                <w:sz w:val="24"/>
                <w:szCs w:val="24"/>
              </w:rPr>
              <w:t xml:space="preserve"> medical conditions</w:t>
            </w:r>
            <w:r w:rsidRPr="00F77986">
              <w:rPr>
                <w:sz w:val="24"/>
                <w:szCs w:val="24"/>
              </w:rPr>
              <w:t>, representing a total cost of $613.0</w:t>
            </w:r>
            <w:r w:rsidR="00EA21E9">
              <w:rPr>
                <w:sz w:val="24"/>
                <w:szCs w:val="24"/>
              </w:rPr>
              <w:t> </w:t>
            </w:r>
            <w:r w:rsidRPr="00F77986">
              <w:rPr>
                <w:sz w:val="24"/>
                <w:szCs w:val="24"/>
              </w:rPr>
              <w:t>million (including the cost of plasma for fractionation</w:t>
            </w:r>
            <w:r w:rsidR="00851626">
              <w:rPr>
                <w:sz w:val="24"/>
                <w:szCs w:val="24"/>
              </w:rPr>
              <w:t xml:space="preserve"> i</w:t>
            </w:r>
            <w:r w:rsidR="00B20DE6">
              <w:rPr>
                <w:sz w:val="24"/>
                <w:szCs w:val="24"/>
              </w:rPr>
              <w:t>.</w:t>
            </w:r>
            <w:r w:rsidR="00851626">
              <w:rPr>
                <w:sz w:val="24"/>
                <w:szCs w:val="24"/>
              </w:rPr>
              <w:t>e</w:t>
            </w:r>
            <w:r w:rsidR="00B20DE6">
              <w:rPr>
                <w:sz w:val="24"/>
                <w:szCs w:val="24"/>
              </w:rPr>
              <w:t>.</w:t>
            </w:r>
            <w:r w:rsidR="00851626">
              <w:rPr>
                <w:sz w:val="24"/>
                <w:szCs w:val="24"/>
              </w:rPr>
              <w:t xml:space="preserve"> separating the components of blood</w:t>
            </w:r>
            <w:r w:rsidRPr="00F77986">
              <w:rPr>
                <w:sz w:val="24"/>
                <w:szCs w:val="24"/>
              </w:rPr>
              <w:t xml:space="preserve">). This cost is increasing because more people </w:t>
            </w:r>
            <w:proofErr w:type="gramStart"/>
            <w:r w:rsidRPr="00F77986">
              <w:rPr>
                <w:sz w:val="24"/>
                <w:szCs w:val="24"/>
              </w:rPr>
              <w:t xml:space="preserve">are </w:t>
            </w:r>
            <w:r w:rsidR="00851626">
              <w:rPr>
                <w:sz w:val="24"/>
                <w:szCs w:val="24"/>
              </w:rPr>
              <w:t>being prescribed</w:t>
            </w:r>
            <w:proofErr w:type="gramEnd"/>
            <w:r w:rsidR="00851626" w:rsidRPr="00F77986">
              <w:rPr>
                <w:sz w:val="24"/>
                <w:szCs w:val="24"/>
              </w:rPr>
              <w:t xml:space="preserve"> </w:t>
            </w:r>
            <w:r w:rsidRPr="00F77986">
              <w:rPr>
                <w:sz w:val="24"/>
                <w:szCs w:val="24"/>
              </w:rPr>
              <w:t>Ig every year to treat a range of conditions</w:t>
            </w:r>
            <w:r w:rsidR="00C4260C" w:rsidRPr="00F77986">
              <w:rPr>
                <w:sz w:val="24"/>
                <w:szCs w:val="24"/>
              </w:rPr>
              <w:t>.</w:t>
            </w:r>
            <w:r w:rsidRPr="00F77986">
              <w:rPr>
                <w:sz w:val="24"/>
                <w:szCs w:val="24"/>
              </w:rPr>
              <w:t xml:space="preserve"> </w:t>
            </w:r>
          </w:p>
          <w:p w14:paraId="5A19800E" w14:textId="13D23F7D" w:rsidR="00111108" w:rsidRPr="00F77986" w:rsidRDefault="00111108" w:rsidP="00BE75FD">
            <w:pPr>
              <w:pStyle w:val="Default"/>
              <w:spacing w:before="240" w:after="120"/>
              <w:rPr>
                <w:b/>
                <w:color w:val="auto"/>
                <w:sz w:val="24"/>
                <w:szCs w:val="24"/>
              </w:rPr>
            </w:pPr>
            <w:r w:rsidRPr="00F77986">
              <w:rPr>
                <w:b/>
                <w:color w:val="auto"/>
                <w:sz w:val="24"/>
                <w:szCs w:val="24"/>
              </w:rPr>
              <w:t xml:space="preserve">MSAC’s advice to the </w:t>
            </w:r>
            <w:r w:rsidR="00C40B21" w:rsidRPr="00F77986">
              <w:rPr>
                <w:b/>
                <w:color w:val="auto"/>
                <w:sz w:val="24"/>
                <w:szCs w:val="24"/>
              </w:rPr>
              <w:t>National Blood Authority</w:t>
            </w:r>
          </w:p>
          <w:p w14:paraId="3C53815A" w14:textId="36B680E8" w:rsidR="00C40B21" w:rsidRPr="00DB5B54" w:rsidRDefault="009204C3" w:rsidP="004B0C90">
            <w:pPr>
              <w:pStyle w:val="Default"/>
              <w:spacing w:after="240"/>
              <w:rPr>
                <w:color w:val="auto"/>
              </w:rPr>
            </w:pPr>
            <w:r w:rsidRPr="00F77986">
              <w:rPr>
                <w:color w:val="auto"/>
                <w:sz w:val="24"/>
                <w:szCs w:val="24"/>
              </w:rPr>
              <w:t xml:space="preserve">MSAC advised that no changes to the eligibility criteria are required and that patients should continue to have access to Ig therapy under the current </w:t>
            </w:r>
            <w:r w:rsidR="00851626">
              <w:rPr>
                <w:color w:val="auto"/>
                <w:sz w:val="24"/>
                <w:szCs w:val="24"/>
              </w:rPr>
              <w:t>MG treatment criteria</w:t>
            </w:r>
            <w:r w:rsidRPr="00F77986">
              <w:rPr>
                <w:color w:val="auto"/>
                <w:sz w:val="24"/>
                <w:szCs w:val="24"/>
              </w:rPr>
              <w:t xml:space="preserve">. </w:t>
            </w:r>
            <w:r w:rsidRPr="00332339">
              <w:rPr>
                <w:color w:val="auto"/>
                <w:sz w:val="24"/>
                <w:szCs w:val="24"/>
              </w:rPr>
              <w:t xml:space="preserve">MSAC advised that </w:t>
            </w:r>
            <w:proofErr w:type="gramStart"/>
            <w:r w:rsidRPr="00332339">
              <w:rPr>
                <w:color w:val="auto"/>
                <w:sz w:val="24"/>
                <w:szCs w:val="24"/>
              </w:rPr>
              <w:t xml:space="preserve">more </w:t>
            </w:r>
            <w:r w:rsidR="00EB3631" w:rsidRPr="00332339">
              <w:rPr>
                <w:color w:val="auto"/>
                <w:sz w:val="24"/>
                <w:szCs w:val="24"/>
              </w:rPr>
              <w:t xml:space="preserve">clinical </w:t>
            </w:r>
            <w:r w:rsidRPr="00332339">
              <w:rPr>
                <w:color w:val="auto"/>
                <w:sz w:val="24"/>
                <w:szCs w:val="24"/>
              </w:rPr>
              <w:t>data</w:t>
            </w:r>
            <w:proofErr w:type="gramEnd"/>
            <w:r w:rsidRPr="00332339">
              <w:rPr>
                <w:color w:val="auto"/>
                <w:sz w:val="24"/>
                <w:szCs w:val="24"/>
              </w:rPr>
              <w:t xml:space="preserve"> should be coll</w:t>
            </w:r>
            <w:r w:rsidR="00B156B9" w:rsidRPr="00332339">
              <w:rPr>
                <w:color w:val="auto"/>
                <w:sz w:val="24"/>
                <w:szCs w:val="24"/>
              </w:rPr>
              <w:t xml:space="preserve">ected on the long-term </w:t>
            </w:r>
            <w:r w:rsidR="00EB3631" w:rsidRPr="00332339">
              <w:rPr>
                <w:color w:val="auto"/>
                <w:sz w:val="24"/>
                <w:szCs w:val="24"/>
              </w:rPr>
              <w:t xml:space="preserve">health </w:t>
            </w:r>
            <w:r w:rsidR="00B156B9" w:rsidRPr="00332339">
              <w:rPr>
                <w:color w:val="auto"/>
                <w:sz w:val="24"/>
                <w:szCs w:val="24"/>
              </w:rPr>
              <w:t xml:space="preserve">benefits </w:t>
            </w:r>
            <w:r w:rsidRPr="00332339">
              <w:rPr>
                <w:color w:val="auto"/>
                <w:sz w:val="24"/>
                <w:szCs w:val="24"/>
              </w:rPr>
              <w:t xml:space="preserve">and patterns of use of </w:t>
            </w:r>
            <w:r w:rsidR="004B0C90" w:rsidRPr="00332339">
              <w:rPr>
                <w:color w:val="auto"/>
                <w:sz w:val="24"/>
                <w:szCs w:val="24"/>
              </w:rPr>
              <w:t>Ig</w:t>
            </w:r>
            <w:r w:rsidRPr="00332339">
              <w:rPr>
                <w:color w:val="auto"/>
                <w:sz w:val="24"/>
                <w:szCs w:val="24"/>
              </w:rPr>
              <w:t xml:space="preserve"> therapy, particularly for maintenance treatment, which represents the majority of use </w:t>
            </w:r>
            <w:r w:rsidR="00851626" w:rsidRPr="00332339">
              <w:rPr>
                <w:color w:val="auto"/>
                <w:sz w:val="24"/>
                <w:szCs w:val="24"/>
              </w:rPr>
              <w:t>for MG</w:t>
            </w:r>
            <w:r w:rsidRPr="00332339">
              <w:rPr>
                <w:color w:val="auto"/>
                <w:sz w:val="24"/>
                <w:szCs w:val="24"/>
              </w:rPr>
              <w:t xml:space="preserve"> and has uncertain cost-effectiveness.</w:t>
            </w:r>
          </w:p>
        </w:tc>
      </w:tr>
    </w:tbl>
    <w:p w14:paraId="1BF21AAF" w14:textId="78DBEB74" w:rsidR="00111108" w:rsidRPr="00F715D1" w:rsidRDefault="00111108" w:rsidP="00E538E7">
      <w:pPr>
        <w:pStyle w:val="Heading1"/>
        <w:spacing w:before="720"/>
      </w:pPr>
      <w:r w:rsidRPr="00F715D1">
        <w:lastRenderedPageBreak/>
        <w:t xml:space="preserve">Summary of consideration and rationale for MSAC’s advice </w:t>
      </w:r>
    </w:p>
    <w:p w14:paraId="58A4A39D" w14:textId="014BA139" w:rsidR="00E07856" w:rsidRDefault="00FB5633" w:rsidP="00E07856">
      <w:pPr>
        <w:pStyle w:val="NormalBeforeBullet"/>
        <w:spacing w:after="80"/>
      </w:pPr>
      <w:r>
        <w:rPr>
          <w:szCs w:val="24"/>
        </w:rPr>
        <w:t xml:space="preserve">MSAC noted </w:t>
      </w:r>
      <w:r w:rsidR="00E07856">
        <w:t xml:space="preserve">that patients with MG </w:t>
      </w:r>
      <w:proofErr w:type="gramStart"/>
      <w:r w:rsidR="00E07856">
        <w:t>may</w:t>
      </w:r>
      <w:proofErr w:type="gramEnd"/>
      <w:r w:rsidR="00E07856">
        <w:t xml:space="preserve"> be eligible for</w:t>
      </w:r>
      <w:r w:rsidR="003530BB">
        <w:t xml:space="preserve"> Ig</w:t>
      </w:r>
      <w:r w:rsidR="00E07856">
        <w:t xml:space="preserve"> treatment under the </w:t>
      </w:r>
      <w:r w:rsidR="00E07856" w:rsidRPr="00863A4B">
        <w:rPr>
          <w:i/>
          <w:iCs/>
        </w:rPr>
        <w:t>Criteria for the clinical use of immunoglobulin in Australia</w:t>
      </w:r>
      <w:r w:rsidR="00E07856">
        <w:t xml:space="preserve"> (version 3) </w:t>
      </w:r>
      <w:r w:rsidR="00357163">
        <w:t xml:space="preserve">(the Criteria) </w:t>
      </w:r>
      <w:r w:rsidR="00E07856">
        <w:t>under any of the three indications:</w:t>
      </w:r>
    </w:p>
    <w:p w14:paraId="4AA3CCBA" w14:textId="2BD8EAF1" w:rsidR="00E07856" w:rsidRDefault="008079DA" w:rsidP="00E07856">
      <w:pPr>
        <w:pStyle w:val="Bullet"/>
      </w:pPr>
      <w:r>
        <w:t xml:space="preserve">Indication 1: </w:t>
      </w:r>
      <w:proofErr w:type="spellStart"/>
      <w:r w:rsidR="00E07856" w:rsidRPr="00E07856">
        <w:t>Myasthenic</w:t>
      </w:r>
      <w:proofErr w:type="spellEnd"/>
      <w:r w:rsidR="00E07856" w:rsidRPr="00E07856">
        <w:t xml:space="preserve"> crisis as an alternative treatment to plasma exchange</w:t>
      </w:r>
      <w:r w:rsidR="00606F83">
        <w:t xml:space="preserve"> (PE)</w:t>
      </w:r>
      <w:r w:rsidR="001157A2">
        <w:t>;</w:t>
      </w:r>
    </w:p>
    <w:p w14:paraId="6DC08840" w14:textId="32424283" w:rsidR="00E07856" w:rsidRDefault="008079DA" w:rsidP="00E07856">
      <w:pPr>
        <w:pStyle w:val="Bullet"/>
      </w:pPr>
      <w:r>
        <w:t xml:space="preserve">Indication 2: </w:t>
      </w:r>
      <w:r w:rsidR="00E07856" w:rsidRPr="00E07856">
        <w:t xml:space="preserve">MG prior to surgery and/or </w:t>
      </w:r>
      <w:proofErr w:type="spellStart"/>
      <w:r w:rsidR="00E07856" w:rsidRPr="00E07856">
        <w:t>thymectomy</w:t>
      </w:r>
      <w:proofErr w:type="spellEnd"/>
      <w:r w:rsidR="00E07856" w:rsidRPr="00E07856">
        <w:t xml:space="preserve"> in patients with advanced disease, bulbar symptoms or respiratory involvement, as an alternative treatment to plasma exchange</w:t>
      </w:r>
      <w:r w:rsidR="001157A2">
        <w:t>; or</w:t>
      </w:r>
    </w:p>
    <w:p w14:paraId="2798D20E" w14:textId="6B2C3347" w:rsidR="004A4AFE" w:rsidRPr="004A4AFE" w:rsidRDefault="008079DA" w:rsidP="004A4AFE">
      <w:pPr>
        <w:pStyle w:val="Bullet"/>
      </w:pPr>
      <w:r>
        <w:t xml:space="preserve">Indication 3: </w:t>
      </w:r>
      <w:r w:rsidR="00E07856" w:rsidRPr="00E07856">
        <w:t>As maintenance therapy for moderate to severe MG when other treatments have been ineffective or caused intolerable side effects</w:t>
      </w:r>
      <w:r w:rsidR="001157A2">
        <w:t>.</w:t>
      </w:r>
    </w:p>
    <w:p w14:paraId="5FD1BF09" w14:textId="0FAE9FF1" w:rsidR="00B135D0" w:rsidRDefault="00B135D0" w:rsidP="004A4AFE">
      <w:pPr>
        <w:spacing w:after="240"/>
        <w:rPr>
          <w:szCs w:val="24"/>
        </w:rPr>
      </w:pPr>
      <w:r>
        <w:rPr>
          <w:szCs w:val="24"/>
        </w:rPr>
        <w:t xml:space="preserve">MSAC noted that the number of patients receiving </w:t>
      </w:r>
      <w:r w:rsidR="003530BB">
        <w:rPr>
          <w:szCs w:val="24"/>
        </w:rPr>
        <w:t xml:space="preserve">intravenous Ig </w:t>
      </w:r>
      <w:r w:rsidR="00993265">
        <w:rPr>
          <w:szCs w:val="24"/>
        </w:rPr>
        <w:t>(</w:t>
      </w:r>
      <w:proofErr w:type="spellStart"/>
      <w:r w:rsidR="00993265">
        <w:rPr>
          <w:szCs w:val="24"/>
        </w:rPr>
        <w:t>IVIg</w:t>
      </w:r>
      <w:proofErr w:type="spellEnd"/>
      <w:r w:rsidR="00993265">
        <w:rPr>
          <w:szCs w:val="24"/>
        </w:rPr>
        <w:t xml:space="preserve">) </w:t>
      </w:r>
      <w:r>
        <w:rPr>
          <w:szCs w:val="24"/>
        </w:rPr>
        <w:t>for MG in Australia (1,1</w:t>
      </w:r>
      <w:r w:rsidR="001157A2">
        <w:rPr>
          <w:szCs w:val="24"/>
        </w:rPr>
        <w:t xml:space="preserve">74 </w:t>
      </w:r>
      <w:r w:rsidR="00B02D29">
        <w:rPr>
          <w:szCs w:val="24"/>
        </w:rPr>
        <w:t>in</w:t>
      </w:r>
      <w:r w:rsidR="001157A2">
        <w:rPr>
          <w:szCs w:val="24"/>
        </w:rPr>
        <w:t xml:space="preserve"> 2017-18) is</w:t>
      </w:r>
      <w:r>
        <w:rPr>
          <w:szCs w:val="24"/>
        </w:rPr>
        <w:t xml:space="preserve"> within the expected </w:t>
      </w:r>
      <w:r w:rsidR="00EB3631">
        <w:rPr>
          <w:szCs w:val="24"/>
        </w:rPr>
        <w:t xml:space="preserve">population based on the </w:t>
      </w:r>
      <w:r>
        <w:rPr>
          <w:szCs w:val="24"/>
        </w:rPr>
        <w:t xml:space="preserve">prevalence </w:t>
      </w:r>
      <w:r w:rsidR="00EB3631">
        <w:rPr>
          <w:szCs w:val="24"/>
        </w:rPr>
        <w:t xml:space="preserve">estimates from </w:t>
      </w:r>
      <w:r>
        <w:rPr>
          <w:szCs w:val="24"/>
        </w:rPr>
        <w:t xml:space="preserve">epidemiological </w:t>
      </w:r>
      <w:r w:rsidR="00EB3631">
        <w:rPr>
          <w:szCs w:val="24"/>
        </w:rPr>
        <w:t>studies.</w:t>
      </w:r>
      <w:r w:rsidR="006B1DC9">
        <w:rPr>
          <w:szCs w:val="24"/>
        </w:rPr>
        <w:t xml:space="preserve"> However, the prevalence of MG reported in international epidemiological studies does appear to be increasing over time. </w:t>
      </w:r>
    </w:p>
    <w:p w14:paraId="366534C4" w14:textId="1656C888" w:rsidR="008079DA" w:rsidRDefault="008079DA" w:rsidP="00111108">
      <w:pPr>
        <w:spacing w:after="240"/>
        <w:rPr>
          <w:szCs w:val="24"/>
        </w:rPr>
      </w:pPr>
      <w:r>
        <w:rPr>
          <w:szCs w:val="24"/>
        </w:rPr>
        <w:t>MSAC noted that the comparator t</w:t>
      </w:r>
      <w:r w:rsidR="001F7496">
        <w:rPr>
          <w:szCs w:val="24"/>
        </w:rPr>
        <w:t xml:space="preserve">o </w:t>
      </w:r>
      <w:proofErr w:type="spellStart"/>
      <w:r w:rsidR="00993265">
        <w:rPr>
          <w:szCs w:val="24"/>
        </w:rPr>
        <w:t>IV</w:t>
      </w:r>
      <w:r w:rsidR="001F7496">
        <w:rPr>
          <w:szCs w:val="24"/>
        </w:rPr>
        <w:t>Ig</w:t>
      </w:r>
      <w:proofErr w:type="spellEnd"/>
      <w:r w:rsidR="001F7496">
        <w:rPr>
          <w:szCs w:val="24"/>
        </w:rPr>
        <w:t xml:space="preserve"> in i</w:t>
      </w:r>
      <w:r w:rsidR="002B7B10">
        <w:rPr>
          <w:szCs w:val="24"/>
        </w:rPr>
        <w:t>ndications 1 and 2 was</w:t>
      </w:r>
      <w:r>
        <w:rPr>
          <w:szCs w:val="24"/>
        </w:rPr>
        <w:t xml:space="preserve"> plasma exchange (PE), while </w:t>
      </w:r>
      <w:r w:rsidR="002B7B10">
        <w:rPr>
          <w:szCs w:val="24"/>
        </w:rPr>
        <w:t>com</w:t>
      </w:r>
      <w:r w:rsidR="001F7496">
        <w:rPr>
          <w:szCs w:val="24"/>
        </w:rPr>
        <w:t>parators in i</w:t>
      </w:r>
      <w:r w:rsidR="002B7B10">
        <w:rPr>
          <w:szCs w:val="24"/>
        </w:rPr>
        <w:t>ndication 3 included PE as well as</w:t>
      </w:r>
      <w:r>
        <w:rPr>
          <w:szCs w:val="24"/>
        </w:rPr>
        <w:t xml:space="preserve"> oral steroids, cholinesterase inhibitors, </w:t>
      </w:r>
      <w:r w:rsidRPr="008079DA">
        <w:rPr>
          <w:szCs w:val="24"/>
        </w:rPr>
        <w:t xml:space="preserve">immunosuppressant/immunomodulatory drugs, and </w:t>
      </w:r>
      <w:proofErr w:type="spellStart"/>
      <w:r w:rsidRPr="008079DA">
        <w:rPr>
          <w:szCs w:val="24"/>
        </w:rPr>
        <w:t>thymectomy</w:t>
      </w:r>
      <w:proofErr w:type="spellEnd"/>
      <w:r>
        <w:rPr>
          <w:szCs w:val="24"/>
        </w:rPr>
        <w:t>.</w:t>
      </w:r>
      <w:r w:rsidR="00875428">
        <w:rPr>
          <w:szCs w:val="24"/>
        </w:rPr>
        <w:t xml:space="preserve"> However, due to the lack of studies meeting the inclusion criteria there was insufficient </w:t>
      </w:r>
      <w:r w:rsidR="00875428" w:rsidRPr="00875428">
        <w:rPr>
          <w:szCs w:val="24"/>
        </w:rPr>
        <w:t>evidence to make conclusions about th</w:t>
      </w:r>
      <w:r w:rsidR="00875428">
        <w:rPr>
          <w:szCs w:val="24"/>
        </w:rPr>
        <w:t xml:space="preserve">e safety </w:t>
      </w:r>
      <w:r w:rsidR="00A6596E">
        <w:rPr>
          <w:szCs w:val="24"/>
        </w:rPr>
        <w:t xml:space="preserve">or effectiveness </w:t>
      </w:r>
      <w:r w:rsidR="00875428">
        <w:rPr>
          <w:szCs w:val="24"/>
        </w:rPr>
        <w:t xml:space="preserve">of </w:t>
      </w:r>
      <w:proofErr w:type="spellStart"/>
      <w:r w:rsidR="00875428">
        <w:rPr>
          <w:szCs w:val="24"/>
        </w:rPr>
        <w:t>IVIg</w:t>
      </w:r>
      <w:proofErr w:type="spellEnd"/>
      <w:r w:rsidR="00875428">
        <w:rPr>
          <w:szCs w:val="24"/>
        </w:rPr>
        <w:t xml:space="preserve"> compared to alternative therapies other than PE. </w:t>
      </w:r>
    </w:p>
    <w:p w14:paraId="224D6DDB" w14:textId="1D2D413C" w:rsidR="00875428" w:rsidRDefault="00E07856" w:rsidP="00111108">
      <w:pPr>
        <w:spacing w:after="240"/>
        <w:rPr>
          <w:szCs w:val="24"/>
        </w:rPr>
      </w:pPr>
      <w:r>
        <w:rPr>
          <w:szCs w:val="24"/>
        </w:rPr>
        <w:t>Regarding safety, MSAC noted</w:t>
      </w:r>
      <w:r w:rsidR="00875428">
        <w:rPr>
          <w:szCs w:val="24"/>
        </w:rPr>
        <w:t xml:space="preserve"> that in the assessment report </w:t>
      </w:r>
      <w:proofErr w:type="spellStart"/>
      <w:r w:rsidR="00875428">
        <w:rPr>
          <w:szCs w:val="24"/>
        </w:rPr>
        <w:t>IVIg</w:t>
      </w:r>
      <w:proofErr w:type="spellEnd"/>
      <w:r w:rsidR="00875428">
        <w:rPr>
          <w:szCs w:val="24"/>
        </w:rPr>
        <w:t xml:space="preserve"> was considered to be safer than</w:t>
      </w:r>
      <w:r w:rsidR="001C7844">
        <w:rPr>
          <w:szCs w:val="24"/>
        </w:rPr>
        <w:t xml:space="preserve"> PE for MG patients in crisis (i</w:t>
      </w:r>
      <w:r w:rsidR="003B0A68">
        <w:rPr>
          <w:szCs w:val="24"/>
        </w:rPr>
        <w:t xml:space="preserve">ndication 1), while the </w:t>
      </w:r>
      <w:r w:rsidR="00875428">
        <w:rPr>
          <w:szCs w:val="24"/>
        </w:rPr>
        <w:t xml:space="preserve">body of evidence was determined too small to draw conclusions about the safety of </w:t>
      </w:r>
      <w:proofErr w:type="spellStart"/>
      <w:r w:rsidR="00875428">
        <w:rPr>
          <w:szCs w:val="24"/>
        </w:rPr>
        <w:t>IVIg</w:t>
      </w:r>
      <w:proofErr w:type="spellEnd"/>
      <w:r w:rsidR="00875428">
        <w:rPr>
          <w:szCs w:val="24"/>
        </w:rPr>
        <w:t xml:space="preserve"> compared to PE in p</w:t>
      </w:r>
      <w:r w:rsidR="001C7844">
        <w:rPr>
          <w:szCs w:val="24"/>
        </w:rPr>
        <w:t>atients preparing for surgery (i</w:t>
      </w:r>
      <w:r w:rsidR="00875428">
        <w:rPr>
          <w:szCs w:val="24"/>
        </w:rPr>
        <w:t xml:space="preserve">ndication 2). </w:t>
      </w:r>
      <w:r w:rsidR="001F7496">
        <w:rPr>
          <w:szCs w:val="24"/>
        </w:rPr>
        <w:t>MSAC noted that t</w:t>
      </w:r>
      <w:r w:rsidR="00875428">
        <w:rPr>
          <w:szCs w:val="24"/>
        </w:rPr>
        <w:t xml:space="preserve">he assessment concluded that relative to PE, </w:t>
      </w:r>
      <w:proofErr w:type="spellStart"/>
      <w:r w:rsidR="00875428">
        <w:rPr>
          <w:szCs w:val="24"/>
        </w:rPr>
        <w:t>IVIg</w:t>
      </w:r>
      <w:proofErr w:type="spellEnd"/>
      <w:r w:rsidR="00875428">
        <w:rPr>
          <w:szCs w:val="24"/>
        </w:rPr>
        <w:t xml:space="preserve"> has non-inferior safety for m</w:t>
      </w:r>
      <w:r w:rsidR="002B7B10">
        <w:rPr>
          <w:szCs w:val="24"/>
        </w:rPr>
        <w:t>ainten</w:t>
      </w:r>
      <w:r w:rsidR="001C7844">
        <w:rPr>
          <w:szCs w:val="24"/>
        </w:rPr>
        <w:t>ance therapy (i</w:t>
      </w:r>
      <w:r w:rsidR="002B7B10">
        <w:rPr>
          <w:szCs w:val="24"/>
        </w:rPr>
        <w:t>ndication 3</w:t>
      </w:r>
      <w:r w:rsidR="00875428">
        <w:rPr>
          <w:szCs w:val="24"/>
        </w:rPr>
        <w:t xml:space="preserve">). </w:t>
      </w:r>
      <w:r w:rsidR="00460985">
        <w:rPr>
          <w:szCs w:val="24"/>
        </w:rPr>
        <w:t xml:space="preserve">The type of </w:t>
      </w:r>
      <w:r w:rsidR="0087032A">
        <w:rPr>
          <w:szCs w:val="24"/>
        </w:rPr>
        <w:t xml:space="preserve">adverse events </w:t>
      </w:r>
      <w:r w:rsidR="00460985">
        <w:rPr>
          <w:szCs w:val="24"/>
        </w:rPr>
        <w:t>varied according to treatment</w:t>
      </w:r>
      <w:r w:rsidR="00AB1FF0">
        <w:rPr>
          <w:szCs w:val="24"/>
        </w:rPr>
        <w:t xml:space="preserve"> </w:t>
      </w:r>
      <w:r w:rsidR="000F0BE1">
        <w:rPr>
          <w:szCs w:val="24"/>
        </w:rPr>
        <w:t>with</w:t>
      </w:r>
      <w:r w:rsidR="0087032A">
        <w:rPr>
          <w:szCs w:val="24"/>
        </w:rPr>
        <w:t xml:space="preserve"> either </w:t>
      </w:r>
      <w:proofErr w:type="spellStart"/>
      <w:r w:rsidR="0087032A">
        <w:rPr>
          <w:szCs w:val="24"/>
        </w:rPr>
        <w:t>IVIg</w:t>
      </w:r>
      <w:proofErr w:type="spellEnd"/>
      <w:r w:rsidR="0087032A">
        <w:rPr>
          <w:szCs w:val="24"/>
        </w:rPr>
        <w:t xml:space="preserve"> or PE; for example, </w:t>
      </w:r>
      <w:proofErr w:type="spellStart"/>
      <w:r w:rsidR="00875428">
        <w:rPr>
          <w:szCs w:val="24"/>
        </w:rPr>
        <w:t>IVIg</w:t>
      </w:r>
      <w:proofErr w:type="spellEnd"/>
      <w:r w:rsidR="00875428">
        <w:rPr>
          <w:szCs w:val="24"/>
        </w:rPr>
        <w:t xml:space="preserve"> </w:t>
      </w:r>
      <w:r w:rsidR="0087032A">
        <w:rPr>
          <w:szCs w:val="24"/>
        </w:rPr>
        <w:t>treatment was associated with more</w:t>
      </w:r>
      <w:r w:rsidR="00875428">
        <w:rPr>
          <w:szCs w:val="24"/>
        </w:rPr>
        <w:t xml:space="preserve"> headaches and nausea, </w:t>
      </w:r>
      <w:r w:rsidR="0087032A">
        <w:rPr>
          <w:szCs w:val="24"/>
        </w:rPr>
        <w:t>while patients with</w:t>
      </w:r>
      <w:r w:rsidR="00875428">
        <w:rPr>
          <w:szCs w:val="24"/>
        </w:rPr>
        <w:t xml:space="preserve"> PE</w:t>
      </w:r>
      <w:r w:rsidR="0087032A">
        <w:rPr>
          <w:szCs w:val="24"/>
        </w:rPr>
        <w:t xml:space="preserve"> experienced more</w:t>
      </w:r>
      <w:r w:rsidR="00875428">
        <w:rPr>
          <w:szCs w:val="24"/>
        </w:rPr>
        <w:t xml:space="preserve"> </w:t>
      </w:r>
      <w:r w:rsidR="002C4F85">
        <w:rPr>
          <w:szCs w:val="24"/>
        </w:rPr>
        <w:t>hypotension and venous access problems (</w:t>
      </w:r>
      <w:r w:rsidR="003530BB">
        <w:rPr>
          <w:szCs w:val="24"/>
        </w:rPr>
        <w:t xml:space="preserve">e.g. </w:t>
      </w:r>
      <w:r w:rsidR="002C4F85">
        <w:rPr>
          <w:szCs w:val="24"/>
        </w:rPr>
        <w:t xml:space="preserve">citrate reaction, restricted venous access). </w:t>
      </w:r>
      <w:r w:rsidR="0007742C">
        <w:rPr>
          <w:szCs w:val="24"/>
        </w:rPr>
        <w:t xml:space="preserve">No differences in safety outcomes between </w:t>
      </w:r>
      <w:proofErr w:type="spellStart"/>
      <w:r w:rsidR="0007742C">
        <w:rPr>
          <w:szCs w:val="24"/>
        </w:rPr>
        <w:t>IVIg</w:t>
      </w:r>
      <w:proofErr w:type="spellEnd"/>
      <w:r w:rsidR="0007742C">
        <w:rPr>
          <w:szCs w:val="24"/>
        </w:rPr>
        <w:t xml:space="preserve"> and PE </w:t>
      </w:r>
      <w:proofErr w:type="gramStart"/>
      <w:r w:rsidR="0007742C">
        <w:rPr>
          <w:szCs w:val="24"/>
        </w:rPr>
        <w:t>were identified</w:t>
      </w:r>
      <w:proofErr w:type="gramEnd"/>
      <w:r w:rsidR="0007742C">
        <w:rPr>
          <w:szCs w:val="24"/>
        </w:rPr>
        <w:t xml:space="preserve"> for </w:t>
      </w:r>
      <w:r w:rsidR="001F7496">
        <w:rPr>
          <w:szCs w:val="24"/>
        </w:rPr>
        <w:t>indication 3</w:t>
      </w:r>
      <w:r w:rsidR="0007742C">
        <w:rPr>
          <w:szCs w:val="24"/>
        </w:rPr>
        <w:t xml:space="preserve">, however it was noted in the assessment that this may be due to inadequate statistical power. </w:t>
      </w:r>
      <w:r w:rsidR="002B7B10">
        <w:rPr>
          <w:szCs w:val="24"/>
        </w:rPr>
        <w:t>There was limited saf</w:t>
      </w:r>
      <w:r w:rsidR="0029607D">
        <w:rPr>
          <w:szCs w:val="24"/>
        </w:rPr>
        <w:t xml:space="preserve">ety data available </w:t>
      </w:r>
      <w:r w:rsidR="003530BB">
        <w:rPr>
          <w:szCs w:val="24"/>
        </w:rPr>
        <w:t>on</w:t>
      </w:r>
      <w:r w:rsidR="0029607D">
        <w:rPr>
          <w:szCs w:val="24"/>
        </w:rPr>
        <w:t xml:space="preserve"> the long-</w:t>
      </w:r>
      <w:r w:rsidR="002B7B10">
        <w:rPr>
          <w:szCs w:val="24"/>
        </w:rPr>
        <w:t xml:space="preserve">term use of </w:t>
      </w:r>
      <w:proofErr w:type="spellStart"/>
      <w:r w:rsidR="002B7B10">
        <w:rPr>
          <w:szCs w:val="24"/>
        </w:rPr>
        <w:t>IVIg</w:t>
      </w:r>
      <w:proofErr w:type="spellEnd"/>
      <w:r w:rsidR="003530BB">
        <w:rPr>
          <w:szCs w:val="24"/>
        </w:rPr>
        <w:t xml:space="preserve"> for MG, </w:t>
      </w:r>
      <w:r w:rsidR="002B7B10">
        <w:rPr>
          <w:szCs w:val="24"/>
        </w:rPr>
        <w:t xml:space="preserve">but </w:t>
      </w:r>
      <w:r w:rsidR="003530BB">
        <w:rPr>
          <w:szCs w:val="24"/>
        </w:rPr>
        <w:t xml:space="preserve">MSAC noted </w:t>
      </w:r>
      <w:r w:rsidR="002B7B10">
        <w:rPr>
          <w:szCs w:val="24"/>
        </w:rPr>
        <w:t xml:space="preserve">clinical input </w:t>
      </w:r>
      <w:r w:rsidR="003530BB">
        <w:rPr>
          <w:szCs w:val="24"/>
        </w:rPr>
        <w:t>from</w:t>
      </w:r>
      <w:r w:rsidR="002B7B10">
        <w:rPr>
          <w:szCs w:val="24"/>
        </w:rPr>
        <w:t xml:space="preserve"> the </w:t>
      </w:r>
      <w:r w:rsidR="003530BB">
        <w:rPr>
          <w:szCs w:val="24"/>
        </w:rPr>
        <w:t xml:space="preserve">Immunoglobulin Review </w:t>
      </w:r>
      <w:r w:rsidR="002B7B10">
        <w:rPr>
          <w:szCs w:val="24"/>
        </w:rPr>
        <w:t xml:space="preserve">Reference Group </w:t>
      </w:r>
      <w:r w:rsidR="003530BB">
        <w:rPr>
          <w:szCs w:val="24"/>
        </w:rPr>
        <w:t xml:space="preserve">that </w:t>
      </w:r>
      <w:r w:rsidR="002B7B10">
        <w:rPr>
          <w:szCs w:val="24"/>
        </w:rPr>
        <w:t xml:space="preserve">suggested that PE would be less safe than </w:t>
      </w:r>
      <w:proofErr w:type="spellStart"/>
      <w:r w:rsidR="002B7B10">
        <w:rPr>
          <w:szCs w:val="24"/>
        </w:rPr>
        <w:t>IVIg</w:t>
      </w:r>
      <w:proofErr w:type="spellEnd"/>
      <w:r w:rsidR="002B7B10" w:rsidRPr="002B7B10">
        <w:rPr>
          <w:szCs w:val="24"/>
        </w:rPr>
        <w:t xml:space="preserve"> due to septicaemia associated with central line access</w:t>
      </w:r>
      <w:r w:rsidR="00606F83">
        <w:rPr>
          <w:szCs w:val="24"/>
        </w:rPr>
        <w:t xml:space="preserve"> for PE</w:t>
      </w:r>
      <w:r w:rsidR="008A5F54">
        <w:rPr>
          <w:szCs w:val="24"/>
        </w:rPr>
        <w:t>.</w:t>
      </w:r>
    </w:p>
    <w:p w14:paraId="37E88376" w14:textId="4F0A0C84" w:rsidR="00E07856" w:rsidRDefault="00E07856" w:rsidP="00111108">
      <w:pPr>
        <w:spacing w:after="240"/>
        <w:rPr>
          <w:szCs w:val="24"/>
        </w:rPr>
      </w:pPr>
      <w:r>
        <w:rPr>
          <w:szCs w:val="24"/>
        </w:rPr>
        <w:t>Regarding clinical effectiveness,</w:t>
      </w:r>
      <w:r w:rsidR="009F63FD">
        <w:rPr>
          <w:szCs w:val="24"/>
        </w:rPr>
        <w:t xml:space="preserve"> MSAC noted that </w:t>
      </w:r>
      <w:proofErr w:type="spellStart"/>
      <w:r w:rsidR="009F63FD">
        <w:rPr>
          <w:szCs w:val="24"/>
        </w:rPr>
        <w:t>IVIg</w:t>
      </w:r>
      <w:proofErr w:type="spellEnd"/>
      <w:r w:rsidR="009F63FD">
        <w:rPr>
          <w:szCs w:val="24"/>
        </w:rPr>
        <w:t xml:space="preserve"> relative to PE </w:t>
      </w:r>
      <w:proofErr w:type="gramStart"/>
      <w:r w:rsidR="009F63FD">
        <w:rPr>
          <w:szCs w:val="24"/>
        </w:rPr>
        <w:t>was considered</w:t>
      </w:r>
      <w:proofErr w:type="gramEnd"/>
      <w:r w:rsidR="009F63FD">
        <w:rPr>
          <w:szCs w:val="24"/>
        </w:rPr>
        <w:t xml:space="preserve"> to have non-inferior effectiveness for MG patients in crisis</w:t>
      </w:r>
      <w:r w:rsidR="00FE3E83">
        <w:rPr>
          <w:szCs w:val="24"/>
        </w:rPr>
        <w:t xml:space="preserve"> and maintenance therapy</w:t>
      </w:r>
      <w:r w:rsidR="001C7844">
        <w:rPr>
          <w:szCs w:val="24"/>
        </w:rPr>
        <w:t xml:space="preserve"> (i</w:t>
      </w:r>
      <w:r w:rsidR="009F63FD">
        <w:rPr>
          <w:szCs w:val="24"/>
        </w:rPr>
        <w:t>ndication</w:t>
      </w:r>
      <w:r w:rsidR="001C7844">
        <w:rPr>
          <w:szCs w:val="24"/>
        </w:rPr>
        <w:t>s</w:t>
      </w:r>
      <w:r w:rsidR="009F63FD">
        <w:rPr>
          <w:szCs w:val="24"/>
        </w:rPr>
        <w:t xml:space="preserve"> 1</w:t>
      </w:r>
      <w:r w:rsidR="00FE3E83">
        <w:rPr>
          <w:szCs w:val="24"/>
        </w:rPr>
        <w:t xml:space="preserve"> and 3</w:t>
      </w:r>
      <w:r w:rsidR="009F63FD">
        <w:rPr>
          <w:szCs w:val="24"/>
        </w:rPr>
        <w:t>)</w:t>
      </w:r>
      <w:r w:rsidR="00194C3F">
        <w:rPr>
          <w:szCs w:val="24"/>
        </w:rPr>
        <w:t xml:space="preserve">. </w:t>
      </w:r>
      <w:r w:rsidR="004B2B8C">
        <w:rPr>
          <w:szCs w:val="24"/>
        </w:rPr>
        <w:t xml:space="preserve">MSAC noted that </w:t>
      </w:r>
      <w:r w:rsidR="002915CF">
        <w:rPr>
          <w:szCs w:val="24"/>
        </w:rPr>
        <w:t xml:space="preserve">further results from a </w:t>
      </w:r>
      <w:r w:rsidR="004B2B8C">
        <w:rPr>
          <w:szCs w:val="24"/>
        </w:rPr>
        <w:t xml:space="preserve">trial currently underway </w:t>
      </w:r>
      <w:r w:rsidR="002915CF">
        <w:rPr>
          <w:szCs w:val="24"/>
        </w:rPr>
        <w:t xml:space="preserve">comparing Ig to standard therapies </w:t>
      </w:r>
      <w:proofErr w:type="gramStart"/>
      <w:r w:rsidR="002915CF">
        <w:rPr>
          <w:szCs w:val="24"/>
        </w:rPr>
        <w:t>may</w:t>
      </w:r>
      <w:proofErr w:type="gramEnd"/>
      <w:r w:rsidR="002915CF">
        <w:rPr>
          <w:szCs w:val="24"/>
        </w:rPr>
        <w:t xml:space="preserve"> provide further evidence on the clinical benefits of Ig in terms of change in </w:t>
      </w:r>
      <w:r w:rsidR="0093550E">
        <w:rPr>
          <w:szCs w:val="24"/>
        </w:rPr>
        <w:t xml:space="preserve">the </w:t>
      </w:r>
      <w:r w:rsidR="0093550E" w:rsidRPr="0093550E">
        <w:rPr>
          <w:szCs w:val="24"/>
        </w:rPr>
        <w:t xml:space="preserve">Quantitative Myasthenia Gravis Score </w:t>
      </w:r>
      <w:r w:rsidR="0093550E">
        <w:rPr>
          <w:szCs w:val="24"/>
        </w:rPr>
        <w:t>(</w:t>
      </w:r>
      <w:r w:rsidR="002915CF">
        <w:rPr>
          <w:szCs w:val="24"/>
        </w:rPr>
        <w:t>QMGS</w:t>
      </w:r>
      <w:r w:rsidR="0093550E">
        <w:rPr>
          <w:szCs w:val="24"/>
        </w:rPr>
        <w:t>)</w:t>
      </w:r>
      <w:r w:rsidR="002915CF">
        <w:rPr>
          <w:szCs w:val="24"/>
        </w:rPr>
        <w:t xml:space="preserve"> (Griffin 2017a and 2017b). The effe</w:t>
      </w:r>
      <w:r w:rsidR="00194C3F">
        <w:rPr>
          <w:szCs w:val="24"/>
        </w:rPr>
        <w:t xml:space="preserve">ctiveness of </w:t>
      </w:r>
      <w:proofErr w:type="spellStart"/>
      <w:r w:rsidR="00993265">
        <w:rPr>
          <w:szCs w:val="24"/>
        </w:rPr>
        <w:t>IV</w:t>
      </w:r>
      <w:r w:rsidR="00194C3F">
        <w:rPr>
          <w:szCs w:val="24"/>
        </w:rPr>
        <w:t>Ig</w:t>
      </w:r>
      <w:proofErr w:type="spellEnd"/>
      <w:r w:rsidR="00194C3F">
        <w:rPr>
          <w:szCs w:val="24"/>
        </w:rPr>
        <w:t xml:space="preserve"> compared </w:t>
      </w:r>
      <w:r w:rsidR="00AB1FF0">
        <w:rPr>
          <w:szCs w:val="24"/>
        </w:rPr>
        <w:t xml:space="preserve">to </w:t>
      </w:r>
      <w:r w:rsidR="00194C3F">
        <w:rPr>
          <w:szCs w:val="24"/>
        </w:rPr>
        <w:t xml:space="preserve">PE appears similar in </w:t>
      </w:r>
      <w:proofErr w:type="gramStart"/>
      <w:r w:rsidR="00194C3F">
        <w:rPr>
          <w:szCs w:val="24"/>
        </w:rPr>
        <w:t>patients</w:t>
      </w:r>
      <w:proofErr w:type="gramEnd"/>
      <w:r w:rsidR="00194C3F">
        <w:rPr>
          <w:szCs w:val="24"/>
        </w:rPr>
        <w:t xml:space="preserve"> pre surgery (indication 2), however this conclusion was considered very uncertain due to the limited data in this population (two small comparative studies). </w:t>
      </w:r>
    </w:p>
    <w:p w14:paraId="5B8E469D" w14:textId="65C1F25F" w:rsidR="001157A2" w:rsidRDefault="00E07856" w:rsidP="00111108">
      <w:pPr>
        <w:spacing w:after="240"/>
        <w:rPr>
          <w:szCs w:val="24"/>
        </w:rPr>
      </w:pPr>
      <w:r>
        <w:rPr>
          <w:szCs w:val="24"/>
        </w:rPr>
        <w:t>MSAC noted</w:t>
      </w:r>
      <w:r w:rsidR="00C9422C">
        <w:rPr>
          <w:szCs w:val="24"/>
        </w:rPr>
        <w:t xml:space="preserve"> that the assess</w:t>
      </w:r>
      <w:r w:rsidR="00EA21E9">
        <w:rPr>
          <w:szCs w:val="24"/>
        </w:rPr>
        <w:t>ment</w:t>
      </w:r>
      <w:r w:rsidR="00C9422C">
        <w:rPr>
          <w:szCs w:val="24"/>
        </w:rPr>
        <w:t xml:space="preserve"> </w:t>
      </w:r>
      <w:r w:rsidR="003530BB">
        <w:rPr>
          <w:szCs w:val="24"/>
        </w:rPr>
        <w:t xml:space="preserve">had chosen the </w:t>
      </w:r>
      <w:r w:rsidR="008D70C3">
        <w:rPr>
          <w:szCs w:val="24"/>
        </w:rPr>
        <w:t xml:space="preserve">most </w:t>
      </w:r>
      <w:r w:rsidR="003530BB">
        <w:rPr>
          <w:szCs w:val="24"/>
        </w:rPr>
        <w:t>appropriate</w:t>
      </w:r>
      <w:r w:rsidR="003530BB" w:rsidDel="003530BB">
        <w:rPr>
          <w:szCs w:val="24"/>
        </w:rPr>
        <w:t xml:space="preserve"> </w:t>
      </w:r>
      <w:r w:rsidR="00C9422C">
        <w:rPr>
          <w:szCs w:val="24"/>
        </w:rPr>
        <w:t xml:space="preserve">economic analysis for each of the three indications based on the conclusions of safety and clinical effectiveness. </w:t>
      </w:r>
    </w:p>
    <w:p w14:paraId="27967D68" w14:textId="3DB6C345" w:rsidR="001157A2" w:rsidRDefault="00C9422C" w:rsidP="00111108">
      <w:pPr>
        <w:spacing w:after="240"/>
        <w:rPr>
          <w:szCs w:val="24"/>
        </w:rPr>
      </w:pPr>
      <w:r>
        <w:rPr>
          <w:szCs w:val="24"/>
        </w:rPr>
        <w:t>For indication 1, a cost utility analysis</w:t>
      </w:r>
      <w:r w:rsidR="001F7496">
        <w:rPr>
          <w:szCs w:val="24"/>
        </w:rPr>
        <w:t xml:space="preserve"> (CUA)</w:t>
      </w:r>
      <w:r>
        <w:rPr>
          <w:szCs w:val="24"/>
        </w:rPr>
        <w:t xml:space="preserve"> was performed </w:t>
      </w:r>
      <w:proofErr w:type="gramStart"/>
      <w:r>
        <w:rPr>
          <w:szCs w:val="24"/>
        </w:rPr>
        <w:t>on the basis of</w:t>
      </w:r>
      <w:proofErr w:type="gramEnd"/>
      <w:r>
        <w:rPr>
          <w:szCs w:val="24"/>
        </w:rPr>
        <w:t xml:space="preserve"> superior safety and non-inferior clinical effectiveness. MSAC noted </w:t>
      </w:r>
      <w:r w:rsidR="003B0A68">
        <w:rPr>
          <w:szCs w:val="24"/>
        </w:rPr>
        <w:t>this CUA produced an</w:t>
      </w:r>
      <w:r>
        <w:rPr>
          <w:szCs w:val="24"/>
        </w:rPr>
        <w:t xml:space="preserve"> </w:t>
      </w:r>
      <w:r w:rsidR="001C7844">
        <w:rPr>
          <w:szCs w:val="24"/>
        </w:rPr>
        <w:t>incremental cost-</w:t>
      </w:r>
      <w:r w:rsidR="001C7844">
        <w:rPr>
          <w:szCs w:val="24"/>
        </w:rPr>
        <w:lastRenderedPageBreak/>
        <w:t>effectiveness ratio (</w:t>
      </w:r>
      <w:r>
        <w:rPr>
          <w:szCs w:val="24"/>
        </w:rPr>
        <w:t>ICER</w:t>
      </w:r>
      <w:r w:rsidR="001C7844">
        <w:rPr>
          <w:szCs w:val="24"/>
        </w:rPr>
        <w:t>)</w:t>
      </w:r>
      <w:r>
        <w:rPr>
          <w:szCs w:val="24"/>
        </w:rPr>
        <w:t xml:space="preserve"> of $7 million</w:t>
      </w:r>
      <w:r w:rsidR="001C7844">
        <w:rPr>
          <w:szCs w:val="24"/>
        </w:rPr>
        <w:t xml:space="preserve"> per quality-adjusted life year (QALY)</w:t>
      </w:r>
      <w:r>
        <w:rPr>
          <w:szCs w:val="24"/>
        </w:rPr>
        <w:t xml:space="preserve"> wh</w:t>
      </w:r>
      <w:r w:rsidR="003B0A68">
        <w:rPr>
          <w:szCs w:val="24"/>
        </w:rPr>
        <w:t xml:space="preserve">en </w:t>
      </w:r>
      <w:r>
        <w:rPr>
          <w:szCs w:val="24"/>
        </w:rPr>
        <w:t>based only on direct trial evidence</w:t>
      </w:r>
      <w:r w:rsidR="001F7496">
        <w:rPr>
          <w:szCs w:val="24"/>
        </w:rPr>
        <w:t xml:space="preserve"> for a single MG crisis episode. The ICER </w:t>
      </w:r>
      <w:proofErr w:type="gramStart"/>
      <w:r w:rsidR="001F7496">
        <w:rPr>
          <w:szCs w:val="24"/>
        </w:rPr>
        <w:t xml:space="preserve">was </w:t>
      </w:r>
      <w:r>
        <w:rPr>
          <w:szCs w:val="24"/>
        </w:rPr>
        <w:t>reduced</w:t>
      </w:r>
      <w:proofErr w:type="gramEnd"/>
      <w:r>
        <w:rPr>
          <w:szCs w:val="24"/>
        </w:rPr>
        <w:t xml:space="preserve"> to </w:t>
      </w:r>
      <w:r w:rsidRPr="00C9422C">
        <w:rPr>
          <w:szCs w:val="24"/>
        </w:rPr>
        <w:t xml:space="preserve">$45,776/QALY </w:t>
      </w:r>
      <w:r w:rsidR="001C7844">
        <w:rPr>
          <w:szCs w:val="24"/>
        </w:rPr>
        <w:t>when modelled over 15 years</w:t>
      </w:r>
      <w:r w:rsidR="001F7496">
        <w:rPr>
          <w:szCs w:val="24"/>
        </w:rPr>
        <w:t>,</w:t>
      </w:r>
      <w:r w:rsidR="003B0A68">
        <w:rPr>
          <w:szCs w:val="24"/>
        </w:rPr>
        <w:t xml:space="preserve"> taking into account</w:t>
      </w:r>
      <w:r w:rsidR="001F7496">
        <w:rPr>
          <w:szCs w:val="24"/>
        </w:rPr>
        <w:t xml:space="preserve"> PE-associated sepsis </w:t>
      </w:r>
      <w:r w:rsidR="008D70C3">
        <w:rPr>
          <w:szCs w:val="24"/>
        </w:rPr>
        <w:t xml:space="preserve">and resulting </w:t>
      </w:r>
      <w:r w:rsidR="001F7496">
        <w:rPr>
          <w:szCs w:val="24"/>
        </w:rPr>
        <w:t>long-</w:t>
      </w:r>
      <w:r w:rsidR="003B0A68">
        <w:rPr>
          <w:szCs w:val="24"/>
        </w:rPr>
        <w:t xml:space="preserve">term mortality and morbidity </w:t>
      </w:r>
      <w:r w:rsidR="008D70C3">
        <w:rPr>
          <w:szCs w:val="24"/>
        </w:rPr>
        <w:t>outcomes</w:t>
      </w:r>
      <w:r w:rsidR="001C7844">
        <w:rPr>
          <w:szCs w:val="24"/>
        </w:rPr>
        <w:t xml:space="preserve">. </w:t>
      </w:r>
      <w:r w:rsidR="001C7844" w:rsidRPr="00B135D0">
        <w:rPr>
          <w:szCs w:val="24"/>
        </w:rPr>
        <w:t xml:space="preserve">MSAC noted that the data on safety differences </w:t>
      </w:r>
      <w:proofErr w:type="gramStart"/>
      <w:r w:rsidR="001C7844" w:rsidRPr="00B135D0">
        <w:rPr>
          <w:szCs w:val="24"/>
        </w:rPr>
        <w:t>was based</w:t>
      </w:r>
      <w:proofErr w:type="gramEnd"/>
      <w:r w:rsidR="001C7844" w:rsidRPr="00B135D0">
        <w:rPr>
          <w:szCs w:val="24"/>
        </w:rPr>
        <w:t xml:space="preserve"> on limited patient numbers with little clinical information a</w:t>
      </w:r>
      <w:r w:rsidR="001157A2">
        <w:rPr>
          <w:szCs w:val="24"/>
        </w:rPr>
        <w:t>nd no long-term follow-up or quality of life</w:t>
      </w:r>
      <w:r w:rsidR="001C7844" w:rsidRPr="00B135D0">
        <w:rPr>
          <w:szCs w:val="24"/>
        </w:rPr>
        <w:t xml:space="preserve"> data. </w:t>
      </w:r>
    </w:p>
    <w:p w14:paraId="3D83D03E" w14:textId="04F3D7A0" w:rsidR="00E32141" w:rsidRPr="00B135D0" w:rsidRDefault="00C9422C" w:rsidP="00111108">
      <w:pPr>
        <w:spacing w:after="240"/>
        <w:rPr>
          <w:szCs w:val="24"/>
        </w:rPr>
      </w:pPr>
      <w:r w:rsidRPr="00B135D0">
        <w:rPr>
          <w:szCs w:val="24"/>
        </w:rPr>
        <w:t xml:space="preserve">For indication 2, a cost analysis was performed </w:t>
      </w:r>
      <w:r w:rsidR="001157A2" w:rsidRPr="00B135D0">
        <w:rPr>
          <w:szCs w:val="24"/>
        </w:rPr>
        <w:t>based on</w:t>
      </w:r>
      <w:r w:rsidRPr="00B135D0">
        <w:rPr>
          <w:szCs w:val="24"/>
        </w:rPr>
        <w:t xml:space="preserve"> uncertain safety and </w:t>
      </w:r>
      <w:r w:rsidR="008D70C3">
        <w:rPr>
          <w:szCs w:val="24"/>
        </w:rPr>
        <w:t xml:space="preserve">uncertain </w:t>
      </w:r>
      <w:r w:rsidRPr="00B135D0">
        <w:rPr>
          <w:szCs w:val="24"/>
        </w:rPr>
        <w:t>clinical effectiveness</w:t>
      </w:r>
      <w:r w:rsidR="001157A2">
        <w:rPr>
          <w:szCs w:val="24"/>
        </w:rPr>
        <w:t>,</w:t>
      </w:r>
      <w:r w:rsidRPr="00B135D0">
        <w:rPr>
          <w:szCs w:val="24"/>
        </w:rPr>
        <w:t xml:space="preserve"> which found that </w:t>
      </w:r>
      <w:r w:rsidR="001157A2">
        <w:rPr>
          <w:szCs w:val="24"/>
        </w:rPr>
        <w:t xml:space="preserve">using </w:t>
      </w:r>
      <w:r w:rsidRPr="00B135D0">
        <w:rPr>
          <w:szCs w:val="24"/>
        </w:rPr>
        <w:t>PE</w:t>
      </w:r>
      <w:r w:rsidR="001157A2">
        <w:rPr>
          <w:szCs w:val="24"/>
        </w:rPr>
        <w:t xml:space="preserve"> (</w:t>
      </w:r>
      <w:r w:rsidR="001157A2" w:rsidRPr="001157A2">
        <w:rPr>
          <w:szCs w:val="24"/>
        </w:rPr>
        <w:t>$46,751)</w:t>
      </w:r>
      <w:r w:rsidRPr="00B135D0">
        <w:rPr>
          <w:szCs w:val="24"/>
        </w:rPr>
        <w:t xml:space="preserve"> may be marginally less e</w:t>
      </w:r>
      <w:r w:rsidR="001157A2">
        <w:rPr>
          <w:szCs w:val="24"/>
        </w:rPr>
        <w:t>xpensive</w:t>
      </w:r>
      <w:r w:rsidRPr="00B135D0">
        <w:rPr>
          <w:szCs w:val="24"/>
        </w:rPr>
        <w:t xml:space="preserve"> than </w:t>
      </w:r>
      <w:proofErr w:type="spellStart"/>
      <w:r w:rsidRPr="00B135D0">
        <w:rPr>
          <w:szCs w:val="24"/>
        </w:rPr>
        <w:t>IVIg</w:t>
      </w:r>
      <w:proofErr w:type="spellEnd"/>
      <w:r w:rsidR="001157A2">
        <w:rPr>
          <w:szCs w:val="24"/>
        </w:rPr>
        <w:t xml:space="preserve"> (</w:t>
      </w:r>
      <w:r w:rsidR="001157A2" w:rsidRPr="001157A2">
        <w:rPr>
          <w:szCs w:val="24"/>
        </w:rPr>
        <w:t>$47,257</w:t>
      </w:r>
      <w:r w:rsidR="001157A2">
        <w:rPr>
          <w:szCs w:val="24"/>
        </w:rPr>
        <w:t>) in this population,</w:t>
      </w:r>
      <w:r w:rsidRPr="00B135D0">
        <w:rPr>
          <w:szCs w:val="24"/>
        </w:rPr>
        <w:t xml:space="preserve"> although the difference is small in the context of the surgery cost</w:t>
      </w:r>
      <w:r w:rsidR="004B2B8C">
        <w:rPr>
          <w:szCs w:val="24"/>
        </w:rPr>
        <w:t xml:space="preserve"> (included in these estimates)</w:t>
      </w:r>
      <w:r w:rsidRPr="00B135D0">
        <w:rPr>
          <w:szCs w:val="24"/>
        </w:rPr>
        <w:t>.</w:t>
      </w:r>
      <w:r w:rsidR="001C7844" w:rsidRPr="00B135D0">
        <w:rPr>
          <w:szCs w:val="24"/>
        </w:rPr>
        <w:t xml:space="preserve"> </w:t>
      </w:r>
      <w:proofErr w:type="gramStart"/>
      <w:r w:rsidR="001C7844" w:rsidRPr="00B135D0">
        <w:rPr>
          <w:szCs w:val="24"/>
        </w:rPr>
        <w:t>On the basis of</w:t>
      </w:r>
      <w:proofErr w:type="gramEnd"/>
      <w:r w:rsidR="001C7844" w:rsidRPr="00B135D0">
        <w:rPr>
          <w:szCs w:val="24"/>
        </w:rPr>
        <w:t xml:space="preserve"> low </w:t>
      </w:r>
      <w:r w:rsidR="008D70C3">
        <w:rPr>
          <w:szCs w:val="24"/>
        </w:rPr>
        <w:t>Ig</w:t>
      </w:r>
      <w:r w:rsidR="001C7844" w:rsidRPr="00B135D0">
        <w:rPr>
          <w:szCs w:val="24"/>
        </w:rPr>
        <w:t xml:space="preserve"> use and high clinical need in</w:t>
      </w:r>
      <w:r w:rsidR="008D70C3">
        <w:rPr>
          <w:szCs w:val="24"/>
        </w:rPr>
        <w:t xml:space="preserve"> </w:t>
      </w:r>
      <w:r w:rsidR="008D70C3" w:rsidRPr="00B135D0">
        <w:rPr>
          <w:szCs w:val="24"/>
        </w:rPr>
        <w:t>indications 1 and 2</w:t>
      </w:r>
      <w:r w:rsidR="001C7844" w:rsidRPr="00B135D0">
        <w:rPr>
          <w:szCs w:val="24"/>
        </w:rPr>
        <w:t xml:space="preserve">, MSAC recommended maintaining access to </w:t>
      </w:r>
      <w:r w:rsidR="008D70C3">
        <w:rPr>
          <w:szCs w:val="24"/>
        </w:rPr>
        <w:t>Ig</w:t>
      </w:r>
      <w:r w:rsidR="001C7844" w:rsidRPr="00B135D0">
        <w:rPr>
          <w:szCs w:val="24"/>
        </w:rPr>
        <w:t xml:space="preserve"> therapy for</w:t>
      </w:r>
      <w:r w:rsidR="008D70C3">
        <w:rPr>
          <w:szCs w:val="24"/>
        </w:rPr>
        <w:t xml:space="preserve"> these patients</w:t>
      </w:r>
      <w:r w:rsidR="001C7844" w:rsidRPr="00B135D0">
        <w:rPr>
          <w:szCs w:val="24"/>
        </w:rPr>
        <w:t>.</w:t>
      </w:r>
    </w:p>
    <w:p w14:paraId="53149BE3" w14:textId="0085ADA9" w:rsidR="000C120F" w:rsidRPr="00B135D0" w:rsidRDefault="00A6596E" w:rsidP="00111108">
      <w:pPr>
        <w:spacing w:after="240"/>
        <w:rPr>
          <w:szCs w:val="24"/>
        </w:rPr>
      </w:pPr>
      <w:r w:rsidRPr="00B135D0">
        <w:rPr>
          <w:szCs w:val="24"/>
        </w:rPr>
        <w:t xml:space="preserve">For indication 3, </w:t>
      </w:r>
      <w:r w:rsidR="000C120F" w:rsidRPr="00B135D0">
        <w:rPr>
          <w:szCs w:val="24"/>
        </w:rPr>
        <w:t xml:space="preserve">the </w:t>
      </w:r>
      <w:r w:rsidR="0093550E" w:rsidRPr="0093550E">
        <w:rPr>
          <w:szCs w:val="24"/>
        </w:rPr>
        <w:t xml:space="preserve">Department Contracted Assessment Report </w:t>
      </w:r>
      <w:r w:rsidR="0093550E">
        <w:rPr>
          <w:szCs w:val="24"/>
        </w:rPr>
        <w:t>(</w:t>
      </w:r>
      <w:r w:rsidR="00C4260C">
        <w:rPr>
          <w:szCs w:val="24"/>
        </w:rPr>
        <w:t>DCAR</w:t>
      </w:r>
      <w:r w:rsidR="0093550E">
        <w:rPr>
          <w:szCs w:val="24"/>
        </w:rPr>
        <w:t>)</w:t>
      </w:r>
      <w:r w:rsidR="000C120F" w:rsidRPr="00B135D0">
        <w:rPr>
          <w:szCs w:val="24"/>
        </w:rPr>
        <w:t xml:space="preserve"> p</w:t>
      </w:r>
      <w:r w:rsidR="003B0A68" w:rsidRPr="00B135D0">
        <w:rPr>
          <w:szCs w:val="24"/>
        </w:rPr>
        <w:t>resents</w:t>
      </w:r>
      <w:r w:rsidR="000C120F" w:rsidRPr="00B135D0">
        <w:rPr>
          <w:szCs w:val="24"/>
        </w:rPr>
        <w:t xml:space="preserve"> </w:t>
      </w:r>
      <w:r w:rsidR="001157A2">
        <w:rPr>
          <w:szCs w:val="24"/>
        </w:rPr>
        <w:t xml:space="preserve">a cost comparison for </w:t>
      </w:r>
      <w:proofErr w:type="spellStart"/>
      <w:r w:rsidR="001157A2">
        <w:rPr>
          <w:szCs w:val="24"/>
        </w:rPr>
        <w:t>IVIg</w:t>
      </w:r>
      <w:proofErr w:type="spellEnd"/>
      <w:r w:rsidR="001157A2">
        <w:rPr>
          <w:szCs w:val="24"/>
        </w:rPr>
        <w:t xml:space="preserve"> versus</w:t>
      </w:r>
      <w:r w:rsidR="000C120F" w:rsidRPr="00B135D0">
        <w:rPr>
          <w:szCs w:val="24"/>
        </w:rPr>
        <w:t xml:space="preserve"> PE over varying </w:t>
      </w:r>
      <w:r w:rsidR="00761AD6">
        <w:rPr>
          <w:szCs w:val="24"/>
        </w:rPr>
        <w:t>doses</w:t>
      </w:r>
      <w:r w:rsidR="003B0A68" w:rsidRPr="00B135D0">
        <w:rPr>
          <w:szCs w:val="24"/>
        </w:rPr>
        <w:t xml:space="preserve"> and time horizons </w:t>
      </w:r>
      <w:r w:rsidR="00761AD6">
        <w:rPr>
          <w:szCs w:val="24"/>
        </w:rPr>
        <w:t xml:space="preserve">(one to 10 years) </w:t>
      </w:r>
      <w:r w:rsidR="003B0A68" w:rsidRPr="00B135D0">
        <w:rPr>
          <w:szCs w:val="24"/>
        </w:rPr>
        <w:t>and includes</w:t>
      </w:r>
      <w:r w:rsidR="000C120F" w:rsidRPr="00B135D0">
        <w:rPr>
          <w:szCs w:val="24"/>
        </w:rPr>
        <w:t xml:space="preserve"> no adverse event costs. MSAC noted that where </w:t>
      </w:r>
      <w:proofErr w:type="spellStart"/>
      <w:r w:rsidR="000C120F" w:rsidRPr="00B135D0">
        <w:rPr>
          <w:szCs w:val="24"/>
        </w:rPr>
        <w:t>IVIg</w:t>
      </w:r>
      <w:proofErr w:type="spellEnd"/>
      <w:r w:rsidR="000C120F" w:rsidRPr="00B135D0">
        <w:rPr>
          <w:szCs w:val="24"/>
        </w:rPr>
        <w:t xml:space="preserve"> is costed at the estimated average maintenance dose</w:t>
      </w:r>
      <w:r w:rsidR="00621C13">
        <w:rPr>
          <w:szCs w:val="24"/>
        </w:rPr>
        <w:t xml:space="preserve"> (492g/patient/year</w:t>
      </w:r>
      <w:r w:rsidR="00BF404F">
        <w:rPr>
          <w:szCs w:val="24"/>
        </w:rPr>
        <w:t xml:space="preserve"> based on NBA data</w:t>
      </w:r>
      <w:r w:rsidR="00621C13">
        <w:rPr>
          <w:szCs w:val="24"/>
        </w:rPr>
        <w:t>)</w:t>
      </w:r>
      <w:r w:rsidR="000C120F" w:rsidRPr="00B135D0">
        <w:rPr>
          <w:szCs w:val="24"/>
        </w:rPr>
        <w:t>, it is more expensive than low intensity PE (4-week</w:t>
      </w:r>
      <w:r w:rsidR="00BF404F">
        <w:rPr>
          <w:szCs w:val="24"/>
        </w:rPr>
        <w:t>ly</w:t>
      </w:r>
      <w:r w:rsidR="000C120F" w:rsidRPr="00B135D0">
        <w:rPr>
          <w:szCs w:val="24"/>
        </w:rPr>
        <w:t>)</w:t>
      </w:r>
      <w:r w:rsidR="00BF404F">
        <w:rPr>
          <w:szCs w:val="24"/>
        </w:rPr>
        <w:t>,</w:t>
      </w:r>
      <w:r w:rsidR="000C120F" w:rsidRPr="00B135D0">
        <w:rPr>
          <w:szCs w:val="24"/>
        </w:rPr>
        <w:t xml:space="preserve"> but less expensive than high intensity PE</w:t>
      </w:r>
      <w:r w:rsidR="00BF404F">
        <w:rPr>
          <w:szCs w:val="24"/>
        </w:rPr>
        <w:t xml:space="preserve"> </w:t>
      </w:r>
      <w:r w:rsidR="00BF404F" w:rsidRPr="00B135D0">
        <w:rPr>
          <w:szCs w:val="24"/>
        </w:rPr>
        <w:t>(weekly)</w:t>
      </w:r>
      <w:r w:rsidR="000C120F" w:rsidRPr="00B135D0">
        <w:rPr>
          <w:szCs w:val="24"/>
        </w:rPr>
        <w:t xml:space="preserve">. MSAC noted </w:t>
      </w:r>
      <w:r w:rsidR="003B0A68" w:rsidRPr="00B135D0">
        <w:rPr>
          <w:szCs w:val="24"/>
        </w:rPr>
        <w:t>that an</w:t>
      </w:r>
      <w:r w:rsidR="000C120F" w:rsidRPr="00B135D0">
        <w:rPr>
          <w:szCs w:val="24"/>
        </w:rPr>
        <w:t xml:space="preserve"> exploratory </w:t>
      </w:r>
      <w:r w:rsidR="00BF404F">
        <w:rPr>
          <w:szCs w:val="24"/>
        </w:rPr>
        <w:t xml:space="preserve">CUA </w:t>
      </w:r>
      <w:proofErr w:type="gramStart"/>
      <w:r w:rsidR="003B0A68" w:rsidRPr="00B135D0">
        <w:rPr>
          <w:szCs w:val="24"/>
        </w:rPr>
        <w:t>was</w:t>
      </w:r>
      <w:r w:rsidR="000C120F" w:rsidRPr="00B135D0">
        <w:rPr>
          <w:szCs w:val="24"/>
        </w:rPr>
        <w:t xml:space="preserve"> performed</w:t>
      </w:r>
      <w:proofErr w:type="gramEnd"/>
      <w:r w:rsidR="000C120F" w:rsidRPr="00B135D0">
        <w:rPr>
          <w:szCs w:val="24"/>
        </w:rPr>
        <w:t xml:space="preserve"> at the request of the </w:t>
      </w:r>
      <w:r w:rsidR="00621C13">
        <w:rPr>
          <w:szCs w:val="24"/>
        </w:rPr>
        <w:t>Ig</w:t>
      </w:r>
      <w:r w:rsidR="000C120F" w:rsidRPr="00B135D0">
        <w:rPr>
          <w:szCs w:val="24"/>
        </w:rPr>
        <w:t xml:space="preserve"> </w:t>
      </w:r>
      <w:r w:rsidR="00BF404F">
        <w:rPr>
          <w:szCs w:val="24"/>
        </w:rPr>
        <w:t>R</w:t>
      </w:r>
      <w:r w:rsidR="000C120F" w:rsidRPr="00B135D0">
        <w:rPr>
          <w:szCs w:val="24"/>
        </w:rPr>
        <w:t xml:space="preserve">eview Reference Group on the assumption of superior safety of </w:t>
      </w:r>
      <w:proofErr w:type="spellStart"/>
      <w:r w:rsidR="000C120F" w:rsidRPr="00B135D0">
        <w:rPr>
          <w:szCs w:val="24"/>
        </w:rPr>
        <w:t>IVIg</w:t>
      </w:r>
      <w:proofErr w:type="spellEnd"/>
      <w:r w:rsidR="000C120F" w:rsidRPr="00B135D0">
        <w:rPr>
          <w:szCs w:val="24"/>
        </w:rPr>
        <w:t xml:space="preserve"> over PE</w:t>
      </w:r>
      <w:r w:rsidR="00BF404F">
        <w:rPr>
          <w:szCs w:val="24"/>
        </w:rPr>
        <w:t>. The model assume</w:t>
      </w:r>
      <w:r w:rsidR="000C120F" w:rsidRPr="00B135D0">
        <w:rPr>
          <w:szCs w:val="24"/>
        </w:rPr>
        <w:t>d a 0.2% rate of sepsis</w:t>
      </w:r>
      <w:r w:rsidR="00BF404F">
        <w:rPr>
          <w:szCs w:val="24"/>
        </w:rPr>
        <w:t xml:space="preserve"> </w:t>
      </w:r>
      <w:r w:rsidR="000F0BE1">
        <w:rPr>
          <w:szCs w:val="24"/>
        </w:rPr>
        <w:t xml:space="preserve">in patients </w:t>
      </w:r>
      <w:r w:rsidR="002915CF">
        <w:rPr>
          <w:szCs w:val="24"/>
        </w:rPr>
        <w:t xml:space="preserve">accessing PE via a </w:t>
      </w:r>
      <w:r w:rsidR="000F0BE1">
        <w:rPr>
          <w:szCs w:val="24"/>
        </w:rPr>
        <w:t>central venous catheter</w:t>
      </w:r>
      <w:r w:rsidR="000C120F" w:rsidRPr="00B135D0">
        <w:rPr>
          <w:szCs w:val="24"/>
        </w:rPr>
        <w:t>.</w:t>
      </w:r>
      <w:r w:rsidR="008F4E4F" w:rsidRPr="00B135D0">
        <w:rPr>
          <w:szCs w:val="24"/>
        </w:rPr>
        <w:t xml:space="preserve"> </w:t>
      </w:r>
      <w:r w:rsidR="003B0A68" w:rsidRPr="00B135D0">
        <w:rPr>
          <w:szCs w:val="24"/>
        </w:rPr>
        <w:t>T</w:t>
      </w:r>
      <w:r w:rsidR="008F4E4F" w:rsidRPr="00B135D0">
        <w:rPr>
          <w:szCs w:val="24"/>
        </w:rPr>
        <w:t>he</w:t>
      </w:r>
      <w:r w:rsidR="00BF404F">
        <w:rPr>
          <w:szCs w:val="24"/>
        </w:rPr>
        <w:t xml:space="preserve"> resulting</w:t>
      </w:r>
      <w:r w:rsidR="008F4E4F" w:rsidRPr="00B135D0">
        <w:rPr>
          <w:szCs w:val="24"/>
        </w:rPr>
        <w:t xml:space="preserve"> ICERs ranged from dominant (when low d</w:t>
      </w:r>
      <w:r w:rsidR="00761AD6">
        <w:rPr>
          <w:szCs w:val="24"/>
        </w:rPr>
        <w:t xml:space="preserve">ose </w:t>
      </w:r>
      <w:proofErr w:type="spellStart"/>
      <w:r w:rsidR="00761AD6">
        <w:rPr>
          <w:szCs w:val="24"/>
        </w:rPr>
        <w:t>IVIg</w:t>
      </w:r>
      <w:proofErr w:type="spellEnd"/>
      <w:r w:rsidR="00761AD6">
        <w:rPr>
          <w:szCs w:val="24"/>
        </w:rPr>
        <w:t xml:space="preserve"> </w:t>
      </w:r>
      <w:r w:rsidR="00BF404F">
        <w:rPr>
          <w:szCs w:val="24"/>
        </w:rPr>
        <w:t>wa</w:t>
      </w:r>
      <w:r w:rsidR="00761AD6">
        <w:rPr>
          <w:szCs w:val="24"/>
        </w:rPr>
        <w:t>s compared to low intensity</w:t>
      </w:r>
      <w:r w:rsidR="008F4E4F" w:rsidRPr="00B135D0">
        <w:rPr>
          <w:szCs w:val="24"/>
        </w:rPr>
        <w:t xml:space="preserve"> PE, and in all </w:t>
      </w:r>
      <w:r w:rsidR="002915CF">
        <w:rPr>
          <w:szCs w:val="24"/>
        </w:rPr>
        <w:t xml:space="preserve">doses of </w:t>
      </w:r>
      <w:proofErr w:type="spellStart"/>
      <w:r w:rsidR="002915CF">
        <w:rPr>
          <w:szCs w:val="24"/>
        </w:rPr>
        <w:t>IVIg</w:t>
      </w:r>
      <w:proofErr w:type="spellEnd"/>
      <w:r w:rsidR="002915CF">
        <w:rPr>
          <w:szCs w:val="24"/>
        </w:rPr>
        <w:t xml:space="preserve"> compared to</w:t>
      </w:r>
      <w:r w:rsidR="008F4E4F" w:rsidRPr="00B135D0">
        <w:rPr>
          <w:szCs w:val="24"/>
        </w:rPr>
        <w:t xml:space="preserve"> high intensity PE) to $18 million/QALY</w:t>
      </w:r>
      <w:r w:rsidR="00B02D29">
        <w:rPr>
          <w:szCs w:val="24"/>
        </w:rPr>
        <w:t xml:space="preserve"> (when average NBA doses are compared to</w:t>
      </w:r>
      <w:r w:rsidR="00B02D29" w:rsidRPr="00B02D29">
        <w:rPr>
          <w:szCs w:val="24"/>
        </w:rPr>
        <w:t xml:space="preserve"> low dose PE over </w:t>
      </w:r>
      <w:r w:rsidR="00B02D29">
        <w:rPr>
          <w:szCs w:val="24"/>
        </w:rPr>
        <w:t>10 years)</w:t>
      </w:r>
      <w:r w:rsidR="00BF404F">
        <w:rPr>
          <w:szCs w:val="24"/>
        </w:rPr>
        <w:t xml:space="preserve">. </w:t>
      </w:r>
      <w:r w:rsidR="003B0A68" w:rsidRPr="00B135D0">
        <w:rPr>
          <w:szCs w:val="24"/>
        </w:rPr>
        <w:t xml:space="preserve">MSAC </w:t>
      </w:r>
      <w:r w:rsidR="008F4E4F" w:rsidRPr="00B135D0">
        <w:rPr>
          <w:szCs w:val="24"/>
        </w:rPr>
        <w:t>not</w:t>
      </w:r>
      <w:r w:rsidR="003B0A68" w:rsidRPr="00B135D0">
        <w:rPr>
          <w:szCs w:val="24"/>
        </w:rPr>
        <w:t>ed</w:t>
      </w:r>
      <w:r w:rsidR="008F4E4F" w:rsidRPr="00B135D0">
        <w:rPr>
          <w:szCs w:val="24"/>
        </w:rPr>
        <w:t xml:space="preserve"> that </w:t>
      </w:r>
      <w:r w:rsidR="00CD4DD9">
        <w:rPr>
          <w:szCs w:val="24"/>
        </w:rPr>
        <w:t>these estimates</w:t>
      </w:r>
      <w:r w:rsidR="008F4E4F" w:rsidRPr="00B135D0">
        <w:rPr>
          <w:szCs w:val="24"/>
        </w:rPr>
        <w:t xml:space="preserve"> </w:t>
      </w:r>
      <w:proofErr w:type="gramStart"/>
      <w:r w:rsidR="008F4E4F" w:rsidRPr="00B135D0">
        <w:rPr>
          <w:szCs w:val="24"/>
        </w:rPr>
        <w:t>are based</w:t>
      </w:r>
      <w:proofErr w:type="gramEnd"/>
      <w:r w:rsidR="008F4E4F" w:rsidRPr="00B135D0">
        <w:rPr>
          <w:szCs w:val="24"/>
        </w:rPr>
        <w:t xml:space="preserve"> on non-comparative data and are highly uncertain.</w:t>
      </w:r>
    </w:p>
    <w:p w14:paraId="4DEF9B59" w14:textId="40B8D29D" w:rsidR="008F4E4F" w:rsidRPr="00B135D0" w:rsidRDefault="008F4E4F" w:rsidP="00111108">
      <w:pPr>
        <w:spacing w:after="240"/>
        <w:rPr>
          <w:szCs w:val="24"/>
        </w:rPr>
      </w:pPr>
      <w:r w:rsidRPr="00B135D0">
        <w:rPr>
          <w:szCs w:val="24"/>
        </w:rPr>
        <w:t xml:space="preserve">Regarding financial implications, MSAC noted the estimated net cost to government of </w:t>
      </w:r>
      <w:r w:rsidR="005124B9">
        <w:rPr>
          <w:szCs w:val="24"/>
        </w:rPr>
        <w:t xml:space="preserve">Ig for the treatment of MG was </w:t>
      </w:r>
      <w:r w:rsidRPr="00B135D0">
        <w:rPr>
          <w:szCs w:val="24"/>
        </w:rPr>
        <w:t>approximately $40.7 million in 2020, increasing to $</w:t>
      </w:r>
      <w:r w:rsidR="00BD511D">
        <w:rPr>
          <w:szCs w:val="24"/>
        </w:rPr>
        <w:t>53.7</w:t>
      </w:r>
      <w:r w:rsidRPr="00B135D0">
        <w:rPr>
          <w:szCs w:val="24"/>
        </w:rPr>
        <w:t xml:space="preserve"> million </w:t>
      </w:r>
      <w:r w:rsidR="00A326F2" w:rsidRPr="00B135D0">
        <w:rPr>
          <w:szCs w:val="24"/>
        </w:rPr>
        <w:t xml:space="preserve">by 2024, </w:t>
      </w:r>
      <w:r w:rsidR="00BF404F">
        <w:rPr>
          <w:szCs w:val="24"/>
        </w:rPr>
        <w:t xml:space="preserve">and </w:t>
      </w:r>
      <w:r w:rsidR="00A326F2" w:rsidRPr="00B135D0">
        <w:rPr>
          <w:szCs w:val="24"/>
        </w:rPr>
        <w:t xml:space="preserve">totalling </w:t>
      </w:r>
      <w:r w:rsidRPr="00B135D0">
        <w:rPr>
          <w:szCs w:val="24"/>
        </w:rPr>
        <w:t>approximately $236 million over the 5 year projected period to 2024.</w:t>
      </w:r>
      <w:r w:rsidR="00A326F2" w:rsidRPr="00B135D0">
        <w:rPr>
          <w:szCs w:val="24"/>
        </w:rPr>
        <w:t xml:space="preserve"> MSAC </w:t>
      </w:r>
      <w:r w:rsidR="00BF404F">
        <w:rPr>
          <w:szCs w:val="24"/>
        </w:rPr>
        <w:t>not</w:t>
      </w:r>
      <w:r w:rsidR="00A326F2" w:rsidRPr="00B135D0">
        <w:rPr>
          <w:szCs w:val="24"/>
        </w:rPr>
        <w:t xml:space="preserve">ed that these estimates include the combined financial impact across the three indications and </w:t>
      </w:r>
      <w:r w:rsidR="00BF404F">
        <w:rPr>
          <w:szCs w:val="24"/>
        </w:rPr>
        <w:t>consider</w:t>
      </w:r>
      <w:r w:rsidR="00A326F2" w:rsidRPr="00B135D0">
        <w:rPr>
          <w:szCs w:val="24"/>
        </w:rPr>
        <w:t xml:space="preserve">ed that it could be informative to present these results by indication. MSAC noted </w:t>
      </w:r>
      <w:r w:rsidR="00BD511D">
        <w:rPr>
          <w:szCs w:val="24"/>
        </w:rPr>
        <w:t xml:space="preserve">the pre-MSAC response from a sponsor </w:t>
      </w:r>
      <w:proofErr w:type="gramStart"/>
      <w:r w:rsidR="00BD511D">
        <w:rPr>
          <w:szCs w:val="24"/>
        </w:rPr>
        <w:t>company which</w:t>
      </w:r>
      <w:proofErr w:type="gramEnd"/>
      <w:r w:rsidR="00BD511D">
        <w:rPr>
          <w:szCs w:val="24"/>
        </w:rPr>
        <w:t xml:space="preserve"> raised that the financial estimate</w:t>
      </w:r>
      <w:r w:rsidR="001D0A61">
        <w:rPr>
          <w:szCs w:val="24"/>
        </w:rPr>
        <w:t>s</w:t>
      </w:r>
      <w:r w:rsidR="00BD511D">
        <w:rPr>
          <w:szCs w:val="24"/>
        </w:rPr>
        <w:t xml:space="preserve"> were overestimated</w:t>
      </w:r>
      <w:r w:rsidR="002359DD" w:rsidRPr="00B135D0">
        <w:rPr>
          <w:szCs w:val="24"/>
        </w:rPr>
        <w:t>,</w:t>
      </w:r>
      <w:r w:rsidR="002359DD">
        <w:rPr>
          <w:szCs w:val="24"/>
        </w:rPr>
        <w:t xml:space="preserve"> as they</w:t>
      </w:r>
      <w:r w:rsidR="00A326F2" w:rsidRPr="00B135D0">
        <w:rPr>
          <w:szCs w:val="24"/>
        </w:rPr>
        <w:t xml:space="preserve"> do not include cost-offsets associated with reductions in comparator therap</w:t>
      </w:r>
      <w:r w:rsidR="00BF404F">
        <w:rPr>
          <w:szCs w:val="24"/>
        </w:rPr>
        <w:t>ies</w:t>
      </w:r>
      <w:r w:rsidR="00A326F2" w:rsidRPr="00B135D0">
        <w:rPr>
          <w:szCs w:val="24"/>
        </w:rPr>
        <w:t xml:space="preserve"> (including PE, surgery or pharmaceuticals).</w:t>
      </w:r>
      <w:r w:rsidR="00BD511D">
        <w:rPr>
          <w:szCs w:val="24"/>
        </w:rPr>
        <w:t xml:space="preserve"> MSAC agreed with this, but noted that this </w:t>
      </w:r>
      <w:proofErr w:type="gramStart"/>
      <w:r w:rsidR="00BD511D">
        <w:rPr>
          <w:szCs w:val="24"/>
        </w:rPr>
        <w:t>was acknowledged</w:t>
      </w:r>
      <w:proofErr w:type="gramEnd"/>
      <w:r w:rsidR="00BD511D">
        <w:rPr>
          <w:szCs w:val="24"/>
        </w:rPr>
        <w:t xml:space="preserve"> in the assessment report.</w:t>
      </w:r>
    </w:p>
    <w:p w14:paraId="685CF705" w14:textId="69D0541B" w:rsidR="008F4E4F" w:rsidRPr="00357163" w:rsidRDefault="00A326F2" w:rsidP="00BD511D">
      <w:pPr>
        <w:spacing w:after="240"/>
        <w:rPr>
          <w:szCs w:val="24"/>
        </w:rPr>
      </w:pPr>
      <w:r w:rsidRPr="00B135D0">
        <w:rPr>
          <w:szCs w:val="24"/>
        </w:rPr>
        <w:t>MSAC noted the pre</w:t>
      </w:r>
      <w:r w:rsidR="00DB35B7">
        <w:rPr>
          <w:szCs w:val="24"/>
        </w:rPr>
        <w:t xml:space="preserve"> ESC and </w:t>
      </w:r>
      <w:r w:rsidRPr="00B135D0">
        <w:rPr>
          <w:szCs w:val="24"/>
        </w:rPr>
        <w:t>MSAC responses from the NBA and s</w:t>
      </w:r>
      <w:r w:rsidR="00DB35B7">
        <w:rPr>
          <w:szCs w:val="24"/>
        </w:rPr>
        <w:t>takeholders</w:t>
      </w:r>
      <w:r w:rsidRPr="00B135D0">
        <w:rPr>
          <w:szCs w:val="24"/>
        </w:rPr>
        <w:t>. One s</w:t>
      </w:r>
      <w:r w:rsidR="00BF404F">
        <w:rPr>
          <w:szCs w:val="24"/>
        </w:rPr>
        <w:t>ponso</w:t>
      </w:r>
      <w:r w:rsidRPr="00B135D0">
        <w:rPr>
          <w:szCs w:val="24"/>
        </w:rPr>
        <w:t xml:space="preserve">r </w:t>
      </w:r>
      <w:r w:rsidR="00F54A00">
        <w:rPr>
          <w:szCs w:val="24"/>
        </w:rPr>
        <w:t>argu</w:t>
      </w:r>
      <w:r w:rsidRPr="00B135D0">
        <w:rPr>
          <w:szCs w:val="24"/>
        </w:rPr>
        <w:t>ed that the conclusion of superior safety and non-inferior effectiveness of Ig compared to PE established in indication 1 should extend to all three indications for MG</w:t>
      </w:r>
      <w:r w:rsidR="006B1DC9">
        <w:rPr>
          <w:szCs w:val="24"/>
        </w:rPr>
        <w:t xml:space="preserve">. </w:t>
      </w:r>
      <w:r w:rsidR="006E1652">
        <w:rPr>
          <w:szCs w:val="24"/>
        </w:rPr>
        <w:t xml:space="preserve">Another stakeholder suggested the capacity for PE treatments in public hospitals could be increased significantly to ease growing demand for Ig, and </w:t>
      </w:r>
      <w:proofErr w:type="gramStart"/>
      <w:r w:rsidR="006E1652">
        <w:rPr>
          <w:szCs w:val="24"/>
        </w:rPr>
        <w:t>consumers also</w:t>
      </w:r>
      <w:proofErr w:type="gramEnd"/>
      <w:r w:rsidR="006E1652">
        <w:rPr>
          <w:szCs w:val="24"/>
        </w:rPr>
        <w:t xml:space="preserve"> supported increased access to alternative treatments such as PE and </w:t>
      </w:r>
      <w:r w:rsidR="001D0A61">
        <w:rPr>
          <w:szCs w:val="24"/>
        </w:rPr>
        <w:t>r</w:t>
      </w:r>
      <w:r w:rsidR="006E1652">
        <w:rPr>
          <w:szCs w:val="24"/>
        </w:rPr>
        <w:t>ituximab (currently not PBS subsidised for MG).</w:t>
      </w:r>
    </w:p>
    <w:p w14:paraId="756727CB" w14:textId="3CF41180" w:rsidR="00C44DF5" w:rsidRDefault="00BD76CB" w:rsidP="00111108">
      <w:pPr>
        <w:spacing w:after="240"/>
        <w:rPr>
          <w:szCs w:val="24"/>
        </w:rPr>
      </w:pPr>
      <w:r w:rsidRPr="00B135D0">
        <w:rPr>
          <w:szCs w:val="24"/>
        </w:rPr>
        <w:t xml:space="preserve">MSAC considered </w:t>
      </w:r>
      <w:r w:rsidR="00357163">
        <w:rPr>
          <w:szCs w:val="24"/>
        </w:rPr>
        <w:t>that access to Ig treatment</w:t>
      </w:r>
      <w:r w:rsidR="00C44DF5">
        <w:rPr>
          <w:szCs w:val="24"/>
        </w:rPr>
        <w:t xml:space="preserve"> for</w:t>
      </w:r>
      <w:r w:rsidR="00357163">
        <w:rPr>
          <w:szCs w:val="24"/>
        </w:rPr>
        <w:t xml:space="preserve"> </w:t>
      </w:r>
      <w:r w:rsidR="00C44DF5" w:rsidRPr="00B135D0">
        <w:rPr>
          <w:szCs w:val="24"/>
        </w:rPr>
        <w:t>indications 1 and 2</w:t>
      </w:r>
      <w:r w:rsidR="00C44DF5">
        <w:rPr>
          <w:szCs w:val="24"/>
        </w:rPr>
        <w:t xml:space="preserve"> </w:t>
      </w:r>
      <w:r w:rsidR="00357163">
        <w:rPr>
          <w:szCs w:val="24"/>
        </w:rPr>
        <w:t>should continue</w:t>
      </w:r>
      <w:r w:rsidR="00C44DF5">
        <w:rPr>
          <w:szCs w:val="24"/>
        </w:rPr>
        <w:t xml:space="preserve">, noting the small proportion of Ig use in these </w:t>
      </w:r>
      <w:r w:rsidRPr="00B135D0">
        <w:rPr>
          <w:szCs w:val="24"/>
        </w:rPr>
        <w:t xml:space="preserve">populations </w:t>
      </w:r>
      <w:r w:rsidR="00C44DF5">
        <w:rPr>
          <w:szCs w:val="24"/>
        </w:rPr>
        <w:t xml:space="preserve">and </w:t>
      </w:r>
      <w:r w:rsidRPr="00B135D0">
        <w:rPr>
          <w:szCs w:val="24"/>
        </w:rPr>
        <w:t>high clinical need</w:t>
      </w:r>
      <w:r w:rsidR="00C44DF5">
        <w:rPr>
          <w:szCs w:val="24"/>
        </w:rPr>
        <w:t xml:space="preserve">. For indication 3, MSAC also recommended continued access to Ig therapy due to </w:t>
      </w:r>
      <w:r w:rsidRPr="00B135D0">
        <w:rPr>
          <w:szCs w:val="24"/>
        </w:rPr>
        <w:t>equity of access</w:t>
      </w:r>
      <w:r w:rsidR="00C44DF5">
        <w:rPr>
          <w:szCs w:val="24"/>
        </w:rPr>
        <w:t xml:space="preserve"> issues with</w:t>
      </w:r>
      <w:r w:rsidRPr="00B135D0">
        <w:rPr>
          <w:szCs w:val="24"/>
        </w:rPr>
        <w:t xml:space="preserve"> the main comparator</w:t>
      </w:r>
      <w:r w:rsidR="00C44DF5">
        <w:rPr>
          <w:szCs w:val="24"/>
        </w:rPr>
        <w:t xml:space="preserve">, </w:t>
      </w:r>
      <w:r w:rsidRPr="00B135D0">
        <w:rPr>
          <w:szCs w:val="24"/>
        </w:rPr>
        <w:t>PE</w:t>
      </w:r>
      <w:r w:rsidR="00C44DF5">
        <w:rPr>
          <w:szCs w:val="24"/>
        </w:rPr>
        <w:t>,</w:t>
      </w:r>
      <w:r w:rsidRPr="00B135D0">
        <w:rPr>
          <w:szCs w:val="24"/>
        </w:rPr>
        <w:t xml:space="preserve"> which is limited to tertiary metropolitan centres. </w:t>
      </w:r>
      <w:r w:rsidR="00C44DF5" w:rsidRPr="00B135D0">
        <w:rPr>
          <w:szCs w:val="24"/>
        </w:rPr>
        <w:t xml:space="preserve">MSAC noted, as raised in the assessment report and by stakeholders, that restricting access to Ig for patients with MG may cause relative harm to patients who do not have </w:t>
      </w:r>
      <w:r w:rsidR="006B1DC9">
        <w:rPr>
          <w:szCs w:val="24"/>
        </w:rPr>
        <w:t xml:space="preserve">timely </w:t>
      </w:r>
      <w:r w:rsidR="00C44DF5" w:rsidRPr="00B135D0">
        <w:rPr>
          <w:szCs w:val="24"/>
        </w:rPr>
        <w:t>access to PE.</w:t>
      </w:r>
    </w:p>
    <w:p w14:paraId="62F1FB58" w14:textId="7C0B15C4" w:rsidR="00BD76CB" w:rsidRDefault="00761AD6" w:rsidP="00111108">
      <w:pPr>
        <w:spacing w:after="240"/>
        <w:rPr>
          <w:szCs w:val="24"/>
        </w:rPr>
      </w:pPr>
      <w:proofErr w:type="gramStart"/>
      <w:r w:rsidRPr="00B135D0">
        <w:rPr>
          <w:szCs w:val="24"/>
        </w:rPr>
        <w:t xml:space="preserve">MSAC noted the high degree of uncertainty </w:t>
      </w:r>
      <w:r w:rsidR="00C44DF5">
        <w:rPr>
          <w:szCs w:val="24"/>
        </w:rPr>
        <w:t xml:space="preserve">regarding comparative safety, effectiveness and costs/cost-effectiveness </w:t>
      </w:r>
      <w:r w:rsidRPr="00B135D0">
        <w:rPr>
          <w:szCs w:val="24"/>
        </w:rPr>
        <w:t xml:space="preserve">across all three indications, </w:t>
      </w:r>
      <w:r w:rsidR="00C44DF5">
        <w:rPr>
          <w:szCs w:val="24"/>
        </w:rPr>
        <w:t xml:space="preserve">but </w:t>
      </w:r>
      <w:r w:rsidRPr="00B135D0">
        <w:rPr>
          <w:szCs w:val="24"/>
        </w:rPr>
        <w:t>particularly in indication 3</w:t>
      </w:r>
      <w:r>
        <w:rPr>
          <w:szCs w:val="24"/>
        </w:rPr>
        <w:t>,</w:t>
      </w:r>
      <w:r w:rsidRPr="00B135D0">
        <w:rPr>
          <w:szCs w:val="24"/>
        </w:rPr>
        <w:t xml:space="preserve"> which </w:t>
      </w:r>
      <w:r w:rsidRPr="00B135D0">
        <w:rPr>
          <w:szCs w:val="24"/>
        </w:rPr>
        <w:lastRenderedPageBreak/>
        <w:t xml:space="preserve">represents the largest proportion of </w:t>
      </w:r>
      <w:proofErr w:type="spellStart"/>
      <w:r w:rsidRPr="00B135D0">
        <w:rPr>
          <w:szCs w:val="24"/>
        </w:rPr>
        <w:t>IVIg</w:t>
      </w:r>
      <w:proofErr w:type="spellEnd"/>
      <w:r w:rsidRPr="00B135D0">
        <w:rPr>
          <w:szCs w:val="24"/>
        </w:rPr>
        <w:t xml:space="preserve"> use in patients with MG</w:t>
      </w:r>
      <w:r>
        <w:rPr>
          <w:szCs w:val="24"/>
        </w:rPr>
        <w:t xml:space="preserve">. </w:t>
      </w:r>
      <w:r w:rsidRPr="00FD1ECD">
        <w:rPr>
          <w:szCs w:val="24"/>
        </w:rPr>
        <w:t xml:space="preserve">MSAC advised </w:t>
      </w:r>
      <w:r w:rsidR="00C44DF5" w:rsidRPr="00FD1ECD">
        <w:rPr>
          <w:szCs w:val="24"/>
        </w:rPr>
        <w:t xml:space="preserve">that </w:t>
      </w:r>
      <w:r w:rsidR="00BD76CB" w:rsidRPr="00FD1ECD">
        <w:rPr>
          <w:szCs w:val="24"/>
        </w:rPr>
        <w:t xml:space="preserve">additional collection of </w:t>
      </w:r>
      <w:r w:rsidRPr="00FD1ECD">
        <w:rPr>
          <w:szCs w:val="24"/>
        </w:rPr>
        <w:t xml:space="preserve">data on </w:t>
      </w:r>
      <w:proofErr w:type="spellStart"/>
      <w:r w:rsidRPr="00FD1ECD">
        <w:rPr>
          <w:szCs w:val="24"/>
        </w:rPr>
        <w:t>IVIg</w:t>
      </w:r>
      <w:proofErr w:type="spellEnd"/>
      <w:r w:rsidRPr="00FD1ECD">
        <w:rPr>
          <w:szCs w:val="24"/>
        </w:rPr>
        <w:t xml:space="preserve"> use </w:t>
      </w:r>
      <w:r w:rsidR="00A74B90" w:rsidRPr="00FD1ECD">
        <w:rPr>
          <w:szCs w:val="24"/>
        </w:rPr>
        <w:t>for maintenance treatment</w:t>
      </w:r>
      <w:r w:rsidR="00BD76CB" w:rsidRPr="00FD1ECD">
        <w:rPr>
          <w:szCs w:val="24"/>
        </w:rPr>
        <w:t xml:space="preserve">, as well as additional research on the long-term benefits of </w:t>
      </w:r>
      <w:proofErr w:type="spellStart"/>
      <w:r w:rsidR="00BD76CB" w:rsidRPr="00FD1ECD">
        <w:rPr>
          <w:szCs w:val="24"/>
        </w:rPr>
        <w:t>IVIg</w:t>
      </w:r>
      <w:proofErr w:type="spellEnd"/>
      <w:r w:rsidR="00C44DF5" w:rsidRPr="00FD1ECD">
        <w:rPr>
          <w:szCs w:val="24"/>
        </w:rPr>
        <w:t>,</w:t>
      </w:r>
      <w:r w:rsidR="00BD76CB" w:rsidRPr="00FD1ECD">
        <w:rPr>
          <w:szCs w:val="24"/>
        </w:rPr>
        <w:t xml:space="preserve"> should be explored.</w:t>
      </w:r>
      <w:proofErr w:type="gramEnd"/>
      <w:r w:rsidR="00772892" w:rsidRPr="00FD1ECD">
        <w:rPr>
          <w:szCs w:val="24"/>
        </w:rPr>
        <w:t xml:space="preserve"> </w:t>
      </w:r>
      <w:r w:rsidR="006B1DC9" w:rsidRPr="00FD1ECD">
        <w:rPr>
          <w:szCs w:val="24"/>
        </w:rPr>
        <w:t>MSAC also suggested that the NBA consider</w:t>
      </w:r>
      <w:r w:rsidR="00C4260C" w:rsidRPr="00FD1ECD">
        <w:rPr>
          <w:szCs w:val="24"/>
        </w:rPr>
        <w:t xml:space="preserve"> </w:t>
      </w:r>
      <w:r w:rsidR="006B1DC9" w:rsidRPr="00FD1ECD">
        <w:rPr>
          <w:szCs w:val="24"/>
        </w:rPr>
        <w:t>i</w:t>
      </w:r>
      <w:r w:rsidR="002A6E1D" w:rsidRPr="00FD1ECD">
        <w:rPr>
          <w:szCs w:val="24"/>
        </w:rPr>
        <w:t xml:space="preserve">ntroducing a financial </w:t>
      </w:r>
      <w:r w:rsidR="006B1DC9" w:rsidRPr="00FD1ECD">
        <w:rPr>
          <w:szCs w:val="24"/>
        </w:rPr>
        <w:t xml:space="preserve">cap </w:t>
      </w:r>
      <w:r w:rsidR="002A6E1D" w:rsidRPr="00FD1ECD">
        <w:rPr>
          <w:szCs w:val="24"/>
        </w:rPr>
        <w:t xml:space="preserve">based on the </w:t>
      </w:r>
      <w:r w:rsidR="006B1DC9" w:rsidRPr="00FD1ECD">
        <w:rPr>
          <w:szCs w:val="24"/>
        </w:rPr>
        <w:t>utilisation</w:t>
      </w:r>
      <w:r w:rsidR="002A6E1D" w:rsidRPr="00FD1ECD">
        <w:rPr>
          <w:szCs w:val="24"/>
        </w:rPr>
        <w:t xml:space="preserve"> </w:t>
      </w:r>
      <w:r w:rsidR="006B1DC9" w:rsidRPr="00FD1ECD">
        <w:rPr>
          <w:szCs w:val="24"/>
        </w:rPr>
        <w:t>of Ig for MG, noting that the prevalence of th</w:t>
      </w:r>
      <w:r w:rsidR="00937C39" w:rsidRPr="00FD1ECD">
        <w:rPr>
          <w:szCs w:val="24"/>
        </w:rPr>
        <w:t>is</w:t>
      </w:r>
      <w:r w:rsidR="006B1DC9" w:rsidRPr="00FD1ECD">
        <w:rPr>
          <w:szCs w:val="24"/>
        </w:rPr>
        <w:t xml:space="preserve"> condition does seem to be increasing over time.</w:t>
      </w:r>
    </w:p>
    <w:p w14:paraId="57C0C353" w14:textId="77777777" w:rsidR="00111108" w:rsidRPr="00F715D1" w:rsidRDefault="00111108" w:rsidP="00111108">
      <w:pPr>
        <w:pStyle w:val="Heading1"/>
      </w:pPr>
      <w:r w:rsidRPr="00F715D1">
        <w:t>Background</w:t>
      </w:r>
    </w:p>
    <w:p w14:paraId="6AB8DD37" w14:textId="2AC3A2AE" w:rsidR="00BA6645" w:rsidRPr="00E538E7" w:rsidRDefault="00BA6645" w:rsidP="00BA6645">
      <w:pPr>
        <w:tabs>
          <w:tab w:val="left" w:pos="720"/>
          <w:tab w:val="left" w:pos="1140"/>
        </w:tabs>
      </w:pPr>
      <w:r w:rsidRPr="007075AE">
        <w:rPr>
          <w:color w:val="222222"/>
          <w:szCs w:val="24"/>
        </w:rPr>
        <w:t>All Australian Governments, through the Jurisdictional Blood Committee (JBC), have agreed to conduct robust Health Technology Assessments (HTAs) of immunoglobulin use (Ig Reviews) funded under the National Blood Agreement</w:t>
      </w:r>
      <w:r>
        <w:rPr>
          <w:color w:val="222222"/>
          <w:szCs w:val="24"/>
        </w:rPr>
        <w:t xml:space="preserve"> </w:t>
      </w:r>
      <w:r w:rsidRPr="005709B9">
        <w:rPr>
          <w:color w:val="222222"/>
          <w:szCs w:val="24"/>
        </w:rPr>
        <w:t>to ensure governmen</w:t>
      </w:r>
      <w:r>
        <w:rPr>
          <w:color w:val="222222"/>
          <w:szCs w:val="24"/>
        </w:rPr>
        <w:t xml:space="preserve">t-funded immunoglobulin use </w:t>
      </w:r>
      <w:r w:rsidRPr="005709B9">
        <w:rPr>
          <w:color w:val="222222"/>
          <w:szCs w:val="24"/>
        </w:rPr>
        <w:t>is based on stron</w:t>
      </w:r>
      <w:r w:rsidR="00212F0E">
        <w:rPr>
          <w:color w:val="222222"/>
          <w:szCs w:val="24"/>
        </w:rPr>
        <w:t>g evidence of clinical and cost-</w:t>
      </w:r>
      <w:r w:rsidRPr="005709B9">
        <w:rPr>
          <w:color w:val="222222"/>
          <w:szCs w:val="24"/>
        </w:rPr>
        <w:t>effectiveness.</w:t>
      </w:r>
      <w:r>
        <w:rPr>
          <w:color w:val="3366FF"/>
          <w:szCs w:val="24"/>
        </w:rPr>
        <w:t xml:space="preserve"> </w:t>
      </w:r>
      <w:r w:rsidRPr="00E708EE">
        <w:t>The National Blood Agreement provides for MSAC to undertake evidence-based evaluation of blood products funded under the national blood supply arrangements at the request of the</w:t>
      </w:r>
      <w:r>
        <w:t xml:space="preserve"> JBC.</w:t>
      </w:r>
    </w:p>
    <w:p w14:paraId="3F514A26" w14:textId="744AD82E" w:rsidR="00BA6645" w:rsidRDefault="00BA6645" w:rsidP="00E538E7">
      <w:pPr>
        <w:tabs>
          <w:tab w:val="left" w:pos="720"/>
          <w:tab w:val="left" w:pos="1140"/>
        </w:tabs>
        <w:spacing w:before="240"/>
      </w:pPr>
      <w:r w:rsidRPr="00A13054">
        <w:rPr>
          <w:color w:val="222222"/>
          <w:szCs w:val="24"/>
        </w:rPr>
        <w:t xml:space="preserve">The </w:t>
      </w:r>
      <w:r>
        <w:rPr>
          <w:szCs w:val="24"/>
        </w:rPr>
        <w:t>Review of Immunoglobulin use in Australia</w:t>
      </w:r>
      <w:r>
        <w:rPr>
          <w:color w:val="222222"/>
          <w:szCs w:val="24"/>
        </w:rPr>
        <w:t xml:space="preserve"> </w:t>
      </w:r>
      <w:proofErr w:type="gramStart"/>
      <w:r>
        <w:rPr>
          <w:color w:val="222222"/>
          <w:szCs w:val="24"/>
        </w:rPr>
        <w:t xml:space="preserve">is </w:t>
      </w:r>
      <w:r w:rsidRPr="00A13054">
        <w:rPr>
          <w:color w:val="222222"/>
          <w:szCs w:val="24"/>
        </w:rPr>
        <w:t>supported</w:t>
      </w:r>
      <w:proofErr w:type="gramEnd"/>
      <w:r w:rsidRPr="00A13054">
        <w:rPr>
          <w:color w:val="222222"/>
          <w:szCs w:val="24"/>
        </w:rPr>
        <w:t xml:space="preserve"> by a bespoke reference group</w:t>
      </w:r>
      <w:r>
        <w:rPr>
          <w:color w:val="222222"/>
          <w:szCs w:val="24"/>
        </w:rPr>
        <w:t xml:space="preserve">, which </w:t>
      </w:r>
      <w:r w:rsidRPr="00A13054">
        <w:rPr>
          <w:color w:val="222222"/>
          <w:szCs w:val="24"/>
        </w:rPr>
        <w:t>oversee</w:t>
      </w:r>
      <w:r>
        <w:rPr>
          <w:color w:val="222222"/>
          <w:szCs w:val="24"/>
        </w:rPr>
        <w:t>s</w:t>
      </w:r>
      <w:r w:rsidRPr="00A13054">
        <w:rPr>
          <w:color w:val="222222"/>
          <w:szCs w:val="24"/>
        </w:rPr>
        <w:t xml:space="preserve"> </w:t>
      </w:r>
      <w:r>
        <w:rPr>
          <w:color w:val="222222"/>
          <w:szCs w:val="24"/>
        </w:rPr>
        <w:t xml:space="preserve">and provides advice on evaluation of </w:t>
      </w:r>
      <w:r w:rsidRPr="00A13054">
        <w:rPr>
          <w:color w:val="222222"/>
          <w:szCs w:val="24"/>
        </w:rPr>
        <w:t>all immunoglobulin HTA review applications.</w:t>
      </w:r>
      <w:r>
        <w:rPr>
          <w:color w:val="3366FF"/>
          <w:szCs w:val="24"/>
        </w:rPr>
        <w:t xml:space="preserve"> </w:t>
      </w:r>
      <w:r w:rsidRPr="007D0AA8">
        <w:t xml:space="preserve">The </w:t>
      </w:r>
      <w:proofErr w:type="gramStart"/>
      <w:r w:rsidRPr="007D0AA8">
        <w:t xml:space="preserve">PICO Confirmations for </w:t>
      </w:r>
      <w:r>
        <w:t xml:space="preserve">the Ig Reviews </w:t>
      </w:r>
      <w:r w:rsidR="00A94309">
        <w:t>have been</w:t>
      </w:r>
      <w:r w:rsidRPr="007D0AA8">
        <w:t xml:space="preserve"> considered by the Review Reference Group instead of the PICO Advisory Sub-committee (PASC)</w:t>
      </w:r>
      <w:proofErr w:type="gramEnd"/>
      <w:r w:rsidRPr="007D0AA8">
        <w:t xml:space="preserve">. </w:t>
      </w:r>
      <w:proofErr w:type="gramStart"/>
      <w:r w:rsidRPr="007D0AA8">
        <w:t>Otherwise</w:t>
      </w:r>
      <w:proofErr w:type="gramEnd"/>
      <w:r w:rsidRPr="007D0AA8">
        <w:t xml:space="preserve"> the MSAC evaluation process remains the same as for applications for funding of items on the Medical Benefits Schedule (MBS).</w:t>
      </w:r>
    </w:p>
    <w:p w14:paraId="415838B8" w14:textId="79E37BB5" w:rsidR="0093550E" w:rsidRDefault="00BA6645" w:rsidP="00E538E7">
      <w:pPr>
        <w:tabs>
          <w:tab w:val="left" w:pos="720"/>
          <w:tab w:val="left" w:pos="1140"/>
        </w:tabs>
        <w:spacing w:before="240"/>
        <w:rPr>
          <w:szCs w:val="24"/>
        </w:rPr>
      </w:pPr>
      <w:r>
        <w:rPr>
          <w:szCs w:val="24"/>
        </w:rPr>
        <w:t>Application 1565</w:t>
      </w:r>
      <w:r w:rsidR="00212F0E">
        <w:rPr>
          <w:szCs w:val="24"/>
        </w:rPr>
        <w:t xml:space="preserve"> – </w:t>
      </w:r>
      <w:r w:rsidR="00212F0E">
        <w:rPr>
          <w:rFonts w:eastAsiaTheme="minorHAnsi"/>
          <w:lang w:val="en-US" w:eastAsia="en-US"/>
        </w:rPr>
        <w:t xml:space="preserve">Immunoglobulin for acquired </w:t>
      </w:r>
      <w:proofErr w:type="spellStart"/>
      <w:r w:rsidR="00212F0E">
        <w:rPr>
          <w:rFonts w:eastAsiaTheme="minorHAnsi"/>
          <w:lang w:val="en-US" w:eastAsia="en-US"/>
        </w:rPr>
        <w:t>hypogammaglobulinaemia</w:t>
      </w:r>
      <w:proofErr w:type="spellEnd"/>
      <w:r w:rsidR="00212F0E">
        <w:rPr>
          <w:rFonts w:eastAsiaTheme="minorHAnsi"/>
          <w:lang w:val="en-US" w:eastAsia="en-US"/>
        </w:rPr>
        <w:t xml:space="preserve"> </w:t>
      </w:r>
      <w:r w:rsidR="00212F0E" w:rsidRPr="002F2CF6">
        <w:rPr>
          <w:rFonts w:eastAsiaTheme="minorHAnsi"/>
        </w:rPr>
        <w:t>secondary to haematological malignancies, or post-</w:t>
      </w:r>
      <w:proofErr w:type="spellStart"/>
      <w:r w:rsidR="00212F0E" w:rsidRPr="002F2CF6">
        <w:rPr>
          <w:rFonts w:eastAsiaTheme="minorHAnsi"/>
        </w:rPr>
        <w:t>haemopoietic</w:t>
      </w:r>
      <w:proofErr w:type="spellEnd"/>
      <w:r w:rsidR="00212F0E" w:rsidRPr="002F2CF6">
        <w:rPr>
          <w:rFonts w:eastAsiaTheme="minorHAnsi"/>
        </w:rPr>
        <w:t xml:space="preserve"> stem cell transplantation (HSCT)</w:t>
      </w:r>
      <w:r w:rsidR="00212F0E">
        <w:rPr>
          <w:rFonts w:eastAsiaTheme="minorHAnsi"/>
        </w:rPr>
        <w:t xml:space="preserve"> </w:t>
      </w:r>
      <w:r>
        <w:rPr>
          <w:szCs w:val="24"/>
        </w:rPr>
        <w:t xml:space="preserve">was the first report from the Immunoglobulin Review Pilot to be progressed to MSAC in November 2019. Applications 1564 </w:t>
      </w:r>
      <w:r w:rsidR="00212F0E">
        <w:rPr>
          <w:szCs w:val="24"/>
        </w:rPr>
        <w:t xml:space="preserve">– Immunoglobulin for chronic inflammatory demyelinating polyneuropathy, </w:t>
      </w:r>
      <w:r>
        <w:rPr>
          <w:szCs w:val="24"/>
        </w:rPr>
        <w:t>and 1566</w:t>
      </w:r>
      <w:r w:rsidR="00212F0E">
        <w:rPr>
          <w:szCs w:val="24"/>
        </w:rPr>
        <w:t xml:space="preserve"> – Myasthenia gravis</w:t>
      </w:r>
      <w:r>
        <w:rPr>
          <w:szCs w:val="24"/>
        </w:rPr>
        <w:t xml:space="preserve"> </w:t>
      </w:r>
      <w:proofErr w:type="gramStart"/>
      <w:r w:rsidR="00E86D77">
        <w:rPr>
          <w:szCs w:val="24"/>
        </w:rPr>
        <w:t xml:space="preserve">were </w:t>
      </w:r>
      <w:r w:rsidR="00212F0E">
        <w:rPr>
          <w:szCs w:val="24"/>
        </w:rPr>
        <w:t>considered</w:t>
      </w:r>
      <w:proofErr w:type="gramEnd"/>
      <w:r w:rsidR="00212F0E">
        <w:rPr>
          <w:szCs w:val="24"/>
        </w:rPr>
        <w:t xml:space="preserve"> by MSAC </w:t>
      </w:r>
      <w:r w:rsidR="000D52E8">
        <w:rPr>
          <w:szCs w:val="24"/>
        </w:rPr>
        <w:t xml:space="preserve">in </w:t>
      </w:r>
      <w:r w:rsidR="00212F0E">
        <w:rPr>
          <w:szCs w:val="24"/>
        </w:rPr>
        <w:t>April 2020</w:t>
      </w:r>
      <w:r>
        <w:rPr>
          <w:szCs w:val="24"/>
        </w:rPr>
        <w:t>, to complete the first tra</w:t>
      </w:r>
      <w:r w:rsidR="00E538E7">
        <w:rPr>
          <w:szCs w:val="24"/>
        </w:rPr>
        <w:t>nche of Immunoglobulin Reviews.</w:t>
      </w:r>
    </w:p>
    <w:p w14:paraId="61238929" w14:textId="09677930" w:rsidR="0093550E" w:rsidRDefault="0093550E" w:rsidP="00E538E7">
      <w:pPr>
        <w:tabs>
          <w:tab w:val="left" w:pos="720"/>
          <w:tab w:val="left" w:pos="1140"/>
        </w:tabs>
        <w:spacing w:before="240"/>
        <w:rPr>
          <w:szCs w:val="24"/>
        </w:rPr>
      </w:pPr>
      <w:r>
        <w:rPr>
          <w:szCs w:val="24"/>
        </w:rPr>
        <w:t>Other applications relevant to the Immunoglobulin Reviews include:</w:t>
      </w:r>
    </w:p>
    <w:p w14:paraId="61A0E8E6" w14:textId="13BBCDCD" w:rsidR="0093550E" w:rsidRDefault="0093550E" w:rsidP="009220E9">
      <w:pPr>
        <w:pStyle w:val="ListParagraph"/>
        <w:numPr>
          <w:ilvl w:val="0"/>
          <w:numId w:val="14"/>
        </w:numPr>
        <w:tabs>
          <w:tab w:val="left" w:pos="720"/>
          <w:tab w:val="left" w:pos="1140"/>
        </w:tabs>
        <w:rPr>
          <w:szCs w:val="24"/>
        </w:rPr>
      </w:pPr>
      <w:r>
        <w:rPr>
          <w:szCs w:val="24"/>
        </w:rPr>
        <w:t xml:space="preserve">Application 1590 – Review of Immunoglobulin for multifocal motor neuropathy; </w:t>
      </w:r>
    </w:p>
    <w:p w14:paraId="5EEC310D" w14:textId="43A5959D" w:rsidR="0093550E" w:rsidRDefault="0093550E" w:rsidP="009220E9">
      <w:pPr>
        <w:pStyle w:val="ListParagraph"/>
        <w:numPr>
          <w:ilvl w:val="0"/>
          <w:numId w:val="14"/>
        </w:numPr>
        <w:tabs>
          <w:tab w:val="left" w:pos="720"/>
          <w:tab w:val="left" w:pos="1140"/>
        </w:tabs>
        <w:rPr>
          <w:szCs w:val="24"/>
        </w:rPr>
      </w:pPr>
      <w:r>
        <w:rPr>
          <w:szCs w:val="24"/>
        </w:rPr>
        <w:t xml:space="preserve">Application 1591 – Review of Immunoglobulin for </w:t>
      </w:r>
      <w:r w:rsidR="00117843">
        <w:rPr>
          <w:szCs w:val="24"/>
        </w:rPr>
        <w:t xml:space="preserve">secondary </w:t>
      </w:r>
      <w:proofErr w:type="spellStart"/>
      <w:r w:rsidR="00117843">
        <w:rPr>
          <w:szCs w:val="24"/>
        </w:rPr>
        <w:t>h</w:t>
      </w:r>
      <w:r w:rsidR="00117843" w:rsidRPr="00117843">
        <w:rPr>
          <w:szCs w:val="24"/>
        </w:rPr>
        <w:t>ypogammaglobulinaemia</w:t>
      </w:r>
      <w:proofErr w:type="spellEnd"/>
      <w:r w:rsidR="00117843" w:rsidRPr="00117843">
        <w:rPr>
          <w:szCs w:val="24"/>
        </w:rPr>
        <w:t xml:space="preserve"> unrelated to haematological malignancies, or post-</w:t>
      </w:r>
      <w:proofErr w:type="spellStart"/>
      <w:r w:rsidR="00117843" w:rsidRPr="00117843">
        <w:rPr>
          <w:szCs w:val="24"/>
        </w:rPr>
        <w:t>haemopoietic</w:t>
      </w:r>
      <w:proofErr w:type="spellEnd"/>
      <w:r w:rsidR="00117843" w:rsidRPr="00117843">
        <w:rPr>
          <w:szCs w:val="24"/>
        </w:rPr>
        <w:t xml:space="preserve"> stem cell transplant</w:t>
      </w:r>
    </w:p>
    <w:p w14:paraId="3057B576" w14:textId="36EAC35D" w:rsidR="0093550E" w:rsidRPr="0093550E" w:rsidRDefault="0093550E" w:rsidP="009220E9">
      <w:pPr>
        <w:pStyle w:val="ListParagraph"/>
        <w:numPr>
          <w:ilvl w:val="0"/>
          <w:numId w:val="14"/>
        </w:numPr>
        <w:tabs>
          <w:tab w:val="left" w:pos="720"/>
          <w:tab w:val="left" w:pos="1140"/>
        </w:tabs>
        <w:rPr>
          <w:szCs w:val="24"/>
        </w:rPr>
      </w:pPr>
      <w:r>
        <w:rPr>
          <w:szCs w:val="24"/>
        </w:rPr>
        <w:t>Application 1592</w:t>
      </w:r>
      <w:r w:rsidR="00117843">
        <w:rPr>
          <w:szCs w:val="24"/>
        </w:rPr>
        <w:t xml:space="preserve"> – Review of Immunoglobulin for p</w:t>
      </w:r>
      <w:r w:rsidR="00117843" w:rsidRPr="00117843">
        <w:rPr>
          <w:szCs w:val="24"/>
        </w:rPr>
        <w:t>rimary immunodeficiency diseases with antibody deficiency</w:t>
      </w:r>
    </w:p>
    <w:p w14:paraId="1F754196" w14:textId="77777777" w:rsidR="00111108" w:rsidRPr="00F715D1" w:rsidRDefault="00111108" w:rsidP="00111108">
      <w:pPr>
        <w:pStyle w:val="Heading1"/>
      </w:pPr>
      <w:r w:rsidRPr="00F715D1">
        <w:t>Prerequisites to implementation of any funding advice</w:t>
      </w:r>
    </w:p>
    <w:p w14:paraId="7061CCEA" w14:textId="77777777" w:rsidR="00BA6645" w:rsidRDefault="00BA6645" w:rsidP="00B20DE6">
      <w:pPr>
        <w:tabs>
          <w:tab w:val="left" w:pos="720"/>
          <w:tab w:val="left" w:pos="1140"/>
        </w:tabs>
        <w:spacing w:after="120"/>
        <w:rPr>
          <w:szCs w:val="24"/>
        </w:rPr>
      </w:pPr>
      <w:r w:rsidRPr="008610D0">
        <w:rPr>
          <w:szCs w:val="24"/>
        </w:rPr>
        <w:t>All therapeutic products marketed in Australia require listing on the Australian Register of Therapeutic Goods (ARTG).</w:t>
      </w:r>
      <w:r>
        <w:rPr>
          <w:szCs w:val="24"/>
        </w:rPr>
        <w:t xml:space="preserve"> </w:t>
      </w:r>
      <w:r w:rsidRPr="00B273CA">
        <w:rPr>
          <w:szCs w:val="24"/>
        </w:rPr>
        <w:t>There are two Ig products</w:t>
      </w:r>
      <w:r>
        <w:rPr>
          <w:szCs w:val="24"/>
        </w:rPr>
        <w:t xml:space="preserve"> registered for MG on the ARTG:</w:t>
      </w:r>
    </w:p>
    <w:p w14:paraId="72FF1A66" w14:textId="77777777" w:rsidR="00BA6645" w:rsidRDefault="00BA6645" w:rsidP="00BA6645">
      <w:pPr>
        <w:pStyle w:val="ListParagraph"/>
        <w:numPr>
          <w:ilvl w:val="0"/>
          <w:numId w:val="7"/>
        </w:numPr>
        <w:tabs>
          <w:tab w:val="left" w:pos="720"/>
          <w:tab w:val="left" w:pos="1140"/>
        </w:tabs>
        <w:rPr>
          <w:szCs w:val="24"/>
        </w:rPr>
      </w:pPr>
      <w:proofErr w:type="spellStart"/>
      <w:r w:rsidRPr="00B273CA">
        <w:rPr>
          <w:szCs w:val="24"/>
        </w:rPr>
        <w:t>Intragam</w:t>
      </w:r>
      <w:proofErr w:type="spellEnd"/>
      <w:r w:rsidRPr="00B273CA">
        <w:rPr>
          <w:szCs w:val="24"/>
        </w:rPr>
        <w:t xml:space="preserve"> 10 – </w:t>
      </w:r>
      <w:proofErr w:type="gramStart"/>
      <w:r w:rsidRPr="00B273CA">
        <w:rPr>
          <w:szCs w:val="24"/>
        </w:rPr>
        <w:t>can only be administered</w:t>
      </w:r>
      <w:proofErr w:type="gramEnd"/>
      <w:r w:rsidRPr="00B273CA">
        <w:rPr>
          <w:szCs w:val="24"/>
        </w:rPr>
        <w:t xml:space="preserve"> intravenously (IV). It is a domestic product. The price excludes the cost of plasma collection. It is available under the National Blood Arrangements for MG.</w:t>
      </w:r>
    </w:p>
    <w:p w14:paraId="2ED017CB" w14:textId="4999B537" w:rsidR="00BA6645" w:rsidRPr="00E538E7" w:rsidRDefault="00BA6645" w:rsidP="00BA6645">
      <w:pPr>
        <w:pStyle w:val="ListParagraph"/>
        <w:numPr>
          <w:ilvl w:val="0"/>
          <w:numId w:val="7"/>
        </w:numPr>
        <w:tabs>
          <w:tab w:val="left" w:pos="720"/>
          <w:tab w:val="left" w:pos="1140"/>
        </w:tabs>
        <w:rPr>
          <w:szCs w:val="24"/>
        </w:rPr>
      </w:pPr>
      <w:proofErr w:type="spellStart"/>
      <w:r w:rsidRPr="00B273CA">
        <w:rPr>
          <w:szCs w:val="24"/>
        </w:rPr>
        <w:t>Privigen</w:t>
      </w:r>
      <w:proofErr w:type="spellEnd"/>
      <w:r w:rsidRPr="00B273CA">
        <w:rPr>
          <w:szCs w:val="24"/>
        </w:rPr>
        <w:t xml:space="preserve"> 10%. – can only be administered IV. It is an imported product. It is available in four different doses (5g, 10g, 20g, </w:t>
      </w:r>
      <w:proofErr w:type="gramStart"/>
      <w:r w:rsidRPr="00B273CA">
        <w:rPr>
          <w:szCs w:val="24"/>
        </w:rPr>
        <w:t>40g</w:t>
      </w:r>
      <w:proofErr w:type="gramEnd"/>
      <w:r w:rsidRPr="00B273CA">
        <w:rPr>
          <w:szCs w:val="24"/>
        </w:rPr>
        <w:t>) and is funded under the National Blood Arrangements for</w:t>
      </w:r>
      <w:r>
        <w:rPr>
          <w:szCs w:val="24"/>
        </w:rPr>
        <w:t xml:space="preserve"> </w:t>
      </w:r>
      <w:r w:rsidRPr="00B273CA">
        <w:rPr>
          <w:szCs w:val="24"/>
        </w:rPr>
        <w:t>MG.</w:t>
      </w:r>
    </w:p>
    <w:p w14:paraId="6E2C320E" w14:textId="75F0C12F" w:rsidR="00BA6645" w:rsidRDefault="00BA6645" w:rsidP="00E538E7">
      <w:pPr>
        <w:spacing w:before="240"/>
        <w:rPr>
          <w:szCs w:val="24"/>
        </w:rPr>
      </w:pPr>
      <w:r>
        <w:rPr>
          <w:szCs w:val="24"/>
        </w:rPr>
        <w:t xml:space="preserve">In addition to the </w:t>
      </w:r>
      <w:r w:rsidRPr="00B273CA">
        <w:rPr>
          <w:szCs w:val="24"/>
        </w:rPr>
        <w:t>two Ig products</w:t>
      </w:r>
      <w:r>
        <w:rPr>
          <w:szCs w:val="24"/>
        </w:rPr>
        <w:t xml:space="preserve"> registered for MG on the ARTG, </w:t>
      </w:r>
      <w:r w:rsidR="00AC217F">
        <w:rPr>
          <w:szCs w:val="24"/>
        </w:rPr>
        <w:t xml:space="preserve">at the time of referral </w:t>
      </w:r>
      <w:r>
        <w:rPr>
          <w:szCs w:val="24"/>
        </w:rPr>
        <w:t xml:space="preserve">the </w:t>
      </w:r>
      <w:r w:rsidRPr="00B273CA">
        <w:rPr>
          <w:szCs w:val="24"/>
        </w:rPr>
        <w:t>NBA provides Ig by intravenous infusion (</w:t>
      </w:r>
      <w:proofErr w:type="spellStart"/>
      <w:r w:rsidRPr="00B273CA">
        <w:rPr>
          <w:szCs w:val="24"/>
        </w:rPr>
        <w:t>IVIg</w:t>
      </w:r>
      <w:proofErr w:type="spellEnd"/>
      <w:r w:rsidRPr="00B273CA">
        <w:rPr>
          <w:szCs w:val="24"/>
        </w:rPr>
        <w:t>) for a</w:t>
      </w:r>
      <w:r>
        <w:rPr>
          <w:szCs w:val="24"/>
        </w:rPr>
        <w:t xml:space="preserve"> further three products for MG. These </w:t>
      </w:r>
      <w:proofErr w:type="gramStart"/>
      <w:r>
        <w:rPr>
          <w:szCs w:val="24"/>
        </w:rPr>
        <w:lastRenderedPageBreak/>
        <w:t>are:</w:t>
      </w:r>
      <w:proofErr w:type="gramEnd"/>
      <w:r>
        <w:rPr>
          <w:szCs w:val="24"/>
        </w:rPr>
        <w:t xml:space="preserve"> </w:t>
      </w:r>
      <w:proofErr w:type="spellStart"/>
      <w:r w:rsidRPr="00B273CA">
        <w:rPr>
          <w:szCs w:val="24"/>
        </w:rPr>
        <w:t>Flebogamma</w:t>
      </w:r>
      <w:proofErr w:type="spellEnd"/>
      <w:r w:rsidRPr="00B273CA">
        <w:rPr>
          <w:szCs w:val="24"/>
        </w:rPr>
        <w:t xml:space="preserve"> 5%, </w:t>
      </w:r>
      <w:proofErr w:type="spellStart"/>
      <w:r w:rsidRPr="00B273CA">
        <w:rPr>
          <w:szCs w:val="24"/>
        </w:rPr>
        <w:t>Flebogamma</w:t>
      </w:r>
      <w:proofErr w:type="spellEnd"/>
      <w:r w:rsidRPr="00B273CA">
        <w:rPr>
          <w:szCs w:val="24"/>
        </w:rPr>
        <w:t xml:space="preserve"> 10%</w:t>
      </w:r>
      <w:r w:rsidR="00DF3D22">
        <w:rPr>
          <w:szCs w:val="24"/>
        </w:rPr>
        <w:t xml:space="preserve"> </w:t>
      </w:r>
      <w:r w:rsidRPr="00B273CA">
        <w:rPr>
          <w:szCs w:val="24"/>
        </w:rPr>
        <w:t xml:space="preserve">and </w:t>
      </w:r>
      <w:proofErr w:type="spellStart"/>
      <w:r w:rsidRPr="00B273CA">
        <w:rPr>
          <w:szCs w:val="24"/>
        </w:rPr>
        <w:t>Intragam</w:t>
      </w:r>
      <w:proofErr w:type="spellEnd"/>
      <w:r w:rsidRPr="00B273CA">
        <w:rPr>
          <w:szCs w:val="24"/>
        </w:rPr>
        <w:t xml:space="preserve"> P. The latter </w:t>
      </w:r>
      <w:proofErr w:type="gramStart"/>
      <w:r w:rsidRPr="00B273CA">
        <w:rPr>
          <w:szCs w:val="24"/>
        </w:rPr>
        <w:t>will be removed</w:t>
      </w:r>
      <w:proofErr w:type="gramEnd"/>
      <w:r w:rsidRPr="00B273CA">
        <w:rPr>
          <w:szCs w:val="24"/>
        </w:rPr>
        <w:t xml:space="preserve"> from the Product List</w:t>
      </w:r>
      <w:r>
        <w:rPr>
          <w:szCs w:val="24"/>
        </w:rPr>
        <w:t xml:space="preserve"> </w:t>
      </w:r>
      <w:r w:rsidRPr="00B273CA">
        <w:rPr>
          <w:szCs w:val="24"/>
        </w:rPr>
        <w:t>once current stocks expire</w:t>
      </w:r>
      <w:r>
        <w:rPr>
          <w:szCs w:val="24"/>
        </w:rPr>
        <w:t xml:space="preserve"> (replaced by </w:t>
      </w:r>
      <w:proofErr w:type="spellStart"/>
      <w:r>
        <w:rPr>
          <w:szCs w:val="24"/>
        </w:rPr>
        <w:t>Intragam</w:t>
      </w:r>
      <w:proofErr w:type="spellEnd"/>
      <w:r>
        <w:rPr>
          <w:szCs w:val="24"/>
        </w:rPr>
        <w:t xml:space="preserve"> 10).</w:t>
      </w:r>
    </w:p>
    <w:p w14:paraId="19D0D182" w14:textId="044D67DC" w:rsidR="00BA6645" w:rsidRPr="00E538E7" w:rsidRDefault="00BA6645" w:rsidP="00E538E7">
      <w:pPr>
        <w:tabs>
          <w:tab w:val="left" w:pos="720"/>
          <w:tab w:val="left" w:pos="1140"/>
        </w:tabs>
        <w:spacing w:before="240"/>
        <w:rPr>
          <w:szCs w:val="24"/>
        </w:rPr>
      </w:pPr>
      <w:r w:rsidRPr="008610D0">
        <w:rPr>
          <w:szCs w:val="24"/>
        </w:rPr>
        <w:t>A further 12 Ig products are listed on the ARTG, either for IV or SC infusion, but are not indicated for MG.</w:t>
      </w:r>
    </w:p>
    <w:p w14:paraId="7B022B36" w14:textId="77777777" w:rsidR="00BA6645" w:rsidRPr="00C163D0" w:rsidRDefault="00BA6645" w:rsidP="00C163D0">
      <w:pPr>
        <w:spacing w:before="240"/>
        <w:rPr>
          <w:rFonts w:ascii="Arial Narrow" w:hAnsi="Arial Narrow"/>
          <w:b/>
          <w:sz w:val="20"/>
        </w:rPr>
      </w:pPr>
      <w:bookmarkStart w:id="0" w:name="_Ref364240778"/>
      <w:bookmarkStart w:id="1" w:name="_Toc381969859"/>
      <w:bookmarkStart w:id="2" w:name="_Toc23769494"/>
      <w:r w:rsidRPr="00C163D0">
        <w:rPr>
          <w:rFonts w:ascii="Arial Narrow" w:hAnsi="Arial Narrow"/>
          <w:b/>
          <w:sz w:val="20"/>
        </w:rPr>
        <w:t xml:space="preserve">Table </w:t>
      </w:r>
      <w:bookmarkEnd w:id="0"/>
      <w:r w:rsidRPr="00C163D0">
        <w:rPr>
          <w:rFonts w:ascii="Arial Narrow" w:hAnsi="Arial Narrow"/>
          <w:b/>
          <w:sz w:val="20"/>
        </w:rPr>
        <w:t>1</w:t>
      </w:r>
      <w:r w:rsidRPr="00C163D0">
        <w:rPr>
          <w:rFonts w:ascii="Arial Narrow" w:hAnsi="Arial Narrow"/>
          <w:b/>
          <w:sz w:val="20"/>
        </w:rPr>
        <w:tab/>
        <w:t>Ig products listed on the ARTG</w:t>
      </w:r>
      <w:bookmarkEnd w:id="1"/>
      <w:bookmarkEnd w:id="2"/>
    </w:p>
    <w:tbl>
      <w:tblPr>
        <w:tblStyle w:val="TableGrid"/>
        <w:tblW w:w="5000" w:type="pct"/>
        <w:tblLook w:val="04A0" w:firstRow="1" w:lastRow="0" w:firstColumn="1" w:lastColumn="0" w:noHBand="0" w:noVBand="1"/>
        <w:tblCaption w:val="Table 5 Ig products listed on the ARTG"/>
        <w:tblDescription w:val="Ig products listed on the TGA, their route of administration (SC or IV), whether or not they are indicated for MG, and whether or not they are NBA fubnded for MG,"/>
      </w:tblPr>
      <w:tblGrid>
        <w:gridCol w:w="2463"/>
        <w:gridCol w:w="2339"/>
        <w:gridCol w:w="1457"/>
        <w:gridCol w:w="1381"/>
        <w:gridCol w:w="1376"/>
      </w:tblGrid>
      <w:tr w:rsidR="00BA6645" w:rsidRPr="00BE75FD" w14:paraId="4676342A" w14:textId="77777777" w:rsidTr="000528B8">
        <w:trPr>
          <w:tblHeader/>
        </w:trPr>
        <w:tc>
          <w:tcPr>
            <w:tcW w:w="1366" w:type="pct"/>
          </w:tcPr>
          <w:p w14:paraId="1D409F4B" w14:textId="77777777" w:rsidR="00BA6645" w:rsidRPr="00BE75FD" w:rsidRDefault="00BA6645" w:rsidP="00BE75FD">
            <w:pPr>
              <w:keepNext/>
              <w:keepLines/>
              <w:spacing w:before="40" w:after="40"/>
              <w:rPr>
                <w:rFonts w:ascii="Arial Narrow" w:hAnsi="Arial Narrow" w:cs="Tahoma"/>
                <w:b/>
                <w:sz w:val="20"/>
              </w:rPr>
            </w:pPr>
            <w:r w:rsidRPr="00BE75FD">
              <w:rPr>
                <w:rFonts w:ascii="Arial Narrow" w:hAnsi="Arial Narrow" w:cs="Tahoma"/>
                <w:b/>
                <w:sz w:val="20"/>
              </w:rPr>
              <w:t xml:space="preserve">ARTG no. </w:t>
            </w:r>
          </w:p>
        </w:tc>
        <w:tc>
          <w:tcPr>
            <w:tcW w:w="1297" w:type="pct"/>
          </w:tcPr>
          <w:p w14:paraId="532BD0A5" w14:textId="77777777" w:rsidR="00BA6645" w:rsidRPr="00BE75FD" w:rsidRDefault="00BA6645" w:rsidP="00BE75FD">
            <w:pPr>
              <w:keepNext/>
              <w:keepLines/>
              <w:spacing w:before="40" w:after="40"/>
              <w:rPr>
                <w:rFonts w:ascii="Arial Narrow" w:hAnsi="Arial Narrow" w:cs="Tahoma"/>
                <w:b/>
                <w:sz w:val="20"/>
              </w:rPr>
            </w:pPr>
            <w:r w:rsidRPr="00BE75FD">
              <w:rPr>
                <w:rFonts w:ascii="Arial Narrow" w:hAnsi="Arial Narrow" w:cs="Tahoma"/>
                <w:b/>
                <w:sz w:val="20"/>
              </w:rPr>
              <w:t>TGA registered indications including MG</w:t>
            </w:r>
          </w:p>
        </w:tc>
        <w:tc>
          <w:tcPr>
            <w:tcW w:w="808" w:type="pct"/>
          </w:tcPr>
          <w:p w14:paraId="52F01FF5" w14:textId="77777777" w:rsidR="00BA6645" w:rsidRPr="00BE75FD" w:rsidRDefault="00BA6645" w:rsidP="00BE75FD">
            <w:pPr>
              <w:keepNext/>
              <w:keepLines/>
              <w:spacing w:before="40" w:after="40"/>
              <w:rPr>
                <w:rFonts w:ascii="Arial Narrow" w:hAnsi="Arial Narrow" w:cs="Tahoma"/>
                <w:b/>
                <w:sz w:val="20"/>
              </w:rPr>
            </w:pPr>
            <w:r w:rsidRPr="00BE75FD">
              <w:rPr>
                <w:rFonts w:ascii="Arial Narrow" w:hAnsi="Arial Narrow" w:cs="Tahoma"/>
                <w:b/>
                <w:sz w:val="20"/>
              </w:rPr>
              <w:t>Route of Administration</w:t>
            </w:r>
          </w:p>
        </w:tc>
        <w:tc>
          <w:tcPr>
            <w:tcW w:w="766" w:type="pct"/>
          </w:tcPr>
          <w:p w14:paraId="6106E7EC" w14:textId="77777777" w:rsidR="00BA6645" w:rsidRPr="00BE75FD" w:rsidRDefault="00BA6645" w:rsidP="00BE75FD">
            <w:pPr>
              <w:keepNext/>
              <w:keepLines/>
              <w:spacing w:before="40" w:after="40"/>
              <w:rPr>
                <w:rFonts w:ascii="Arial Narrow" w:hAnsi="Arial Narrow" w:cs="Tahoma"/>
                <w:b/>
                <w:sz w:val="20"/>
              </w:rPr>
            </w:pPr>
            <w:r w:rsidRPr="00BE75FD">
              <w:rPr>
                <w:rFonts w:ascii="Arial Narrow" w:hAnsi="Arial Narrow" w:cs="Tahoma"/>
                <w:b/>
                <w:sz w:val="20"/>
              </w:rPr>
              <w:t>TGA indication for MG?</w:t>
            </w:r>
          </w:p>
        </w:tc>
        <w:tc>
          <w:tcPr>
            <w:tcW w:w="763" w:type="pct"/>
          </w:tcPr>
          <w:p w14:paraId="60FC347B" w14:textId="77777777" w:rsidR="00BA6645" w:rsidRPr="00BE75FD" w:rsidRDefault="00BA6645" w:rsidP="00BE75FD">
            <w:pPr>
              <w:keepNext/>
              <w:keepLines/>
              <w:spacing w:before="40" w:after="40"/>
              <w:rPr>
                <w:rFonts w:ascii="Arial Narrow" w:hAnsi="Arial Narrow" w:cs="Tahoma"/>
                <w:b/>
                <w:sz w:val="20"/>
              </w:rPr>
            </w:pPr>
            <w:r w:rsidRPr="00BE75FD">
              <w:rPr>
                <w:rFonts w:ascii="Arial Narrow" w:hAnsi="Arial Narrow" w:cs="Tahoma"/>
                <w:b/>
                <w:sz w:val="20"/>
              </w:rPr>
              <w:t>NBA Funded for MG*?</w:t>
            </w:r>
          </w:p>
        </w:tc>
      </w:tr>
      <w:tr w:rsidR="00BA6645" w:rsidRPr="00BE75FD" w14:paraId="056CD117" w14:textId="77777777" w:rsidTr="000528B8">
        <w:tc>
          <w:tcPr>
            <w:tcW w:w="1366" w:type="pct"/>
          </w:tcPr>
          <w:p w14:paraId="3FBC1529" w14:textId="77777777" w:rsidR="00BA6645" w:rsidRPr="00BE75FD" w:rsidRDefault="00BA6645" w:rsidP="00BE75FD">
            <w:pPr>
              <w:keepNext/>
              <w:keepLines/>
              <w:spacing w:before="40" w:after="40"/>
              <w:rPr>
                <w:rFonts w:ascii="Arial Narrow" w:hAnsi="Arial Narrow" w:cs="Tahoma"/>
                <w:sz w:val="20"/>
              </w:rPr>
            </w:pPr>
            <w:r w:rsidRPr="00BE75FD">
              <w:rPr>
                <w:rFonts w:ascii="Arial Narrow" w:hAnsi="Arial Narrow" w:cs="Tahoma"/>
                <w:sz w:val="20"/>
              </w:rPr>
              <w:t>199979-199981, 162486-162489</w:t>
            </w:r>
          </w:p>
        </w:tc>
        <w:tc>
          <w:tcPr>
            <w:tcW w:w="1297" w:type="pct"/>
          </w:tcPr>
          <w:p w14:paraId="2D84A0EF" w14:textId="77777777" w:rsidR="00BA6645" w:rsidRPr="00BE75FD" w:rsidRDefault="00BA6645" w:rsidP="00BE75FD">
            <w:pPr>
              <w:keepNext/>
              <w:keepLines/>
              <w:spacing w:before="40" w:after="40"/>
              <w:rPr>
                <w:rFonts w:ascii="Arial Narrow" w:hAnsi="Arial Narrow" w:cs="Tahoma"/>
                <w:sz w:val="20"/>
              </w:rPr>
            </w:pPr>
            <w:proofErr w:type="spellStart"/>
            <w:r w:rsidRPr="00BE75FD">
              <w:rPr>
                <w:rFonts w:ascii="Arial Narrow" w:hAnsi="Arial Narrow" w:cs="Tahoma"/>
                <w:sz w:val="20"/>
              </w:rPr>
              <w:t>Intragam</w:t>
            </w:r>
            <w:proofErr w:type="spellEnd"/>
            <w:r w:rsidRPr="00BE75FD">
              <w:rPr>
                <w:rFonts w:ascii="Arial Narrow" w:hAnsi="Arial Narrow" w:cs="Tahoma"/>
                <w:sz w:val="20"/>
              </w:rPr>
              <w:t xml:space="preserve"> 10 – CSL Behring Australia P/L  </w:t>
            </w:r>
          </w:p>
        </w:tc>
        <w:tc>
          <w:tcPr>
            <w:tcW w:w="808" w:type="pct"/>
          </w:tcPr>
          <w:p w14:paraId="541EBEE6" w14:textId="77777777" w:rsidR="00BA6645" w:rsidRPr="00BE75FD" w:rsidRDefault="00BA6645" w:rsidP="00BE75FD">
            <w:pPr>
              <w:keepNext/>
              <w:keepLines/>
              <w:spacing w:before="40" w:after="40"/>
              <w:rPr>
                <w:rFonts w:ascii="Arial Narrow" w:hAnsi="Arial Narrow" w:cs="Tahoma"/>
                <w:sz w:val="20"/>
              </w:rPr>
            </w:pPr>
            <w:r w:rsidRPr="00BE75FD">
              <w:rPr>
                <w:rFonts w:ascii="Arial Narrow" w:hAnsi="Arial Narrow" w:cs="Tahoma"/>
                <w:sz w:val="20"/>
              </w:rPr>
              <w:t>IV</w:t>
            </w:r>
          </w:p>
        </w:tc>
        <w:tc>
          <w:tcPr>
            <w:tcW w:w="766" w:type="pct"/>
            <w:shd w:val="clear" w:color="auto" w:fill="C2D69B"/>
          </w:tcPr>
          <w:p w14:paraId="3A8E61BC" w14:textId="77777777" w:rsidR="00BA6645" w:rsidRPr="00BE75FD" w:rsidRDefault="00BA6645" w:rsidP="00BE75FD">
            <w:pPr>
              <w:keepNext/>
              <w:keepLines/>
              <w:spacing w:before="40" w:after="40"/>
              <w:rPr>
                <w:rFonts w:ascii="Arial Narrow" w:hAnsi="Arial Narrow" w:cs="Tahoma"/>
                <w:sz w:val="20"/>
              </w:rPr>
            </w:pPr>
            <w:r w:rsidRPr="00BE75FD">
              <w:rPr>
                <w:rFonts w:ascii="Arial Narrow" w:hAnsi="Arial Narrow" w:cs="Tahoma"/>
                <w:sz w:val="20"/>
              </w:rPr>
              <w:t>Yes</w:t>
            </w:r>
          </w:p>
        </w:tc>
        <w:tc>
          <w:tcPr>
            <w:tcW w:w="763" w:type="pct"/>
          </w:tcPr>
          <w:p w14:paraId="03483D85" w14:textId="77777777" w:rsidR="00BA6645" w:rsidRPr="00BE75FD" w:rsidRDefault="00BA6645" w:rsidP="00BE75FD">
            <w:pPr>
              <w:keepNext/>
              <w:keepLines/>
              <w:spacing w:before="40" w:after="40"/>
              <w:rPr>
                <w:rFonts w:ascii="Arial Narrow" w:hAnsi="Arial Narrow" w:cs="Tahoma"/>
                <w:sz w:val="20"/>
              </w:rPr>
            </w:pPr>
            <w:proofErr w:type="spellStart"/>
            <w:r w:rsidRPr="00BE75FD">
              <w:rPr>
                <w:rFonts w:ascii="Arial Narrow" w:hAnsi="Arial Narrow" w:cs="Tahoma"/>
                <w:sz w:val="20"/>
              </w:rPr>
              <w:t>Yes</w:t>
            </w:r>
            <w:r w:rsidRPr="00BE75FD">
              <w:rPr>
                <w:rFonts w:ascii="Arial Narrow" w:hAnsi="Arial Narrow" w:cs="Tahoma"/>
                <w:sz w:val="20"/>
                <w:vertAlign w:val="superscript"/>
              </w:rPr>
              <w:t>a</w:t>
            </w:r>
            <w:proofErr w:type="spellEnd"/>
          </w:p>
        </w:tc>
      </w:tr>
      <w:tr w:rsidR="00BA6645" w:rsidRPr="00BE75FD" w14:paraId="3B4F6067" w14:textId="77777777" w:rsidTr="000528B8">
        <w:tc>
          <w:tcPr>
            <w:tcW w:w="1366" w:type="pct"/>
          </w:tcPr>
          <w:p w14:paraId="3A9E148F"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 xml:space="preserve">146273, 143337, 143368, 219160, 265147, 269689-269691, 306801, </w:t>
            </w:r>
          </w:p>
        </w:tc>
        <w:tc>
          <w:tcPr>
            <w:tcW w:w="1297" w:type="pct"/>
          </w:tcPr>
          <w:p w14:paraId="5D877B12"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Privigen</w:t>
            </w:r>
            <w:proofErr w:type="spellEnd"/>
            <w:r w:rsidRPr="00BE75FD">
              <w:rPr>
                <w:rFonts w:ascii="Arial Narrow" w:hAnsi="Arial Narrow" w:cs="Tahoma"/>
                <w:sz w:val="20"/>
              </w:rPr>
              <w:t xml:space="preserve"> 10% – CSL Behring Australia P/L  </w:t>
            </w:r>
          </w:p>
        </w:tc>
        <w:tc>
          <w:tcPr>
            <w:tcW w:w="808" w:type="pct"/>
          </w:tcPr>
          <w:p w14:paraId="318936E2"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IV</w:t>
            </w:r>
          </w:p>
        </w:tc>
        <w:tc>
          <w:tcPr>
            <w:tcW w:w="766" w:type="pct"/>
            <w:shd w:val="clear" w:color="auto" w:fill="C2D69B"/>
          </w:tcPr>
          <w:p w14:paraId="780B51AB"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Yes</w:t>
            </w:r>
          </w:p>
        </w:tc>
        <w:tc>
          <w:tcPr>
            <w:tcW w:w="763" w:type="pct"/>
          </w:tcPr>
          <w:p w14:paraId="6548F798"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Yes</w:t>
            </w:r>
            <w:r w:rsidRPr="00BE75FD">
              <w:rPr>
                <w:rFonts w:ascii="Arial Narrow" w:hAnsi="Arial Narrow" w:cs="Tahoma"/>
                <w:sz w:val="20"/>
                <w:vertAlign w:val="superscript"/>
              </w:rPr>
              <w:t>a</w:t>
            </w:r>
            <w:proofErr w:type="spellEnd"/>
          </w:p>
        </w:tc>
      </w:tr>
      <w:tr w:rsidR="00BA6645" w:rsidRPr="00BE75FD" w14:paraId="0D7078EA" w14:textId="77777777" w:rsidTr="000528B8">
        <w:tc>
          <w:tcPr>
            <w:tcW w:w="1366" w:type="pct"/>
          </w:tcPr>
          <w:p w14:paraId="6F32359E"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285345, 285344, 207386, 207385, 207384, 207383</w:t>
            </w:r>
          </w:p>
        </w:tc>
        <w:tc>
          <w:tcPr>
            <w:tcW w:w="1297" w:type="pct"/>
          </w:tcPr>
          <w:p w14:paraId="743FE54F"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Hizentra</w:t>
            </w:r>
            <w:proofErr w:type="spellEnd"/>
            <w:r w:rsidRPr="00BE75FD">
              <w:rPr>
                <w:rFonts w:ascii="Arial Narrow" w:hAnsi="Arial Narrow" w:cs="Tahoma"/>
                <w:sz w:val="20"/>
              </w:rPr>
              <w:t xml:space="preserve"> – CSL Behring Australia P/L   </w:t>
            </w:r>
          </w:p>
        </w:tc>
        <w:tc>
          <w:tcPr>
            <w:tcW w:w="808" w:type="pct"/>
          </w:tcPr>
          <w:p w14:paraId="524CEBBA"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SC</w:t>
            </w:r>
          </w:p>
        </w:tc>
        <w:tc>
          <w:tcPr>
            <w:tcW w:w="766" w:type="pct"/>
          </w:tcPr>
          <w:p w14:paraId="6BFC2B4A"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4415A53A"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r w:rsidRPr="00BE75FD">
              <w:rPr>
                <w:rFonts w:ascii="Arial Narrow" w:hAnsi="Arial Narrow" w:cs="Tahoma"/>
                <w:sz w:val="20"/>
                <w:vertAlign w:val="superscript"/>
              </w:rPr>
              <w:t>b</w:t>
            </w:r>
          </w:p>
        </w:tc>
      </w:tr>
      <w:tr w:rsidR="00BA6645" w:rsidRPr="00BE75FD" w14:paraId="314B82D3" w14:textId="77777777" w:rsidTr="000528B8">
        <w:tc>
          <w:tcPr>
            <w:tcW w:w="1366" w:type="pct"/>
          </w:tcPr>
          <w:p w14:paraId="2EDB707E"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116689, 117237-117240</w:t>
            </w:r>
          </w:p>
        </w:tc>
        <w:tc>
          <w:tcPr>
            <w:tcW w:w="1297" w:type="pct"/>
          </w:tcPr>
          <w:p w14:paraId="33775031"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Gamunex</w:t>
            </w:r>
            <w:proofErr w:type="spellEnd"/>
            <w:r w:rsidRPr="00BE75FD">
              <w:rPr>
                <w:rFonts w:ascii="Arial Narrow" w:hAnsi="Arial Narrow" w:cs="Tahoma"/>
                <w:sz w:val="20"/>
              </w:rPr>
              <w:t xml:space="preserve"> 10% – </w:t>
            </w:r>
            <w:proofErr w:type="spellStart"/>
            <w:r w:rsidRPr="00BE75FD">
              <w:rPr>
                <w:rFonts w:ascii="Arial Narrow" w:hAnsi="Arial Narrow" w:cs="Tahoma"/>
                <w:sz w:val="20"/>
              </w:rPr>
              <w:t>Grifols</w:t>
            </w:r>
            <w:proofErr w:type="spellEnd"/>
            <w:r w:rsidRPr="00BE75FD">
              <w:rPr>
                <w:rFonts w:ascii="Arial Narrow" w:hAnsi="Arial Narrow" w:cs="Tahoma"/>
                <w:sz w:val="20"/>
              </w:rPr>
              <w:t xml:space="preserve"> Australia P/L </w:t>
            </w:r>
          </w:p>
        </w:tc>
        <w:tc>
          <w:tcPr>
            <w:tcW w:w="808" w:type="pct"/>
          </w:tcPr>
          <w:p w14:paraId="034C270B"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IV and SC</w:t>
            </w:r>
          </w:p>
        </w:tc>
        <w:tc>
          <w:tcPr>
            <w:tcW w:w="766" w:type="pct"/>
          </w:tcPr>
          <w:p w14:paraId="1B82902A"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7AE15374" w14:textId="794C0F89"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r>
      <w:tr w:rsidR="00BA6645" w:rsidRPr="00BE75FD" w14:paraId="0275A468" w14:textId="77777777" w:rsidTr="000528B8">
        <w:tc>
          <w:tcPr>
            <w:tcW w:w="1366" w:type="pct"/>
          </w:tcPr>
          <w:p w14:paraId="38E6B1E5"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182358, 182359, 184353</w:t>
            </w:r>
          </w:p>
        </w:tc>
        <w:tc>
          <w:tcPr>
            <w:tcW w:w="1297" w:type="pct"/>
          </w:tcPr>
          <w:p w14:paraId="05435E7C"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Flebogamma</w:t>
            </w:r>
            <w:proofErr w:type="spellEnd"/>
            <w:r w:rsidRPr="00BE75FD">
              <w:rPr>
                <w:rFonts w:ascii="Arial Narrow" w:hAnsi="Arial Narrow" w:cs="Tahoma"/>
                <w:sz w:val="20"/>
              </w:rPr>
              <w:t xml:space="preserve"> 10% – </w:t>
            </w:r>
            <w:proofErr w:type="spellStart"/>
            <w:r w:rsidRPr="00BE75FD">
              <w:rPr>
                <w:rFonts w:ascii="Arial Narrow" w:hAnsi="Arial Narrow" w:cs="Tahoma"/>
                <w:sz w:val="20"/>
              </w:rPr>
              <w:t>Grifols</w:t>
            </w:r>
            <w:proofErr w:type="spellEnd"/>
            <w:r w:rsidRPr="00BE75FD">
              <w:rPr>
                <w:rFonts w:ascii="Arial Narrow" w:hAnsi="Arial Narrow" w:cs="Tahoma"/>
                <w:sz w:val="20"/>
              </w:rPr>
              <w:t xml:space="preserve"> Australia P/L </w:t>
            </w:r>
          </w:p>
        </w:tc>
        <w:tc>
          <w:tcPr>
            <w:tcW w:w="808" w:type="pct"/>
          </w:tcPr>
          <w:p w14:paraId="048C68AF"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IV</w:t>
            </w:r>
          </w:p>
        </w:tc>
        <w:tc>
          <w:tcPr>
            <w:tcW w:w="766" w:type="pct"/>
          </w:tcPr>
          <w:p w14:paraId="1998A671"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1035FE9E"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Yes</w:t>
            </w:r>
            <w:r w:rsidRPr="00BE75FD">
              <w:rPr>
                <w:rFonts w:ascii="Arial Narrow" w:hAnsi="Arial Narrow" w:cs="Tahoma"/>
                <w:sz w:val="20"/>
                <w:vertAlign w:val="superscript"/>
              </w:rPr>
              <w:t>a</w:t>
            </w:r>
            <w:proofErr w:type="spellEnd"/>
          </w:p>
        </w:tc>
      </w:tr>
      <w:tr w:rsidR="00BA6645" w:rsidRPr="00BE75FD" w14:paraId="4D6A0D8D" w14:textId="77777777" w:rsidTr="000528B8">
        <w:tc>
          <w:tcPr>
            <w:tcW w:w="1366" w:type="pct"/>
          </w:tcPr>
          <w:p w14:paraId="7630D550"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140602, 143800-143803</w:t>
            </w:r>
          </w:p>
        </w:tc>
        <w:tc>
          <w:tcPr>
            <w:tcW w:w="1297" w:type="pct"/>
          </w:tcPr>
          <w:p w14:paraId="4A744C5C"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Flebogamma</w:t>
            </w:r>
            <w:proofErr w:type="spellEnd"/>
            <w:r w:rsidRPr="00BE75FD">
              <w:rPr>
                <w:rFonts w:ascii="Arial Narrow" w:hAnsi="Arial Narrow" w:cs="Tahoma"/>
                <w:sz w:val="20"/>
              </w:rPr>
              <w:t xml:space="preserve"> 5% – </w:t>
            </w:r>
            <w:proofErr w:type="spellStart"/>
            <w:r w:rsidRPr="00BE75FD">
              <w:rPr>
                <w:rFonts w:ascii="Arial Narrow" w:hAnsi="Arial Narrow" w:cs="Tahoma"/>
                <w:sz w:val="20"/>
              </w:rPr>
              <w:t>Grifols</w:t>
            </w:r>
            <w:proofErr w:type="spellEnd"/>
            <w:r w:rsidRPr="00BE75FD">
              <w:rPr>
                <w:rFonts w:ascii="Arial Narrow" w:hAnsi="Arial Narrow" w:cs="Tahoma"/>
                <w:sz w:val="20"/>
              </w:rPr>
              <w:t xml:space="preserve"> Australia P/L </w:t>
            </w:r>
          </w:p>
        </w:tc>
        <w:tc>
          <w:tcPr>
            <w:tcW w:w="808" w:type="pct"/>
          </w:tcPr>
          <w:p w14:paraId="6AA23E5C"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IV</w:t>
            </w:r>
          </w:p>
        </w:tc>
        <w:tc>
          <w:tcPr>
            <w:tcW w:w="766" w:type="pct"/>
          </w:tcPr>
          <w:p w14:paraId="6D3F4090"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2E9CB8CB"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Yes</w:t>
            </w:r>
            <w:r w:rsidRPr="00BE75FD">
              <w:rPr>
                <w:rFonts w:ascii="Arial Narrow" w:hAnsi="Arial Narrow" w:cs="Tahoma"/>
                <w:sz w:val="20"/>
                <w:vertAlign w:val="superscript"/>
              </w:rPr>
              <w:t>a</w:t>
            </w:r>
            <w:proofErr w:type="spellEnd"/>
          </w:p>
        </w:tc>
      </w:tr>
      <w:tr w:rsidR="00BA6645" w:rsidRPr="00BE75FD" w14:paraId="7A1B7B0A" w14:textId="77777777" w:rsidTr="000528B8">
        <w:tc>
          <w:tcPr>
            <w:tcW w:w="1366" w:type="pct"/>
          </w:tcPr>
          <w:p w14:paraId="7896B0D6"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219007, 171139, 171140, 158712, 154210, 66295, 66300, 68632-68635, 74356, 74540</w:t>
            </w:r>
          </w:p>
        </w:tc>
        <w:tc>
          <w:tcPr>
            <w:tcW w:w="1297" w:type="pct"/>
          </w:tcPr>
          <w:p w14:paraId="480B010C"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Intragam</w:t>
            </w:r>
            <w:proofErr w:type="spellEnd"/>
            <w:r w:rsidRPr="00BE75FD">
              <w:rPr>
                <w:rFonts w:ascii="Arial Narrow" w:hAnsi="Arial Narrow" w:cs="Tahoma"/>
                <w:sz w:val="20"/>
              </w:rPr>
              <w:t xml:space="preserve"> P – CSL Behring Australia P/L   </w:t>
            </w:r>
          </w:p>
        </w:tc>
        <w:tc>
          <w:tcPr>
            <w:tcW w:w="808" w:type="pct"/>
          </w:tcPr>
          <w:p w14:paraId="6933F436"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IV</w:t>
            </w:r>
          </w:p>
        </w:tc>
        <w:tc>
          <w:tcPr>
            <w:tcW w:w="766" w:type="pct"/>
          </w:tcPr>
          <w:p w14:paraId="092CA711"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1111FCCA"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Yes</w:t>
            </w:r>
            <w:r w:rsidRPr="00BE75FD">
              <w:rPr>
                <w:rFonts w:ascii="Arial Narrow" w:hAnsi="Arial Narrow" w:cs="Tahoma"/>
                <w:sz w:val="20"/>
                <w:vertAlign w:val="superscript"/>
              </w:rPr>
              <w:t>b</w:t>
            </w:r>
            <w:proofErr w:type="spellEnd"/>
          </w:p>
        </w:tc>
      </w:tr>
      <w:tr w:rsidR="00BA6645" w:rsidRPr="00BE75FD" w14:paraId="55C444DD" w14:textId="77777777" w:rsidTr="000528B8">
        <w:tc>
          <w:tcPr>
            <w:tcW w:w="1366" w:type="pct"/>
          </w:tcPr>
          <w:p w14:paraId="0B4C2E8A"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291644-291648, 291740</w:t>
            </w:r>
          </w:p>
        </w:tc>
        <w:tc>
          <w:tcPr>
            <w:tcW w:w="1297" w:type="pct"/>
          </w:tcPr>
          <w:p w14:paraId="04A21A03"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Panzyga</w:t>
            </w:r>
            <w:proofErr w:type="spellEnd"/>
            <w:r w:rsidRPr="00BE75FD">
              <w:rPr>
                <w:rFonts w:ascii="Arial Narrow" w:hAnsi="Arial Narrow" w:cs="Tahoma"/>
                <w:sz w:val="20"/>
              </w:rPr>
              <w:t xml:space="preserve"> – </w:t>
            </w:r>
            <w:proofErr w:type="spellStart"/>
            <w:r w:rsidRPr="00BE75FD">
              <w:rPr>
                <w:rFonts w:ascii="Arial Narrow" w:hAnsi="Arial Narrow" w:cs="Tahoma"/>
                <w:sz w:val="20"/>
              </w:rPr>
              <w:t>Octaphama</w:t>
            </w:r>
            <w:proofErr w:type="spellEnd"/>
            <w:r w:rsidRPr="00BE75FD">
              <w:rPr>
                <w:rFonts w:ascii="Arial Narrow" w:hAnsi="Arial Narrow" w:cs="Tahoma"/>
                <w:sz w:val="20"/>
              </w:rPr>
              <w:t xml:space="preserve"> Australia P/L </w:t>
            </w:r>
          </w:p>
        </w:tc>
        <w:tc>
          <w:tcPr>
            <w:tcW w:w="808" w:type="pct"/>
          </w:tcPr>
          <w:p w14:paraId="59CC8934"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IV</w:t>
            </w:r>
          </w:p>
        </w:tc>
        <w:tc>
          <w:tcPr>
            <w:tcW w:w="766" w:type="pct"/>
          </w:tcPr>
          <w:p w14:paraId="16B87EDD"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3EE79823"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r>
      <w:tr w:rsidR="00BA6645" w:rsidRPr="00BE75FD" w14:paraId="0E960DE4" w14:textId="77777777" w:rsidTr="000528B8">
        <w:tc>
          <w:tcPr>
            <w:tcW w:w="1366" w:type="pct"/>
          </w:tcPr>
          <w:p w14:paraId="6592BD6E"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235178</w:t>
            </w:r>
          </w:p>
        </w:tc>
        <w:tc>
          <w:tcPr>
            <w:tcW w:w="1297" w:type="pct"/>
          </w:tcPr>
          <w:p w14:paraId="497A1B6C"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Hyqvia</w:t>
            </w:r>
            <w:proofErr w:type="spellEnd"/>
            <w:r w:rsidRPr="00BE75FD">
              <w:rPr>
                <w:rFonts w:ascii="Arial Narrow" w:hAnsi="Arial Narrow" w:cs="Tahoma"/>
                <w:sz w:val="20"/>
              </w:rPr>
              <w:t xml:space="preserve"> – Shire Australia P/L </w:t>
            </w:r>
          </w:p>
        </w:tc>
        <w:tc>
          <w:tcPr>
            <w:tcW w:w="808" w:type="pct"/>
          </w:tcPr>
          <w:p w14:paraId="6C7ADEBD"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SC</w:t>
            </w:r>
          </w:p>
        </w:tc>
        <w:tc>
          <w:tcPr>
            <w:tcW w:w="766" w:type="pct"/>
          </w:tcPr>
          <w:p w14:paraId="40BFF711"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1F760B23"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r>
      <w:tr w:rsidR="00BA6645" w:rsidRPr="00BE75FD" w14:paraId="6AEFE12F" w14:textId="77777777" w:rsidTr="000528B8">
        <w:tc>
          <w:tcPr>
            <w:tcW w:w="1366" w:type="pct"/>
          </w:tcPr>
          <w:p w14:paraId="2D9FA4F1"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232077, 232078, 232084, 232085</w:t>
            </w:r>
          </w:p>
        </w:tc>
        <w:tc>
          <w:tcPr>
            <w:tcW w:w="1297" w:type="pct"/>
          </w:tcPr>
          <w:p w14:paraId="60878578"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Intratect</w:t>
            </w:r>
            <w:proofErr w:type="spellEnd"/>
            <w:r w:rsidRPr="00BE75FD">
              <w:rPr>
                <w:rFonts w:ascii="Arial Narrow" w:hAnsi="Arial Narrow" w:cs="Tahoma"/>
                <w:sz w:val="20"/>
              </w:rPr>
              <w:t xml:space="preserve"> – Pfizer Australia P/L </w:t>
            </w:r>
          </w:p>
        </w:tc>
        <w:tc>
          <w:tcPr>
            <w:tcW w:w="808" w:type="pct"/>
          </w:tcPr>
          <w:p w14:paraId="4A183737"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IV</w:t>
            </w:r>
          </w:p>
        </w:tc>
        <w:tc>
          <w:tcPr>
            <w:tcW w:w="766" w:type="pct"/>
          </w:tcPr>
          <w:p w14:paraId="1E0B2508"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2C985489"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r>
      <w:tr w:rsidR="00BA6645" w:rsidRPr="00BE75FD" w14:paraId="4AB3C2BC" w14:textId="77777777" w:rsidTr="000528B8">
        <w:tc>
          <w:tcPr>
            <w:tcW w:w="1366" w:type="pct"/>
          </w:tcPr>
          <w:p w14:paraId="0F9ECAFA"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164548-164551</w:t>
            </w:r>
          </w:p>
        </w:tc>
        <w:tc>
          <w:tcPr>
            <w:tcW w:w="1297" w:type="pct"/>
          </w:tcPr>
          <w:p w14:paraId="59DD98E2"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Intratect</w:t>
            </w:r>
            <w:proofErr w:type="spellEnd"/>
            <w:r w:rsidRPr="00BE75FD">
              <w:rPr>
                <w:rFonts w:ascii="Arial Narrow" w:hAnsi="Arial Narrow" w:cs="Tahoma"/>
                <w:sz w:val="20"/>
              </w:rPr>
              <w:t xml:space="preserve"> 5%  – Pfizer Australia P/L </w:t>
            </w:r>
          </w:p>
        </w:tc>
        <w:tc>
          <w:tcPr>
            <w:tcW w:w="808" w:type="pct"/>
          </w:tcPr>
          <w:p w14:paraId="253EFB8E"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IV</w:t>
            </w:r>
          </w:p>
        </w:tc>
        <w:tc>
          <w:tcPr>
            <w:tcW w:w="766" w:type="pct"/>
          </w:tcPr>
          <w:p w14:paraId="7C454E2C"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09D4FB27"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r>
      <w:tr w:rsidR="00BA6645" w:rsidRPr="00BE75FD" w14:paraId="62CCB33E" w14:textId="77777777" w:rsidTr="000528B8">
        <w:tc>
          <w:tcPr>
            <w:tcW w:w="1366" w:type="pct"/>
          </w:tcPr>
          <w:p w14:paraId="6D428FA5"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173315, 173323, 173324, 204954-204956</w:t>
            </w:r>
          </w:p>
        </w:tc>
        <w:tc>
          <w:tcPr>
            <w:tcW w:w="1297" w:type="pct"/>
          </w:tcPr>
          <w:p w14:paraId="2D8D959E"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Evogam</w:t>
            </w:r>
            <w:proofErr w:type="spellEnd"/>
            <w:r w:rsidRPr="00BE75FD">
              <w:rPr>
                <w:rFonts w:ascii="Arial Narrow" w:hAnsi="Arial Narrow" w:cs="Tahoma"/>
                <w:sz w:val="20"/>
              </w:rPr>
              <w:t xml:space="preserve"> 16% – CSL Behring Australia P/L  </w:t>
            </w:r>
          </w:p>
        </w:tc>
        <w:tc>
          <w:tcPr>
            <w:tcW w:w="808" w:type="pct"/>
          </w:tcPr>
          <w:p w14:paraId="2BB19ECC"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SC</w:t>
            </w:r>
          </w:p>
        </w:tc>
        <w:tc>
          <w:tcPr>
            <w:tcW w:w="766" w:type="pct"/>
          </w:tcPr>
          <w:p w14:paraId="5825CE20"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3D618F8C"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r>
      <w:tr w:rsidR="00BA6645" w:rsidRPr="00BE75FD" w14:paraId="45387873" w14:textId="77777777" w:rsidTr="000528B8">
        <w:tc>
          <w:tcPr>
            <w:tcW w:w="1366" w:type="pct"/>
          </w:tcPr>
          <w:p w14:paraId="62053301"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113925-113928, 155601-155604</w:t>
            </w:r>
          </w:p>
        </w:tc>
        <w:tc>
          <w:tcPr>
            <w:tcW w:w="1297" w:type="pct"/>
          </w:tcPr>
          <w:p w14:paraId="7C829343"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Octagam</w:t>
            </w:r>
            <w:proofErr w:type="spellEnd"/>
            <w:r w:rsidRPr="00BE75FD">
              <w:rPr>
                <w:rFonts w:ascii="Arial Narrow" w:hAnsi="Arial Narrow" w:cs="Tahoma"/>
                <w:sz w:val="20"/>
              </w:rPr>
              <w:t xml:space="preserve"> – </w:t>
            </w:r>
            <w:proofErr w:type="spellStart"/>
            <w:r w:rsidRPr="00BE75FD">
              <w:rPr>
                <w:rFonts w:ascii="Arial Narrow" w:hAnsi="Arial Narrow" w:cs="Tahoma"/>
                <w:sz w:val="20"/>
              </w:rPr>
              <w:t>Octapharma</w:t>
            </w:r>
            <w:proofErr w:type="spellEnd"/>
            <w:r w:rsidRPr="00BE75FD">
              <w:rPr>
                <w:rFonts w:ascii="Arial Narrow" w:hAnsi="Arial Narrow" w:cs="Tahoma"/>
                <w:sz w:val="20"/>
              </w:rPr>
              <w:t xml:space="preserve"> P/L </w:t>
            </w:r>
          </w:p>
        </w:tc>
        <w:tc>
          <w:tcPr>
            <w:tcW w:w="808" w:type="pct"/>
          </w:tcPr>
          <w:p w14:paraId="385872BE"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IV</w:t>
            </w:r>
          </w:p>
        </w:tc>
        <w:tc>
          <w:tcPr>
            <w:tcW w:w="766" w:type="pct"/>
          </w:tcPr>
          <w:p w14:paraId="3436B12D"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3137D022"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r>
      <w:tr w:rsidR="00BA6645" w:rsidRPr="00BE75FD" w14:paraId="6397CEE1" w14:textId="77777777" w:rsidTr="000528B8">
        <w:tc>
          <w:tcPr>
            <w:tcW w:w="1366" w:type="pct"/>
          </w:tcPr>
          <w:p w14:paraId="2271B44A"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128703, 128705</w:t>
            </w:r>
          </w:p>
        </w:tc>
        <w:tc>
          <w:tcPr>
            <w:tcW w:w="1297" w:type="pct"/>
          </w:tcPr>
          <w:p w14:paraId="7F1E2C8F"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Gammanorm</w:t>
            </w:r>
            <w:proofErr w:type="spellEnd"/>
            <w:r w:rsidRPr="00BE75FD">
              <w:rPr>
                <w:rFonts w:ascii="Arial Narrow" w:hAnsi="Arial Narrow" w:cs="Tahoma"/>
                <w:sz w:val="20"/>
              </w:rPr>
              <w:t xml:space="preserve"> – </w:t>
            </w:r>
            <w:proofErr w:type="spellStart"/>
            <w:r w:rsidRPr="00BE75FD">
              <w:rPr>
                <w:rFonts w:ascii="Arial Narrow" w:hAnsi="Arial Narrow" w:cs="Tahoma"/>
                <w:sz w:val="20"/>
              </w:rPr>
              <w:t>Octapharma</w:t>
            </w:r>
            <w:proofErr w:type="spellEnd"/>
            <w:r w:rsidRPr="00BE75FD">
              <w:rPr>
                <w:rFonts w:ascii="Arial Narrow" w:hAnsi="Arial Narrow" w:cs="Tahoma"/>
                <w:sz w:val="20"/>
              </w:rPr>
              <w:t xml:space="preserve"> P/L </w:t>
            </w:r>
          </w:p>
        </w:tc>
        <w:tc>
          <w:tcPr>
            <w:tcW w:w="808" w:type="pct"/>
          </w:tcPr>
          <w:p w14:paraId="43A05433"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SC and IM</w:t>
            </w:r>
          </w:p>
        </w:tc>
        <w:tc>
          <w:tcPr>
            <w:tcW w:w="766" w:type="pct"/>
          </w:tcPr>
          <w:p w14:paraId="78CAF1E1"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1CAE3E46"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r>
      <w:tr w:rsidR="00BA6645" w:rsidRPr="00BE75FD" w14:paraId="6AB89653" w14:textId="77777777" w:rsidTr="000528B8">
        <w:tc>
          <w:tcPr>
            <w:tcW w:w="1366" w:type="pct"/>
          </w:tcPr>
          <w:p w14:paraId="51E88A91"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131953, 131966, 131968, 131969, 131973, 198488</w:t>
            </w:r>
          </w:p>
        </w:tc>
        <w:tc>
          <w:tcPr>
            <w:tcW w:w="1297" w:type="pct"/>
          </w:tcPr>
          <w:p w14:paraId="6118CE0A"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Kiovig</w:t>
            </w:r>
            <w:proofErr w:type="spellEnd"/>
            <w:r w:rsidRPr="00BE75FD">
              <w:rPr>
                <w:rFonts w:ascii="Arial Narrow" w:hAnsi="Arial Narrow" w:cs="Tahoma"/>
                <w:sz w:val="20"/>
              </w:rPr>
              <w:t xml:space="preserve"> – Shire Australia P/L </w:t>
            </w:r>
          </w:p>
        </w:tc>
        <w:tc>
          <w:tcPr>
            <w:tcW w:w="808" w:type="pct"/>
          </w:tcPr>
          <w:p w14:paraId="0FA54F05"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IV and SC</w:t>
            </w:r>
          </w:p>
        </w:tc>
        <w:tc>
          <w:tcPr>
            <w:tcW w:w="766" w:type="pct"/>
          </w:tcPr>
          <w:p w14:paraId="53D5302F"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34A64BD9"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r>
      <w:tr w:rsidR="00BA6645" w:rsidRPr="00BE75FD" w14:paraId="74609EE7" w14:textId="77777777" w:rsidTr="000528B8">
        <w:tc>
          <w:tcPr>
            <w:tcW w:w="1366" w:type="pct"/>
          </w:tcPr>
          <w:p w14:paraId="466BEDD5"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282579</w:t>
            </w:r>
          </w:p>
        </w:tc>
        <w:tc>
          <w:tcPr>
            <w:tcW w:w="1297" w:type="pct"/>
          </w:tcPr>
          <w:p w14:paraId="358FCBA3"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Cuvitru</w:t>
            </w:r>
            <w:proofErr w:type="spellEnd"/>
            <w:r w:rsidRPr="00BE75FD">
              <w:rPr>
                <w:rFonts w:ascii="Arial Narrow" w:hAnsi="Arial Narrow" w:cs="Tahoma"/>
                <w:sz w:val="20"/>
              </w:rPr>
              <w:t xml:space="preserve"> – Shire Australia P/L</w:t>
            </w:r>
          </w:p>
        </w:tc>
        <w:tc>
          <w:tcPr>
            <w:tcW w:w="808" w:type="pct"/>
          </w:tcPr>
          <w:p w14:paraId="6883FC16"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SC</w:t>
            </w:r>
          </w:p>
        </w:tc>
        <w:tc>
          <w:tcPr>
            <w:tcW w:w="766" w:type="pct"/>
          </w:tcPr>
          <w:p w14:paraId="2A6AC9F6"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5DD2A068"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r>
      <w:tr w:rsidR="00BA6645" w:rsidRPr="00BE75FD" w14:paraId="7158187B" w14:textId="77777777" w:rsidTr="000528B8">
        <w:tc>
          <w:tcPr>
            <w:tcW w:w="1366" w:type="pct"/>
          </w:tcPr>
          <w:p w14:paraId="39BCFE0D"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61215, 61216</w:t>
            </w:r>
          </w:p>
        </w:tc>
        <w:tc>
          <w:tcPr>
            <w:tcW w:w="1297" w:type="pct"/>
          </w:tcPr>
          <w:p w14:paraId="226B1590"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CSL Normal Immunoglobulin VF- CSL Behring Australia P/L</w:t>
            </w:r>
          </w:p>
        </w:tc>
        <w:tc>
          <w:tcPr>
            <w:tcW w:w="808" w:type="pct"/>
          </w:tcPr>
          <w:p w14:paraId="0126EAD1"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IM</w:t>
            </w:r>
          </w:p>
        </w:tc>
        <w:tc>
          <w:tcPr>
            <w:tcW w:w="766" w:type="pct"/>
          </w:tcPr>
          <w:p w14:paraId="4D0AFB90" w14:textId="77777777" w:rsidR="00BA6645" w:rsidRPr="00BE75FD" w:rsidRDefault="00BA6645" w:rsidP="000528B8">
            <w:pPr>
              <w:spacing w:before="40" w:after="40"/>
              <w:rPr>
                <w:rFonts w:ascii="Arial Narrow" w:hAnsi="Arial Narrow" w:cs="Tahoma"/>
                <w:sz w:val="20"/>
              </w:rPr>
            </w:pPr>
            <w:r w:rsidRPr="00BE75FD">
              <w:rPr>
                <w:rFonts w:ascii="Arial Narrow" w:hAnsi="Arial Narrow" w:cs="Tahoma"/>
                <w:sz w:val="20"/>
              </w:rPr>
              <w:t>No</w:t>
            </w:r>
          </w:p>
        </w:tc>
        <w:tc>
          <w:tcPr>
            <w:tcW w:w="763" w:type="pct"/>
          </w:tcPr>
          <w:p w14:paraId="3961A086" w14:textId="77777777" w:rsidR="00BA6645" w:rsidRPr="00BE75FD" w:rsidRDefault="00BA6645" w:rsidP="000528B8">
            <w:pPr>
              <w:spacing w:before="40" w:after="40"/>
              <w:rPr>
                <w:rFonts w:ascii="Arial Narrow" w:hAnsi="Arial Narrow" w:cs="Tahoma"/>
                <w:sz w:val="20"/>
              </w:rPr>
            </w:pPr>
            <w:proofErr w:type="spellStart"/>
            <w:r w:rsidRPr="00BE75FD">
              <w:rPr>
                <w:rFonts w:ascii="Arial Narrow" w:hAnsi="Arial Narrow" w:cs="Tahoma"/>
                <w:sz w:val="20"/>
              </w:rPr>
              <w:t>No</w:t>
            </w:r>
            <w:r w:rsidRPr="00BE75FD">
              <w:rPr>
                <w:rFonts w:ascii="Arial Narrow" w:hAnsi="Arial Narrow" w:cs="Tahoma"/>
                <w:sz w:val="20"/>
                <w:vertAlign w:val="superscript"/>
              </w:rPr>
              <w:t>c</w:t>
            </w:r>
            <w:proofErr w:type="spellEnd"/>
          </w:p>
        </w:tc>
      </w:tr>
    </w:tbl>
    <w:p w14:paraId="5BB024C9" w14:textId="77777777" w:rsidR="00BA6645" w:rsidRPr="00412DC5" w:rsidRDefault="00BA6645" w:rsidP="00BA6645">
      <w:pPr>
        <w:widowControl w:val="0"/>
        <w:spacing w:before="40" w:after="80"/>
        <w:jc w:val="both"/>
        <w:rPr>
          <w:rFonts w:ascii="Arial Narrow" w:hAnsi="Arial Narrow" w:cs="Arial"/>
          <w:snapToGrid w:val="0"/>
          <w:color w:val="0000FF"/>
          <w:sz w:val="20"/>
          <w:u w:val="single"/>
          <w:lang w:eastAsia="en-US"/>
        </w:rPr>
      </w:pPr>
      <w:r w:rsidRPr="00412DC5">
        <w:rPr>
          <w:rFonts w:ascii="Arial Narrow" w:hAnsi="Arial Narrow" w:cs="Arial"/>
          <w:snapToGrid w:val="0"/>
          <w:sz w:val="18"/>
          <w:lang w:eastAsia="en-US"/>
        </w:rPr>
        <w:t xml:space="preserve">Source: </w:t>
      </w:r>
      <w:r>
        <w:rPr>
          <w:rFonts w:ascii="Arial Narrow" w:hAnsi="Arial Narrow" w:cs="Arial"/>
          <w:snapToGrid w:val="0"/>
          <w:sz w:val="18"/>
          <w:lang w:eastAsia="en-US"/>
        </w:rPr>
        <w:t>Contracted Assessment, Table 7 (</w:t>
      </w:r>
      <w:r w:rsidRPr="00412DC5">
        <w:rPr>
          <w:rFonts w:ascii="Arial Narrow" w:hAnsi="Arial Narrow" w:cs="Arial"/>
          <w:snapToGrid w:val="0"/>
          <w:sz w:val="18"/>
          <w:lang w:eastAsia="en-US"/>
        </w:rPr>
        <w:t>Therapeutic Goods Administration, accessed 20 May 2019</w:t>
      </w:r>
      <w:r>
        <w:rPr>
          <w:rFonts w:ascii="Arial Narrow" w:hAnsi="Arial Narrow" w:cs="Arial"/>
          <w:snapToGrid w:val="0"/>
          <w:sz w:val="18"/>
          <w:lang w:eastAsia="en-US"/>
        </w:rPr>
        <w:t>)</w:t>
      </w:r>
    </w:p>
    <w:p w14:paraId="0F8027D6" w14:textId="77777777" w:rsidR="00BA6645" w:rsidRPr="00412DC5" w:rsidRDefault="00BA6645" w:rsidP="00BA6645">
      <w:pPr>
        <w:widowControl w:val="0"/>
        <w:spacing w:before="40" w:after="80"/>
        <w:jc w:val="both"/>
        <w:rPr>
          <w:rFonts w:ascii="Arial Narrow" w:eastAsia="Arial Narrow" w:hAnsi="Arial Narrow" w:cs="Calibri"/>
          <w:snapToGrid w:val="0"/>
          <w:sz w:val="18"/>
          <w:szCs w:val="18"/>
          <w:lang w:val="en-US" w:eastAsia="en-US"/>
        </w:rPr>
      </w:pPr>
      <w:r w:rsidRPr="00412DC5">
        <w:rPr>
          <w:rFonts w:ascii="Arial Narrow" w:eastAsia="Arial Narrow" w:hAnsi="Arial Narrow" w:cs="Calibri"/>
          <w:snapToGrid w:val="0"/>
          <w:sz w:val="18"/>
          <w:szCs w:val="18"/>
          <w:lang w:val="en-US" w:eastAsia="en-US"/>
        </w:rPr>
        <w:t>ARTG = Australian Register of Therapeutic Goods; IV = intravenous; SC = subcutaneous; IM = intramuscular; MG = myasthenia gravis; NBA = national Blood Authority; TGA = Therapeutic Goods Administration</w:t>
      </w:r>
    </w:p>
    <w:p w14:paraId="4284F709" w14:textId="77777777" w:rsidR="00BA6645" w:rsidRPr="00412DC5" w:rsidRDefault="00BA6645" w:rsidP="00BA6645">
      <w:pPr>
        <w:widowControl w:val="0"/>
        <w:spacing w:before="40" w:after="240"/>
        <w:contextualSpacing/>
        <w:jc w:val="both"/>
        <w:rPr>
          <w:rFonts w:ascii="Arial Narrow" w:eastAsia="Arial Narrow" w:hAnsi="Arial Narrow" w:cs="Calibri"/>
          <w:snapToGrid w:val="0"/>
          <w:sz w:val="18"/>
          <w:szCs w:val="18"/>
          <w:lang w:val="en-US" w:eastAsia="en-US"/>
        </w:rPr>
      </w:pPr>
      <w:proofErr w:type="spellStart"/>
      <w:proofErr w:type="gramStart"/>
      <w:r w:rsidRPr="00412DC5">
        <w:rPr>
          <w:rFonts w:ascii="Arial Narrow" w:eastAsia="Arial Narrow" w:hAnsi="Arial Narrow" w:cs="Calibri"/>
          <w:snapToGrid w:val="0"/>
          <w:sz w:val="18"/>
          <w:szCs w:val="18"/>
          <w:vertAlign w:val="superscript"/>
          <w:lang w:val="en-US" w:eastAsia="en-US"/>
        </w:rPr>
        <w:t>a</w:t>
      </w:r>
      <w:proofErr w:type="spellEnd"/>
      <w:proofErr w:type="gramEnd"/>
      <w:r w:rsidRPr="00412DC5">
        <w:rPr>
          <w:rFonts w:ascii="Arial Narrow" w:eastAsia="Arial Narrow" w:hAnsi="Arial Narrow" w:cs="Calibri"/>
          <w:snapToGrid w:val="0"/>
          <w:sz w:val="18"/>
          <w:szCs w:val="18"/>
          <w:lang w:val="en-US" w:eastAsia="en-US"/>
        </w:rPr>
        <w:t xml:space="preserve"> Indicates that Ig is </w:t>
      </w:r>
      <w:r w:rsidRPr="00412DC5">
        <w:rPr>
          <w:rFonts w:ascii="Arial Narrow" w:eastAsia="Arial Narrow" w:hAnsi="Arial Narrow" w:cs="Calibri"/>
          <w:i/>
          <w:snapToGrid w:val="0"/>
          <w:sz w:val="18"/>
          <w:szCs w:val="18"/>
          <w:lang w:val="en-US" w:eastAsia="en-US"/>
        </w:rPr>
        <w:t xml:space="preserve">currently </w:t>
      </w:r>
      <w:r w:rsidRPr="00412DC5">
        <w:rPr>
          <w:rFonts w:ascii="Arial Narrow" w:eastAsia="Arial Narrow" w:hAnsi="Arial Narrow" w:cs="Calibri"/>
          <w:snapToGrid w:val="0"/>
          <w:sz w:val="18"/>
          <w:szCs w:val="18"/>
          <w:lang w:val="en-US" w:eastAsia="en-US"/>
        </w:rPr>
        <w:t>funded for MG.  Note that tendering arrangements may change products funded in the future.</w:t>
      </w:r>
    </w:p>
    <w:p w14:paraId="0205FA40" w14:textId="77777777" w:rsidR="00BA6645" w:rsidRPr="00412DC5" w:rsidRDefault="00BA6645" w:rsidP="00BA6645">
      <w:pPr>
        <w:widowControl w:val="0"/>
        <w:spacing w:before="40" w:after="240"/>
        <w:contextualSpacing/>
        <w:jc w:val="both"/>
        <w:rPr>
          <w:rFonts w:ascii="Arial Narrow" w:eastAsia="Arial Narrow" w:hAnsi="Arial Narrow" w:cs="Calibri"/>
          <w:snapToGrid w:val="0"/>
          <w:sz w:val="18"/>
          <w:szCs w:val="18"/>
          <w:lang w:val="en-US" w:eastAsia="en-US"/>
        </w:rPr>
      </w:pPr>
      <w:proofErr w:type="gramStart"/>
      <w:r w:rsidRPr="00412DC5">
        <w:rPr>
          <w:rFonts w:ascii="Arial Narrow" w:eastAsia="Arial Narrow" w:hAnsi="Arial Narrow" w:cs="Calibri"/>
          <w:snapToGrid w:val="0"/>
          <w:sz w:val="18"/>
          <w:szCs w:val="18"/>
          <w:vertAlign w:val="superscript"/>
          <w:lang w:val="en-US" w:eastAsia="en-US"/>
        </w:rPr>
        <w:t>b</w:t>
      </w:r>
      <w:proofErr w:type="gramEnd"/>
      <w:r w:rsidRPr="00412DC5">
        <w:rPr>
          <w:rFonts w:ascii="Arial Narrow" w:eastAsia="Arial Narrow" w:hAnsi="Arial Narrow" w:cs="Calibri"/>
          <w:snapToGrid w:val="0"/>
          <w:sz w:val="18"/>
          <w:szCs w:val="18"/>
          <w:vertAlign w:val="superscript"/>
          <w:lang w:val="en-US" w:eastAsia="en-US"/>
        </w:rPr>
        <w:t xml:space="preserve"> </w:t>
      </w:r>
      <w:proofErr w:type="spellStart"/>
      <w:r w:rsidRPr="00412DC5">
        <w:rPr>
          <w:rFonts w:ascii="Arial Narrow" w:eastAsia="Arial Narrow" w:hAnsi="Arial Narrow" w:cs="Calibri"/>
          <w:snapToGrid w:val="0"/>
          <w:sz w:val="18"/>
          <w:szCs w:val="18"/>
          <w:lang w:val="en-US" w:eastAsia="en-US"/>
        </w:rPr>
        <w:t>Intragam</w:t>
      </w:r>
      <w:proofErr w:type="spellEnd"/>
      <w:r w:rsidRPr="00412DC5">
        <w:rPr>
          <w:rFonts w:ascii="Arial Narrow" w:eastAsia="Arial Narrow" w:hAnsi="Arial Narrow" w:cs="Calibri"/>
          <w:snapToGrid w:val="0"/>
          <w:sz w:val="18"/>
          <w:szCs w:val="18"/>
          <w:lang w:val="en-US" w:eastAsia="en-US"/>
        </w:rPr>
        <w:t xml:space="preserve"> P will be removed from funded access under the National Blood Arrangements once current inventory reserves have expired</w:t>
      </w:r>
    </w:p>
    <w:p w14:paraId="3A5E24E5" w14:textId="77777777" w:rsidR="00BA6645" w:rsidRPr="00412DC5" w:rsidRDefault="00BA6645" w:rsidP="00BA6645">
      <w:pPr>
        <w:widowControl w:val="0"/>
        <w:spacing w:before="40" w:after="240"/>
        <w:contextualSpacing/>
        <w:jc w:val="both"/>
        <w:rPr>
          <w:rFonts w:ascii="Arial Narrow" w:eastAsia="Arial Narrow" w:hAnsi="Arial Narrow" w:cs="Calibri"/>
          <w:snapToGrid w:val="0"/>
          <w:sz w:val="18"/>
          <w:szCs w:val="18"/>
          <w:lang w:val="en-US" w:eastAsia="en-US"/>
        </w:rPr>
      </w:pPr>
      <w:proofErr w:type="gramStart"/>
      <w:r w:rsidRPr="00412DC5">
        <w:rPr>
          <w:rFonts w:ascii="Arial Narrow" w:eastAsia="Arial Narrow" w:hAnsi="Arial Narrow" w:cs="Calibri"/>
          <w:snapToGrid w:val="0"/>
          <w:sz w:val="18"/>
          <w:szCs w:val="18"/>
          <w:vertAlign w:val="superscript"/>
          <w:lang w:val="en-US" w:eastAsia="en-US"/>
        </w:rPr>
        <w:t>c</w:t>
      </w:r>
      <w:proofErr w:type="gramEnd"/>
      <w:r w:rsidRPr="00412DC5">
        <w:rPr>
          <w:rFonts w:ascii="Arial Narrow" w:eastAsia="Arial Narrow" w:hAnsi="Arial Narrow" w:cs="Calibri"/>
          <w:snapToGrid w:val="0"/>
          <w:sz w:val="18"/>
          <w:szCs w:val="18"/>
          <w:lang w:val="en-US" w:eastAsia="en-US"/>
        </w:rPr>
        <w:t xml:space="preserve"> </w:t>
      </w:r>
      <w:proofErr w:type="spellStart"/>
      <w:r w:rsidRPr="00412DC5">
        <w:rPr>
          <w:rFonts w:ascii="Arial Narrow" w:eastAsia="Arial Narrow" w:hAnsi="Arial Narrow" w:cs="Calibri"/>
          <w:snapToGrid w:val="0"/>
          <w:sz w:val="18"/>
          <w:szCs w:val="18"/>
          <w:lang w:val="en-US" w:eastAsia="en-US"/>
        </w:rPr>
        <w:t>IMIg</w:t>
      </w:r>
      <w:proofErr w:type="spellEnd"/>
      <w:r w:rsidRPr="00412DC5">
        <w:rPr>
          <w:rFonts w:ascii="Arial Narrow" w:eastAsia="Arial Narrow" w:hAnsi="Arial Narrow" w:cs="Calibri"/>
          <w:snapToGrid w:val="0"/>
          <w:sz w:val="18"/>
          <w:szCs w:val="18"/>
          <w:lang w:val="en-US" w:eastAsia="en-US"/>
        </w:rPr>
        <w:t xml:space="preserve"> is not in scope for this review.</w:t>
      </w:r>
    </w:p>
    <w:p w14:paraId="48BA2F26" w14:textId="77777777" w:rsidR="00111108" w:rsidRPr="00F715D1" w:rsidRDefault="00111108" w:rsidP="00111108">
      <w:pPr>
        <w:pStyle w:val="Heading1"/>
      </w:pPr>
      <w:r w:rsidRPr="00F715D1">
        <w:lastRenderedPageBreak/>
        <w:t>Proposal for public funding</w:t>
      </w:r>
    </w:p>
    <w:p w14:paraId="50B3B9A1" w14:textId="7AAE829C" w:rsidR="00BA6645" w:rsidRDefault="00BA6645" w:rsidP="00BA6645">
      <w:pPr>
        <w:rPr>
          <w:szCs w:val="24"/>
        </w:rPr>
      </w:pPr>
      <w:r>
        <w:t xml:space="preserve">Ig therapy for MG </w:t>
      </w:r>
      <w:proofErr w:type="gramStart"/>
      <w:r>
        <w:t>is presently funded</w:t>
      </w:r>
      <w:proofErr w:type="gramEnd"/>
      <w:r>
        <w:t xml:space="preserve"> under the national blood supply arrangements, but the cost-effectiveness of this use has not been established. </w:t>
      </w:r>
      <w:r w:rsidRPr="00E3331A">
        <w:t>NBA procurement of Ig is via competitive tendering and negotiation with suppliers.</w:t>
      </w:r>
    </w:p>
    <w:p w14:paraId="0C0FD041" w14:textId="7D65A212" w:rsidR="00BA6645" w:rsidRPr="00E538E7" w:rsidRDefault="00BA6645" w:rsidP="00E538E7">
      <w:pPr>
        <w:spacing w:before="240"/>
        <w:rPr>
          <w:szCs w:val="24"/>
        </w:rPr>
      </w:pPr>
      <w:r>
        <w:rPr>
          <w:szCs w:val="24"/>
        </w:rPr>
        <w:t xml:space="preserve">Table 2 indicates prices for NBA funded Ig products for MG (at 14 February 2019). </w:t>
      </w:r>
    </w:p>
    <w:p w14:paraId="55B50D87" w14:textId="77777777" w:rsidR="00BA6645" w:rsidRPr="00C163D0" w:rsidRDefault="00BA6645" w:rsidP="00C163D0">
      <w:pPr>
        <w:spacing w:before="240"/>
        <w:rPr>
          <w:rFonts w:ascii="Arial Narrow" w:eastAsia="Calibri" w:hAnsi="Arial Narrow"/>
          <w:b/>
          <w:sz w:val="20"/>
        </w:rPr>
      </w:pPr>
      <w:r w:rsidRPr="00C163D0">
        <w:rPr>
          <w:rFonts w:ascii="Arial Narrow" w:eastAsia="Calibri" w:hAnsi="Arial Narrow"/>
          <w:b/>
          <w:sz w:val="20"/>
        </w:rPr>
        <w:t>Table 2:  Ig products registered on the ARTG for use in Australia</w:t>
      </w:r>
    </w:p>
    <w:tbl>
      <w:tblPr>
        <w:tblStyle w:val="TableGrid3"/>
        <w:tblW w:w="5000" w:type="pct"/>
        <w:tblCellMar>
          <w:left w:w="28" w:type="dxa"/>
          <w:right w:w="28" w:type="dxa"/>
        </w:tblCellMar>
        <w:tblLook w:val="04A0" w:firstRow="1" w:lastRow="0" w:firstColumn="1" w:lastColumn="0" w:noHBand="0" w:noVBand="1"/>
        <w:tblCaption w:val="Table 2:  Ig products registered on the ARTG for use in Australia"/>
      </w:tblPr>
      <w:tblGrid>
        <w:gridCol w:w="4154"/>
        <w:gridCol w:w="1385"/>
        <w:gridCol w:w="1127"/>
        <w:gridCol w:w="1109"/>
        <w:gridCol w:w="1241"/>
      </w:tblGrid>
      <w:tr w:rsidR="00BA6645" w:rsidRPr="00BA6645" w14:paraId="4FCA6D22" w14:textId="77777777" w:rsidTr="000528B8">
        <w:trPr>
          <w:tblHeader/>
        </w:trPr>
        <w:tc>
          <w:tcPr>
            <w:tcW w:w="2304" w:type="pct"/>
          </w:tcPr>
          <w:p w14:paraId="1DD4CB90" w14:textId="77777777" w:rsidR="00BA6645" w:rsidRPr="00BA6645" w:rsidRDefault="00BA6645" w:rsidP="00BA6645">
            <w:pPr>
              <w:pStyle w:val="Tabletext"/>
              <w:rPr>
                <w:rFonts w:eastAsia="Calibri"/>
                <w:b/>
              </w:rPr>
            </w:pPr>
            <w:r w:rsidRPr="00BA6645">
              <w:rPr>
                <w:rFonts w:eastAsia="Calibri"/>
                <w:b/>
              </w:rPr>
              <w:t>Product name and company</w:t>
            </w:r>
          </w:p>
        </w:tc>
        <w:tc>
          <w:tcPr>
            <w:tcW w:w="768" w:type="pct"/>
          </w:tcPr>
          <w:p w14:paraId="07920CC9" w14:textId="77777777" w:rsidR="00BA6645" w:rsidRPr="00BA6645" w:rsidRDefault="00BA6645" w:rsidP="00BA6645">
            <w:pPr>
              <w:pStyle w:val="Tabletext"/>
              <w:rPr>
                <w:rFonts w:eastAsia="Calibri"/>
                <w:b/>
              </w:rPr>
            </w:pPr>
            <w:r w:rsidRPr="00BA6645">
              <w:rPr>
                <w:rFonts w:eastAsia="Calibri"/>
                <w:b/>
              </w:rPr>
              <w:t>Route of Administration</w:t>
            </w:r>
          </w:p>
        </w:tc>
        <w:tc>
          <w:tcPr>
            <w:tcW w:w="625" w:type="pct"/>
          </w:tcPr>
          <w:p w14:paraId="09013AB6" w14:textId="77777777" w:rsidR="00BA6645" w:rsidRPr="00BA6645" w:rsidRDefault="00BA6645" w:rsidP="00BA6645">
            <w:pPr>
              <w:pStyle w:val="Tabletext"/>
              <w:rPr>
                <w:rFonts w:eastAsia="Calibri"/>
                <w:b/>
              </w:rPr>
            </w:pPr>
            <w:r w:rsidRPr="00BA6645">
              <w:rPr>
                <w:rFonts w:eastAsia="Calibri"/>
                <w:b/>
              </w:rPr>
              <w:t>TGA indication for MG?</w:t>
            </w:r>
          </w:p>
        </w:tc>
        <w:tc>
          <w:tcPr>
            <w:tcW w:w="615" w:type="pct"/>
          </w:tcPr>
          <w:p w14:paraId="0F361ABB" w14:textId="77777777" w:rsidR="00BA6645" w:rsidRPr="00BA6645" w:rsidRDefault="00BA6645" w:rsidP="00BA6645">
            <w:pPr>
              <w:pStyle w:val="Tabletext"/>
              <w:rPr>
                <w:rFonts w:eastAsia="Calibri"/>
                <w:b/>
              </w:rPr>
            </w:pPr>
            <w:r w:rsidRPr="00BA6645">
              <w:rPr>
                <w:rFonts w:eastAsia="Calibri"/>
                <w:b/>
              </w:rPr>
              <w:t>NBA Funded for MG*?</w:t>
            </w:r>
          </w:p>
        </w:tc>
        <w:tc>
          <w:tcPr>
            <w:tcW w:w="689" w:type="pct"/>
          </w:tcPr>
          <w:p w14:paraId="29AC3DC5" w14:textId="77777777" w:rsidR="00BA6645" w:rsidRPr="00BA6645" w:rsidRDefault="00BA6645" w:rsidP="00BA6645">
            <w:pPr>
              <w:pStyle w:val="Tabletext"/>
              <w:rPr>
                <w:rFonts w:eastAsia="Calibri"/>
                <w:b/>
              </w:rPr>
            </w:pPr>
            <w:r w:rsidRPr="00BA6645">
              <w:rPr>
                <w:rFonts w:eastAsia="Calibri"/>
                <w:b/>
              </w:rPr>
              <w:t>NBA price</w:t>
            </w:r>
          </w:p>
        </w:tc>
      </w:tr>
      <w:tr w:rsidR="00BA6645" w:rsidRPr="00BA6645" w14:paraId="075B95EE" w14:textId="77777777" w:rsidTr="000528B8">
        <w:tc>
          <w:tcPr>
            <w:tcW w:w="2304" w:type="pct"/>
          </w:tcPr>
          <w:p w14:paraId="23C97E88" w14:textId="77777777" w:rsidR="00BA6645" w:rsidRPr="00BA6645" w:rsidRDefault="00BA6645" w:rsidP="00BA6645">
            <w:pPr>
              <w:pStyle w:val="Tabletext"/>
              <w:rPr>
                <w:rFonts w:eastAsia="Calibri"/>
              </w:rPr>
            </w:pPr>
            <w:proofErr w:type="spellStart"/>
            <w:r w:rsidRPr="00BA6645">
              <w:rPr>
                <w:rFonts w:eastAsia="Calibri"/>
              </w:rPr>
              <w:t>Intragam</w:t>
            </w:r>
            <w:proofErr w:type="spellEnd"/>
            <w:r w:rsidRPr="00BA6645">
              <w:rPr>
                <w:rFonts w:eastAsia="Calibri"/>
              </w:rPr>
              <w:t xml:space="preserve"> 10 – CSL Behring Australia P/L  </w:t>
            </w:r>
          </w:p>
          <w:p w14:paraId="0407DE55" w14:textId="77777777" w:rsidR="00BA6645" w:rsidRPr="00BA6645" w:rsidRDefault="00BA6645" w:rsidP="00BA6645">
            <w:pPr>
              <w:pStyle w:val="Tabletext"/>
              <w:rPr>
                <w:rFonts w:eastAsia="Calibri"/>
              </w:rPr>
            </w:pPr>
            <w:r w:rsidRPr="00BA6645">
              <w:rPr>
                <w:rFonts w:eastAsia="Calibri"/>
              </w:rPr>
              <w:t>(2.5g/25mL to 20g/200mL)</w:t>
            </w:r>
          </w:p>
        </w:tc>
        <w:tc>
          <w:tcPr>
            <w:tcW w:w="768" w:type="pct"/>
          </w:tcPr>
          <w:p w14:paraId="3CE91BD3" w14:textId="77777777" w:rsidR="00BA6645" w:rsidRPr="00BA6645" w:rsidRDefault="00BA6645" w:rsidP="00BA6645">
            <w:pPr>
              <w:pStyle w:val="Tabletext"/>
              <w:rPr>
                <w:rFonts w:eastAsia="Calibri"/>
              </w:rPr>
            </w:pPr>
            <w:r w:rsidRPr="00BA6645">
              <w:rPr>
                <w:rFonts w:eastAsia="Calibri"/>
              </w:rPr>
              <w:t>IV</w:t>
            </w:r>
          </w:p>
        </w:tc>
        <w:tc>
          <w:tcPr>
            <w:tcW w:w="625" w:type="pct"/>
            <w:shd w:val="clear" w:color="auto" w:fill="FFFFFF"/>
          </w:tcPr>
          <w:p w14:paraId="55DD494A" w14:textId="77777777" w:rsidR="00BA6645" w:rsidRPr="00BA6645" w:rsidRDefault="00BA6645" w:rsidP="00BA6645">
            <w:pPr>
              <w:pStyle w:val="Tabletext"/>
              <w:rPr>
                <w:rFonts w:eastAsia="Calibri"/>
              </w:rPr>
            </w:pPr>
            <w:r w:rsidRPr="00BA6645">
              <w:rPr>
                <w:rFonts w:eastAsia="Calibri"/>
              </w:rPr>
              <w:t>Yes</w:t>
            </w:r>
          </w:p>
        </w:tc>
        <w:tc>
          <w:tcPr>
            <w:tcW w:w="615" w:type="pct"/>
          </w:tcPr>
          <w:p w14:paraId="25517B58" w14:textId="77777777" w:rsidR="00BA6645" w:rsidRPr="00BA6645" w:rsidRDefault="00BA6645" w:rsidP="00BA6645">
            <w:pPr>
              <w:pStyle w:val="Tabletext"/>
              <w:rPr>
                <w:rFonts w:eastAsia="Calibri"/>
              </w:rPr>
            </w:pPr>
            <w:r w:rsidRPr="00BA6645">
              <w:rPr>
                <w:rFonts w:eastAsia="Calibri"/>
              </w:rPr>
              <w:t>Yes</w:t>
            </w:r>
          </w:p>
        </w:tc>
        <w:tc>
          <w:tcPr>
            <w:tcW w:w="689" w:type="pct"/>
          </w:tcPr>
          <w:p w14:paraId="41F5A22E" w14:textId="77777777" w:rsidR="00BA6645" w:rsidRPr="00BA6645" w:rsidRDefault="00BA6645" w:rsidP="00BA6645">
            <w:pPr>
              <w:pStyle w:val="Tabletext"/>
              <w:rPr>
                <w:rFonts w:eastAsia="Calibri"/>
              </w:rPr>
            </w:pPr>
            <w:r w:rsidRPr="00BA6645">
              <w:rPr>
                <w:rFonts w:eastAsia="Calibri"/>
              </w:rPr>
              <w:t>$146.23-$1,169.86</w:t>
            </w:r>
          </w:p>
        </w:tc>
      </w:tr>
      <w:tr w:rsidR="00BA6645" w:rsidRPr="00BA6645" w14:paraId="50E28FAA" w14:textId="77777777" w:rsidTr="000528B8">
        <w:tc>
          <w:tcPr>
            <w:tcW w:w="2304" w:type="pct"/>
          </w:tcPr>
          <w:p w14:paraId="5F938F6B" w14:textId="77777777" w:rsidR="00BA6645" w:rsidRPr="00BA6645" w:rsidRDefault="00BA6645" w:rsidP="00BA6645">
            <w:pPr>
              <w:pStyle w:val="Tabletext"/>
              <w:rPr>
                <w:rFonts w:eastAsia="Calibri"/>
              </w:rPr>
            </w:pPr>
            <w:proofErr w:type="spellStart"/>
            <w:r w:rsidRPr="00BA6645">
              <w:rPr>
                <w:rFonts w:eastAsia="Calibri"/>
              </w:rPr>
              <w:t>Privigen</w:t>
            </w:r>
            <w:proofErr w:type="spellEnd"/>
            <w:r w:rsidRPr="00BA6645">
              <w:rPr>
                <w:rFonts w:eastAsia="Calibri"/>
              </w:rPr>
              <w:t xml:space="preserve"> 10% – CSL Behring Australia P/L  </w:t>
            </w:r>
          </w:p>
          <w:p w14:paraId="3AF1F269" w14:textId="77777777" w:rsidR="00BA6645" w:rsidRPr="00BA6645" w:rsidRDefault="00BA6645" w:rsidP="00BA6645">
            <w:pPr>
              <w:pStyle w:val="Tabletext"/>
              <w:rPr>
                <w:rFonts w:eastAsia="Calibri"/>
              </w:rPr>
            </w:pPr>
            <w:r w:rsidRPr="00BA6645">
              <w:rPr>
                <w:rFonts w:eastAsia="Calibri"/>
              </w:rPr>
              <w:t>(5g/50mL to 40g/400mL)</w:t>
            </w:r>
          </w:p>
        </w:tc>
        <w:tc>
          <w:tcPr>
            <w:tcW w:w="768" w:type="pct"/>
          </w:tcPr>
          <w:p w14:paraId="6EED6741" w14:textId="77777777" w:rsidR="00BA6645" w:rsidRPr="00BA6645" w:rsidRDefault="00BA6645" w:rsidP="00BA6645">
            <w:pPr>
              <w:pStyle w:val="Tabletext"/>
              <w:rPr>
                <w:rFonts w:eastAsia="Calibri"/>
              </w:rPr>
            </w:pPr>
            <w:r w:rsidRPr="00BA6645">
              <w:rPr>
                <w:rFonts w:eastAsia="Calibri"/>
              </w:rPr>
              <w:t>IV</w:t>
            </w:r>
          </w:p>
        </w:tc>
        <w:tc>
          <w:tcPr>
            <w:tcW w:w="625" w:type="pct"/>
            <w:shd w:val="clear" w:color="auto" w:fill="FFFFFF"/>
          </w:tcPr>
          <w:p w14:paraId="249F22E6" w14:textId="77777777" w:rsidR="00BA6645" w:rsidRPr="00BA6645" w:rsidRDefault="00BA6645" w:rsidP="00BA6645">
            <w:pPr>
              <w:pStyle w:val="Tabletext"/>
              <w:rPr>
                <w:rFonts w:eastAsia="Calibri"/>
              </w:rPr>
            </w:pPr>
            <w:r w:rsidRPr="00BA6645">
              <w:rPr>
                <w:rFonts w:eastAsia="Calibri"/>
              </w:rPr>
              <w:t>Yes</w:t>
            </w:r>
          </w:p>
        </w:tc>
        <w:tc>
          <w:tcPr>
            <w:tcW w:w="615" w:type="pct"/>
          </w:tcPr>
          <w:p w14:paraId="080A95D1" w14:textId="77777777" w:rsidR="00BA6645" w:rsidRPr="00BA6645" w:rsidRDefault="00BA6645" w:rsidP="00BA6645">
            <w:pPr>
              <w:pStyle w:val="Tabletext"/>
              <w:rPr>
                <w:rFonts w:eastAsia="Calibri"/>
              </w:rPr>
            </w:pPr>
            <w:r w:rsidRPr="00BA6645">
              <w:rPr>
                <w:rFonts w:eastAsia="Calibri"/>
              </w:rPr>
              <w:t>Yes</w:t>
            </w:r>
          </w:p>
        </w:tc>
        <w:tc>
          <w:tcPr>
            <w:tcW w:w="689" w:type="pct"/>
          </w:tcPr>
          <w:p w14:paraId="1922389D" w14:textId="77777777" w:rsidR="00BA6645" w:rsidRPr="00BA6645" w:rsidRDefault="00BA6645" w:rsidP="00BA6645">
            <w:pPr>
              <w:pStyle w:val="Tabletext"/>
              <w:rPr>
                <w:rFonts w:eastAsia="Calibri"/>
              </w:rPr>
            </w:pPr>
            <w:r w:rsidRPr="00BA6645">
              <w:rPr>
                <w:rFonts w:eastAsia="Calibri"/>
              </w:rPr>
              <w:t>$225 - $1,800</w:t>
            </w:r>
          </w:p>
        </w:tc>
      </w:tr>
      <w:tr w:rsidR="00BA6645" w:rsidRPr="00BA6645" w14:paraId="7FE8F412" w14:textId="77777777" w:rsidTr="000528B8">
        <w:tc>
          <w:tcPr>
            <w:tcW w:w="2304" w:type="pct"/>
          </w:tcPr>
          <w:p w14:paraId="1EAE422E" w14:textId="77777777" w:rsidR="00BA6645" w:rsidRPr="00BA6645" w:rsidRDefault="00BA6645" w:rsidP="00BA6645">
            <w:pPr>
              <w:pStyle w:val="Tabletext"/>
              <w:rPr>
                <w:rFonts w:eastAsia="Calibri"/>
              </w:rPr>
            </w:pPr>
            <w:proofErr w:type="spellStart"/>
            <w:r w:rsidRPr="00BA6645">
              <w:rPr>
                <w:rFonts w:eastAsia="Calibri"/>
              </w:rPr>
              <w:t>Flebogamma</w:t>
            </w:r>
            <w:proofErr w:type="spellEnd"/>
            <w:r w:rsidRPr="00BA6645">
              <w:rPr>
                <w:rFonts w:eastAsia="Calibri"/>
              </w:rPr>
              <w:t xml:space="preserve"> 10% – </w:t>
            </w:r>
            <w:proofErr w:type="spellStart"/>
            <w:r w:rsidRPr="00BA6645">
              <w:rPr>
                <w:rFonts w:eastAsia="Calibri"/>
              </w:rPr>
              <w:t>Grifols</w:t>
            </w:r>
            <w:proofErr w:type="spellEnd"/>
            <w:r w:rsidRPr="00BA6645">
              <w:rPr>
                <w:rFonts w:eastAsia="Calibri"/>
              </w:rPr>
              <w:t xml:space="preserve"> Australia P/L </w:t>
            </w:r>
          </w:p>
          <w:p w14:paraId="1E2D94E3" w14:textId="77777777" w:rsidR="00BA6645" w:rsidRPr="00BA6645" w:rsidRDefault="00BA6645" w:rsidP="00BA6645">
            <w:pPr>
              <w:pStyle w:val="Tabletext"/>
              <w:rPr>
                <w:rFonts w:eastAsia="Calibri"/>
              </w:rPr>
            </w:pPr>
            <w:r w:rsidRPr="00BA6645">
              <w:rPr>
                <w:rFonts w:eastAsia="Calibri"/>
              </w:rPr>
              <w:t>(5g/50mL up to 40g/400mL)</w:t>
            </w:r>
          </w:p>
        </w:tc>
        <w:tc>
          <w:tcPr>
            <w:tcW w:w="768" w:type="pct"/>
          </w:tcPr>
          <w:p w14:paraId="55B58874" w14:textId="77777777" w:rsidR="00BA6645" w:rsidRPr="00BA6645" w:rsidRDefault="00BA6645" w:rsidP="00BA6645">
            <w:pPr>
              <w:pStyle w:val="Tabletext"/>
              <w:rPr>
                <w:rFonts w:eastAsia="Calibri"/>
              </w:rPr>
            </w:pPr>
            <w:r w:rsidRPr="00BA6645">
              <w:rPr>
                <w:rFonts w:eastAsia="Calibri"/>
              </w:rPr>
              <w:t>IV</w:t>
            </w:r>
          </w:p>
        </w:tc>
        <w:tc>
          <w:tcPr>
            <w:tcW w:w="625" w:type="pct"/>
          </w:tcPr>
          <w:p w14:paraId="3040A8A0" w14:textId="77777777" w:rsidR="00BA6645" w:rsidRPr="00BA6645" w:rsidRDefault="00BA6645" w:rsidP="00BA6645">
            <w:pPr>
              <w:pStyle w:val="Tabletext"/>
              <w:rPr>
                <w:rFonts w:eastAsia="Calibri"/>
              </w:rPr>
            </w:pPr>
            <w:r w:rsidRPr="00BA6645">
              <w:rPr>
                <w:rFonts w:eastAsia="Calibri"/>
              </w:rPr>
              <w:t>No</w:t>
            </w:r>
          </w:p>
        </w:tc>
        <w:tc>
          <w:tcPr>
            <w:tcW w:w="615" w:type="pct"/>
          </w:tcPr>
          <w:p w14:paraId="3B91DDD6" w14:textId="77777777" w:rsidR="00BA6645" w:rsidRPr="00BA6645" w:rsidRDefault="00BA6645" w:rsidP="00BA6645">
            <w:pPr>
              <w:pStyle w:val="Tabletext"/>
              <w:rPr>
                <w:rFonts w:eastAsia="Calibri"/>
              </w:rPr>
            </w:pPr>
            <w:r w:rsidRPr="00BA6645">
              <w:rPr>
                <w:rFonts w:eastAsia="Calibri"/>
              </w:rPr>
              <w:t>Yes</w:t>
            </w:r>
          </w:p>
        </w:tc>
        <w:tc>
          <w:tcPr>
            <w:tcW w:w="689" w:type="pct"/>
          </w:tcPr>
          <w:p w14:paraId="65F8412B" w14:textId="77777777" w:rsidR="00BA6645" w:rsidRPr="00BA6645" w:rsidRDefault="00BA6645" w:rsidP="00BA6645">
            <w:pPr>
              <w:pStyle w:val="Tabletext"/>
              <w:rPr>
                <w:rFonts w:eastAsia="Calibri"/>
              </w:rPr>
            </w:pPr>
            <w:r w:rsidRPr="00BA6645">
              <w:rPr>
                <w:rFonts w:eastAsia="Calibri"/>
              </w:rPr>
              <w:t>$225-$900</w:t>
            </w:r>
          </w:p>
        </w:tc>
      </w:tr>
      <w:tr w:rsidR="00BA6645" w:rsidRPr="00BA6645" w14:paraId="3FF3AAF3" w14:textId="77777777" w:rsidTr="000528B8">
        <w:tc>
          <w:tcPr>
            <w:tcW w:w="2304" w:type="pct"/>
          </w:tcPr>
          <w:p w14:paraId="26E8547F" w14:textId="77777777" w:rsidR="00BA6645" w:rsidRPr="00BA6645" w:rsidRDefault="00BA6645" w:rsidP="00BA6645">
            <w:pPr>
              <w:pStyle w:val="Tabletext"/>
              <w:rPr>
                <w:rFonts w:eastAsia="Calibri"/>
              </w:rPr>
            </w:pPr>
            <w:proofErr w:type="spellStart"/>
            <w:r w:rsidRPr="00BA6645">
              <w:rPr>
                <w:rFonts w:eastAsia="Calibri"/>
              </w:rPr>
              <w:t>Flebogamma</w:t>
            </w:r>
            <w:proofErr w:type="spellEnd"/>
            <w:r w:rsidRPr="00BA6645">
              <w:rPr>
                <w:rFonts w:eastAsia="Calibri"/>
              </w:rPr>
              <w:t xml:space="preserve"> 5% – </w:t>
            </w:r>
            <w:proofErr w:type="spellStart"/>
            <w:r w:rsidRPr="00BA6645">
              <w:rPr>
                <w:rFonts w:eastAsia="Calibri"/>
              </w:rPr>
              <w:t>Grifols</w:t>
            </w:r>
            <w:proofErr w:type="spellEnd"/>
            <w:r w:rsidRPr="00BA6645">
              <w:rPr>
                <w:rFonts w:eastAsia="Calibri"/>
              </w:rPr>
              <w:t xml:space="preserve"> Australia P/L  (0.5g/10mL up to 20g/400mL)</w:t>
            </w:r>
          </w:p>
        </w:tc>
        <w:tc>
          <w:tcPr>
            <w:tcW w:w="768" w:type="pct"/>
          </w:tcPr>
          <w:p w14:paraId="39FE4CA7" w14:textId="77777777" w:rsidR="00BA6645" w:rsidRPr="00BA6645" w:rsidRDefault="00BA6645" w:rsidP="00BA6645">
            <w:pPr>
              <w:pStyle w:val="Tabletext"/>
              <w:rPr>
                <w:rFonts w:eastAsia="Calibri"/>
              </w:rPr>
            </w:pPr>
            <w:r w:rsidRPr="00BA6645">
              <w:rPr>
                <w:rFonts w:eastAsia="Calibri"/>
              </w:rPr>
              <w:t>IV</w:t>
            </w:r>
          </w:p>
        </w:tc>
        <w:tc>
          <w:tcPr>
            <w:tcW w:w="625" w:type="pct"/>
          </w:tcPr>
          <w:p w14:paraId="6BCF6534" w14:textId="77777777" w:rsidR="00BA6645" w:rsidRPr="00BA6645" w:rsidRDefault="00BA6645" w:rsidP="00BA6645">
            <w:pPr>
              <w:pStyle w:val="Tabletext"/>
              <w:rPr>
                <w:rFonts w:eastAsia="Calibri"/>
              </w:rPr>
            </w:pPr>
            <w:r w:rsidRPr="00BA6645">
              <w:rPr>
                <w:rFonts w:eastAsia="Calibri"/>
              </w:rPr>
              <w:t>No</w:t>
            </w:r>
          </w:p>
        </w:tc>
        <w:tc>
          <w:tcPr>
            <w:tcW w:w="615" w:type="pct"/>
          </w:tcPr>
          <w:p w14:paraId="0E6A611F" w14:textId="77777777" w:rsidR="00BA6645" w:rsidRPr="00BA6645" w:rsidRDefault="00BA6645" w:rsidP="00BA6645">
            <w:pPr>
              <w:pStyle w:val="Tabletext"/>
              <w:rPr>
                <w:rFonts w:eastAsia="Calibri"/>
              </w:rPr>
            </w:pPr>
            <w:r w:rsidRPr="00BA6645">
              <w:rPr>
                <w:rFonts w:eastAsia="Calibri"/>
              </w:rPr>
              <w:t>Yes</w:t>
            </w:r>
          </w:p>
        </w:tc>
        <w:tc>
          <w:tcPr>
            <w:tcW w:w="689" w:type="pct"/>
          </w:tcPr>
          <w:p w14:paraId="221CA506" w14:textId="77777777" w:rsidR="00BA6645" w:rsidRPr="00BA6645" w:rsidRDefault="00BA6645" w:rsidP="00BA6645">
            <w:pPr>
              <w:pStyle w:val="Tabletext"/>
              <w:rPr>
                <w:rFonts w:eastAsia="Calibri"/>
              </w:rPr>
            </w:pPr>
            <w:r w:rsidRPr="00BA6645">
              <w:rPr>
                <w:rFonts w:eastAsia="Calibri"/>
              </w:rPr>
              <w:t>$22.50-$900</w:t>
            </w:r>
          </w:p>
        </w:tc>
      </w:tr>
      <w:tr w:rsidR="00BA6645" w:rsidRPr="00BA6645" w14:paraId="2AEC91A8" w14:textId="77777777" w:rsidTr="000528B8">
        <w:tc>
          <w:tcPr>
            <w:tcW w:w="2304" w:type="pct"/>
          </w:tcPr>
          <w:p w14:paraId="01F208F8" w14:textId="77777777" w:rsidR="00BA6645" w:rsidRPr="00BA6645" w:rsidRDefault="00BA6645" w:rsidP="00BA6645">
            <w:pPr>
              <w:pStyle w:val="Tabletext"/>
              <w:rPr>
                <w:rFonts w:eastAsia="Calibri"/>
              </w:rPr>
            </w:pPr>
            <w:proofErr w:type="spellStart"/>
            <w:r w:rsidRPr="00BA6645">
              <w:rPr>
                <w:rFonts w:eastAsia="Calibri"/>
              </w:rPr>
              <w:t>Intragam</w:t>
            </w:r>
            <w:proofErr w:type="spellEnd"/>
            <w:r w:rsidRPr="00BA6645">
              <w:rPr>
                <w:rFonts w:eastAsia="Calibri"/>
              </w:rPr>
              <w:t xml:space="preserve"> P – CSL Behring Australia P/L   </w:t>
            </w:r>
          </w:p>
        </w:tc>
        <w:tc>
          <w:tcPr>
            <w:tcW w:w="768" w:type="pct"/>
          </w:tcPr>
          <w:p w14:paraId="3D4EB9A8" w14:textId="77777777" w:rsidR="00BA6645" w:rsidRPr="00BA6645" w:rsidRDefault="00BA6645" w:rsidP="00BA6645">
            <w:pPr>
              <w:pStyle w:val="Tabletext"/>
              <w:rPr>
                <w:rFonts w:eastAsia="Calibri"/>
              </w:rPr>
            </w:pPr>
            <w:r w:rsidRPr="00BA6645">
              <w:rPr>
                <w:rFonts w:eastAsia="Calibri"/>
              </w:rPr>
              <w:t>IV</w:t>
            </w:r>
          </w:p>
        </w:tc>
        <w:tc>
          <w:tcPr>
            <w:tcW w:w="625" w:type="pct"/>
          </w:tcPr>
          <w:p w14:paraId="10353848" w14:textId="77777777" w:rsidR="00BA6645" w:rsidRPr="00BA6645" w:rsidRDefault="00BA6645" w:rsidP="00BA6645">
            <w:pPr>
              <w:pStyle w:val="Tabletext"/>
              <w:rPr>
                <w:rFonts w:eastAsia="Calibri"/>
              </w:rPr>
            </w:pPr>
            <w:r w:rsidRPr="00BA6645">
              <w:rPr>
                <w:rFonts w:eastAsia="Calibri"/>
              </w:rPr>
              <w:t>No</w:t>
            </w:r>
          </w:p>
        </w:tc>
        <w:tc>
          <w:tcPr>
            <w:tcW w:w="615" w:type="pct"/>
          </w:tcPr>
          <w:p w14:paraId="64BCC8E4" w14:textId="77777777" w:rsidR="00BA6645" w:rsidRPr="00BA6645" w:rsidRDefault="00BA6645" w:rsidP="00BA6645">
            <w:pPr>
              <w:pStyle w:val="Tabletext"/>
              <w:rPr>
                <w:rFonts w:eastAsia="Calibri"/>
              </w:rPr>
            </w:pPr>
            <w:r w:rsidRPr="00BA6645">
              <w:rPr>
                <w:rFonts w:eastAsia="Calibri"/>
              </w:rPr>
              <w:t>Yes**</w:t>
            </w:r>
          </w:p>
        </w:tc>
        <w:tc>
          <w:tcPr>
            <w:tcW w:w="689" w:type="pct"/>
          </w:tcPr>
          <w:p w14:paraId="3973CF82" w14:textId="77777777" w:rsidR="00BA6645" w:rsidRPr="00BA6645" w:rsidRDefault="00BA6645" w:rsidP="00BA6645">
            <w:pPr>
              <w:pStyle w:val="Tabletext"/>
              <w:rPr>
                <w:rFonts w:eastAsia="Calibri"/>
              </w:rPr>
            </w:pPr>
            <w:r w:rsidRPr="00BA6645">
              <w:rPr>
                <w:rFonts w:eastAsia="Calibri"/>
              </w:rPr>
              <w:t>$175.48</w:t>
            </w:r>
          </w:p>
        </w:tc>
      </w:tr>
      <w:tr w:rsidR="00BA6645" w:rsidRPr="00BA6645" w14:paraId="26AB0BF6" w14:textId="77777777" w:rsidTr="000528B8">
        <w:tc>
          <w:tcPr>
            <w:tcW w:w="2304" w:type="pct"/>
            <w:shd w:val="clear" w:color="auto" w:fill="auto"/>
          </w:tcPr>
          <w:p w14:paraId="509CB54B" w14:textId="77777777" w:rsidR="00BA6645" w:rsidRPr="00BA6645" w:rsidRDefault="00BA6645" w:rsidP="00BA6645">
            <w:pPr>
              <w:pStyle w:val="Tabletext"/>
              <w:rPr>
                <w:rFonts w:eastAsia="Calibri"/>
              </w:rPr>
            </w:pPr>
            <w:proofErr w:type="spellStart"/>
            <w:r w:rsidRPr="00BA6645">
              <w:rPr>
                <w:rFonts w:eastAsia="Calibri"/>
              </w:rPr>
              <w:t>Hizentra</w:t>
            </w:r>
            <w:proofErr w:type="spellEnd"/>
            <w:r w:rsidRPr="00BA6645">
              <w:rPr>
                <w:rFonts w:eastAsia="Calibri"/>
              </w:rPr>
              <w:t xml:space="preserve"> – CSL Behring Australia P/L  </w:t>
            </w:r>
          </w:p>
          <w:p w14:paraId="26E3E13A" w14:textId="77777777" w:rsidR="00BA6645" w:rsidRPr="00BA6645" w:rsidRDefault="00BA6645" w:rsidP="00BA6645">
            <w:pPr>
              <w:pStyle w:val="Tabletext"/>
              <w:rPr>
                <w:rFonts w:eastAsia="Calibri"/>
              </w:rPr>
            </w:pPr>
            <w:r w:rsidRPr="00BA6645">
              <w:rPr>
                <w:rFonts w:eastAsia="Calibri"/>
              </w:rPr>
              <w:t xml:space="preserve">(1g/5mL to 10g/50mL) </w:t>
            </w:r>
          </w:p>
        </w:tc>
        <w:tc>
          <w:tcPr>
            <w:tcW w:w="768" w:type="pct"/>
            <w:shd w:val="clear" w:color="auto" w:fill="auto"/>
          </w:tcPr>
          <w:p w14:paraId="0F4445E4" w14:textId="77777777" w:rsidR="00BA6645" w:rsidRPr="00BA6645" w:rsidRDefault="00BA6645" w:rsidP="00BA6645">
            <w:pPr>
              <w:pStyle w:val="Tabletext"/>
              <w:rPr>
                <w:rFonts w:eastAsia="Calibri"/>
              </w:rPr>
            </w:pPr>
            <w:r w:rsidRPr="00BA6645">
              <w:rPr>
                <w:rFonts w:eastAsia="Calibri"/>
              </w:rPr>
              <w:t>SC</w:t>
            </w:r>
          </w:p>
        </w:tc>
        <w:tc>
          <w:tcPr>
            <w:tcW w:w="625" w:type="pct"/>
            <w:shd w:val="clear" w:color="auto" w:fill="auto"/>
          </w:tcPr>
          <w:p w14:paraId="4939EACF" w14:textId="77777777" w:rsidR="00BA6645" w:rsidRPr="00BA6645" w:rsidRDefault="00BA6645" w:rsidP="00BA6645">
            <w:pPr>
              <w:pStyle w:val="Tabletext"/>
              <w:rPr>
                <w:rFonts w:eastAsia="Calibri"/>
              </w:rPr>
            </w:pPr>
            <w:r w:rsidRPr="00BA6645">
              <w:rPr>
                <w:rFonts w:eastAsia="Calibri"/>
              </w:rPr>
              <w:t>No</w:t>
            </w:r>
          </w:p>
        </w:tc>
        <w:tc>
          <w:tcPr>
            <w:tcW w:w="615" w:type="pct"/>
            <w:shd w:val="clear" w:color="auto" w:fill="auto"/>
          </w:tcPr>
          <w:p w14:paraId="4DF1DCC4" w14:textId="77777777" w:rsidR="00BA6645" w:rsidRPr="00BA6645" w:rsidRDefault="00BA6645" w:rsidP="00BA6645">
            <w:pPr>
              <w:pStyle w:val="Tabletext"/>
              <w:rPr>
                <w:rFonts w:eastAsia="Calibri"/>
              </w:rPr>
            </w:pPr>
            <w:r w:rsidRPr="00BA6645">
              <w:rPr>
                <w:rFonts w:eastAsia="Calibri"/>
              </w:rPr>
              <w:t>No***</w:t>
            </w:r>
          </w:p>
        </w:tc>
        <w:tc>
          <w:tcPr>
            <w:tcW w:w="689" w:type="pct"/>
            <w:shd w:val="clear" w:color="auto" w:fill="auto"/>
          </w:tcPr>
          <w:p w14:paraId="52AF35AD" w14:textId="77777777" w:rsidR="00BA6645" w:rsidRPr="00BA6645" w:rsidRDefault="00BA6645" w:rsidP="00BA6645">
            <w:pPr>
              <w:pStyle w:val="Tabletext"/>
              <w:rPr>
                <w:rFonts w:eastAsia="Calibri"/>
              </w:rPr>
            </w:pPr>
            <w:r w:rsidRPr="00BA6645">
              <w:rPr>
                <w:rFonts w:eastAsia="Calibri"/>
              </w:rPr>
              <w:t>$57.43 to $574.30</w:t>
            </w:r>
          </w:p>
        </w:tc>
      </w:tr>
      <w:tr w:rsidR="00BA6645" w:rsidRPr="00BA6645" w14:paraId="0BD49F77" w14:textId="77777777" w:rsidTr="000528B8">
        <w:tc>
          <w:tcPr>
            <w:tcW w:w="2304" w:type="pct"/>
            <w:shd w:val="clear" w:color="auto" w:fill="auto"/>
          </w:tcPr>
          <w:p w14:paraId="0AF6953E" w14:textId="77777777" w:rsidR="00BA6645" w:rsidRPr="00BA6645" w:rsidRDefault="00BA6645" w:rsidP="00BA6645">
            <w:pPr>
              <w:pStyle w:val="Tabletext"/>
              <w:rPr>
                <w:rFonts w:eastAsia="Calibri"/>
              </w:rPr>
            </w:pPr>
            <w:proofErr w:type="spellStart"/>
            <w:r w:rsidRPr="00BA6645">
              <w:rPr>
                <w:rFonts w:eastAsia="Calibri"/>
              </w:rPr>
              <w:t>Evogam</w:t>
            </w:r>
            <w:proofErr w:type="spellEnd"/>
            <w:r w:rsidRPr="00BA6645">
              <w:rPr>
                <w:rFonts w:eastAsia="Calibri"/>
              </w:rPr>
              <w:t xml:space="preserve"> 16% – CSL Behring Australia P/L  </w:t>
            </w:r>
          </w:p>
          <w:p w14:paraId="30C819D5" w14:textId="77777777" w:rsidR="00BA6645" w:rsidRPr="00BA6645" w:rsidRDefault="00BA6645" w:rsidP="00BA6645">
            <w:pPr>
              <w:pStyle w:val="Tabletext"/>
              <w:rPr>
                <w:rFonts w:eastAsia="Calibri"/>
              </w:rPr>
            </w:pPr>
            <w:r w:rsidRPr="00BA6645">
              <w:rPr>
                <w:rFonts w:eastAsia="Calibri"/>
              </w:rPr>
              <w:t>(0.8g/5mL or 3.2g/20mL)</w:t>
            </w:r>
          </w:p>
        </w:tc>
        <w:tc>
          <w:tcPr>
            <w:tcW w:w="768" w:type="pct"/>
            <w:shd w:val="clear" w:color="auto" w:fill="auto"/>
          </w:tcPr>
          <w:p w14:paraId="0793BD99" w14:textId="77777777" w:rsidR="00BA6645" w:rsidRPr="00BA6645" w:rsidRDefault="00BA6645" w:rsidP="00BA6645">
            <w:pPr>
              <w:pStyle w:val="Tabletext"/>
              <w:rPr>
                <w:rFonts w:eastAsia="Calibri"/>
              </w:rPr>
            </w:pPr>
            <w:r w:rsidRPr="00BA6645">
              <w:rPr>
                <w:rFonts w:eastAsia="Calibri"/>
              </w:rPr>
              <w:t>SC</w:t>
            </w:r>
          </w:p>
        </w:tc>
        <w:tc>
          <w:tcPr>
            <w:tcW w:w="625" w:type="pct"/>
            <w:shd w:val="clear" w:color="auto" w:fill="auto"/>
          </w:tcPr>
          <w:p w14:paraId="49DD596B" w14:textId="77777777" w:rsidR="00BA6645" w:rsidRPr="00BA6645" w:rsidRDefault="00BA6645" w:rsidP="00BA6645">
            <w:pPr>
              <w:pStyle w:val="Tabletext"/>
              <w:rPr>
                <w:rFonts w:eastAsia="Calibri"/>
              </w:rPr>
            </w:pPr>
            <w:r w:rsidRPr="00BA6645">
              <w:rPr>
                <w:rFonts w:eastAsia="Calibri"/>
              </w:rPr>
              <w:t>No</w:t>
            </w:r>
          </w:p>
        </w:tc>
        <w:tc>
          <w:tcPr>
            <w:tcW w:w="615" w:type="pct"/>
            <w:shd w:val="clear" w:color="auto" w:fill="auto"/>
          </w:tcPr>
          <w:p w14:paraId="4BBC389C" w14:textId="77777777" w:rsidR="00BA6645" w:rsidRPr="00BA6645" w:rsidRDefault="00BA6645" w:rsidP="00BA6645">
            <w:pPr>
              <w:pStyle w:val="Tabletext"/>
              <w:rPr>
                <w:rFonts w:eastAsia="Calibri"/>
              </w:rPr>
            </w:pPr>
            <w:r w:rsidRPr="00BA6645">
              <w:rPr>
                <w:rFonts w:eastAsia="Calibri"/>
              </w:rPr>
              <w:t>No***</w:t>
            </w:r>
          </w:p>
        </w:tc>
        <w:tc>
          <w:tcPr>
            <w:tcW w:w="689" w:type="pct"/>
            <w:shd w:val="clear" w:color="auto" w:fill="auto"/>
          </w:tcPr>
          <w:p w14:paraId="0ED4913E" w14:textId="77777777" w:rsidR="00BA6645" w:rsidRPr="00BA6645" w:rsidRDefault="00BA6645" w:rsidP="00BA6645">
            <w:pPr>
              <w:pStyle w:val="Tabletext"/>
              <w:rPr>
                <w:rFonts w:eastAsia="Calibri"/>
              </w:rPr>
            </w:pPr>
            <w:r w:rsidRPr="00BA6645">
              <w:rPr>
                <w:rFonts w:eastAsia="Calibri"/>
              </w:rPr>
              <w:t>$46.79 or $187.18</w:t>
            </w:r>
          </w:p>
        </w:tc>
      </w:tr>
    </w:tbl>
    <w:p w14:paraId="76F64496" w14:textId="77777777" w:rsidR="00BA6645" w:rsidRPr="006D182F" w:rsidRDefault="00BA6645" w:rsidP="00BA6645">
      <w:pPr>
        <w:contextualSpacing/>
        <w:rPr>
          <w:rFonts w:ascii="Calibri" w:eastAsia="Calibri" w:hAnsi="Calibri"/>
          <w:sz w:val="16"/>
          <w:lang w:eastAsia="en-US"/>
        </w:rPr>
      </w:pPr>
      <w:r w:rsidRPr="006D182F">
        <w:rPr>
          <w:rFonts w:ascii="Calibri" w:eastAsia="Calibri" w:hAnsi="Calibri"/>
          <w:sz w:val="16"/>
          <w:lang w:eastAsia="en-US"/>
        </w:rPr>
        <w:t xml:space="preserve">* Indicates that Ig </w:t>
      </w:r>
      <w:proofErr w:type="gramStart"/>
      <w:r w:rsidRPr="006D182F">
        <w:rPr>
          <w:rFonts w:ascii="Calibri" w:eastAsia="Calibri" w:hAnsi="Calibri"/>
          <w:sz w:val="16"/>
          <w:lang w:eastAsia="en-US"/>
        </w:rPr>
        <w:t xml:space="preserve">is </w:t>
      </w:r>
      <w:r w:rsidRPr="006D182F">
        <w:rPr>
          <w:rFonts w:ascii="Calibri" w:eastAsia="Calibri" w:hAnsi="Calibri"/>
          <w:i/>
          <w:sz w:val="16"/>
          <w:lang w:eastAsia="en-US"/>
        </w:rPr>
        <w:t xml:space="preserve">currently </w:t>
      </w:r>
      <w:r w:rsidRPr="006D182F">
        <w:rPr>
          <w:rFonts w:ascii="Calibri" w:eastAsia="Calibri" w:hAnsi="Calibri"/>
          <w:sz w:val="16"/>
          <w:lang w:eastAsia="en-US"/>
        </w:rPr>
        <w:t>funded</w:t>
      </w:r>
      <w:proofErr w:type="gramEnd"/>
      <w:r w:rsidRPr="006D182F">
        <w:rPr>
          <w:rFonts w:ascii="Calibri" w:eastAsia="Calibri" w:hAnsi="Calibri"/>
          <w:sz w:val="16"/>
          <w:lang w:eastAsia="en-US"/>
        </w:rPr>
        <w:t xml:space="preserve"> for MG.  Note that tendering arrangements may change products funded in the future.</w:t>
      </w:r>
    </w:p>
    <w:p w14:paraId="60B21CB6" w14:textId="77777777" w:rsidR="00BA6645" w:rsidRPr="006D182F" w:rsidRDefault="00BA6645" w:rsidP="00BA6645">
      <w:pPr>
        <w:contextualSpacing/>
        <w:rPr>
          <w:rFonts w:ascii="Calibri" w:eastAsia="Calibri" w:hAnsi="Calibri"/>
          <w:sz w:val="16"/>
          <w:lang w:eastAsia="en-US"/>
        </w:rPr>
      </w:pPr>
      <w:r w:rsidRPr="006D182F">
        <w:rPr>
          <w:rFonts w:ascii="Calibri" w:eastAsia="Calibri" w:hAnsi="Calibri"/>
          <w:sz w:val="16"/>
          <w:lang w:eastAsia="en-US"/>
        </w:rPr>
        <w:t>**</w:t>
      </w:r>
      <w:proofErr w:type="spellStart"/>
      <w:r w:rsidRPr="006D182F">
        <w:rPr>
          <w:rFonts w:ascii="Calibri" w:eastAsia="Calibri" w:hAnsi="Calibri"/>
          <w:sz w:val="16"/>
          <w:lang w:eastAsia="en-US"/>
        </w:rPr>
        <w:t>Intragam</w:t>
      </w:r>
      <w:proofErr w:type="spellEnd"/>
      <w:r w:rsidRPr="006D182F">
        <w:rPr>
          <w:rFonts w:ascii="Calibri" w:eastAsia="Calibri" w:hAnsi="Calibri"/>
          <w:sz w:val="16"/>
          <w:lang w:eastAsia="en-US"/>
        </w:rPr>
        <w:t xml:space="preserve"> P </w:t>
      </w:r>
      <w:proofErr w:type="gramStart"/>
      <w:r w:rsidRPr="006D182F">
        <w:rPr>
          <w:rFonts w:ascii="Calibri" w:eastAsia="Calibri" w:hAnsi="Calibri"/>
          <w:sz w:val="16"/>
          <w:lang w:eastAsia="en-US"/>
        </w:rPr>
        <w:t>will be removed</w:t>
      </w:r>
      <w:proofErr w:type="gramEnd"/>
      <w:r w:rsidRPr="006D182F">
        <w:rPr>
          <w:rFonts w:ascii="Calibri" w:eastAsia="Calibri" w:hAnsi="Calibri"/>
          <w:sz w:val="16"/>
          <w:lang w:eastAsia="en-US"/>
        </w:rPr>
        <w:t xml:space="preserve"> from funded access under the National Blood Arrangements once current inventory reserves have expired </w:t>
      </w:r>
    </w:p>
    <w:p w14:paraId="2C045373" w14:textId="77777777" w:rsidR="00BA6645" w:rsidRPr="006D182F" w:rsidRDefault="00BA6645" w:rsidP="00BA6645">
      <w:pPr>
        <w:contextualSpacing/>
        <w:rPr>
          <w:rFonts w:ascii="Calibri" w:eastAsia="Calibri" w:hAnsi="Calibri"/>
          <w:sz w:val="16"/>
          <w:lang w:eastAsia="en-US"/>
        </w:rPr>
      </w:pPr>
      <w:r w:rsidRPr="006D182F">
        <w:rPr>
          <w:rFonts w:ascii="Calibri" w:eastAsia="Calibri" w:hAnsi="Calibri"/>
          <w:sz w:val="16"/>
          <w:lang w:eastAsia="en-US"/>
        </w:rPr>
        <w:t xml:space="preserve">*** While </w:t>
      </w:r>
      <w:proofErr w:type="spellStart"/>
      <w:r w:rsidRPr="006D182F">
        <w:rPr>
          <w:rFonts w:ascii="Calibri" w:eastAsia="Calibri" w:hAnsi="Calibri"/>
          <w:sz w:val="16"/>
          <w:lang w:eastAsia="en-US"/>
        </w:rPr>
        <w:t>Hizentra</w:t>
      </w:r>
      <w:proofErr w:type="spellEnd"/>
      <w:r w:rsidRPr="006D182F">
        <w:rPr>
          <w:rFonts w:ascii="Calibri" w:eastAsia="Calibri" w:hAnsi="Calibri"/>
          <w:sz w:val="16"/>
          <w:lang w:eastAsia="en-US"/>
        </w:rPr>
        <w:t xml:space="preserve"> and </w:t>
      </w:r>
      <w:proofErr w:type="spellStart"/>
      <w:r w:rsidRPr="006D182F">
        <w:rPr>
          <w:rFonts w:ascii="Calibri" w:eastAsia="Calibri" w:hAnsi="Calibri"/>
          <w:sz w:val="16"/>
          <w:lang w:eastAsia="en-US"/>
        </w:rPr>
        <w:t>Evogam</w:t>
      </w:r>
      <w:proofErr w:type="spellEnd"/>
      <w:r w:rsidRPr="006D182F">
        <w:rPr>
          <w:rFonts w:ascii="Calibri" w:eastAsia="Calibri" w:hAnsi="Calibri"/>
          <w:sz w:val="16"/>
          <w:lang w:eastAsia="en-US"/>
        </w:rPr>
        <w:t xml:space="preserve"> are NBA funded for some conditions, they </w:t>
      </w:r>
      <w:proofErr w:type="gramStart"/>
      <w:r w:rsidRPr="006D182F">
        <w:rPr>
          <w:rFonts w:ascii="Calibri" w:eastAsia="Calibri" w:hAnsi="Calibri"/>
          <w:sz w:val="16"/>
          <w:lang w:eastAsia="en-US"/>
        </w:rPr>
        <w:t>are not currently funded</w:t>
      </w:r>
      <w:proofErr w:type="gramEnd"/>
      <w:r w:rsidRPr="006D182F">
        <w:rPr>
          <w:rFonts w:ascii="Calibri" w:eastAsia="Calibri" w:hAnsi="Calibri"/>
          <w:sz w:val="16"/>
          <w:lang w:eastAsia="en-US"/>
        </w:rPr>
        <w:t xml:space="preserve"> for MG but this may change in the future.</w:t>
      </w:r>
    </w:p>
    <w:p w14:paraId="3D023ABE" w14:textId="77777777" w:rsidR="00BA6645" w:rsidRPr="006D182F" w:rsidRDefault="00BA6645" w:rsidP="00BA6645">
      <w:pPr>
        <w:contextualSpacing/>
        <w:rPr>
          <w:rFonts w:ascii="Calibri" w:eastAsia="Calibri" w:hAnsi="Calibri"/>
          <w:sz w:val="16"/>
          <w:lang w:eastAsia="en-US"/>
        </w:rPr>
      </w:pPr>
      <w:r w:rsidRPr="006D182F">
        <w:rPr>
          <w:rFonts w:ascii="Calibri" w:eastAsia="Calibri" w:hAnsi="Calibri"/>
          <w:sz w:val="16"/>
          <w:lang w:eastAsia="en-US"/>
        </w:rPr>
        <w:t>IV – intravenous</w:t>
      </w:r>
    </w:p>
    <w:p w14:paraId="19946E4E" w14:textId="77777777" w:rsidR="00BA6645" w:rsidRDefault="00BA6645" w:rsidP="00BA6645">
      <w:pPr>
        <w:contextualSpacing/>
        <w:rPr>
          <w:rFonts w:ascii="Calibri" w:eastAsia="Calibri" w:hAnsi="Calibri"/>
          <w:sz w:val="16"/>
          <w:lang w:eastAsia="en-US"/>
        </w:rPr>
      </w:pPr>
      <w:r w:rsidRPr="006D182F">
        <w:rPr>
          <w:rFonts w:ascii="Calibri" w:eastAsia="Calibri" w:hAnsi="Calibri"/>
          <w:sz w:val="16"/>
          <w:lang w:eastAsia="en-US"/>
        </w:rPr>
        <w:t xml:space="preserve">SC – subcutaneous </w:t>
      </w:r>
    </w:p>
    <w:p w14:paraId="525A059E" w14:textId="04196E9D" w:rsidR="00BA6645" w:rsidRPr="00E538E7" w:rsidRDefault="00BA6645" w:rsidP="00BA6645">
      <w:pPr>
        <w:contextualSpacing/>
        <w:rPr>
          <w:rFonts w:ascii="Calibri" w:eastAsia="Calibri" w:hAnsi="Calibri"/>
          <w:sz w:val="16"/>
          <w:lang w:eastAsia="en-US"/>
        </w:rPr>
      </w:pPr>
      <w:r>
        <w:rPr>
          <w:rFonts w:ascii="Calibri" w:eastAsia="Calibri" w:hAnsi="Calibri"/>
          <w:sz w:val="16"/>
          <w:lang w:eastAsia="en-US"/>
        </w:rPr>
        <w:t>Source: Referral 1566, Table 2</w:t>
      </w:r>
    </w:p>
    <w:p w14:paraId="3C5C727D" w14:textId="640D49E2" w:rsidR="00BA6645" w:rsidRPr="00E538E7" w:rsidRDefault="00BA6645" w:rsidP="00E538E7">
      <w:pPr>
        <w:tabs>
          <w:tab w:val="left" w:pos="720"/>
          <w:tab w:val="left" w:pos="1140"/>
        </w:tabs>
        <w:spacing w:before="240"/>
        <w:rPr>
          <w:szCs w:val="24"/>
        </w:rPr>
      </w:pPr>
      <w:r w:rsidRPr="00777B6F">
        <w:rPr>
          <w:szCs w:val="24"/>
        </w:rPr>
        <w:t xml:space="preserve">Access to </w:t>
      </w:r>
      <w:proofErr w:type="spellStart"/>
      <w:r w:rsidRPr="00777B6F">
        <w:rPr>
          <w:szCs w:val="24"/>
        </w:rPr>
        <w:t>IVIg</w:t>
      </w:r>
      <w:proofErr w:type="spellEnd"/>
      <w:r w:rsidRPr="00777B6F">
        <w:rPr>
          <w:szCs w:val="24"/>
        </w:rPr>
        <w:t xml:space="preserve"> </w:t>
      </w:r>
      <w:r>
        <w:rPr>
          <w:szCs w:val="24"/>
        </w:rPr>
        <w:t xml:space="preserve">in this population </w:t>
      </w:r>
      <w:r w:rsidRPr="00777B6F">
        <w:rPr>
          <w:szCs w:val="24"/>
        </w:rPr>
        <w:t>requires an Australian Health Practitioner Regulation Agency (AHPRA) registered neurologist to diagnose MG in the patient initially, and to carry out patient reviews.</w:t>
      </w:r>
      <w:r>
        <w:rPr>
          <w:szCs w:val="24"/>
        </w:rPr>
        <w:t xml:space="preserve"> </w:t>
      </w:r>
    </w:p>
    <w:p w14:paraId="41A0F9B4" w14:textId="77777777" w:rsidR="00BA6645" w:rsidRPr="009D62AB" w:rsidRDefault="00BA6645" w:rsidP="00E538E7">
      <w:pPr>
        <w:tabs>
          <w:tab w:val="left" w:pos="720"/>
          <w:tab w:val="left" w:pos="1140"/>
        </w:tabs>
        <w:autoSpaceDE w:val="0"/>
        <w:autoSpaceDN w:val="0"/>
        <w:adjustRightInd w:val="0"/>
        <w:spacing w:before="240"/>
        <w:rPr>
          <w:rFonts w:eastAsiaTheme="minorHAnsi"/>
          <w:szCs w:val="24"/>
          <w:lang w:val="en-US" w:eastAsia="en-US"/>
        </w:rPr>
      </w:pPr>
      <w:r>
        <w:rPr>
          <w:rFonts w:eastAsiaTheme="minorHAnsi"/>
          <w:szCs w:val="24"/>
          <w:lang w:val="en-US" w:eastAsia="en-US"/>
        </w:rPr>
        <w:t>C</w:t>
      </w:r>
      <w:r w:rsidRPr="009D62AB">
        <w:rPr>
          <w:rFonts w:eastAsiaTheme="minorHAnsi"/>
          <w:szCs w:val="24"/>
          <w:lang w:val="en-US" w:eastAsia="en-US"/>
        </w:rPr>
        <w:t>linical criteria for eligible p</w:t>
      </w:r>
      <w:r>
        <w:rPr>
          <w:rFonts w:eastAsiaTheme="minorHAnsi"/>
          <w:szCs w:val="24"/>
          <w:lang w:val="en-US" w:eastAsia="en-US"/>
        </w:rPr>
        <w:t xml:space="preserve">atients to access </w:t>
      </w:r>
      <w:proofErr w:type="spellStart"/>
      <w:r>
        <w:rPr>
          <w:rFonts w:eastAsiaTheme="minorHAnsi"/>
          <w:szCs w:val="24"/>
          <w:lang w:val="en-US" w:eastAsia="en-US"/>
        </w:rPr>
        <w:t>subsidised</w:t>
      </w:r>
      <w:proofErr w:type="spellEnd"/>
      <w:r>
        <w:rPr>
          <w:rFonts w:eastAsiaTheme="minorHAnsi"/>
          <w:szCs w:val="24"/>
          <w:lang w:val="en-US" w:eastAsia="en-US"/>
        </w:rPr>
        <w:t xml:space="preserve"> Ig </w:t>
      </w:r>
      <w:proofErr w:type="gramStart"/>
      <w:r>
        <w:rPr>
          <w:rFonts w:eastAsiaTheme="minorHAnsi"/>
          <w:szCs w:val="24"/>
          <w:lang w:val="en-US" w:eastAsia="en-US"/>
        </w:rPr>
        <w:t>are specified</w:t>
      </w:r>
      <w:proofErr w:type="gramEnd"/>
      <w:r>
        <w:rPr>
          <w:rFonts w:eastAsiaTheme="minorHAnsi"/>
          <w:szCs w:val="24"/>
          <w:lang w:val="en-US" w:eastAsia="en-US"/>
        </w:rPr>
        <w:t xml:space="preserve"> in</w:t>
      </w:r>
      <w:r w:rsidRPr="009D62AB">
        <w:rPr>
          <w:rFonts w:eastAsiaTheme="minorHAnsi"/>
          <w:szCs w:val="24"/>
          <w:lang w:val="en-US" w:eastAsia="en-US"/>
        </w:rPr>
        <w:t xml:space="preserve"> </w:t>
      </w:r>
      <w:r>
        <w:rPr>
          <w:rFonts w:eastAsiaTheme="minorHAnsi"/>
          <w:szCs w:val="24"/>
          <w:lang w:val="en-US" w:eastAsia="en-US"/>
        </w:rPr>
        <w:t xml:space="preserve">Version 3 of the </w:t>
      </w:r>
      <w:r w:rsidRPr="009D62AB">
        <w:rPr>
          <w:rFonts w:eastAsiaTheme="minorHAnsi"/>
          <w:szCs w:val="24"/>
          <w:lang w:val="en-US" w:eastAsia="en-US"/>
        </w:rPr>
        <w:t xml:space="preserve">Criteria. </w:t>
      </w:r>
      <w:r>
        <w:rPr>
          <w:rFonts w:eastAsiaTheme="minorHAnsi"/>
          <w:szCs w:val="24"/>
          <w:lang w:val="en-US" w:eastAsia="en-US"/>
        </w:rPr>
        <w:t xml:space="preserve">MG patients </w:t>
      </w:r>
      <w:proofErr w:type="gramStart"/>
      <w:r>
        <w:rPr>
          <w:rFonts w:eastAsiaTheme="minorHAnsi"/>
          <w:szCs w:val="24"/>
          <w:lang w:val="en-US" w:eastAsia="en-US"/>
        </w:rPr>
        <w:t>must be approved</w:t>
      </w:r>
      <w:proofErr w:type="gramEnd"/>
      <w:r>
        <w:rPr>
          <w:rFonts w:eastAsiaTheme="minorHAnsi"/>
          <w:szCs w:val="24"/>
          <w:lang w:val="en-US" w:eastAsia="en-US"/>
        </w:rPr>
        <w:t xml:space="preserve"> by meeting criteria for Indication 1, 2 or 3 in order to access the products. </w:t>
      </w:r>
      <w:r w:rsidRPr="009D62AB">
        <w:rPr>
          <w:rFonts w:eastAsiaTheme="minorHAnsi"/>
          <w:szCs w:val="24"/>
          <w:lang w:val="en-US" w:eastAsia="en-US"/>
        </w:rPr>
        <w:t>The Cr</w:t>
      </w:r>
      <w:r>
        <w:rPr>
          <w:rFonts w:eastAsiaTheme="minorHAnsi"/>
          <w:szCs w:val="24"/>
          <w:lang w:val="en-US" w:eastAsia="en-US"/>
        </w:rPr>
        <w:t xml:space="preserve">iteria, including eligibility criteria </w:t>
      </w:r>
      <w:proofErr w:type="gramStart"/>
      <w:r>
        <w:rPr>
          <w:rFonts w:eastAsiaTheme="minorHAnsi"/>
          <w:szCs w:val="24"/>
          <w:lang w:val="en-US" w:eastAsia="en-US"/>
        </w:rPr>
        <w:t>are periodically updated</w:t>
      </w:r>
      <w:proofErr w:type="gramEnd"/>
      <w:r w:rsidRPr="009D62AB">
        <w:rPr>
          <w:rFonts w:eastAsiaTheme="minorHAnsi"/>
          <w:szCs w:val="24"/>
          <w:lang w:val="en-US" w:eastAsia="en-US"/>
        </w:rPr>
        <w:t xml:space="preserve"> </w:t>
      </w:r>
      <w:r>
        <w:rPr>
          <w:rFonts w:eastAsiaTheme="minorHAnsi"/>
          <w:szCs w:val="24"/>
          <w:lang w:val="en-US" w:eastAsia="en-US"/>
        </w:rPr>
        <w:t xml:space="preserve">and </w:t>
      </w:r>
      <w:r w:rsidRPr="009D62AB">
        <w:rPr>
          <w:rFonts w:eastAsiaTheme="minorHAnsi"/>
          <w:szCs w:val="24"/>
          <w:lang w:val="en-US" w:eastAsia="en-US"/>
        </w:rPr>
        <w:t>may be refined according to recommendations of the relevant NBA working group and subsequent approval by the JBC.</w:t>
      </w:r>
    </w:p>
    <w:p w14:paraId="5798557E" w14:textId="77777777" w:rsidR="00111108" w:rsidRPr="00F715D1" w:rsidRDefault="00111108" w:rsidP="00111108">
      <w:pPr>
        <w:pStyle w:val="Heading1"/>
      </w:pPr>
      <w:r w:rsidRPr="00F715D1">
        <w:t xml:space="preserve">Summary of </w:t>
      </w:r>
      <w:r>
        <w:t>public c</w:t>
      </w:r>
      <w:r w:rsidRPr="00F715D1">
        <w:t>onsultation</w:t>
      </w:r>
      <w:r>
        <w:t xml:space="preserve"> f</w:t>
      </w:r>
      <w:r w:rsidRPr="00F715D1">
        <w:t>eedback</w:t>
      </w:r>
      <w:r>
        <w:t>/c</w:t>
      </w:r>
      <w:r w:rsidRPr="00F715D1">
        <w:t>onsumer Issues</w:t>
      </w:r>
    </w:p>
    <w:p w14:paraId="536D08D8" w14:textId="40071F04" w:rsidR="00BA6645" w:rsidRPr="00D94B9F" w:rsidRDefault="00BA6645" w:rsidP="00BA6645">
      <w:pPr>
        <w:pStyle w:val="NormalBulletList"/>
        <w:numPr>
          <w:ilvl w:val="0"/>
          <w:numId w:val="0"/>
        </w:numPr>
      </w:pPr>
      <w:r>
        <w:t xml:space="preserve">Public consultation </w:t>
      </w:r>
      <w:proofErr w:type="gramStart"/>
      <w:r>
        <w:t>was undertaken</w:t>
      </w:r>
      <w:proofErr w:type="gramEnd"/>
      <w:r>
        <w:t xml:space="preserve"> on the Referral and draft Contracted Assessment, and sponsor companies had an additional opportunity to comment on the PICO and provide inpu</w:t>
      </w:r>
      <w:r w:rsidR="00E538E7">
        <w:t>t to the Contracted Assessment.</w:t>
      </w:r>
    </w:p>
    <w:p w14:paraId="2ACBEC2E" w14:textId="2E8504B0" w:rsidR="00BA6645" w:rsidRDefault="00BA6645" w:rsidP="00E538E7">
      <w:pPr>
        <w:tabs>
          <w:tab w:val="left" w:pos="720"/>
          <w:tab w:val="left" w:pos="1140"/>
        </w:tabs>
        <w:spacing w:before="240"/>
        <w:rPr>
          <w:szCs w:val="24"/>
        </w:rPr>
      </w:pPr>
      <w:r>
        <w:rPr>
          <w:szCs w:val="24"/>
        </w:rPr>
        <w:t xml:space="preserve">Feedback from consumers was supportive of </w:t>
      </w:r>
      <w:proofErr w:type="spellStart"/>
      <w:r>
        <w:rPr>
          <w:szCs w:val="24"/>
        </w:rPr>
        <w:t>IVIg</w:t>
      </w:r>
      <w:proofErr w:type="spellEnd"/>
      <w:r>
        <w:rPr>
          <w:szCs w:val="24"/>
        </w:rPr>
        <w:t xml:space="preserve"> use, and considered</w:t>
      </w:r>
      <w:r w:rsidRPr="00D94B9F">
        <w:rPr>
          <w:szCs w:val="24"/>
        </w:rPr>
        <w:t xml:space="preserve"> that </w:t>
      </w:r>
      <w:proofErr w:type="spellStart"/>
      <w:r w:rsidRPr="00D94B9F">
        <w:rPr>
          <w:szCs w:val="24"/>
        </w:rPr>
        <w:t>IVIg</w:t>
      </w:r>
      <w:proofErr w:type="spellEnd"/>
      <w:r w:rsidRPr="00D94B9F">
        <w:rPr>
          <w:szCs w:val="24"/>
        </w:rPr>
        <w:t xml:space="preserve"> allows MG sufferers to experience a better quality of life </w:t>
      </w:r>
      <w:r>
        <w:rPr>
          <w:szCs w:val="24"/>
        </w:rPr>
        <w:t>with no</w:t>
      </w:r>
      <w:r w:rsidRPr="00D94B9F">
        <w:rPr>
          <w:szCs w:val="24"/>
        </w:rPr>
        <w:t xml:space="preserve"> disadvantages associated with </w:t>
      </w:r>
      <w:r>
        <w:rPr>
          <w:szCs w:val="24"/>
        </w:rPr>
        <w:t>its</w:t>
      </w:r>
      <w:r w:rsidRPr="00D94B9F">
        <w:rPr>
          <w:szCs w:val="24"/>
        </w:rPr>
        <w:t xml:space="preserve"> treatment.</w:t>
      </w:r>
      <w:r>
        <w:rPr>
          <w:szCs w:val="24"/>
        </w:rPr>
        <w:t xml:space="preserve"> Consumers acknowledged that studies used in the report often reported small patient numbers, which make it difficult to justify confirmed results. However overall, they </w:t>
      </w:r>
      <w:r>
        <w:rPr>
          <w:szCs w:val="24"/>
        </w:rPr>
        <w:lastRenderedPageBreak/>
        <w:t>agreed with the benefits and safety/side effects associated with Ig as desc</w:t>
      </w:r>
      <w:r w:rsidR="00E538E7">
        <w:rPr>
          <w:szCs w:val="24"/>
        </w:rPr>
        <w:t>ribed in the assessment report.</w:t>
      </w:r>
    </w:p>
    <w:p w14:paraId="6C306A10" w14:textId="77777777" w:rsidR="00BA6645" w:rsidRDefault="00BA6645" w:rsidP="00E538E7">
      <w:pPr>
        <w:tabs>
          <w:tab w:val="left" w:pos="720"/>
          <w:tab w:val="left" w:pos="1140"/>
        </w:tabs>
        <w:spacing w:before="240"/>
        <w:rPr>
          <w:szCs w:val="24"/>
        </w:rPr>
      </w:pPr>
      <w:r>
        <w:rPr>
          <w:szCs w:val="24"/>
        </w:rPr>
        <w:t>Consumers agreed there are</w:t>
      </w:r>
      <w:r w:rsidRPr="001D131B">
        <w:rPr>
          <w:szCs w:val="24"/>
        </w:rPr>
        <w:t xml:space="preserve"> accessibility and delivery issues </w:t>
      </w:r>
      <w:r>
        <w:rPr>
          <w:szCs w:val="24"/>
        </w:rPr>
        <w:t xml:space="preserve">associated with </w:t>
      </w:r>
      <w:r w:rsidRPr="001D131B">
        <w:rPr>
          <w:szCs w:val="24"/>
        </w:rPr>
        <w:t>PE treatment</w:t>
      </w:r>
      <w:r>
        <w:rPr>
          <w:szCs w:val="24"/>
        </w:rPr>
        <w:t>, and expressed that all treatment options (including PE and rituximab) should be available to patients with MG due to the variable nature of the condition. Feedback indicated that o</w:t>
      </w:r>
      <w:r w:rsidRPr="00365AE4">
        <w:rPr>
          <w:szCs w:val="24"/>
        </w:rPr>
        <w:t>ut-of-pocket costs for receiving Ig</w:t>
      </w:r>
      <w:r>
        <w:rPr>
          <w:szCs w:val="24"/>
        </w:rPr>
        <w:t xml:space="preserve"> and access to treatments</w:t>
      </w:r>
      <w:r w:rsidRPr="00365AE4">
        <w:rPr>
          <w:szCs w:val="24"/>
        </w:rPr>
        <w:t xml:space="preserve"> </w:t>
      </w:r>
      <w:proofErr w:type="gramStart"/>
      <w:r w:rsidRPr="00365AE4">
        <w:rPr>
          <w:szCs w:val="24"/>
        </w:rPr>
        <w:t>can</w:t>
      </w:r>
      <w:proofErr w:type="gramEnd"/>
      <w:r w:rsidRPr="00365AE4">
        <w:rPr>
          <w:szCs w:val="24"/>
        </w:rPr>
        <w:t xml:space="preserve"> vary dependent on patient location and available resources</w:t>
      </w:r>
      <w:r>
        <w:rPr>
          <w:szCs w:val="24"/>
        </w:rPr>
        <w:t xml:space="preserve"> (e.g. private patients, or patients living in remote locations)</w:t>
      </w:r>
      <w:r w:rsidRPr="00365AE4">
        <w:rPr>
          <w:szCs w:val="24"/>
        </w:rPr>
        <w:t xml:space="preserve">. </w:t>
      </w:r>
    </w:p>
    <w:p w14:paraId="1861E159" w14:textId="77777777" w:rsidR="00111108" w:rsidRPr="00F715D1" w:rsidRDefault="00111108" w:rsidP="00111108">
      <w:pPr>
        <w:pStyle w:val="Heading1"/>
      </w:pPr>
      <w:r w:rsidRPr="00F715D1">
        <w:t>Proposed intervention’s place in clinical management</w:t>
      </w:r>
    </w:p>
    <w:p w14:paraId="7E0EDEC8" w14:textId="77777777" w:rsidR="00111108" w:rsidRDefault="00111108" w:rsidP="00BE75FD">
      <w:pPr>
        <w:rPr>
          <w:b/>
          <w:szCs w:val="24"/>
        </w:rPr>
      </w:pPr>
      <w:r w:rsidRPr="00CF4E81">
        <w:rPr>
          <w:b/>
          <w:szCs w:val="24"/>
        </w:rPr>
        <w:t>Description of Proposed Intervention</w:t>
      </w:r>
    </w:p>
    <w:p w14:paraId="6FAAD590" w14:textId="79D43EDE" w:rsidR="00BA6645" w:rsidRPr="001E12A6" w:rsidRDefault="00BA6645" w:rsidP="00BA6645">
      <w:pPr>
        <w:tabs>
          <w:tab w:val="left" w:pos="720"/>
          <w:tab w:val="left" w:pos="1140"/>
        </w:tabs>
        <w:rPr>
          <w:szCs w:val="24"/>
        </w:rPr>
      </w:pPr>
      <w:r>
        <w:rPr>
          <w:szCs w:val="24"/>
        </w:rPr>
        <w:t xml:space="preserve">This application is for </w:t>
      </w:r>
      <w:r w:rsidR="00993265">
        <w:rPr>
          <w:szCs w:val="24"/>
        </w:rPr>
        <w:t>Immunoglobulin (</w:t>
      </w:r>
      <w:r>
        <w:rPr>
          <w:szCs w:val="24"/>
        </w:rPr>
        <w:t>Ig</w:t>
      </w:r>
      <w:r w:rsidR="00993265">
        <w:rPr>
          <w:szCs w:val="24"/>
        </w:rPr>
        <w:t>)</w:t>
      </w:r>
      <w:r>
        <w:rPr>
          <w:szCs w:val="24"/>
        </w:rPr>
        <w:t xml:space="preserve"> used as immunomodulation therapy. </w:t>
      </w:r>
    </w:p>
    <w:p w14:paraId="07CFD646" w14:textId="3B7D4071" w:rsidR="00BA6645" w:rsidRPr="001E12A6" w:rsidRDefault="00BA6645" w:rsidP="00E538E7">
      <w:pPr>
        <w:tabs>
          <w:tab w:val="left" w:pos="720"/>
          <w:tab w:val="left" w:pos="1140"/>
        </w:tabs>
        <w:spacing w:before="240"/>
        <w:rPr>
          <w:szCs w:val="24"/>
        </w:rPr>
      </w:pPr>
      <w:r>
        <w:t xml:space="preserve">Immunoglobulin is a plasma-derived product manufactured to treat a range of medical conditions. Access to government-funded Ig is through the national blood arrangements and </w:t>
      </w:r>
      <w:proofErr w:type="gramStart"/>
      <w:r>
        <w:t>is determined</w:t>
      </w:r>
      <w:proofErr w:type="gramEnd"/>
      <w:r>
        <w:t xml:space="preserve"> by the NBA’s C</w:t>
      </w:r>
      <w:r>
        <w:rPr>
          <w:i/>
          <w:iCs/>
        </w:rPr>
        <w:t xml:space="preserve">riteria for Clinical Use of Immunoglobulin in Australia </w:t>
      </w:r>
      <w:r w:rsidRPr="00011C8B">
        <w:rPr>
          <w:iCs/>
        </w:rPr>
        <w:t>(</w:t>
      </w:r>
      <w:r>
        <w:rPr>
          <w:iCs/>
        </w:rPr>
        <w:t>the Criteria)</w:t>
      </w:r>
      <w:r>
        <w:t xml:space="preserve">. </w:t>
      </w:r>
      <w:r w:rsidRPr="001E12A6">
        <w:rPr>
          <w:szCs w:val="24"/>
        </w:rPr>
        <w:t xml:space="preserve">Although the exact mechanism of action that </w:t>
      </w:r>
      <w:proofErr w:type="spellStart"/>
      <w:r w:rsidRPr="001E12A6">
        <w:rPr>
          <w:szCs w:val="24"/>
        </w:rPr>
        <w:t>IVIg</w:t>
      </w:r>
      <w:proofErr w:type="spellEnd"/>
      <w:r w:rsidRPr="001E12A6">
        <w:rPr>
          <w:szCs w:val="24"/>
        </w:rPr>
        <w:t xml:space="preserve"> has on MG patients </w:t>
      </w:r>
      <w:proofErr w:type="gramStart"/>
      <w:r w:rsidRPr="001E12A6">
        <w:rPr>
          <w:szCs w:val="24"/>
        </w:rPr>
        <w:t>is not known</w:t>
      </w:r>
      <w:proofErr w:type="gramEnd"/>
      <w:r w:rsidRPr="001E12A6">
        <w:rPr>
          <w:szCs w:val="24"/>
        </w:rPr>
        <w:t>, it acts as an immune modulator, reducing the a</w:t>
      </w:r>
      <w:r>
        <w:rPr>
          <w:szCs w:val="24"/>
        </w:rPr>
        <w:t xml:space="preserve">bnormal immune response and </w:t>
      </w:r>
      <w:r w:rsidRPr="001E12A6">
        <w:rPr>
          <w:szCs w:val="24"/>
        </w:rPr>
        <w:t xml:space="preserve">neuromuscular symptoms. Due to its high cost, </w:t>
      </w:r>
      <w:proofErr w:type="spellStart"/>
      <w:r w:rsidRPr="001E12A6">
        <w:rPr>
          <w:szCs w:val="24"/>
        </w:rPr>
        <w:t>IVIg</w:t>
      </w:r>
      <w:proofErr w:type="spellEnd"/>
      <w:r w:rsidRPr="001E12A6">
        <w:rPr>
          <w:szCs w:val="24"/>
        </w:rPr>
        <w:t xml:space="preserve"> </w:t>
      </w:r>
      <w:proofErr w:type="gramStart"/>
      <w:r w:rsidRPr="001E12A6">
        <w:rPr>
          <w:szCs w:val="24"/>
        </w:rPr>
        <w:t>is usually gi</w:t>
      </w:r>
      <w:r w:rsidR="00413636">
        <w:rPr>
          <w:szCs w:val="24"/>
        </w:rPr>
        <w:t>ven</w:t>
      </w:r>
      <w:proofErr w:type="gramEnd"/>
      <w:r w:rsidR="00413636">
        <w:rPr>
          <w:szCs w:val="24"/>
        </w:rPr>
        <w:t xml:space="preserve"> as a short-</w:t>
      </w:r>
      <w:r w:rsidRPr="001E12A6">
        <w:rPr>
          <w:szCs w:val="24"/>
        </w:rPr>
        <w:t xml:space="preserve">term therapy, although some patients remain on </w:t>
      </w:r>
      <w:proofErr w:type="spellStart"/>
      <w:r w:rsidRPr="001E12A6">
        <w:rPr>
          <w:szCs w:val="24"/>
        </w:rPr>
        <w:t>IVIg</w:t>
      </w:r>
      <w:proofErr w:type="spellEnd"/>
      <w:r w:rsidRPr="001E12A6">
        <w:rPr>
          <w:szCs w:val="24"/>
        </w:rPr>
        <w:t xml:space="preserve"> maintenance therapy longer term.</w:t>
      </w:r>
      <w:r>
        <w:rPr>
          <w:szCs w:val="24"/>
        </w:rPr>
        <w:t xml:space="preserve"> </w:t>
      </w:r>
    </w:p>
    <w:p w14:paraId="212E08DA" w14:textId="77777777" w:rsidR="00111108" w:rsidRDefault="00111108" w:rsidP="00BE75FD">
      <w:pPr>
        <w:autoSpaceDE w:val="0"/>
        <w:autoSpaceDN w:val="0"/>
        <w:adjustRightInd w:val="0"/>
        <w:spacing w:before="240"/>
        <w:rPr>
          <w:b/>
        </w:rPr>
      </w:pPr>
      <w:r w:rsidRPr="00CF4E81">
        <w:rPr>
          <w:b/>
        </w:rPr>
        <w:t>Description of Medical Condition(s)</w:t>
      </w:r>
    </w:p>
    <w:p w14:paraId="39FDAB00" w14:textId="7528DFFC" w:rsidR="00BA6645" w:rsidRDefault="00BA6645" w:rsidP="00BA6645">
      <w:pPr>
        <w:tabs>
          <w:tab w:val="left" w:pos="720"/>
          <w:tab w:val="left" w:pos="1140"/>
        </w:tabs>
        <w:rPr>
          <w:szCs w:val="24"/>
        </w:rPr>
      </w:pPr>
      <w:r w:rsidRPr="004F0067">
        <w:rPr>
          <w:szCs w:val="24"/>
        </w:rPr>
        <w:t>M</w:t>
      </w:r>
      <w:r>
        <w:rPr>
          <w:szCs w:val="24"/>
        </w:rPr>
        <w:t>G</w:t>
      </w:r>
      <w:r w:rsidRPr="004F0067">
        <w:rPr>
          <w:szCs w:val="24"/>
        </w:rPr>
        <w:t xml:space="preserve"> is an autoimmune condition </w:t>
      </w:r>
      <w:r w:rsidRPr="00B04D85">
        <w:rPr>
          <w:szCs w:val="24"/>
        </w:rPr>
        <w:t>associated with the presence of antibodies to acetylcholine receptors (</w:t>
      </w:r>
      <w:proofErr w:type="spellStart"/>
      <w:r w:rsidRPr="00B04D85">
        <w:rPr>
          <w:szCs w:val="24"/>
        </w:rPr>
        <w:t>AChR</w:t>
      </w:r>
      <w:proofErr w:type="spellEnd"/>
      <w:r w:rsidRPr="00B04D85">
        <w:rPr>
          <w:szCs w:val="24"/>
        </w:rPr>
        <w:t>) or to muscle-specific tyrosine kinase (</w:t>
      </w:r>
      <w:proofErr w:type="spellStart"/>
      <w:r w:rsidRPr="00B04D85">
        <w:rPr>
          <w:szCs w:val="24"/>
        </w:rPr>
        <w:t>MuSK</w:t>
      </w:r>
      <w:proofErr w:type="spellEnd"/>
      <w:r w:rsidRPr="00B04D85">
        <w:rPr>
          <w:szCs w:val="24"/>
        </w:rPr>
        <w:t>) at the neuromuscular junction. Some patients with myasthenia gravis are antibody negative</w:t>
      </w:r>
      <w:r>
        <w:rPr>
          <w:szCs w:val="24"/>
        </w:rPr>
        <w:t>. The condition affects transmission of signals from the nerves to the muscles, causing muscle weakness</w:t>
      </w:r>
      <w:r w:rsidRPr="004F0067">
        <w:rPr>
          <w:szCs w:val="24"/>
        </w:rPr>
        <w:t>.</w:t>
      </w:r>
      <w:r>
        <w:rPr>
          <w:szCs w:val="24"/>
        </w:rPr>
        <w:t xml:space="preserve"> </w:t>
      </w:r>
      <w:r w:rsidRPr="00086BDA">
        <w:rPr>
          <w:szCs w:val="24"/>
        </w:rPr>
        <w:t>Clinical features are characterised by fluctuating weakness and fatigability of voluntary muscles,</w:t>
      </w:r>
      <w:r>
        <w:rPr>
          <w:szCs w:val="24"/>
        </w:rPr>
        <w:t xml:space="preserve"> and patients usually present with drooping of the eyelids, double vision and difficulty swallowing.</w:t>
      </w:r>
    </w:p>
    <w:p w14:paraId="5395E2F6" w14:textId="77777777" w:rsidR="00BA6645" w:rsidRDefault="00BA6645" w:rsidP="00E538E7">
      <w:pPr>
        <w:tabs>
          <w:tab w:val="left" w:pos="720"/>
          <w:tab w:val="left" w:pos="1140"/>
        </w:tabs>
        <w:spacing w:before="240"/>
        <w:rPr>
          <w:szCs w:val="24"/>
        </w:rPr>
      </w:pPr>
      <w:r>
        <w:rPr>
          <w:szCs w:val="24"/>
        </w:rPr>
        <w:t xml:space="preserve">This application includes patients with MG who are currently eligible for Ig treatment in Australia according to Version 3 of the </w:t>
      </w:r>
      <w:r w:rsidRPr="006619E7">
        <w:rPr>
          <w:i/>
          <w:szCs w:val="24"/>
        </w:rPr>
        <w:t>Criteria for the clinical use of immunoglobulin in Australia</w:t>
      </w:r>
      <w:r w:rsidRPr="003C7185">
        <w:rPr>
          <w:rStyle w:val="FootnoteReference"/>
          <w:szCs w:val="24"/>
        </w:rPr>
        <w:footnoteReference w:id="1"/>
      </w:r>
      <w:r>
        <w:rPr>
          <w:i/>
          <w:szCs w:val="24"/>
        </w:rPr>
        <w:t xml:space="preserve"> </w:t>
      </w:r>
      <w:r w:rsidRPr="006619E7">
        <w:rPr>
          <w:szCs w:val="24"/>
        </w:rPr>
        <w:t>(the Criteria)</w:t>
      </w:r>
      <w:r>
        <w:rPr>
          <w:szCs w:val="24"/>
        </w:rPr>
        <w:t xml:space="preserve">. There are three indications for which these patients may be eligible for </w:t>
      </w:r>
      <w:proofErr w:type="spellStart"/>
      <w:r>
        <w:rPr>
          <w:szCs w:val="24"/>
        </w:rPr>
        <w:t>IVIg</w:t>
      </w:r>
      <w:proofErr w:type="spellEnd"/>
      <w:r>
        <w:rPr>
          <w:szCs w:val="24"/>
        </w:rPr>
        <w:t xml:space="preserve"> therapy: </w:t>
      </w:r>
    </w:p>
    <w:p w14:paraId="3830C78B" w14:textId="77777777" w:rsidR="00BA6645" w:rsidRPr="00EF6F37" w:rsidRDefault="00BA6645" w:rsidP="00BA6645">
      <w:pPr>
        <w:pStyle w:val="ListParagraph"/>
        <w:numPr>
          <w:ilvl w:val="0"/>
          <w:numId w:val="9"/>
        </w:numPr>
        <w:tabs>
          <w:tab w:val="left" w:pos="720"/>
          <w:tab w:val="left" w:pos="1140"/>
        </w:tabs>
        <w:rPr>
          <w:szCs w:val="24"/>
        </w:rPr>
      </w:pPr>
      <w:r w:rsidRPr="00EF6F37">
        <w:rPr>
          <w:szCs w:val="24"/>
          <w:u w:val="single"/>
        </w:rPr>
        <w:t>Indication 1:</w:t>
      </w:r>
      <w:r w:rsidRPr="00EF6F37">
        <w:rPr>
          <w:szCs w:val="24"/>
        </w:rPr>
        <w:t xml:space="preserve"> </w:t>
      </w:r>
      <w:proofErr w:type="spellStart"/>
      <w:r w:rsidRPr="00EF6F37">
        <w:rPr>
          <w:szCs w:val="24"/>
        </w:rPr>
        <w:t>Myasthenic</w:t>
      </w:r>
      <w:proofErr w:type="spellEnd"/>
      <w:r w:rsidRPr="00EF6F37">
        <w:rPr>
          <w:szCs w:val="24"/>
        </w:rPr>
        <w:t xml:space="preserve"> crisis as an alternative treatment to plasma exchange</w:t>
      </w:r>
    </w:p>
    <w:p w14:paraId="4263E09C" w14:textId="77777777" w:rsidR="00BA6645" w:rsidRPr="00EF6F37" w:rsidRDefault="00BA6645" w:rsidP="00BA6645">
      <w:pPr>
        <w:pStyle w:val="ListParagraph"/>
        <w:numPr>
          <w:ilvl w:val="0"/>
          <w:numId w:val="9"/>
        </w:numPr>
        <w:tabs>
          <w:tab w:val="left" w:pos="720"/>
          <w:tab w:val="left" w:pos="1140"/>
        </w:tabs>
        <w:rPr>
          <w:szCs w:val="24"/>
        </w:rPr>
      </w:pPr>
      <w:r w:rsidRPr="00EF6F37">
        <w:rPr>
          <w:szCs w:val="24"/>
          <w:u w:val="single"/>
        </w:rPr>
        <w:t>Indication 2:</w:t>
      </w:r>
      <w:r w:rsidRPr="00EF6F37">
        <w:rPr>
          <w:szCs w:val="24"/>
        </w:rPr>
        <w:t xml:space="preserve"> MG prior to surgery and/or </w:t>
      </w:r>
      <w:proofErr w:type="spellStart"/>
      <w:r w:rsidRPr="00EF6F37">
        <w:rPr>
          <w:szCs w:val="24"/>
        </w:rPr>
        <w:t>thymectomy</w:t>
      </w:r>
      <w:proofErr w:type="spellEnd"/>
      <w:r w:rsidRPr="00EF6F37">
        <w:rPr>
          <w:szCs w:val="24"/>
        </w:rPr>
        <w:t xml:space="preserve"> in patients with advanced disease, bulbar symptoms or respiratory involvement, as an alternative treatment to plasma exchange</w:t>
      </w:r>
    </w:p>
    <w:p w14:paraId="53CD4F7A" w14:textId="7C992F8D" w:rsidR="00BA6645" w:rsidRPr="00E538E7" w:rsidRDefault="00BA6645" w:rsidP="00BA6645">
      <w:pPr>
        <w:pStyle w:val="ListParagraph"/>
        <w:numPr>
          <w:ilvl w:val="0"/>
          <w:numId w:val="9"/>
        </w:numPr>
        <w:tabs>
          <w:tab w:val="left" w:pos="720"/>
          <w:tab w:val="left" w:pos="1140"/>
        </w:tabs>
        <w:rPr>
          <w:szCs w:val="24"/>
        </w:rPr>
      </w:pPr>
      <w:r w:rsidRPr="00EF6F37">
        <w:rPr>
          <w:szCs w:val="24"/>
          <w:u w:val="single"/>
        </w:rPr>
        <w:t>Indication 3:</w:t>
      </w:r>
      <w:r w:rsidRPr="00EF6F37">
        <w:rPr>
          <w:szCs w:val="24"/>
        </w:rPr>
        <w:t xml:space="preserve"> As a maintenance therapy for moderate to severe MG when other treatments have been ineffective or caused intolerable side effects.</w:t>
      </w:r>
    </w:p>
    <w:p w14:paraId="67AED823" w14:textId="1115FA43" w:rsidR="00BA6645" w:rsidRPr="004B0818" w:rsidRDefault="00BA6645" w:rsidP="00E538E7">
      <w:pPr>
        <w:tabs>
          <w:tab w:val="left" w:pos="720"/>
          <w:tab w:val="left" w:pos="1140"/>
        </w:tabs>
        <w:spacing w:before="240" w:after="240"/>
        <w:rPr>
          <w:szCs w:val="24"/>
        </w:rPr>
      </w:pPr>
      <w:r>
        <w:rPr>
          <w:szCs w:val="24"/>
        </w:rPr>
        <w:t xml:space="preserve">According to the applicant, 1,174 patients received </w:t>
      </w:r>
      <w:proofErr w:type="spellStart"/>
      <w:r>
        <w:rPr>
          <w:szCs w:val="24"/>
        </w:rPr>
        <w:t>IVIg</w:t>
      </w:r>
      <w:proofErr w:type="spellEnd"/>
      <w:r>
        <w:rPr>
          <w:szCs w:val="24"/>
        </w:rPr>
        <w:t xml:space="preserve"> for MG in Australia from July 2017-June 2018, and t</w:t>
      </w:r>
      <w:r w:rsidRPr="00F63E7A">
        <w:rPr>
          <w:szCs w:val="24"/>
        </w:rPr>
        <w:t>he reported prevalen</w:t>
      </w:r>
      <w:r>
        <w:rPr>
          <w:szCs w:val="24"/>
        </w:rPr>
        <w:t xml:space="preserve">ce in the PICO for MG </w:t>
      </w:r>
      <w:r w:rsidRPr="00A57718">
        <w:rPr>
          <w:szCs w:val="24"/>
        </w:rPr>
        <w:t>in Western countries is 2-7/10,000 population. Based on this prevalence</w:t>
      </w:r>
      <w:r>
        <w:rPr>
          <w:szCs w:val="24"/>
        </w:rPr>
        <w:t xml:space="preserve"> estimate,</w:t>
      </w:r>
      <w:r w:rsidRPr="00A57718">
        <w:rPr>
          <w:szCs w:val="24"/>
        </w:rPr>
        <w:t xml:space="preserve"> around 5,000-17,500 patients are affected by MG based on an Australian population</w:t>
      </w:r>
      <w:r w:rsidRPr="00A57718">
        <w:rPr>
          <w:rStyle w:val="FootnoteReference"/>
          <w:szCs w:val="24"/>
        </w:rPr>
        <w:footnoteReference w:id="2"/>
      </w:r>
      <w:r w:rsidRPr="00A57718">
        <w:rPr>
          <w:szCs w:val="24"/>
        </w:rPr>
        <w:t xml:space="preserve"> of approximately 25 million at June 2018. The applicant calculated the spread across</w:t>
      </w:r>
      <w:r>
        <w:rPr>
          <w:szCs w:val="24"/>
        </w:rPr>
        <w:t xml:space="preserve"> Indications 1, 2, and 3 to be 17.1% (201), 2.8% (33) and 80.1% (940) respectively in terms of patient numbers. However, the Applicant advised that usage in terms of grams of </w:t>
      </w:r>
      <w:proofErr w:type="spellStart"/>
      <w:proofErr w:type="gramStart"/>
      <w:r>
        <w:rPr>
          <w:szCs w:val="24"/>
        </w:rPr>
        <w:t>IVIg</w:t>
      </w:r>
      <w:proofErr w:type="spellEnd"/>
      <w:r>
        <w:rPr>
          <w:szCs w:val="24"/>
        </w:rPr>
        <w:t>,</w:t>
      </w:r>
      <w:proofErr w:type="gramEnd"/>
      <w:r>
        <w:rPr>
          <w:szCs w:val="24"/>
        </w:rPr>
        <w:t xml:space="preserve"> is estimated to be distributed across the three indications in the proportions of 9%: 1%:90% respectively.</w:t>
      </w:r>
    </w:p>
    <w:p w14:paraId="4B1A8EAC" w14:textId="2A000A85" w:rsidR="00BA6645" w:rsidRPr="00CF4E81" w:rsidRDefault="00BA6645" w:rsidP="00111108">
      <w:pPr>
        <w:autoSpaceDE w:val="0"/>
        <w:autoSpaceDN w:val="0"/>
        <w:adjustRightInd w:val="0"/>
        <w:rPr>
          <w:b/>
        </w:rPr>
      </w:pPr>
      <w:r>
        <w:rPr>
          <w:b/>
        </w:rPr>
        <w:lastRenderedPageBreak/>
        <w:t>Place in clinical management</w:t>
      </w:r>
    </w:p>
    <w:p w14:paraId="54E042D6" w14:textId="77777777" w:rsidR="00BA6645" w:rsidRDefault="00BA6645" w:rsidP="00BE75FD">
      <w:pPr>
        <w:rPr>
          <w:lang w:val="en-US"/>
        </w:rPr>
      </w:pPr>
      <w:r>
        <w:rPr>
          <w:lang w:val="en-US"/>
        </w:rPr>
        <w:t xml:space="preserve">Diagnosis by a neurologist </w:t>
      </w:r>
      <w:proofErr w:type="gramStart"/>
      <w:r>
        <w:rPr>
          <w:lang w:val="en-US"/>
        </w:rPr>
        <w:t>must be made</w:t>
      </w:r>
      <w:proofErr w:type="gramEnd"/>
      <w:r>
        <w:rPr>
          <w:lang w:val="en-US"/>
        </w:rPr>
        <w:t xml:space="preserve"> for patients to receive Ig for any of the MG</w:t>
      </w:r>
      <w:r w:rsidRPr="007D1918">
        <w:rPr>
          <w:lang w:val="en-US"/>
        </w:rPr>
        <w:t xml:space="preserve"> indications covered by NBA </w:t>
      </w:r>
      <w:r w:rsidRPr="007D1918">
        <w:rPr>
          <w:i/>
          <w:lang w:val="en-US"/>
        </w:rPr>
        <w:t>Criteria V3</w:t>
      </w:r>
      <w:r w:rsidRPr="007D1918">
        <w:rPr>
          <w:lang w:val="en-US"/>
        </w:rPr>
        <w:t xml:space="preserve">. </w:t>
      </w:r>
    </w:p>
    <w:p w14:paraId="18D68EC9" w14:textId="02F42F71" w:rsidR="00BA6645" w:rsidRDefault="00BA6645" w:rsidP="000031DC">
      <w:pPr>
        <w:spacing w:before="240"/>
        <w:rPr>
          <w:lang w:val="en-US"/>
        </w:rPr>
      </w:pPr>
      <w:r>
        <w:rPr>
          <w:lang w:val="en-US"/>
        </w:rPr>
        <w:t>For</w:t>
      </w:r>
      <w:r w:rsidRPr="00957E7B">
        <w:rPr>
          <w:lang w:val="en-US"/>
        </w:rPr>
        <w:t xml:space="preserve"> Indication 1</w:t>
      </w:r>
      <w:r>
        <w:rPr>
          <w:lang w:val="en-US"/>
        </w:rPr>
        <w:t>,</w:t>
      </w:r>
      <w:r w:rsidRPr="00957E7B">
        <w:rPr>
          <w:lang w:val="en-US"/>
        </w:rPr>
        <w:t xml:space="preserve"> a patient must have respiratory insufficiency requiring intubation and assisted ventilation, or have symptoms to show they are at risk of life-threatening </w:t>
      </w:r>
      <w:proofErr w:type="spellStart"/>
      <w:r w:rsidRPr="00957E7B">
        <w:rPr>
          <w:lang w:val="en-US"/>
        </w:rPr>
        <w:t>myasthenic</w:t>
      </w:r>
      <w:proofErr w:type="spellEnd"/>
      <w:r w:rsidRPr="00957E7B">
        <w:rPr>
          <w:lang w:val="en-US"/>
        </w:rPr>
        <w:t xml:space="preserve"> crisis</w:t>
      </w:r>
      <w:r>
        <w:rPr>
          <w:lang w:val="en-US"/>
        </w:rPr>
        <w:t xml:space="preserve"> to meet the eligibility criteria</w:t>
      </w:r>
      <w:r w:rsidRPr="00957E7B">
        <w:rPr>
          <w:lang w:val="en-US"/>
        </w:rPr>
        <w:t xml:space="preserve">. Patients are often already receiving </w:t>
      </w:r>
      <w:proofErr w:type="spellStart"/>
      <w:r>
        <w:rPr>
          <w:lang w:val="en-US"/>
        </w:rPr>
        <w:t>immunosuppressants</w:t>
      </w:r>
      <w:proofErr w:type="spellEnd"/>
      <w:r>
        <w:rPr>
          <w:lang w:val="en-US"/>
        </w:rPr>
        <w:t xml:space="preserve"> (</w:t>
      </w:r>
      <w:r w:rsidRPr="00957E7B">
        <w:rPr>
          <w:lang w:val="en-US"/>
        </w:rPr>
        <w:t>IS</w:t>
      </w:r>
      <w:r>
        <w:rPr>
          <w:lang w:val="en-US"/>
        </w:rPr>
        <w:t>)</w:t>
      </w:r>
      <w:r w:rsidRPr="00957E7B">
        <w:rPr>
          <w:lang w:val="en-US"/>
        </w:rPr>
        <w:t xml:space="preserve"> or </w:t>
      </w:r>
      <w:r>
        <w:rPr>
          <w:lang w:val="en-US"/>
        </w:rPr>
        <w:t>corticosteroid (</w:t>
      </w:r>
      <w:r w:rsidRPr="00957E7B">
        <w:rPr>
          <w:lang w:val="en-US"/>
        </w:rPr>
        <w:t>CS</w:t>
      </w:r>
      <w:r>
        <w:rPr>
          <w:lang w:val="en-US"/>
        </w:rPr>
        <w:t>)</w:t>
      </w:r>
      <w:r w:rsidRPr="00957E7B">
        <w:rPr>
          <w:lang w:val="en-US"/>
        </w:rPr>
        <w:t xml:space="preserve"> therapy or a combination of therapies. In these circumstances, the neurologist may consider </w:t>
      </w:r>
      <w:proofErr w:type="spellStart"/>
      <w:r w:rsidRPr="00957E7B">
        <w:rPr>
          <w:lang w:val="en-US"/>
        </w:rPr>
        <w:t>IVIg</w:t>
      </w:r>
      <w:proofErr w:type="spellEnd"/>
      <w:r w:rsidRPr="00957E7B">
        <w:rPr>
          <w:lang w:val="en-US"/>
        </w:rPr>
        <w:t xml:space="preserve"> or PE treatment.</w:t>
      </w:r>
    </w:p>
    <w:p w14:paraId="30088C15" w14:textId="6B416EA8" w:rsidR="00BA6645" w:rsidRDefault="00BA6645" w:rsidP="000031DC">
      <w:pPr>
        <w:spacing w:before="240"/>
        <w:rPr>
          <w:lang w:val="en-US"/>
        </w:rPr>
      </w:pPr>
      <w:proofErr w:type="spellStart"/>
      <w:r w:rsidRPr="00957E7B">
        <w:rPr>
          <w:lang w:val="en-US"/>
        </w:rPr>
        <w:t>Thymectomy</w:t>
      </w:r>
      <w:proofErr w:type="spellEnd"/>
      <w:r w:rsidRPr="00957E7B">
        <w:rPr>
          <w:lang w:val="en-US"/>
        </w:rPr>
        <w:t xml:space="preserve"> </w:t>
      </w:r>
      <w:proofErr w:type="gramStart"/>
      <w:r w:rsidRPr="00957E7B">
        <w:rPr>
          <w:lang w:val="en-US"/>
        </w:rPr>
        <w:t>may be considered</w:t>
      </w:r>
      <w:proofErr w:type="gramEnd"/>
      <w:r w:rsidRPr="00957E7B">
        <w:rPr>
          <w:lang w:val="en-US"/>
        </w:rPr>
        <w:t xml:space="preserve"> in MG patients to reduce the autoimmune response. </w:t>
      </w:r>
      <w:r>
        <w:rPr>
          <w:lang w:val="en-US"/>
        </w:rPr>
        <w:t>For Indication 2, p</w:t>
      </w:r>
      <w:r w:rsidRPr="00957E7B">
        <w:rPr>
          <w:lang w:val="en-US"/>
        </w:rPr>
        <w:t xml:space="preserve">atients at an advanced stage in MG disease may require stabilization prior to surgery, through treatment with </w:t>
      </w:r>
      <w:proofErr w:type="spellStart"/>
      <w:r w:rsidRPr="00957E7B">
        <w:rPr>
          <w:lang w:val="en-US"/>
        </w:rPr>
        <w:t>IVIg</w:t>
      </w:r>
      <w:proofErr w:type="spellEnd"/>
      <w:r w:rsidRPr="00957E7B">
        <w:rPr>
          <w:lang w:val="en-US"/>
        </w:rPr>
        <w:t xml:space="preserve"> if patients meet the </w:t>
      </w:r>
      <w:r>
        <w:rPr>
          <w:lang w:val="en-US"/>
        </w:rPr>
        <w:t>eligibility criteria</w:t>
      </w:r>
      <w:r w:rsidRPr="00957E7B">
        <w:rPr>
          <w:lang w:val="en-US"/>
        </w:rPr>
        <w:t xml:space="preserve">. The patient </w:t>
      </w:r>
      <w:proofErr w:type="gramStart"/>
      <w:r w:rsidRPr="00957E7B">
        <w:rPr>
          <w:lang w:val="en-US"/>
        </w:rPr>
        <w:t>should be monitored</w:t>
      </w:r>
      <w:proofErr w:type="gramEnd"/>
      <w:r w:rsidRPr="00957E7B">
        <w:rPr>
          <w:lang w:val="en-US"/>
        </w:rPr>
        <w:t xml:space="preserve"> for stabilization post-surgery.</w:t>
      </w:r>
    </w:p>
    <w:p w14:paraId="4989DFE3" w14:textId="39424EFF" w:rsidR="00BA6645" w:rsidRDefault="00BA6645" w:rsidP="000031DC">
      <w:pPr>
        <w:spacing w:before="240"/>
        <w:rPr>
          <w:lang w:val="en-US"/>
        </w:rPr>
      </w:pPr>
      <w:r w:rsidRPr="00957E7B">
        <w:rPr>
          <w:lang w:val="en-US"/>
        </w:rPr>
        <w:t xml:space="preserve">To qualify for </w:t>
      </w:r>
      <w:proofErr w:type="spellStart"/>
      <w:r w:rsidRPr="00957E7B">
        <w:rPr>
          <w:lang w:val="en-US"/>
        </w:rPr>
        <w:t>IVIg</w:t>
      </w:r>
      <w:proofErr w:type="spellEnd"/>
      <w:r w:rsidRPr="00957E7B">
        <w:rPr>
          <w:lang w:val="en-US"/>
        </w:rPr>
        <w:t xml:space="preserve"> for Indication 3, a patient with non-life-threatening moderate to severe MG symptoms must have already tried and failed at least two </w:t>
      </w:r>
      <w:r w:rsidR="00604D56">
        <w:rPr>
          <w:lang w:val="en-US"/>
        </w:rPr>
        <w:t>alternative</w:t>
      </w:r>
      <w:r w:rsidRPr="00957E7B">
        <w:rPr>
          <w:lang w:val="en-US"/>
        </w:rPr>
        <w:t xml:space="preserve"> therapies. Alternatively, patients may </w:t>
      </w:r>
      <w:r w:rsidR="00E216E2">
        <w:rPr>
          <w:lang w:val="en-US"/>
        </w:rPr>
        <w:t xml:space="preserve">be </w:t>
      </w:r>
      <w:r w:rsidRPr="00957E7B">
        <w:rPr>
          <w:lang w:val="en-US"/>
        </w:rPr>
        <w:t>contraindicated for alternative therapies</w:t>
      </w:r>
      <w:r w:rsidR="00604D56">
        <w:rPr>
          <w:lang w:val="en-US"/>
        </w:rPr>
        <w:t xml:space="preserve"> (including </w:t>
      </w:r>
      <w:r w:rsidRPr="00957E7B">
        <w:rPr>
          <w:lang w:val="en-US"/>
        </w:rPr>
        <w:t xml:space="preserve">by development of </w:t>
      </w:r>
      <w:r w:rsidR="00604D56">
        <w:rPr>
          <w:lang w:val="en-US"/>
        </w:rPr>
        <w:t xml:space="preserve">side effects or </w:t>
      </w:r>
      <w:r w:rsidRPr="00957E7B">
        <w:rPr>
          <w:lang w:val="en-US"/>
        </w:rPr>
        <w:t>comorbidities</w:t>
      </w:r>
      <w:r w:rsidR="00604D56">
        <w:rPr>
          <w:lang w:val="en-US"/>
        </w:rPr>
        <w:t>) or have alternative therapies unavailable to them.</w:t>
      </w:r>
    </w:p>
    <w:p w14:paraId="57F07F44" w14:textId="6C4A5FCB" w:rsidR="00BA6645" w:rsidRPr="007D1918" w:rsidRDefault="00BA6645" w:rsidP="000031DC">
      <w:pPr>
        <w:spacing w:before="240" w:after="240"/>
        <w:rPr>
          <w:lang w:val="en-US"/>
        </w:rPr>
      </w:pPr>
      <w:r w:rsidRPr="007D1918">
        <w:rPr>
          <w:lang w:val="en-US"/>
        </w:rPr>
        <w:t xml:space="preserve">The clinical management pathways for Indications 1, 2, and 3 </w:t>
      </w:r>
      <w:proofErr w:type="gramStart"/>
      <w:r w:rsidRPr="007D1918">
        <w:rPr>
          <w:lang w:val="en-US"/>
        </w:rPr>
        <w:t>are shown</w:t>
      </w:r>
      <w:proofErr w:type="gramEnd"/>
      <w:r w:rsidRPr="007D1918">
        <w:rPr>
          <w:lang w:val="en-US"/>
        </w:rPr>
        <w:t xml:space="preserve"> in </w:t>
      </w:r>
      <w:r w:rsidRPr="007D1918">
        <w:rPr>
          <w:lang w:val="en-US"/>
        </w:rPr>
        <w:fldChar w:fldCharType="begin"/>
      </w:r>
      <w:r w:rsidRPr="007D1918">
        <w:rPr>
          <w:lang w:val="en-US"/>
        </w:rPr>
        <w:instrText xml:space="preserve"> REF _Ref2780635 \h  \* MERGEFORMAT </w:instrText>
      </w:r>
      <w:r w:rsidRPr="007D1918">
        <w:rPr>
          <w:lang w:val="en-US"/>
        </w:rPr>
      </w:r>
      <w:r w:rsidRPr="007D1918">
        <w:rPr>
          <w:lang w:val="en-US"/>
        </w:rPr>
        <w:fldChar w:fldCharType="separate"/>
      </w:r>
      <w:r w:rsidRPr="007D1918">
        <w:t xml:space="preserve">Figure </w:t>
      </w:r>
      <w:r w:rsidRPr="007D1918">
        <w:rPr>
          <w:noProof/>
        </w:rPr>
        <w:t>1</w:t>
      </w:r>
      <w:r w:rsidRPr="007D1918">
        <w:rPr>
          <w:lang w:val="en-US"/>
        </w:rPr>
        <w:fldChar w:fldCharType="end"/>
      </w:r>
      <w:r w:rsidRPr="007D1918">
        <w:rPr>
          <w:lang w:val="en-US"/>
        </w:rPr>
        <w:t xml:space="preserve">, </w:t>
      </w:r>
      <w:r w:rsidRPr="007D1918">
        <w:rPr>
          <w:lang w:val="en-US"/>
        </w:rPr>
        <w:fldChar w:fldCharType="begin"/>
      </w:r>
      <w:r w:rsidRPr="007D1918">
        <w:rPr>
          <w:lang w:val="en-US"/>
        </w:rPr>
        <w:instrText xml:space="preserve"> REF _Ref2780636 \h  \* MERGEFORMAT </w:instrText>
      </w:r>
      <w:r w:rsidRPr="007D1918">
        <w:rPr>
          <w:lang w:val="en-US"/>
        </w:rPr>
      </w:r>
      <w:r w:rsidRPr="007D1918">
        <w:rPr>
          <w:lang w:val="en-US"/>
        </w:rPr>
        <w:fldChar w:fldCharType="separate"/>
      </w:r>
      <w:r w:rsidRPr="007D1918">
        <w:rPr>
          <w:noProof/>
        </w:rPr>
        <w:t>Figure</w:t>
      </w:r>
      <w:r w:rsidRPr="007D1918">
        <w:t xml:space="preserve"> </w:t>
      </w:r>
      <w:r w:rsidRPr="007D1918">
        <w:rPr>
          <w:noProof/>
        </w:rPr>
        <w:t>2</w:t>
      </w:r>
      <w:r w:rsidRPr="007D1918">
        <w:rPr>
          <w:lang w:val="en-US"/>
        </w:rPr>
        <w:fldChar w:fldCharType="end"/>
      </w:r>
      <w:r w:rsidRPr="007D1918">
        <w:rPr>
          <w:lang w:val="en-US"/>
        </w:rPr>
        <w:t xml:space="preserve"> and </w:t>
      </w:r>
      <w:r w:rsidRPr="007D1918">
        <w:rPr>
          <w:lang w:val="en-US"/>
        </w:rPr>
        <w:fldChar w:fldCharType="begin"/>
      </w:r>
      <w:r w:rsidRPr="007D1918">
        <w:rPr>
          <w:lang w:val="en-US"/>
        </w:rPr>
        <w:instrText xml:space="preserve"> REF _Ref2780638 \h  \* MERGEFORMAT </w:instrText>
      </w:r>
      <w:r w:rsidRPr="007D1918">
        <w:rPr>
          <w:lang w:val="en-US"/>
        </w:rPr>
      </w:r>
      <w:r w:rsidRPr="007D1918">
        <w:rPr>
          <w:lang w:val="en-US"/>
        </w:rPr>
        <w:fldChar w:fldCharType="separate"/>
      </w:r>
      <w:r w:rsidRPr="007D1918">
        <w:t xml:space="preserve">Figure </w:t>
      </w:r>
      <w:r w:rsidRPr="007D1918">
        <w:rPr>
          <w:noProof/>
        </w:rPr>
        <w:t>3</w:t>
      </w:r>
      <w:r w:rsidRPr="007D1918">
        <w:rPr>
          <w:lang w:val="en-US"/>
        </w:rPr>
        <w:fldChar w:fldCharType="end"/>
      </w:r>
      <w:r w:rsidRPr="007D1918">
        <w:rPr>
          <w:lang w:val="en-US"/>
        </w:rPr>
        <w:t xml:space="preserve">, </w:t>
      </w:r>
      <w:r>
        <w:rPr>
          <w:lang w:val="en-US"/>
        </w:rPr>
        <w:t>respectively</w:t>
      </w:r>
      <w:r w:rsidRPr="007D1918">
        <w:rPr>
          <w:lang w:val="en-US"/>
        </w:rPr>
        <w:t xml:space="preserve">. </w:t>
      </w:r>
    </w:p>
    <w:p w14:paraId="404F3556" w14:textId="77777777" w:rsidR="00BA6645" w:rsidRPr="007D1918" w:rsidRDefault="00BA6645" w:rsidP="00BA6645">
      <w:pPr>
        <w:jc w:val="both"/>
        <w:rPr>
          <w:lang w:val="en-US"/>
        </w:rPr>
      </w:pPr>
      <w:r w:rsidRPr="007D1918">
        <w:rPr>
          <w:noProof/>
        </w:rPr>
        <w:drawing>
          <wp:inline distT="0" distB="0" distL="0" distR="0" wp14:anchorId="2CA32098" wp14:editId="09263838">
            <wp:extent cx="4189543" cy="3020695"/>
            <wp:effectExtent l="0" t="0" r="1905" b="8255"/>
            <wp:docPr id="11" name="Picture 11" descr="Patients meeting Criteria V3 for Indication 1 are given IVIg plus other therapies or PE plus other therapies. If patients responds, they stabilise and receive usual care. if patient does not respond, other treatment are required." title="Figure 1: Clinical management pathway for patients with, or at risk of, myasthenic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6538" cy="3032948"/>
                    </a:xfrm>
                    <a:prstGeom prst="rect">
                      <a:avLst/>
                    </a:prstGeom>
                    <a:noFill/>
                    <a:ln>
                      <a:noFill/>
                    </a:ln>
                  </pic:spPr>
                </pic:pic>
              </a:graphicData>
            </a:graphic>
          </wp:inline>
        </w:drawing>
      </w:r>
    </w:p>
    <w:p w14:paraId="39BDF1B8" w14:textId="77777777" w:rsidR="00BA6645" w:rsidRPr="006B3038" w:rsidRDefault="00BA6645" w:rsidP="006B3038">
      <w:pPr>
        <w:spacing w:before="240"/>
        <w:rPr>
          <w:rFonts w:ascii="Arial Narrow" w:hAnsi="Arial Narrow"/>
          <w:b/>
          <w:sz w:val="20"/>
        </w:rPr>
      </w:pPr>
      <w:bookmarkStart w:id="3" w:name="_Ref2780635"/>
      <w:bookmarkStart w:id="4" w:name="_Toc23769606"/>
      <w:r w:rsidRPr="006B3038">
        <w:rPr>
          <w:rFonts w:ascii="Arial Narrow" w:hAnsi="Arial Narrow"/>
          <w:b/>
          <w:sz w:val="20"/>
        </w:rPr>
        <w:t xml:space="preserve">Figure </w:t>
      </w:r>
      <w:r w:rsidRPr="006B3038">
        <w:rPr>
          <w:rFonts w:ascii="Arial Narrow" w:hAnsi="Arial Narrow"/>
          <w:b/>
          <w:sz w:val="20"/>
        </w:rPr>
        <w:fldChar w:fldCharType="begin"/>
      </w:r>
      <w:r w:rsidRPr="006B3038">
        <w:rPr>
          <w:rFonts w:ascii="Arial Narrow" w:hAnsi="Arial Narrow"/>
          <w:b/>
          <w:sz w:val="20"/>
        </w:rPr>
        <w:instrText xml:space="preserve"> SEQ Figure \* ARABIC </w:instrText>
      </w:r>
      <w:r w:rsidRPr="006B3038">
        <w:rPr>
          <w:rFonts w:ascii="Arial Narrow" w:hAnsi="Arial Narrow"/>
          <w:b/>
          <w:sz w:val="20"/>
        </w:rPr>
        <w:fldChar w:fldCharType="separate"/>
      </w:r>
      <w:proofErr w:type="gramStart"/>
      <w:r w:rsidRPr="006B3038">
        <w:rPr>
          <w:rFonts w:ascii="Arial Narrow" w:hAnsi="Arial Narrow"/>
          <w:b/>
          <w:sz w:val="20"/>
        </w:rPr>
        <w:t>1</w:t>
      </w:r>
      <w:proofErr w:type="gramEnd"/>
      <w:r w:rsidRPr="006B3038">
        <w:rPr>
          <w:rFonts w:ascii="Arial Narrow" w:hAnsi="Arial Narrow"/>
          <w:b/>
          <w:sz w:val="20"/>
        </w:rPr>
        <w:fldChar w:fldCharType="end"/>
      </w:r>
      <w:bookmarkEnd w:id="3"/>
      <w:r w:rsidRPr="006B3038">
        <w:rPr>
          <w:rFonts w:ascii="Arial Narrow" w:hAnsi="Arial Narrow"/>
          <w:b/>
          <w:sz w:val="20"/>
        </w:rPr>
        <w:tab/>
        <w:t xml:space="preserve">Clinical management pathway for patients with, or at risk of, </w:t>
      </w:r>
      <w:proofErr w:type="spellStart"/>
      <w:r w:rsidRPr="006B3038">
        <w:rPr>
          <w:rFonts w:ascii="Arial Narrow" w:hAnsi="Arial Narrow"/>
          <w:b/>
          <w:sz w:val="20"/>
        </w:rPr>
        <w:t>myasthenic</w:t>
      </w:r>
      <w:proofErr w:type="spellEnd"/>
      <w:r w:rsidRPr="006B3038">
        <w:rPr>
          <w:rFonts w:ascii="Arial Narrow" w:hAnsi="Arial Narrow"/>
          <w:b/>
          <w:sz w:val="20"/>
        </w:rPr>
        <w:t xml:space="preserve"> crisis</w:t>
      </w:r>
      <w:bookmarkEnd w:id="4"/>
    </w:p>
    <w:p w14:paraId="46EEF2A4" w14:textId="77777777" w:rsidR="00BA6645" w:rsidRPr="007D1918" w:rsidRDefault="00BA6645" w:rsidP="00BA6645">
      <w:pPr>
        <w:spacing w:after="60"/>
        <w:rPr>
          <w:rFonts w:ascii="Arial Narrow" w:hAnsi="Arial Narrow"/>
          <w:sz w:val="18"/>
          <w:szCs w:val="18"/>
          <w:lang w:eastAsia="en-US"/>
        </w:rPr>
      </w:pPr>
      <w:proofErr w:type="spellStart"/>
      <w:r w:rsidRPr="007D1918">
        <w:rPr>
          <w:rFonts w:ascii="Arial Narrow" w:hAnsi="Arial Narrow"/>
          <w:sz w:val="18"/>
          <w:szCs w:val="18"/>
          <w:lang w:eastAsia="en-US"/>
        </w:rPr>
        <w:t>IVIg</w:t>
      </w:r>
      <w:proofErr w:type="spellEnd"/>
      <w:r w:rsidRPr="007D1918">
        <w:rPr>
          <w:rFonts w:ascii="Arial Narrow" w:hAnsi="Arial Narrow"/>
          <w:sz w:val="18"/>
          <w:szCs w:val="18"/>
          <w:lang w:eastAsia="en-US"/>
        </w:rPr>
        <w:t xml:space="preserve"> = intravenous immunoglobulin therapy</w:t>
      </w:r>
    </w:p>
    <w:p w14:paraId="57DF4C67" w14:textId="77777777" w:rsidR="00BA6645" w:rsidRPr="007D1918" w:rsidRDefault="00BA6645" w:rsidP="00BA6645">
      <w:pPr>
        <w:spacing w:after="60"/>
        <w:rPr>
          <w:rFonts w:ascii="Arial Narrow" w:hAnsi="Arial Narrow"/>
          <w:sz w:val="18"/>
          <w:szCs w:val="18"/>
          <w:lang w:eastAsia="en-US"/>
        </w:rPr>
      </w:pPr>
      <w:r w:rsidRPr="007D1918">
        <w:rPr>
          <w:rFonts w:ascii="Arial Narrow" w:hAnsi="Arial Narrow"/>
          <w:sz w:val="18"/>
          <w:szCs w:val="18"/>
          <w:lang w:eastAsia="en-US"/>
        </w:rPr>
        <w:t xml:space="preserve">*Other therapies include corticosteroids, anticholinesterases, and immunotherapy; patients would not receive </w:t>
      </w:r>
      <w:proofErr w:type="spellStart"/>
      <w:r w:rsidRPr="007D1918">
        <w:rPr>
          <w:rFonts w:ascii="Arial Narrow" w:hAnsi="Arial Narrow"/>
          <w:sz w:val="18"/>
          <w:szCs w:val="18"/>
          <w:lang w:eastAsia="en-US"/>
        </w:rPr>
        <w:t>IVIg</w:t>
      </w:r>
      <w:proofErr w:type="spellEnd"/>
      <w:r w:rsidRPr="007D1918">
        <w:rPr>
          <w:rFonts w:ascii="Arial Narrow" w:hAnsi="Arial Narrow"/>
          <w:sz w:val="18"/>
          <w:szCs w:val="18"/>
          <w:lang w:eastAsia="en-US"/>
        </w:rPr>
        <w:t xml:space="preserve"> and plasma exchange concurrently.</w:t>
      </w:r>
    </w:p>
    <w:p w14:paraId="352060F6" w14:textId="40D13BB2" w:rsidR="00BA6645" w:rsidRPr="00BE75FD" w:rsidRDefault="00BA6645" w:rsidP="00BE75FD">
      <w:pPr>
        <w:spacing w:after="60"/>
        <w:rPr>
          <w:rFonts w:ascii="Arial Narrow" w:hAnsi="Arial Narrow"/>
          <w:sz w:val="18"/>
          <w:szCs w:val="18"/>
          <w:lang w:eastAsia="en-US"/>
        </w:rPr>
      </w:pPr>
      <w:r>
        <w:rPr>
          <w:rFonts w:ascii="Arial Narrow" w:hAnsi="Arial Narrow"/>
          <w:sz w:val="18"/>
          <w:szCs w:val="18"/>
          <w:lang w:eastAsia="en-US"/>
        </w:rPr>
        <w:t>Source: Contracted Assessment, Figure 1</w:t>
      </w:r>
      <w:bookmarkStart w:id="5" w:name="_Ref366576810"/>
    </w:p>
    <w:p w14:paraId="36347AE2" w14:textId="77777777" w:rsidR="00BA6645" w:rsidRPr="007D1918" w:rsidRDefault="00BA6645" w:rsidP="00BA6645">
      <w:bookmarkStart w:id="6" w:name="_Ref2780636"/>
      <w:r w:rsidRPr="007D1918">
        <w:rPr>
          <w:noProof/>
        </w:rPr>
        <w:lastRenderedPageBreak/>
        <w:drawing>
          <wp:inline distT="0" distB="0" distL="0" distR="0" wp14:anchorId="1A477D62" wp14:editId="43A1E58E">
            <wp:extent cx="4400550" cy="3073499"/>
            <wp:effectExtent l="0" t="0" r="0" b="0"/>
            <wp:docPr id="6" name="Picture 6" title="Figure 2 Clinical management pathway for patients with MG awaiting surgery and/or thymect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549" cy="3078387"/>
                    </a:xfrm>
                    <a:prstGeom prst="rect">
                      <a:avLst/>
                    </a:prstGeom>
                    <a:noFill/>
                  </pic:spPr>
                </pic:pic>
              </a:graphicData>
            </a:graphic>
          </wp:inline>
        </w:drawing>
      </w:r>
    </w:p>
    <w:p w14:paraId="165B0ED0" w14:textId="77777777" w:rsidR="00BA6645" w:rsidRPr="006B3038" w:rsidRDefault="00BA6645" w:rsidP="006B3038">
      <w:pPr>
        <w:spacing w:before="240"/>
        <w:rPr>
          <w:rFonts w:ascii="Arial Narrow" w:hAnsi="Arial Narrow"/>
          <w:b/>
          <w:sz w:val="20"/>
        </w:rPr>
      </w:pPr>
      <w:bookmarkStart w:id="7" w:name="_Toc23769607"/>
      <w:r w:rsidRPr="006B3038">
        <w:rPr>
          <w:rFonts w:ascii="Arial Narrow" w:hAnsi="Arial Narrow"/>
          <w:b/>
          <w:sz w:val="20"/>
        </w:rPr>
        <w:t xml:space="preserve">Figure </w:t>
      </w:r>
      <w:r w:rsidRPr="006B3038">
        <w:rPr>
          <w:rFonts w:ascii="Arial Narrow" w:hAnsi="Arial Narrow"/>
          <w:b/>
          <w:sz w:val="20"/>
        </w:rPr>
        <w:fldChar w:fldCharType="begin"/>
      </w:r>
      <w:r w:rsidRPr="006B3038">
        <w:rPr>
          <w:rFonts w:ascii="Arial Narrow" w:hAnsi="Arial Narrow"/>
          <w:b/>
          <w:sz w:val="20"/>
        </w:rPr>
        <w:instrText xml:space="preserve"> SEQ Figure \* ARABIC </w:instrText>
      </w:r>
      <w:r w:rsidRPr="006B3038">
        <w:rPr>
          <w:rFonts w:ascii="Arial Narrow" w:hAnsi="Arial Narrow"/>
          <w:b/>
          <w:sz w:val="20"/>
        </w:rPr>
        <w:fldChar w:fldCharType="separate"/>
      </w:r>
      <w:proofErr w:type="gramStart"/>
      <w:r w:rsidRPr="006B3038">
        <w:rPr>
          <w:rFonts w:ascii="Arial Narrow" w:hAnsi="Arial Narrow"/>
          <w:b/>
          <w:sz w:val="20"/>
        </w:rPr>
        <w:t>2</w:t>
      </w:r>
      <w:proofErr w:type="gramEnd"/>
      <w:r w:rsidRPr="006B3038">
        <w:rPr>
          <w:rFonts w:ascii="Arial Narrow" w:hAnsi="Arial Narrow"/>
          <w:b/>
          <w:sz w:val="20"/>
        </w:rPr>
        <w:fldChar w:fldCharType="end"/>
      </w:r>
      <w:bookmarkEnd w:id="6"/>
      <w:r w:rsidRPr="006B3038">
        <w:rPr>
          <w:rFonts w:ascii="Arial Narrow" w:hAnsi="Arial Narrow"/>
          <w:b/>
          <w:sz w:val="20"/>
        </w:rPr>
        <w:tab/>
        <w:t xml:space="preserve">Clinical management pathway for patients with MG awaiting surgery and/or </w:t>
      </w:r>
      <w:proofErr w:type="spellStart"/>
      <w:r w:rsidRPr="006B3038">
        <w:rPr>
          <w:rFonts w:ascii="Arial Narrow" w:hAnsi="Arial Narrow"/>
          <w:b/>
          <w:sz w:val="20"/>
        </w:rPr>
        <w:t>thymectomy</w:t>
      </w:r>
      <w:bookmarkEnd w:id="7"/>
      <w:proofErr w:type="spellEnd"/>
    </w:p>
    <w:p w14:paraId="3E540BD1" w14:textId="77777777" w:rsidR="00BA6645" w:rsidRDefault="00BA6645" w:rsidP="00BA6645">
      <w:pPr>
        <w:spacing w:after="60"/>
        <w:rPr>
          <w:rFonts w:ascii="Arial Narrow" w:hAnsi="Arial Narrow"/>
          <w:sz w:val="18"/>
          <w:szCs w:val="18"/>
          <w:lang w:eastAsia="en-US"/>
        </w:rPr>
      </w:pPr>
      <w:proofErr w:type="spellStart"/>
      <w:r w:rsidRPr="007D1918">
        <w:rPr>
          <w:rFonts w:ascii="Arial Narrow" w:hAnsi="Arial Narrow"/>
          <w:sz w:val="18"/>
          <w:szCs w:val="18"/>
          <w:lang w:eastAsia="en-US"/>
        </w:rPr>
        <w:t>IVIg</w:t>
      </w:r>
      <w:proofErr w:type="spellEnd"/>
      <w:r w:rsidRPr="007D1918">
        <w:rPr>
          <w:rFonts w:ascii="Arial Narrow" w:hAnsi="Arial Narrow"/>
          <w:sz w:val="18"/>
          <w:szCs w:val="18"/>
          <w:lang w:eastAsia="en-US"/>
        </w:rPr>
        <w:t xml:space="preserve"> = intravenous immunoglobulin therapy; MG = myasthenia gravis</w:t>
      </w:r>
    </w:p>
    <w:p w14:paraId="7F1E126F" w14:textId="37AB5FA1" w:rsidR="00BA6645" w:rsidRPr="000031DC" w:rsidRDefault="00BA6645" w:rsidP="000031DC">
      <w:pPr>
        <w:spacing w:after="240"/>
        <w:rPr>
          <w:rFonts w:ascii="Arial Narrow" w:hAnsi="Arial Narrow"/>
          <w:sz w:val="18"/>
          <w:szCs w:val="18"/>
          <w:lang w:eastAsia="en-US"/>
        </w:rPr>
      </w:pPr>
      <w:r>
        <w:rPr>
          <w:rFonts w:ascii="Arial Narrow" w:hAnsi="Arial Narrow"/>
          <w:sz w:val="18"/>
          <w:szCs w:val="18"/>
          <w:lang w:eastAsia="en-US"/>
        </w:rPr>
        <w:t>Source: Contracted Assessment, Figure 2</w:t>
      </w:r>
    </w:p>
    <w:p w14:paraId="3FB62209" w14:textId="77777777" w:rsidR="00BA6645" w:rsidRPr="007D1918" w:rsidRDefault="00BA6645" w:rsidP="00BA6645">
      <w:r w:rsidRPr="007D1918">
        <w:rPr>
          <w:noProof/>
        </w:rPr>
        <w:drawing>
          <wp:inline distT="0" distB="0" distL="0" distR="0" wp14:anchorId="34F040F8" wp14:editId="7FF92F66">
            <wp:extent cx="5270988" cy="3667082"/>
            <wp:effectExtent l="0" t="0" r="6350" b="0"/>
            <wp:docPr id="15" name="Picture 15" title="Figure 3 Clinical management pathway for patients with moderate to severe MG on maintenance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1744" cy="3674565"/>
                    </a:xfrm>
                    <a:prstGeom prst="rect">
                      <a:avLst/>
                    </a:prstGeom>
                    <a:noFill/>
                  </pic:spPr>
                </pic:pic>
              </a:graphicData>
            </a:graphic>
          </wp:inline>
        </w:drawing>
      </w:r>
    </w:p>
    <w:p w14:paraId="49449AE5" w14:textId="77777777" w:rsidR="00BA6645" w:rsidRPr="006B3038" w:rsidRDefault="00BA6645" w:rsidP="006B3038">
      <w:pPr>
        <w:rPr>
          <w:rFonts w:ascii="Arial Narrow" w:hAnsi="Arial Narrow"/>
          <w:b/>
          <w:sz w:val="20"/>
        </w:rPr>
      </w:pPr>
      <w:bookmarkStart w:id="8" w:name="_Ref2780638"/>
      <w:bookmarkStart w:id="9" w:name="_Toc23769608"/>
      <w:bookmarkEnd w:id="5"/>
      <w:r w:rsidRPr="006B3038">
        <w:rPr>
          <w:rFonts w:ascii="Arial Narrow" w:hAnsi="Arial Narrow"/>
          <w:b/>
          <w:sz w:val="20"/>
        </w:rPr>
        <w:t xml:space="preserve">Figure </w:t>
      </w:r>
      <w:r w:rsidRPr="006B3038">
        <w:rPr>
          <w:rFonts w:ascii="Arial Narrow" w:hAnsi="Arial Narrow"/>
          <w:b/>
          <w:sz w:val="20"/>
        </w:rPr>
        <w:fldChar w:fldCharType="begin"/>
      </w:r>
      <w:r w:rsidRPr="006B3038">
        <w:rPr>
          <w:rFonts w:ascii="Arial Narrow" w:hAnsi="Arial Narrow"/>
          <w:b/>
          <w:sz w:val="20"/>
        </w:rPr>
        <w:instrText xml:space="preserve"> SEQ Figure \* ARABIC </w:instrText>
      </w:r>
      <w:r w:rsidRPr="006B3038">
        <w:rPr>
          <w:rFonts w:ascii="Arial Narrow" w:hAnsi="Arial Narrow"/>
          <w:b/>
          <w:sz w:val="20"/>
        </w:rPr>
        <w:fldChar w:fldCharType="separate"/>
      </w:r>
      <w:proofErr w:type="gramStart"/>
      <w:r w:rsidRPr="006B3038">
        <w:rPr>
          <w:rFonts w:ascii="Arial Narrow" w:hAnsi="Arial Narrow"/>
          <w:b/>
          <w:sz w:val="20"/>
        </w:rPr>
        <w:t>3</w:t>
      </w:r>
      <w:proofErr w:type="gramEnd"/>
      <w:r w:rsidRPr="006B3038">
        <w:rPr>
          <w:rFonts w:ascii="Arial Narrow" w:hAnsi="Arial Narrow"/>
          <w:b/>
          <w:sz w:val="20"/>
        </w:rPr>
        <w:fldChar w:fldCharType="end"/>
      </w:r>
      <w:bookmarkEnd w:id="8"/>
      <w:r w:rsidRPr="006B3038">
        <w:rPr>
          <w:rFonts w:ascii="Arial Narrow" w:hAnsi="Arial Narrow"/>
          <w:b/>
          <w:sz w:val="20"/>
        </w:rPr>
        <w:tab/>
        <w:t>Clinical management pathway for patients with moderate to severe MG on maintenance therapy</w:t>
      </w:r>
      <w:bookmarkEnd w:id="9"/>
    </w:p>
    <w:p w14:paraId="67F7250C" w14:textId="77777777" w:rsidR="00BA6645" w:rsidRDefault="00BA6645" w:rsidP="00BA6645">
      <w:pPr>
        <w:spacing w:after="60"/>
        <w:rPr>
          <w:rFonts w:ascii="Arial Narrow" w:hAnsi="Arial Narrow"/>
          <w:sz w:val="18"/>
          <w:szCs w:val="18"/>
          <w:lang w:eastAsia="en-US"/>
        </w:rPr>
      </w:pPr>
      <w:proofErr w:type="spellStart"/>
      <w:r w:rsidRPr="007D1918">
        <w:rPr>
          <w:rFonts w:ascii="Arial Narrow" w:hAnsi="Arial Narrow"/>
          <w:sz w:val="18"/>
          <w:szCs w:val="18"/>
          <w:lang w:eastAsia="en-US"/>
        </w:rPr>
        <w:t>IVIg</w:t>
      </w:r>
      <w:proofErr w:type="spellEnd"/>
      <w:r w:rsidRPr="007D1918">
        <w:rPr>
          <w:rFonts w:ascii="Arial Narrow" w:hAnsi="Arial Narrow"/>
          <w:sz w:val="18"/>
          <w:szCs w:val="18"/>
          <w:lang w:eastAsia="en-US"/>
        </w:rPr>
        <w:t xml:space="preserve"> = intravenous immunoglobulin therapy; MG = myasthenia gravis</w:t>
      </w:r>
    </w:p>
    <w:p w14:paraId="577BE010" w14:textId="0F01D480" w:rsidR="00B20DE6" w:rsidRDefault="00BA6645" w:rsidP="00B20DE6">
      <w:pPr>
        <w:spacing w:after="60"/>
        <w:rPr>
          <w:rFonts w:ascii="Arial Narrow" w:hAnsi="Arial Narrow"/>
          <w:sz w:val="18"/>
          <w:szCs w:val="18"/>
          <w:lang w:eastAsia="en-US"/>
        </w:rPr>
      </w:pPr>
      <w:r>
        <w:rPr>
          <w:rFonts w:ascii="Arial Narrow" w:hAnsi="Arial Narrow"/>
          <w:sz w:val="18"/>
          <w:szCs w:val="18"/>
          <w:lang w:eastAsia="en-US"/>
        </w:rPr>
        <w:t>Source: Contracted Assessment, Figure 3</w:t>
      </w:r>
      <w:r w:rsidR="00B20DE6">
        <w:rPr>
          <w:rFonts w:ascii="Arial Narrow" w:hAnsi="Arial Narrow"/>
          <w:sz w:val="18"/>
          <w:szCs w:val="18"/>
          <w:lang w:eastAsia="en-US"/>
        </w:rPr>
        <w:br w:type="page"/>
      </w:r>
    </w:p>
    <w:p w14:paraId="1B2C9274" w14:textId="77777777" w:rsidR="00111108" w:rsidRPr="00F715D1" w:rsidRDefault="00111108" w:rsidP="00111108">
      <w:pPr>
        <w:pStyle w:val="Heading1"/>
      </w:pPr>
      <w:r w:rsidRPr="00F715D1">
        <w:lastRenderedPageBreak/>
        <w:t xml:space="preserve">Comparator </w:t>
      </w:r>
    </w:p>
    <w:p w14:paraId="17FB3EB7" w14:textId="77777777" w:rsidR="00BA6645" w:rsidRDefault="00BA6645" w:rsidP="00BA6645">
      <w:pPr>
        <w:tabs>
          <w:tab w:val="left" w:pos="720"/>
          <w:tab w:val="left" w:pos="1140"/>
        </w:tabs>
        <w:rPr>
          <w:szCs w:val="24"/>
        </w:rPr>
      </w:pPr>
      <w:r w:rsidRPr="0091329B">
        <w:rPr>
          <w:szCs w:val="24"/>
        </w:rPr>
        <w:t>The</w:t>
      </w:r>
      <w:r>
        <w:rPr>
          <w:szCs w:val="24"/>
        </w:rPr>
        <w:t xml:space="preserve"> proposed</w:t>
      </w:r>
      <w:r w:rsidRPr="0091329B">
        <w:rPr>
          <w:szCs w:val="24"/>
        </w:rPr>
        <w:t xml:space="preserve"> comparator for </w:t>
      </w:r>
      <w:r>
        <w:rPr>
          <w:szCs w:val="24"/>
        </w:rPr>
        <w:t>I</w:t>
      </w:r>
      <w:r w:rsidRPr="0091329B">
        <w:rPr>
          <w:szCs w:val="24"/>
        </w:rPr>
        <w:t xml:space="preserve">ndications 1 and 2 is plasma exchange. Both Ig and plasma exchange are seen as </w:t>
      </w:r>
      <w:r>
        <w:rPr>
          <w:szCs w:val="24"/>
        </w:rPr>
        <w:t>short-</w:t>
      </w:r>
      <w:r w:rsidRPr="0091329B">
        <w:rPr>
          <w:szCs w:val="24"/>
        </w:rPr>
        <w:t xml:space="preserve">term therapies to be used to stabilise a patient whilst waiting for other therapies to become effective. Other than the choice of stabilising therapy, other treatment </w:t>
      </w:r>
      <w:proofErr w:type="gramStart"/>
      <w:r w:rsidRPr="0091329B">
        <w:rPr>
          <w:szCs w:val="24"/>
        </w:rPr>
        <w:t>is expected</w:t>
      </w:r>
      <w:proofErr w:type="gramEnd"/>
      <w:r w:rsidRPr="0091329B">
        <w:rPr>
          <w:szCs w:val="24"/>
        </w:rPr>
        <w:t xml:space="preserve"> to be the same for both intervention and comparator.</w:t>
      </w:r>
    </w:p>
    <w:p w14:paraId="4EB84DD5" w14:textId="3A5137AA" w:rsidR="00BA6645" w:rsidRDefault="00BA6645" w:rsidP="000031DC">
      <w:pPr>
        <w:tabs>
          <w:tab w:val="left" w:pos="720"/>
          <w:tab w:val="left" w:pos="1140"/>
        </w:tabs>
        <w:spacing w:before="240" w:after="240"/>
        <w:rPr>
          <w:szCs w:val="24"/>
        </w:rPr>
      </w:pPr>
      <w:r>
        <w:rPr>
          <w:szCs w:val="24"/>
        </w:rPr>
        <w:t xml:space="preserve">The proposed comparators for Indication 3 were oral steroids, cholinesterase inhibitors, immunosuppressant/immunomodulatory drugs, and </w:t>
      </w:r>
      <w:proofErr w:type="spellStart"/>
      <w:r>
        <w:rPr>
          <w:szCs w:val="24"/>
        </w:rPr>
        <w:t>thymectomy</w:t>
      </w:r>
      <w:proofErr w:type="spellEnd"/>
      <w:r>
        <w:rPr>
          <w:szCs w:val="24"/>
        </w:rPr>
        <w:t xml:space="preserve">. It is likely that most patients with moderate to severe MG would be on two other therapies. To be eligible for Ig maintenance therapy, at least two other treatments must have been ineffective, contraindicated, </w:t>
      </w:r>
      <w:proofErr w:type="gramStart"/>
      <w:r>
        <w:rPr>
          <w:szCs w:val="24"/>
        </w:rPr>
        <w:t>unavailable</w:t>
      </w:r>
      <w:proofErr w:type="gramEnd"/>
      <w:r>
        <w:rPr>
          <w:szCs w:val="24"/>
        </w:rPr>
        <w:t xml:space="preserve"> or have caused </w:t>
      </w:r>
      <w:r w:rsidR="000031DC">
        <w:rPr>
          <w:szCs w:val="24"/>
        </w:rPr>
        <w:t>intolerable side effects.</w:t>
      </w:r>
    </w:p>
    <w:p w14:paraId="0F8ED2D4" w14:textId="1ACEB94A" w:rsidR="00BA6645" w:rsidRPr="00845A9C" w:rsidRDefault="00BA6645" w:rsidP="00BA6645">
      <w:pPr>
        <w:tabs>
          <w:tab w:val="left" w:pos="720"/>
          <w:tab w:val="left" w:pos="1140"/>
        </w:tabs>
        <w:rPr>
          <w:szCs w:val="24"/>
        </w:rPr>
      </w:pPr>
      <w:r>
        <w:rPr>
          <w:szCs w:val="24"/>
        </w:rPr>
        <w:t>The Applicant noted</w:t>
      </w:r>
      <w:r w:rsidRPr="001D12BA">
        <w:rPr>
          <w:szCs w:val="24"/>
        </w:rPr>
        <w:t xml:space="preserve"> that PE </w:t>
      </w:r>
      <w:proofErr w:type="gramStart"/>
      <w:r w:rsidRPr="001D12BA">
        <w:rPr>
          <w:szCs w:val="24"/>
        </w:rPr>
        <w:t>is not usually provided</w:t>
      </w:r>
      <w:proofErr w:type="gramEnd"/>
      <w:r w:rsidRPr="001D12BA">
        <w:rPr>
          <w:szCs w:val="24"/>
        </w:rPr>
        <w:t xml:space="preserve"> on an outpatient basis and cannot be used long term in most </w:t>
      </w:r>
      <w:r w:rsidR="00147D04" w:rsidRPr="001D12BA">
        <w:rPr>
          <w:szCs w:val="24"/>
        </w:rPr>
        <w:t>places;</w:t>
      </w:r>
      <w:r w:rsidRPr="001D12BA">
        <w:rPr>
          <w:szCs w:val="24"/>
        </w:rPr>
        <w:t xml:space="preserve"> </w:t>
      </w:r>
      <w:r w:rsidR="00147D04" w:rsidRPr="001D12BA">
        <w:rPr>
          <w:szCs w:val="24"/>
        </w:rPr>
        <w:t>however,</w:t>
      </w:r>
      <w:r w:rsidRPr="001D12BA">
        <w:rPr>
          <w:szCs w:val="24"/>
        </w:rPr>
        <w:t xml:space="preserve"> the Criteria V3 for ongoing use of Ig in the maintenance population lists PE as an alternative therapy. Expert advice from the Ig Review Reference Group indicated that PE should </w:t>
      </w:r>
      <w:r>
        <w:rPr>
          <w:szCs w:val="24"/>
        </w:rPr>
        <w:t xml:space="preserve">also be </w:t>
      </w:r>
      <w:r w:rsidRPr="001D12BA">
        <w:rPr>
          <w:szCs w:val="24"/>
        </w:rPr>
        <w:t>a comparator in this indication.</w:t>
      </w:r>
    </w:p>
    <w:p w14:paraId="753AC3E9" w14:textId="77777777" w:rsidR="00111108" w:rsidRPr="00F715D1" w:rsidRDefault="00111108" w:rsidP="00111108">
      <w:pPr>
        <w:pStyle w:val="Heading1"/>
      </w:pPr>
      <w:r w:rsidRPr="00F715D1">
        <w:t>Comparative safety</w:t>
      </w:r>
    </w:p>
    <w:p w14:paraId="6A7ACAFC" w14:textId="77777777" w:rsidR="00BA6645" w:rsidRDefault="00BA6645" w:rsidP="00BA6645">
      <w:pPr>
        <w:rPr>
          <w:szCs w:val="24"/>
        </w:rPr>
      </w:pPr>
      <w:r>
        <w:rPr>
          <w:szCs w:val="24"/>
        </w:rPr>
        <w:t xml:space="preserve">A summary of the comparative safety of Ig </w:t>
      </w:r>
      <w:proofErr w:type="gramStart"/>
      <w:r>
        <w:rPr>
          <w:szCs w:val="24"/>
        </w:rPr>
        <w:t>is discussed</w:t>
      </w:r>
      <w:proofErr w:type="gramEnd"/>
      <w:r>
        <w:rPr>
          <w:szCs w:val="24"/>
        </w:rPr>
        <w:t xml:space="preserve"> for each Indication below.</w:t>
      </w:r>
    </w:p>
    <w:p w14:paraId="7CCC4BC8" w14:textId="17E50C4D" w:rsidR="00BA6645" w:rsidRPr="00792F41" w:rsidRDefault="00BA6645" w:rsidP="000031DC">
      <w:pPr>
        <w:spacing w:before="240"/>
        <w:rPr>
          <w:szCs w:val="24"/>
          <w:u w:val="single"/>
        </w:rPr>
      </w:pPr>
      <w:r w:rsidRPr="00792F41">
        <w:rPr>
          <w:szCs w:val="24"/>
          <w:u w:val="single"/>
        </w:rPr>
        <w:t xml:space="preserve">Indication 1: </w:t>
      </w:r>
      <w:proofErr w:type="spellStart"/>
      <w:r w:rsidRPr="00792F41">
        <w:rPr>
          <w:szCs w:val="24"/>
          <w:u w:val="single"/>
        </w:rPr>
        <w:t>Myasthenic</w:t>
      </w:r>
      <w:proofErr w:type="spellEnd"/>
      <w:r w:rsidRPr="00792F41">
        <w:rPr>
          <w:szCs w:val="24"/>
          <w:u w:val="single"/>
        </w:rPr>
        <w:t xml:space="preserve"> crisis</w:t>
      </w:r>
    </w:p>
    <w:p w14:paraId="44842F77" w14:textId="77777777" w:rsidR="00BA6645" w:rsidRDefault="00BA6645" w:rsidP="00BA6645">
      <w:pPr>
        <w:rPr>
          <w:szCs w:val="24"/>
        </w:rPr>
      </w:pPr>
      <w:r>
        <w:rPr>
          <w:szCs w:val="24"/>
        </w:rPr>
        <w:t xml:space="preserve">Six comparative studies (one RCT, and five retrospective cohort studies) reporting adverse events (AEs) found there were more AEs associated with PE than </w:t>
      </w:r>
      <w:proofErr w:type="spellStart"/>
      <w:r>
        <w:rPr>
          <w:szCs w:val="24"/>
        </w:rPr>
        <w:t>IVIg</w:t>
      </w:r>
      <w:proofErr w:type="spellEnd"/>
      <w:r>
        <w:rPr>
          <w:szCs w:val="24"/>
        </w:rPr>
        <w:t xml:space="preserve"> treatment and a greater proportion of patients experienced AEs in the PE group compared to </w:t>
      </w:r>
      <w:proofErr w:type="spellStart"/>
      <w:r>
        <w:rPr>
          <w:szCs w:val="24"/>
        </w:rPr>
        <w:t>IVIg</w:t>
      </w:r>
      <w:proofErr w:type="spellEnd"/>
      <w:r>
        <w:rPr>
          <w:szCs w:val="24"/>
        </w:rPr>
        <w:t>. This difference reached significance in one RCT</w:t>
      </w:r>
      <w:r>
        <w:rPr>
          <w:rStyle w:val="FootnoteReference"/>
          <w:szCs w:val="24"/>
        </w:rPr>
        <w:footnoteReference w:id="3"/>
      </w:r>
      <w:r>
        <w:rPr>
          <w:szCs w:val="24"/>
        </w:rPr>
        <w:t xml:space="preserve"> and a large cohort study</w:t>
      </w:r>
      <w:r>
        <w:rPr>
          <w:rStyle w:val="FootnoteReference"/>
          <w:szCs w:val="24"/>
        </w:rPr>
        <w:footnoteReference w:id="4"/>
      </w:r>
      <w:r>
        <w:rPr>
          <w:szCs w:val="24"/>
        </w:rPr>
        <w:t xml:space="preserve"> but not in the lower level studies. </w:t>
      </w:r>
    </w:p>
    <w:p w14:paraId="793A60B9" w14:textId="6A7D3E6A" w:rsidR="00BA6645" w:rsidRDefault="006560D0" w:rsidP="000031DC">
      <w:pPr>
        <w:spacing w:before="240"/>
        <w:rPr>
          <w:szCs w:val="24"/>
        </w:rPr>
      </w:pPr>
      <w:proofErr w:type="spellStart"/>
      <w:r w:rsidRPr="006560D0">
        <w:rPr>
          <w:szCs w:val="24"/>
        </w:rPr>
        <w:t>Gajdos</w:t>
      </w:r>
      <w:proofErr w:type="spellEnd"/>
      <w:r w:rsidRPr="006560D0">
        <w:rPr>
          <w:szCs w:val="24"/>
        </w:rPr>
        <w:t xml:space="preserve"> </w:t>
      </w:r>
      <w:r>
        <w:rPr>
          <w:szCs w:val="24"/>
        </w:rPr>
        <w:t xml:space="preserve">et al. </w:t>
      </w:r>
      <w:r w:rsidRPr="006560D0">
        <w:rPr>
          <w:szCs w:val="24"/>
        </w:rPr>
        <w:t>1997</w:t>
      </w:r>
      <w:r>
        <w:rPr>
          <w:szCs w:val="24"/>
        </w:rPr>
        <w:t xml:space="preserve"> </w:t>
      </w:r>
      <w:r w:rsidR="00BA6645">
        <w:rPr>
          <w:szCs w:val="24"/>
        </w:rPr>
        <w:t xml:space="preserve">found that 19.5% of patients in the PE group experienced AEs compared with 2.2% in the </w:t>
      </w:r>
      <w:proofErr w:type="spellStart"/>
      <w:r w:rsidR="00BA6645">
        <w:rPr>
          <w:szCs w:val="24"/>
        </w:rPr>
        <w:t>IVIg</w:t>
      </w:r>
      <w:proofErr w:type="spellEnd"/>
      <w:r w:rsidR="00BA6645">
        <w:rPr>
          <w:szCs w:val="24"/>
        </w:rPr>
        <w:t xml:space="preserve"> group. Of the eight patients in the PE group who experienced AEs, two were serious enough to require discontinuation of treatment (one experiencing femoral thrombosis and one experiencing retroperitoneal haematoma). Findings from the large cohort study supported these results, with a significantly greater number of AEs in the PE group.</w:t>
      </w:r>
    </w:p>
    <w:p w14:paraId="47FDC281" w14:textId="55065279" w:rsidR="00BE75FD" w:rsidRDefault="00BA6645" w:rsidP="000031DC">
      <w:pPr>
        <w:spacing w:before="240" w:after="240"/>
        <w:rPr>
          <w:szCs w:val="24"/>
        </w:rPr>
      </w:pPr>
      <w:r>
        <w:rPr>
          <w:szCs w:val="24"/>
        </w:rPr>
        <w:t xml:space="preserve">Overall, the studies found that some events were more common in either the PE or </w:t>
      </w:r>
      <w:proofErr w:type="spellStart"/>
      <w:r>
        <w:rPr>
          <w:szCs w:val="24"/>
        </w:rPr>
        <w:t>IVIg</w:t>
      </w:r>
      <w:proofErr w:type="spellEnd"/>
      <w:r>
        <w:rPr>
          <w:szCs w:val="24"/>
        </w:rPr>
        <w:t xml:space="preserve"> group. H</w:t>
      </w:r>
      <w:r w:rsidRPr="00004022">
        <w:rPr>
          <w:szCs w:val="24"/>
        </w:rPr>
        <w:t xml:space="preserve">ypotension was a common AE in the PE group, while headaches and nausea were more common </w:t>
      </w:r>
      <w:r>
        <w:rPr>
          <w:szCs w:val="24"/>
        </w:rPr>
        <w:t xml:space="preserve">the </w:t>
      </w:r>
      <w:proofErr w:type="spellStart"/>
      <w:r w:rsidRPr="00004022">
        <w:rPr>
          <w:szCs w:val="24"/>
        </w:rPr>
        <w:t>IVIg</w:t>
      </w:r>
      <w:proofErr w:type="spellEnd"/>
      <w:r>
        <w:rPr>
          <w:szCs w:val="24"/>
        </w:rPr>
        <w:t xml:space="preserve"> group</w:t>
      </w:r>
      <w:r w:rsidRPr="00004022">
        <w:rPr>
          <w:szCs w:val="24"/>
        </w:rPr>
        <w:t xml:space="preserve">, but these were </w:t>
      </w:r>
      <w:r>
        <w:rPr>
          <w:szCs w:val="24"/>
        </w:rPr>
        <w:t xml:space="preserve">all considered minor symptoms. There appeared to be a </w:t>
      </w:r>
      <w:r w:rsidRPr="00004022">
        <w:rPr>
          <w:szCs w:val="24"/>
        </w:rPr>
        <w:t xml:space="preserve">large number of systemic infections </w:t>
      </w:r>
      <w:r>
        <w:rPr>
          <w:szCs w:val="24"/>
        </w:rPr>
        <w:t>associated</w:t>
      </w:r>
      <w:r w:rsidRPr="00004022">
        <w:rPr>
          <w:szCs w:val="24"/>
        </w:rPr>
        <w:t xml:space="preserve"> with PE treatment reported by </w:t>
      </w:r>
      <w:proofErr w:type="spellStart"/>
      <w:r w:rsidR="0092510A">
        <w:rPr>
          <w:szCs w:val="24"/>
        </w:rPr>
        <w:t>Mandawat</w:t>
      </w:r>
      <w:proofErr w:type="spellEnd"/>
      <w:r w:rsidR="0092510A">
        <w:rPr>
          <w:szCs w:val="24"/>
        </w:rPr>
        <w:t xml:space="preserve"> et al. 2010</w:t>
      </w:r>
      <w:r>
        <w:rPr>
          <w:szCs w:val="24"/>
        </w:rPr>
        <w:t xml:space="preserve">. However, selection bias could not be ruled out, as the reported baseline data reflected a significantly higher number of patients who underwent PE experienced acute respiratory failure and were intubated compared to those given </w:t>
      </w:r>
      <w:proofErr w:type="spellStart"/>
      <w:r>
        <w:rPr>
          <w:szCs w:val="24"/>
        </w:rPr>
        <w:t>IVIg</w:t>
      </w:r>
      <w:proofErr w:type="spellEnd"/>
      <w:r w:rsidRPr="00004022">
        <w:rPr>
          <w:szCs w:val="24"/>
        </w:rPr>
        <w:t xml:space="preserve"> (p &lt; 0.0001)</w:t>
      </w:r>
      <w:r>
        <w:rPr>
          <w:szCs w:val="24"/>
        </w:rPr>
        <w:t xml:space="preserve">. This indicates that treatment selection in more seriously ill patients </w:t>
      </w:r>
      <w:proofErr w:type="gramStart"/>
      <w:r>
        <w:rPr>
          <w:szCs w:val="24"/>
        </w:rPr>
        <w:t>may have been influenced</w:t>
      </w:r>
      <w:proofErr w:type="gramEnd"/>
      <w:r>
        <w:rPr>
          <w:szCs w:val="24"/>
        </w:rPr>
        <w:t xml:space="preserve"> with PE being the favoured treatment for </w:t>
      </w:r>
      <w:proofErr w:type="spellStart"/>
      <w:r>
        <w:rPr>
          <w:szCs w:val="24"/>
        </w:rPr>
        <w:t>myasthenic</w:t>
      </w:r>
      <w:proofErr w:type="spellEnd"/>
      <w:r>
        <w:rPr>
          <w:szCs w:val="24"/>
        </w:rPr>
        <w:t xml:space="preserve"> crisis due to its suspected faster onset of action</w:t>
      </w:r>
      <w:r w:rsidRPr="00004022">
        <w:rPr>
          <w:szCs w:val="24"/>
        </w:rPr>
        <w:t>.</w:t>
      </w:r>
      <w:r>
        <w:rPr>
          <w:szCs w:val="24"/>
        </w:rPr>
        <w:t xml:space="preserve"> There is evidence in the literature that</w:t>
      </w:r>
      <w:r w:rsidRPr="00004022">
        <w:rPr>
          <w:szCs w:val="24"/>
        </w:rPr>
        <w:t xml:space="preserve"> PE is given in preference to </w:t>
      </w:r>
      <w:proofErr w:type="spellStart"/>
      <w:r w:rsidRPr="00004022">
        <w:rPr>
          <w:szCs w:val="24"/>
        </w:rPr>
        <w:t>IVIg</w:t>
      </w:r>
      <w:proofErr w:type="spellEnd"/>
      <w:r w:rsidRPr="00004022">
        <w:rPr>
          <w:szCs w:val="24"/>
        </w:rPr>
        <w:t xml:space="preserve"> in life-threatening crises because it</w:t>
      </w:r>
      <w:r>
        <w:rPr>
          <w:szCs w:val="24"/>
        </w:rPr>
        <w:t xml:space="preserve"> is thought to be faster acting, and s</w:t>
      </w:r>
      <w:r w:rsidRPr="00004022">
        <w:rPr>
          <w:szCs w:val="24"/>
        </w:rPr>
        <w:t xml:space="preserve">ome treatment guidelines for MG also indicate the longer action time of </w:t>
      </w:r>
      <w:proofErr w:type="spellStart"/>
      <w:r w:rsidRPr="00004022">
        <w:rPr>
          <w:szCs w:val="24"/>
        </w:rPr>
        <w:t>IVIg</w:t>
      </w:r>
      <w:proofErr w:type="spellEnd"/>
      <w:r w:rsidRPr="00004022">
        <w:rPr>
          <w:szCs w:val="24"/>
        </w:rPr>
        <w:t xml:space="preserve"> compared to PE i</w:t>
      </w:r>
      <w:r>
        <w:rPr>
          <w:szCs w:val="24"/>
        </w:rPr>
        <w:t xml:space="preserve">n crisis </w:t>
      </w:r>
      <w:r>
        <w:rPr>
          <w:szCs w:val="24"/>
        </w:rPr>
        <w:lastRenderedPageBreak/>
        <w:t>patients</w:t>
      </w:r>
      <w:r w:rsidRPr="00004022">
        <w:rPr>
          <w:szCs w:val="24"/>
        </w:rPr>
        <w:t>.</w:t>
      </w:r>
      <w:r>
        <w:rPr>
          <w:szCs w:val="24"/>
        </w:rPr>
        <w:t xml:space="preserve"> It is possible that this preference extends to the other cohort studies, although overall the assessment concluded that </w:t>
      </w:r>
      <w:proofErr w:type="spellStart"/>
      <w:r>
        <w:rPr>
          <w:szCs w:val="24"/>
        </w:rPr>
        <w:t>IVIg</w:t>
      </w:r>
      <w:proofErr w:type="spellEnd"/>
      <w:r>
        <w:rPr>
          <w:szCs w:val="24"/>
        </w:rPr>
        <w:t xml:space="preserve"> was safer than PE for MG patients in crisis.</w:t>
      </w:r>
      <w:r w:rsidRPr="00004022">
        <w:rPr>
          <w:szCs w:val="24"/>
        </w:rPr>
        <w:t xml:space="preserve"> </w:t>
      </w:r>
    </w:p>
    <w:p w14:paraId="7D03D839" w14:textId="6CD16C69" w:rsidR="00BA6645" w:rsidRPr="00792F41" w:rsidRDefault="00BA6645" w:rsidP="00BA6645">
      <w:pPr>
        <w:rPr>
          <w:szCs w:val="24"/>
          <w:u w:val="single"/>
        </w:rPr>
      </w:pPr>
      <w:r w:rsidRPr="00792F41">
        <w:rPr>
          <w:szCs w:val="24"/>
          <w:u w:val="single"/>
        </w:rPr>
        <w:t>Indication 2: Patients preparing for surgery</w:t>
      </w:r>
    </w:p>
    <w:p w14:paraId="178B0F6D" w14:textId="77777777" w:rsidR="00BA6645" w:rsidRDefault="00BA6645" w:rsidP="00BA6645">
      <w:r w:rsidRPr="007D1918">
        <w:t>One RCT</w:t>
      </w:r>
      <w:r>
        <w:rPr>
          <w:rStyle w:val="FootnoteReference"/>
        </w:rPr>
        <w:footnoteReference w:id="5"/>
      </w:r>
      <w:r w:rsidRPr="007D1918">
        <w:t xml:space="preserve"> and one retrospective matched cohort study</w:t>
      </w:r>
      <w:r>
        <w:rPr>
          <w:rStyle w:val="FootnoteReference"/>
        </w:rPr>
        <w:footnoteReference w:id="6"/>
      </w:r>
      <w:r w:rsidRPr="007D1918">
        <w:t xml:space="preserve"> compared AEs between patients given </w:t>
      </w:r>
      <w:proofErr w:type="spellStart"/>
      <w:r w:rsidRPr="007D1918">
        <w:t>IVIg</w:t>
      </w:r>
      <w:proofErr w:type="spellEnd"/>
      <w:r w:rsidRPr="007D1918">
        <w:t xml:space="preserve"> or P</w:t>
      </w:r>
      <w:r>
        <w:t xml:space="preserve">E in preparation for </w:t>
      </w:r>
      <w:proofErr w:type="spellStart"/>
      <w:r>
        <w:t>thymectomy</w:t>
      </w:r>
      <w:proofErr w:type="spellEnd"/>
      <w:r>
        <w:t>; however, patient numbers were very small (24 patients in the RCT and 18 in the cohort study) and the studies were not well powered.</w:t>
      </w:r>
    </w:p>
    <w:p w14:paraId="1BEBAE4D" w14:textId="5B0A254E" w:rsidR="00BA6645" w:rsidRDefault="00BA6645" w:rsidP="000031DC">
      <w:pPr>
        <w:spacing w:before="240"/>
        <w:rPr>
          <w:szCs w:val="24"/>
        </w:rPr>
      </w:pPr>
      <w:r w:rsidRPr="003E1CA1">
        <w:rPr>
          <w:szCs w:val="24"/>
        </w:rPr>
        <w:t xml:space="preserve">Results from </w:t>
      </w:r>
      <w:proofErr w:type="spellStart"/>
      <w:r w:rsidR="0092510A" w:rsidRPr="0092510A">
        <w:rPr>
          <w:szCs w:val="24"/>
        </w:rPr>
        <w:t>Alipour-Faz</w:t>
      </w:r>
      <w:proofErr w:type="spellEnd"/>
      <w:r w:rsidR="0092510A" w:rsidRPr="0092510A">
        <w:rPr>
          <w:szCs w:val="24"/>
        </w:rPr>
        <w:t xml:space="preserve"> et al</w:t>
      </w:r>
      <w:r w:rsidR="0092510A" w:rsidRPr="0092510A" w:rsidDel="0092510A">
        <w:rPr>
          <w:szCs w:val="24"/>
        </w:rPr>
        <w:t xml:space="preserve"> </w:t>
      </w:r>
      <w:r w:rsidRPr="003E1CA1">
        <w:rPr>
          <w:szCs w:val="24"/>
        </w:rPr>
        <w:t>found that intubation was required significantly more frequently in the PE group (</w:t>
      </w:r>
      <w:r>
        <w:rPr>
          <w:szCs w:val="24"/>
        </w:rPr>
        <w:t xml:space="preserve">2/12 versus 7/12; </w:t>
      </w:r>
      <w:r w:rsidRPr="003E1CA1">
        <w:rPr>
          <w:szCs w:val="24"/>
        </w:rPr>
        <w:t>p = 0.01)</w:t>
      </w:r>
      <w:r>
        <w:rPr>
          <w:szCs w:val="24"/>
        </w:rPr>
        <w:t>, and found that the two patients who went into crisis were in the PE group</w:t>
      </w:r>
      <w:r w:rsidRPr="003E1CA1">
        <w:rPr>
          <w:szCs w:val="24"/>
        </w:rPr>
        <w:t xml:space="preserve">. </w:t>
      </w:r>
      <w:r>
        <w:rPr>
          <w:szCs w:val="24"/>
        </w:rPr>
        <w:t xml:space="preserve">The retrospective comparison reported data on AEs for the </w:t>
      </w:r>
      <w:proofErr w:type="spellStart"/>
      <w:r>
        <w:rPr>
          <w:szCs w:val="24"/>
        </w:rPr>
        <w:t>IVIg</w:t>
      </w:r>
      <w:proofErr w:type="spellEnd"/>
      <w:r>
        <w:rPr>
          <w:szCs w:val="24"/>
        </w:rPr>
        <w:t xml:space="preserve"> group only however, the authors commented that in the PE group there was difficulty with line insertion, transient hypotension, and asymptomatic coagulation abnormalities. </w:t>
      </w:r>
    </w:p>
    <w:p w14:paraId="4A228CF3" w14:textId="3BD11B57" w:rsidR="00BA6645" w:rsidRDefault="00BA6645" w:rsidP="000031DC">
      <w:pPr>
        <w:spacing w:before="240"/>
        <w:rPr>
          <w:szCs w:val="24"/>
        </w:rPr>
      </w:pPr>
      <w:r w:rsidRPr="003E1CA1">
        <w:rPr>
          <w:szCs w:val="24"/>
        </w:rPr>
        <w:t xml:space="preserve">As for Indication 1, results </w:t>
      </w:r>
      <w:proofErr w:type="gramStart"/>
      <w:r w:rsidRPr="003E1CA1">
        <w:rPr>
          <w:szCs w:val="24"/>
        </w:rPr>
        <w:t>may be confounded</w:t>
      </w:r>
      <w:proofErr w:type="gramEnd"/>
      <w:r w:rsidRPr="003E1CA1">
        <w:rPr>
          <w:szCs w:val="24"/>
        </w:rPr>
        <w:t xml:space="preserve"> by the preference for PE treatment for patients in crisis or at higher risk of crisis.</w:t>
      </w:r>
      <w:r>
        <w:rPr>
          <w:szCs w:val="24"/>
        </w:rPr>
        <w:t xml:space="preserve"> </w:t>
      </w:r>
      <w:proofErr w:type="gramStart"/>
      <w:r>
        <w:rPr>
          <w:szCs w:val="24"/>
        </w:rPr>
        <w:t>Overall</w:t>
      </w:r>
      <w:proofErr w:type="gramEnd"/>
      <w:r>
        <w:rPr>
          <w:szCs w:val="24"/>
        </w:rPr>
        <w:t xml:space="preserve"> the assessment concluded that the body of evidence was too small to draw conclusions about the safety of </w:t>
      </w:r>
      <w:proofErr w:type="spellStart"/>
      <w:r>
        <w:rPr>
          <w:szCs w:val="24"/>
        </w:rPr>
        <w:t>IVIg</w:t>
      </w:r>
      <w:proofErr w:type="spellEnd"/>
      <w:r>
        <w:rPr>
          <w:szCs w:val="24"/>
        </w:rPr>
        <w:t xml:space="preserve"> compared to PE for this indication.</w:t>
      </w:r>
    </w:p>
    <w:p w14:paraId="7526809B" w14:textId="21AEA63D" w:rsidR="00BA6645" w:rsidRPr="00792F41" w:rsidRDefault="00BA6645" w:rsidP="000031DC">
      <w:pPr>
        <w:spacing w:before="240"/>
        <w:rPr>
          <w:szCs w:val="24"/>
          <w:u w:val="single"/>
        </w:rPr>
      </w:pPr>
      <w:r w:rsidRPr="00792F41">
        <w:rPr>
          <w:szCs w:val="24"/>
          <w:u w:val="single"/>
        </w:rPr>
        <w:t>Indication 3: Maintenance therapy</w:t>
      </w:r>
    </w:p>
    <w:p w14:paraId="61209FFC" w14:textId="77777777" w:rsidR="00BA6645" w:rsidRDefault="00BA6645" w:rsidP="00BA6645">
      <w:pPr>
        <w:rPr>
          <w:szCs w:val="24"/>
        </w:rPr>
      </w:pPr>
      <w:r w:rsidRPr="00241ECB">
        <w:rPr>
          <w:szCs w:val="24"/>
        </w:rPr>
        <w:t xml:space="preserve">There was no evidence comparing </w:t>
      </w:r>
      <w:proofErr w:type="spellStart"/>
      <w:r w:rsidRPr="00241ECB">
        <w:rPr>
          <w:szCs w:val="24"/>
        </w:rPr>
        <w:t>IVIg</w:t>
      </w:r>
      <w:proofErr w:type="spellEnd"/>
      <w:r w:rsidRPr="00241ECB">
        <w:rPr>
          <w:szCs w:val="24"/>
        </w:rPr>
        <w:t xml:space="preserve"> with oral steroids, anticholinesterases, or </w:t>
      </w:r>
      <w:proofErr w:type="spellStart"/>
      <w:r>
        <w:rPr>
          <w:szCs w:val="24"/>
        </w:rPr>
        <w:t>immunosupressants</w:t>
      </w:r>
      <w:proofErr w:type="spellEnd"/>
      <w:r w:rsidRPr="00241ECB">
        <w:rPr>
          <w:szCs w:val="24"/>
        </w:rPr>
        <w:t xml:space="preserve"> that met the inclusion criteria</w:t>
      </w:r>
      <w:r>
        <w:rPr>
          <w:szCs w:val="24"/>
        </w:rPr>
        <w:t xml:space="preserve"> and therefore, there was insufficient evidence to make conclusions about the safety of </w:t>
      </w:r>
      <w:proofErr w:type="spellStart"/>
      <w:r>
        <w:rPr>
          <w:szCs w:val="24"/>
        </w:rPr>
        <w:t>IVIg</w:t>
      </w:r>
      <w:proofErr w:type="spellEnd"/>
      <w:r>
        <w:rPr>
          <w:szCs w:val="24"/>
        </w:rPr>
        <w:t xml:space="preserve"> compared to standard therapies other than PE. </w:t>
      </w:r>
      <w:r w:rsidRPr="007D1918">
        <w:t xml:space="preserve">The majority of evidence identified compared </w:t>
      </w:r>
      <w:proofErr w:type="spellStart"/>
      <w:r w:rsidRPr="007D1918">
        <w:t>IVIg</w:t>
      </w:r>
      <w:proofErr w:type="spellEnd"/>
      <w:r w:rsidRPr="007D1918">
        <w:t xml:space="preserve"> with PE for maintenance therapy of MG. </w:t>
      </w:r>
    </w:p>
    <w:p w14:paraId="7B9B274D" w14:textId="7D443596" w:rsidR="00BA6645" w:rsidRDefault="00BA6645" w:rsidP="000031DC">
      <w:pPr>
        <w:spacing w:before="240"/>
        <w:jc w:val="both"/>
      </w:pPr>
      <w:r>
        <w:t xml:space="preserve">Adverse events for </w:t>
      </w:r>
      <w:proofErr w:type="spellStart"/>
      <w:r>
        <w:t>IVIg</w:t>
      </w:r>
      <w:proofErr w:type="spellEnd"/>
      <w:r>
        <w:t xml:space="preserve"> and PE </w:t>
      </w:r>
      <w:proofErr w:type="gramStart"/>
      <w:r>
        <w:t>were compared</w:t>
      </w:r>
      <w:proofErr w:type="gramEnd"/>
      <w:r>
        <w:t xml:space="preserve"> in three RCTs, and one comparative retrospective cohort study. Results for these </w:t>
      </w:r>
      <w:proofErr w:type="gramStart"/>
      <w:r>
        <w:t>are displayed</w:t>
      </w:r>
      <w:proofErr w:type="gramEnd"/>
      <w:r>
        <w:t xml:space="preserve"> in </w:t>
      </w:r>
      <w:r w:rsidRPr="0061482D">
        <w:t>Table 3</w:t>
      </w:r>
      <w:r>
        <w:t xml:space="preserve">. </w:t>
      </w:r>
      <w:r w:rsidRPr="007D1918">
        <w:t>One moderate quality RCT</w:t>
      </w:r>
      <w:r w:rsidR="0092510A">
        <w:t xml:space="preserve"> (Barth et al. 2011)</w:t>
      </w:r>
      <w:r w:rsidRPr="007D1918">
        <w:t xml:space="preserve"> in adults found significantly more headaches and vomiting in the </w:t>
      </w:r>
      <w:proofErr w:type="spellStart"/>
      <w:r w:rsidRPr="007D1918">
        <w:t>IVIg</w:t>
      </w:r>
      <w:proofErr w:type="spellEnd"/>
      <w:r w:rsidRPr="007D1918">
        <w:t xml:space="preserve"> population, a</w:t>
      </w:r>
      <w:r>
        <w:t xml:space="preserve">nd more venous access problems (citrate reaction, restricted venous access, and vasospasm) </w:t>
      </w:r>
      <w:r w:rsidRPr="007D1918">
        <w:t xml:space="preserve">in the PE group. Serious events (cardiac failure, </w:t>
      </w:r>
      <w:proofErr w:type="spellStart"/>
      <w:r w:rsidRPr="007D1918">
        <w:t>vasoreaction</w:t>
      </w:r>
      <w:proofErr w:type="spellEnd"/>
      <w:r w:rsidRPr="007D1918">
        <w:t xml:space="preserve">) were infrequent but all occurred in the PE group. </w:t>
      </w:r>
    </w:p>
    <w:p w14:paraId="49D9C84D" w14:textId="29B9E803" w:rsidR="00BA6645" w:rsidRDefault="00BA6645" w:rsidP="000031DC">
      <w:pPr>
        <w:spacing w:before="240"/>
        <w:jc w:val="both"/>
      </w:pPr>
      <w:r w:rsidRPr="007D1918">
        <w:t xml:space="preserve">Two other studies reporting AEs for </w:t>
      </w:r>
      <w:proofErr w:type="spellStart"/>
      <w:r w:rsidRPr="007D1918">
        <w:t>IVIg</w:t>
      </w:r>
      <w:proofErr w:type="spellEnd"/>
      <w:r w:rsidRPr="007D1918">
        <w:t xml:space="preserve"> and PE in adults found no difference between treatment groups.</w:t>
      </w:r>
      <w:r>
        <w:t xml:space="preserve"> Over all, there were too few serious AEs to conclude either treatment as safer than the </w:t>
      </w:r>
      <w:proofErr w:type="gramStart"/>
      <w:r>
        <w:t>other</w:t>
      </w:r>
      <w:proofErr w:type="gramEnd"/>
      <w:r>
        <w:t>.</w:t>
      </w:r>
    </w:p>
    <w:p w14:paraId="0D99A529" w14:textId="3D4F5F4B" w:rsidR="00BA6645" w:rsidRDefault="00BA6645" w:rsidP="000031DC">
      <w:pPr>
        <w:spacing w:before="240"/>
        <w:jc w:val="both"/>
      </w:pPr>
      <w:proofErr w:type="gramStart"/>
      <w:r>
        <w:t>Overall</w:t>
      </w:r>
      <w:proofErr w:type="gramEnd"/>
      <w:r>
        <w:t xml:space="preserve"> the assessment concluded that relative to PE, </w:t>
      </w:r>
      <w:proofErr w:type="spellStart"/>
      <w:r>
        <w:t>IVIg</w:t>
      </w:r>
      <w:proofErr w:type="spellEnd"/>
      <w:r>
        <w:t xml:space="preserve"> has non-inferior safety.</w:t>
      </w:r>
    </w:p>
    <w:p w14:paraId="5A61D8BB" w14:textId="77777777" w:rsidR="00BA6645" w:rsidRPr="00C163D0" w:rsidRDefault="00BA6645" w:rsidP="00C163D0">
      <w:pPr>
        <w:keepNext/>
        <w:keepLines/>
        <w:rPr>
          <w:rFonts w:ascii="Arial Narrow" w:hAnsi="Arial Narrow"/>
          <w:b/>
          <w:sz w:val="20"/>
        </w:rPr>
      </w:pPr>
      <w:bookmarkStart w:id="10" w:name="_Ref9331499"/>
      <w:bookmarkStart w:id="11" w:name="_Toc23769508"/>
      <w:r w:rsidRPr="00C163D0">
        <w:rPr>
          <w:rFonts w:ascii="Arial Narrow" w:hAnsi="Arial Narrow"/>
          <w:b/>
          <w:sz w:val="20"/>
        </w:rPr>
        <w:lastRenderedPageBreak/>
        <w:t xml:space="preserve">Table </w:t>
      </w:r>
      <w:bookmarkEnd w:id="10"/>
      <w:proofErr w:type="gramStart"/>
      <w:r w:rsidRPr="00C163D0">
        <w:rPr>
          <w:rFonts w:ascii="Arial Narrow" w:hAnsi="Arial Narrow"/>
          <w:b/>
          <w:sz w:val="20"/>
        </w:rPr>
        <w:t>3</w:t>
      </w:r>
      <w:proofErr w:type="gramEnd"/>
      <w:r w:rsidRPr="00C163D0">
        <w:rPr>
          <w:rFonts w:ascii="Arial Narrow" w:hAnsi="Arial Narrow"/>
          <w:b/>
          <w:sz w:val="20"/>
        </w:rPr>
        <w:tab/>
        <w:t xml:space="preserve">Adverse events for </w:t>
      </w:r>
      <w:proofErr w:type="spellStart"/>
      <w:r w:rsidRPr="00C163D0">
        <w:rPr>
          <w:rFonts w:ascii="Arial Narrow" w:hAnsi="Arial Narrow"/>
          <w:b/>
          <w:sz w:val="20"/>
        </w:rPr>
        <w:t>IVIg</w:t>
      </w:r>
      <w:proofErr w:type="spellEnd"/>
      <w:r w:rsidRPr="00C163D0">
        <w:rPr>
          <w:rFonts w:ascii="Arial Narrow" w:hAnsi="Arial Narrow"/>
          <w:b/>
          <w:sz w:val="20"/>
        </w:rPr>
        <w:t xml:space="preserve"> compared with PE for MG maintenance</w:t>
      </w:r>
      <w:bookmarkEnd w:id="11"/>
    </w:p>
    <w:tbl>
      <w:tblPr>
        <w:tblStyle w:val="TableGrid1"/>
        <w:tblW w:w="5092" w:type="pct"/>
        <w:tblLook w:val="04A0" w:firstRow="1" w:lastRow="0" w:firstColumn="1" w:lastColumn="0" w:noHBand="0" w:noVBand="1"/>
        <w:tblCaption w:val="Table 19 Adverse events for IVIg compared with PE for MG maintenance"/>
        <w:tblDescription w:val="Adverse events compared between Patients with MG (Indication 3) who received IVIg or PE."/>
      </w:tblPr>
      <w:tblGrid>
        <w:gridCol w:w="1665"/>
        <w:gridCol w:w="1846"/>
        <w:gridCol w:w="1702"/>
        <w:gridCol w:w="1701"/>
        <w:gridCol w:w="2268"/>
      </w:tblGrid>
      <w:tr w:rsidR="00BA6645" w:rsidRPr="007D1918" w14:paraId="23561BE3" w14:textId="77777777" w:rsidTr="00C163D0">
        <w:trPr>
          <w:cnfStyle w:val="100000000000" w:firstRow="1" w:lastRow="0" w:firstColumn="0" w:lastColumn="0" w:oddVBand="0" w:evenVBand="0" w:oddHBand="0" w:evenHBand="0" w:firstRowFirstColumn="0" w:firstRowLastColumn="0" w:lastRowFirstColumn="0" w:lastRowLastColumn="0"/>
          <w:tblHeader/>
        </w:trPr>
        <w:tc>
          <w:tcPr>
            <w:tcW w:w="907" w:type="pct"/>
          </w:tcPr>
          <w:p w14:paraId="76C458AB" w14:textId="77777777" w:rsidR="00BA6645" w:rsidRPr="007D1918" w:rsidRDefault="00BA6645" w:rsidP="00C163D0">
            <w:pPr>
              <w:pStyle w:val="TableHeading"/>
              <w:keepLines/>
              <w:rPr>
                <w:snapToGrid w:val="0"/>
                <w:lang w:eastAsia="en-US"/>
              </w:rPr>
            </w:pPr>
            <w:r w:rsidRPr="007D1918">
              <w:rPr>
                <w:snapToGrid w:val="0"/>
                <w:lang w:eastAsia="en-US"/>
              </w:rPr>
              <w:t>Study ID, country</w:t>
            </w:r>
          </w:p>
          <w:p w14:paraId="658A970C" w14:textId="77777777" w:rsidR="00BA6645" w:rsidRPr="007D1918" w:rsidRDefault="00BA6645" w:rsidP="00C163D0">
            <w:pPr>
              <w:pStyle w:val="TableHeading"/>
              <w:keepLines/>
              <w:rPr>
                <w:snapToGrid w:val="0"/>
                <w:lang w:eastAsia="en-US"/>
              </w:rPr>
            </w:pPr>
            <w:r w:rsidRPr="007D1918">
              <w:rPr>
                <w:snapToGrid w:val="0"/>
                <w:lang w:eastAsia="en-US"/>
              </w:rPr>
              <w:t>Level of evidence</w:t>
            </w:r>
          </w:p>
          <w:p w14:paraId="10D19C2D" w14:textId="77777777" w:rsidR="00BA6645" w:rsidRPr="007D1918" w:rsidRDefault="00BA6645" w:rsidP="00C163D0">
            <w:pPr>
              <w:pStyle w:val="TableHeading"/>
              <w:keepLines/>
              <w:rPr>
                <w:snapToGrid w:val="0"/>
                <w:lang w:eastAsia="en-US"/>
              </w:rPr>
            </w:pPr>
            <w:r w:rsidRPr="007D1918">
              <w:rPr>
                <w:snapToGrid w:val="0"/>
                <w:lang w:eastAsia="en-US"/>
              </w:rPr>
              <w:t>Quality</w:t>
            </w:r>
          </w:p>
        </w:tc>
        <w:tc>
          <w:tcPr>
            <w:tcW w:w="1005" w:type="pct"/>
          </w:tcPr>
          <w:p w14:paraId="546124A4" w14:textId="77777777" w:rsidR="00BA6645" w:rsidRPr="007D1918" w:rsidRDefault="00BA6645" w:rsidP="00C163D0">
            <w:pPr>
              <w:pStyle w:val="TableHeading"/>
              <w:keepLines/>
              <w:ind w:left="111" w:right="117"/>
              <w:rPr>
                <w:snapToGrid w:val="0"/>
                <w:lang w:eastAsia="en-US"/>
              </w:rPr>
            </w:pPr>
            <w:r w:rsidRPr="007D1918">
              <w:rPr>
                <w:snapToGrid w:val="0"/>
                <w:lang w:eastAsia="en-US"/>
              </w:rPr>
              <w:t>Event</w:t>
            </w:r>
          </w:p>
        </w:tc>
        <w:tc>
          <w:tcPr>
            <w:tcW w:w="927" w:type="pct"/>
          </w:tcPr>
          <w:p w14:paraId="2DC78D8F" w14:textId="77777777" w:rsidR="00BA6645" w:rsidRPr="007D1918" w:rsidRDefault="00BA6645" w:rsidP="00C163D0">
            <w:pPr>
              <w:pStyle w:val="TableHeading"/>
              <w:keepLines/>
              <w:ind w:left="111" w:right="117"/>
              <w:rPr>
                <w:snapToGrid w:val="0"/>
                <w:lang w:eastAsia="en-US"/>
              </w:rPr>
            </w:pPr>
            <w:proofErr w:type="spellStart"/>
            <w:r w:rsidRPr="007D1918">
              <w:rPr>
                <w:snapToGrid w:val="0"/>
                <w:lang w:eastAsia="en-US"/>
              </w:rPr>
              <w:t>IVIg</w:t>
            </w:r>
            <w:proofErr w:type="spellEnd"/>
          </w:p>
          <w:p w14:paraId="5B8E6297" w14:textId="77777777" w:rsidR="00BA6645" w:rsidRPr="007D1918" w:rsidRDefault="00BA6645" w:rsidP="00C163D0">
            <w:pPr>
              <w:pStyle w:val="TableHeading"/>
              <w:keepLines/>
              <w:ind w:left="111" w:right="117"/>
              <w:rPr>
                <w:snapToGrid w:val="0"/>
                <w:lang w:eastAsia="en-US"/>
              </w:rPr>
            </w:pPr>
            <w:proofErr w:type="gramStart"/>
            <w:r w:rsidRPr="007D1918">
              <w:rPr>
                <w:snapToGrid w:val="0"/>
                <w:lang w:eastAsia="en-US"/>
              </w:rPr>
              <w:t>n</w:t>
            </w:r>
            <w:proofErr w:type="gramEnd"/>
            <w:r w:rsidRPr="007D1918">
              <w:rPr>
                <w:snapToGrid w:val="0"/>
                <w:lang w:eastAsia="en-US"/>
              </w:rPr>
              <w:t xml:space="preserve"> with event/N (%)</w:t>
            </w:r>
          </w:p>
        </w:tc>
        <w:tc>
          <w:tcPr>
            <w:tcW w:w="926" w:type="pct"/>
          </w:tcPr>
          <w:p w14:paraId="00692B2D" w14:textId="77777777" w:rsidR="00BA6645" w:rsidRPr="007D1918" w:rsidRDefault="00BA6645" w:rsidP="00C163D0">
            <w:pPr>
              <w:pStyle w:val="TableHeading"/>
              <w:keepLines/>
              <w:ind w:left="77" w:right="117"/>
              <w:rPr>
                <w:snapToGrid w:val="0"/>
                <w:lang w:eastAsia="en-US"/>
              </w:rPr>
            </w:pPr>
            <w:r w:rsidRPr="007D1918">
              <w:rPr>
                <w:snapToGrid w:val="0"/>
                <w:lang w:eastAsia="en-US"/>
              </w:rPr>
              <w:t>PE</w:t>
            </w:r>
          </w:p>
          <w:p w14:paraId="5DAA1B89" w14:textId="77777777" w:rsidR="00BA6645" w:rsidRPr="007D1918" w:rsidRDefault="00BA6645" w:rsidP="00C163D0">
            <w:pPr>
              <w:pStyle w:val="TableHeading"/>
              <w:keepLines/>
              <w:ind w:left="77" w:right="117"/>
              <w:rPr>
                <w:snapToGrid w:val="0"/>
                <w:lang w:eastAsia="en-US"/>
              </w:rPr>
            </w:pPr>
            <w:proofErr w:type="gramStart"/>
            <w:r w:rsidRPr="007D1918">
              <w:rPr>
                <w:snapToGrid w:val="0"/>
                <w:lang w:eastAsia="en-US"/>
              </w:rPr>
              <w:t>n</w:t>
            </w:r>
            <w:proofErr w:type="gramEnd"/>
            <w:r w:rsidRPr="007D1918">
              <w:rPr>
                <w:snapToGrid w:val="0"/>
                <w:lang w:eastAsia="en-US"/>
              </w:rPr>
              <w:t xml:space="preserve"> with event/N (%)</w:t>
            </w:r>
          </w:p>
        </w:tc>
        <w:tc>
          <w:tcPr>
            <w:tcW w:w="1235" w:type="pct"/>
          </w:tcPr>
          <w:p w14:paraId="61EF4DD5" w14:textId="77777777" w:rsidR="00BA6645" w:rsidRPr="007D1918" w:rsidRDefault="00BA6645" w:rsidP="00C163D0">
            <w:pPr>
              <w:pStyle w:val="TableHeading"/>
              <w:keepLines/>
              <w:ind w:right="117"/>
              <w:rPr>
                <w:snapToGrid w:val="0"/>
                <w:lang w:eastAsia="en-US"/>
              </w:rPr>
            </w:pPr>
            <w:r w:rsidRPr="007D1918">
              <w:rPr>
                <w:snapToGrid w:val="0"/>
                <w:lang w:eastAsia="en-US"/>
              </w:rPr>
              <w:t>Difference</w:t>
            </w:r>
          </w:p>
          <w:p w14:paraId="3489BE4B" w14:textId="77777777" w:rsidR="00BA6645" w:rsidRPr="007D1918" w:rsidRDefault="00BA6645" w:rsidP="00C163D0">
            <w:pPr>
              <w:pStyle w:val="TableHeading"/>
              <w:keepLines/>
              <w:ind w:right="117"/>
              <w:rPr>
                <w:snapToGrid w:val="0"/>
                <w:lang w:eastAsia="en-US"/>
              </w:rPr>
            </w:pPr>
            <w:r w:rsidRPr="007D1918">
              <w:rPr>
                <w:snapToGrid w:val="0"/>
                <w:lang w:eastAsia="en-US"/>
              </w:rPr>
              <w:t>p-value ( 95% CI)</w:t>
            </w:r>
          </w:p>
        </w:tc>
      </w:tr>
      <w:tr w:rsidR="00BA6645" w:rsidRPr="007D1918" w14:paraId="03B85256" w14:textId="77777777" w:rsidTr="00C163D0">
        <w:tc>
          <w:tcPr>
            <w:tcW w:w="907" w:type="pct"/>
          </w:tcPr>
          <w:p w14:paraId="3978A8BC" w14:textId="77777777" w:rsidR="00BA6645" w:rsidRPr="007D1918" w:rsidRDefault="00BA6645" w:rsidP="00BA6645">
            <w:pPr>
              <w:pStyle w:val="Tabletext"/>
              <w:keepNext/>
              <w:keepLines/>
              <w:rPr>
                <w:snapToGrid w:val="0"/>
                <w:lang w:eastAsia="en-US"/>
              </w:rPr>
            </w:pPr>
            <w:r w:rsidRPr="007D1918">
              <w:rPr>
                <w:snapToGrid w:val="0"/>
                <w:lang w:eastAsia="en-US"/>
              </w:rPr>
              <w:fldChar w:fldCharType="begin"/>
            </w:r>
            <w:r w:rsidRPr="007D1918">
              <w:rPr>
                <w:snapToGrid w:val="0"/>
                <w:lang w:eastAsia="en-US"/>
              </w:rPr>
              <w:instrText xml:space="preserve"> ADDIN EN.CITE &lt;EndNote&gt;&lt;Cite&gt;&lt;Author&gt;Barth&lt;/Author&gt;&lt;Year&gt;2011&lt;/Year&gt;&lt;RecNum&gt;48&lt;/RecNum&gt;&lt;DisplayText&gt;(Barth et al. 2011)&lt;/DisplayText&gt;&lt;record&gt;&lt;rec-number&gt;48&lt;/rec-number&gt;&lt;foreign-keys&gt;&lt;key app="EN" db-id="2aevrx2slsts5ve9sdavatf125dsx0av2v9d" timestamp="1562811027"&gt;48&lt;/key&gt;&lt;/foreign-keys&gt;&lt;ref-type name="Journal Article"&gt;17&lt;/ref-type&gt;&lt;contributors&gt;&lt;authors&gt;&lt;author&gt;Barth, D.&lt;/author&gt;&lt;author&gt;Nabavi Nouri, M.&lt;/author&gt;&lt;author&gt;Ng, E.&lt;/author&gt;&lt;author&gt;Nwe, P.&lt;/author&gt;&lt;author&gt;Bril, V.&lt;/author&gt;&lt;/authors&gt;&lt;/contributors&gt;&lt;titles&gt;&lt;title&gt;Comparison of IVIg and PLEX in patients with myasthenia gravis&lt;/title&gt;&lt;secondary-title&gt;Neurology&lt;/secondary-title&gt;&lt;/titles&gt;&lt;periodical&gt;&lt;full-title&gt;Neurology&lt;/full-title&gt;&lt;/periodical&gt;&lt;pages&gt;2017</w:instrText>
            </w:r>
            <w:r w:rsidRPr="007D1918">
              <w:rPr>
                <w:rFonts w:ascii="Cambria Math" w:hAnsi="Cambria Math" w:cs="Cambria Math"/>
                <w:snapToGrid w:val="0"/>
                <w:lang w:eastAsia="en-US"/>
              </w:rPr>
              <w:instrText>‐</w:instrText>
            </w:r>
            <w:r w:rsidRPr="007D1918">
              <w:rPr>
                <w:snapToGrid w:val="0"/>
                <w:lang w:eastAsia="en-US"/>
              </w:rPr>
              <w:instrText>2023&lt;/pages&gt;&lt;volume&gt;76&lt;/volume&gt;&lt;number&gt;23&lt;/number&gt;&lt;keywords&gt;&lt;keyword&gt;Adult&lt;/keyword&gt;&lt;keyword&gt;Aged&lt;/keyword&gt;&lt;keyword&gt;Aged, 80 and over&lt;/keyword&gt;&lt;keyword&gt;Autoantibodies [biosynthesis, blood]&lt;/keyword&gt;&lt;keyword&gt;Disability Evaluation&lt;/keyword&gt;&lt;keyword&gt;Evidence</w:instrText>
            </w:r>
            <w:r w:rsidRPr="007D1918">
              <w:rPr>
                <w:rFonts w:ascii="Cambria Math" w:hAnsi="Cambria Math" w:cs="Cambria Math"/>
                <w:snapToGrid w:val="0"/>
                <w:lang w:eastAsia="en-US"/>
              </w:rPr>
              <w:instrText>‐</w:instrText>
            </w:r>
            <w:r w:rsidRPr="007D1918">
              <w:rPr>
                <w:snapToGrid w:val="0"/>
                <w:lang w:eastAsia="en-US"/>
              </w:rPr>
              <w:instrText>Based Medicine [methods]&lt;/keyword&gt;&lt;keyword&gt;Female&lt;/keyword&gt;&lt;keyword&gt;Humans&lt;/keyword&gt;&lt;keyword&gt;Immunoglobulins, Intravenous [*therapeutic use]&lt;/keyword&gt;&lt;keyword&gt;Male&lt;/keyword&gt;&lt;keyword&gt;Middle Aged&lt;/keyword&gt;&lt;keyword&gt;Myasthenia Gravis [diagnosis, immunology, *therapy]&lt;/keyword&gt;&lt;keyword&gt;Outcome Assessment (Health Care) [*methods]&lt;/keyword&gt;&lt;keyword&gt;Plasma Exchange [*trends]&lt;/keyword&gt;&lt;keyword&gt;Severity of Illness Index&lt;/keyword&gt;&lt;keyword&gt;Treatment Outcome&lt;/keyword&gt;&lt;/keywords&gt;&lt;dates&gt;&lt;year&gt;2011&lt;/year&gt;&lt;/dates&gt;&lt;accession-num&gt;CN-00800084&lt;/accession-num&gt;&lt;work-type&gt;Comparative Study; Journal Article; Randomized Controlled Trial; Research Support, Non</w:instrText>
            </w:r>
            <w:r w:rsidRPr="007D1918">
              <w:rPr>
                <w:rFonts w:ascii="Cambria Math" w:hAnsi="Cambria Math" w:cs="Cambria Math"/>
                <w:snapToGrid w:val="0"/>
                <w:lang w:eastAsia="en-US"/>
              </w:rPr>
              <w:instrText>‐</w:instrText>
            </w:r>
            <w:r w:rsidRPr="007D1918">
              <w:rPr>
                <w:snapToGrid w:val="0"/>
                <w:lang w:eastAsia="en-US"/>
              </w:rPr>
              <w:instrText>U.S. Gov&amp;apos;t&lt;/work-type&gt;&lt;urls&gt;&lt;related-urls&gt;&lt;url&gt;https://www.cochranelibrary.com/central/doi/10.1002/central/CN-00800084/full&lt;/url&gt;&lt;url&gt;https://www.ncbi.nlm.nih.gov/pmc/articles/PMC3109880/pdf/znl2017.pdf&lt;/url&gt;&lt;/related-urls&gt;&lt;/urls&gt;&lt;custom3&gt;PUBMED 21562253&lt;/custom3&gt;&lt;electronic-resource-num&gt;10.1212/WNL.0b013e31821e5505&lt;/electronic-resource-num&gt;&lt;/record&gt;&lt;/Cite&gt;&lt;/EndNote&gt;</w:instrText>
            </w:r>
            <w:r w:rsidRPr="007D1918">
              <w:rPr>
                <w:snapToGrid w:val="0"/>
                <w:lang w:eastAsia="en-US"/>
              </w:rPr>
              <w:fldChar w:fldCharType="separate"/>
            </w:r>
            <w:r w:rsidRPr="007D1918">
              <w:rPr>
                <w:noProof/>
                <w:snapToGrid w:val="0"/>
                <w:lang w:eastAsia="en-US"/>
              </w:rPr>
              <w:t>(</w:t>
            </w:r>
            <w:hyperlink w:anchor="_ENREF_8" w:tooltip="Barth, 2011 #48" w:history="1">
              <w:r w:rsidRPr="007D1918">
                <w:rPr>
                  <w:noProof/>
                  <w:snapToGrid w:val="0"/>
                  <w:lang w:eastAsia="en-US"/>
                </w:rPr>
                <w:t>Barth et al. 2011</w:t>
              </w:r>
            </w:hyperlink>
            <w:r w:rsidRPr="007D1918">
              <w:rPr>
                <w:noProof/>
                <w:snapToGrid w:val="0"/>
                <w:lang w:eastAsia="en-US"/>
              </w:rPr>
              <w:t>)</w:t>
            </w:r>
            <w:r w:rsidRPr="007D1918">
              <w:rPr>
                <w:snapToGrid w:val="0"/>
                <w:lang w:eastAsia="en-US"/>
              </w:rPr>
              <w:fldChar w:fldCharType="end"/>
            </w:r>
            <w:r w:rsidRPr="007D1918">
              <w:rPr>
                <w:snapToGrid w:val="0"/>
                <w:lang w:eastAsia="en-US"/>
              </w:rPr>
              <w:t>, Canada</w:t>
            </w:r>
          </w:p>
          <w:p w14:paraId="64EE02E5" w14:textId="77777777" w:rsidR="00BA6645" w:rsidRPr="007D1918" w:rsidRDefault="00BA6645" w:rsidP="00BA6645">
            <w:pPr>
              <w:keepNext/>
              <w:keepLines/>
              <w:spacing w:after="40"/>
            </w:pPr>
            <w:r w:rsidRPr="007D1918">
              <w:t>Level II</w:t>
            </w:r>
          </w:p>
          <w:p w14:paraId="19F1F9CA" w14:textId="77777777" w:rsidR="00BA6645" w:rsidRPr="007D1918" w:rsidRDefault="00BA6645" w:rsidP="00BA6645">
            <w:pPr>
              <w:pStyle w:val="Tabletext"/>
              <w:keepNext/>
              <w:keepLines/>
              <w:rPr>
                <w:snapToGrid w:val="0"/>
                <w:lang w:eastAsia="en-US"/>
              </w:rPr>
            </w:pPr>
            <w:r w:rsidRPr="007D1918">
              <w:t>Low risk of bias</w:t>
            </w:r>
          </w:p>
        </w:tc>
        <w:tc>
          <w:tcPr>
            <w:tcW w:w="1005" w:type="pct"/>
          </w:tcPr>
          <w:p w14:paraId="730871C1" w14:textId="77777777" w:rsidR="00BA6645" w:rsidRPr="007D1918" w:rsidRDefault="00BA6645" w:rsidP="00BA6645">
            <w:pPr>
              <w:pStyle w:val="Tabletext"/>
              <w:keepNext/>
              <w:keepLines/>
              <w:rPr>
                <w:snapToGrid w:val="0"/>
                <w:lang w:eastAsia="en-US"/>
              </w:rPr>
            </w:pPr>
            <w:r w:rsidRPr="007D1918">
              <w:rPr>
                <w:snapToGrid w:val="0"/>
                <w:lang w:eastAsia="en-US"/>
              </w:rPr>
              <w:t>Allergic reaction</w:t>
            </w:r>
          </w:p>
          <w:p w14:paraId="2600DBDF" w14:textId="77777777" w:rsidR="00BA6645" w:rsidRPr="007D1918" w:rsidRDefault="00BA6645" w:rsidP="00BA6645">
            <w:pPr>
              <w:pStyle w:val="Tabletext"/>
              <w:keepNext/>
              <w:keepLines/>
              <w:rPr>
                <w:snapToGrid w:val="0"/>
                <w:lang w:eastAsia="en-US"/>
              </w:rPr>
            </w:pPr>
            <w:r w:rsidRPr="007D1918">
              <w:rPr>
                <w:snapToGrid w:val="0"/>
                <w:lang w:eastAsia="en-US"/>
              </w:rPr>
              <w:t>Nausea, vomiting</w:t>
            </w:r>
          </w:p>
          <w:p w14:paraId="09FFBD13" w14:textId="77777777" w:rsidR="00BA6645" w:rsidRPr="007D1918" w:rsidRDefault="00BA6645" w:rsidP="00BA6645">
            <w:pPr>
              <w:pStyle w:val="Tabletext"/>
              <w:keepNext/>
              <w:keepLines/>
              <w:rPr>
                <w:snapToGrid w:val="0"/>
                <w:lang w:eastAsia="en-US"/>
              </w:rPr>
            </w:pPr>
            <w:r w:rsidRPr="007D1918">
              <w:rPr>
                <w:snapToGrid w:val="0"/>
                <w:lang w:eastAsia="en-US"/>
              </w:rPr>
              <w:t>Headache</w:t>
            </w:r>
          </w:p>
          <w:p w14:paraId="33054B2F" w14:textId="77777777" w:rsidR="00BA6645" w:rsidRPr="007D1918" w:rsidRDefault="00BA6645" w:rsidP="00BA6645">
            <w:pPr>
              <w:pStyle w:val="Tabletext"/>
              <w:keepNext/>
              <w:keepLines/>
              <w:rPr>
                <w:snapToGrid w:val="0"/>
                <w:lang w:eastAsia="en-US"/>
              </w:rPr>
            </w:pPr>
            <w:r w:rsidRPr="007D1918">
              <w:rPr>
                <w:snapToGrid w:val="0"/>
                <w:lang w:eastAsia="en-US"/>
              </w:rPr>
              <w:t>Chills</w:t>
            </w:r>
          </w:p>
          <w:p w14:paraId="6D221646" w14:textId="77777777" w:rsidR="00BA6645" w:rsidRPr="007D1918" w:rsidRDefault="00BA6645" w:rsidP="00BA6645">
            <w:pPr>
              <w:pStyle w:val="Tabletext"/>
              <w:keepNext/>
              <w:keepLines/>
              <w:rPr>
                <w:snapToGrid w:val="0"/>
                <w:lang w:eastAsia="en-US"/>
              </w:rPr>
            </w:pPr>
            <w:r w:rsidRPr="007D1918">
              <w:rPr>
                <w:snapToGrid w:val="0"/>
                <w:lang w:eastAsia="en-US"/>
              </w:rPr>
              <w:t>Fever</w:t>
            </w:r>
          </w:p>
          <w:p w14:paraId="4FBD7137" w14:textId="77777777" w:rsidR="00BA6645" w:rsidRPr="007D1918" w:rsidRDefault="00BA6645" w:rsidP="00BA6645">
            <w:pPr>
              <w:pStyle w:val="Tabletext"/>
              <w:keepNext/>
              <w:keepLines/>
              <w:rPr>
                <w:snapToGrid w:val="0"/>
                <w:lang w:eastAsia="en-US"/>
              </w:rPr>
            </w:pPr>
            <w:r w:rsidRPr="007D1918">
              <w:rPr>
                <w:snapToGrid w:val="0"/>
                <w:lang w:eastAsia="en-US"/>
              </w:rPr>
              <w:t>Haemolytic anaemia</w:t>
            </w:r>
          </w:p>
          <w:p w14:paraId="31AD3980" w14:textId="77777777" w:rsidR="00BA6645" w:rsidRPr="007D1918" w:rsidRDefault="00BA6645" w:rsidP="00BA6645">
            <w:pPr>
              <w:pStyle w:val="Tabletext"/>
              <w:keepNext/>
              <w:keepLines/>
              <w:rPr>
                <w:snapToGrid w:val="0"/>
                <w:lang w:eastAsia="en-US"/>
              </w:rPr>
            </w:pPr>
            <w:r w:rsidRPr="007D1918">
              <w:rPr>
                <w:snapToGrid w:val="0"/>
                <w:lang w:eastAsia="en-US"/>
              </w:rPr>
              <w:t>Hypertension</w:t>
            </w:r>
          </w:p>
          <w:p w14:paraId="5D83BA44" w14:textId="77777777" w:rsidR="00BA6645" w:rsidRPr="007D1918" w:rsidRDefault="00BA6645" w:rsidP="00BA6645">
            <w:pPr>
              <w:pStyle w:val="Tabletext"/>
              <w:keepNext/>
              <w:keepLines/>
              <w:rPr>
                <w:snapToGrid w:val="0"/>
                <w:lang w:eastAsia="en-US"/>
              </w:rPr>
            </w:pPr>
            <w:r w:rsidRPr="007D1918">
              <w:rPr>
                <w:snapToGrid w:val="0"/>
                <w:lang w:eastAsia="en-US"/>
              </w:rPr>
              <w:t>Citrate reaction</w:t>
            </w:r>
          </w:p>
          <w:p w14:paraId="218DA995" w14:textId="77777777" w:rsidR="00BA6645" w:rsidRPr="007D1918" w:rsidRDefault="00BA6645" w:rsidP="00BA6645">
            <w:pPr>
              <w:pStyle w:val="Tabletext"/>
              <w:keepNext/>
              <w:keepLines/>
              <w:rPr>
                <w:snapToGrid w:val="0"/>
                <w:lang w:eastAsia="en-US"/>
              </w:rPr>
            </w:pPr>
            <w:r w:rsidRPr="007D1918">
              <w:rPr>
                <w:snapToGrid w:val="0"/>
                <w:lang w:eastAsia="en-US"/>
              </w:rPr>
              <w:t>Poor venous access delaying treatment</w:t>
            </w:r>
          </w:p>
          <w:p w14:paraId="52AF7BAA" w14:textId="77777777" w:rsidR="00BA6645" w:rsidRPr="007D1918" w:rsidRDefault="00BA6645" w:rsidP="00BA6645">
            <w:pPr>
              <w:pStyle w:val="Tabletext"/>
              <w:keepNext/>
              <w:keepLines/>
              <w:rPr>
                <w:snapToGrid w:val="0"/>
                <w:lang w:eastAsia="en-US"/>
              </w:rPr>
            </w:pPr>
            <w:r w:rsidRPr="007D1918">
              <w:rPr>
                <w:snapToGrid w:val="0"/>
                <w:lang w:eastAsia="en-US"/>
              </w:rPr>
              <w:t>Vasospasm</w:t>
            </w:r>
          </w:p>
          <w:p w14:paraId="31280DFD" w14:textId="77777777" w:rsidR="00BA6645" w:rsidRPr="007D1918" w:rsidRDefault="00BA6645" w:rsidP="00BA6645">
            <w:pPr>
              <w:pStyle w:val="Tabletext"/>
              <w:keepNext/>
              <w:keepLines/>
              <w:rPr>
                <w:snapToGrid w:val="0"/>
                <w:lang w:eastAsia="en-US"/>
              </w:rPr>
            </w:pPr>
            <w:r w:rsidRPr="007D1918">
              <w:rPr>
                <w:snapToGrid w:val="0"/>
                <w:lang w:eastAsia="en-US"/>
              </w:rPr>
              <w:t>Vasovagal reaction</w:t>
            </w:r>
          </w:p>
          <w:p w14:paraId="68AD6598" w14:textId="77777777" w:rsidR="00BA6645" w:rsidRPr="007D1918" w:rsidRDefault="00BA6645" w:rsidP="00BA6645">
            <w:pPr>
              <w:pStyle w:val="Tabletext"/>
              <w:keepNext/>
              <w:keepLines/>
              <w:rPr>
                <w:snapToGrid w:val="0"/>
                <w:lang w:eastAsia="en-US"/>
              </w:rPr>
            </w:pPr>
            <w:r w:rsidRPr="007D1918">
              <w:rPr>
                <w:snapToGrid w:val="0"/>
                <w:lang w:eastAsia="en-US"/>
              </w:rPr>
              <w:t>Myocardial infarction</w:t>
            </w:r>
          </w:p>
        </w:tc>
        <w:tc>
          <w:tcPr>
            <w:tcW w:w="927" w:type="pct"/>
          </w:tcPr>
          <w:p w14:paraId="5F1F6B62" w14:textId="77777777" w:rsidR="00BA6645" w:rsidRPr="007D1918" w:rsidRDefault="00BA6645" w:rsidP="00BA6645">
            <w:pPr>
              <w:pStyle w:val="Tabletext"/>
              <w:keepNext/>
              <w:keepLines/>
              <w:rPr>
                <w:snapToGrid w:val="0"/>
                <w:lang w:eastAsia="en-US"/>
              </w:rPr>
            </w:pPr>
            <w:r w:rsidRPr="007D1918">
              <w:rPr>
                <w:snapToGrid w:val="0"/>
                <w:lang w:eastAsia="en-US"/>
              </w:rPr>
              <w:t>2/41 (4.9%)</w:t>
            </w:r>
          </w:p>
          <w:p w14:paraId="53676F68" w14:textId="77777777" w:rsidR="00BA6645" w:rsidRPr="007D1918" w:rsidRDefault="00BA6645" w:rsidP="00BA6645">
            <w:pPr>
              <w:pStyle w:val="Tabletext"/>
              <w:keepNext/>
              <w:keepLines/>
              <w:rPr>
                <w:snapToGrid w:val="0"/>
                <w:lang w:eastAsia="en-US"/>
              </w:rPr>
            </w:pPr>
            <w:r w:rsidRPr="007D1918">
              <w:rPr>
                <w:snapToGrid w:val="0"/>
                <w:lang w:eastAsia="en-US"/>
              </w:rPr>
              <w:t>7/41 (17.0%)</w:t>
            </w:r>
          </w:p>
          <w:p w14:paraId="4229DCB2" w14:textId="77777777" w:rsidR="00BA6645" w:rsidRPr="007D1918" w:rsidRDefault="00BA6645" w:rsidP="00BA6645">
            <w:pPr>
              <w:pStyle w:val="Tabletext"/>
              <w:keepNext/>
              <w:keepLines/>
              <w:rPr>
                <w:snapToGrid w:val="0"/>
                <w:lang w:eastAsia="en-US"/>
              </w:rPr>
            </w:pPr>
            <w:r w:rsidRPr="007D1918">
              <w:rPr>
                <w:snapToGrid w:val="0"/>
                <w:lang w:eastAsia="en-US"/>
              </w:rPr>
              <w:t>8/41 (19.5%)</w:t>
            </w:r>
          </w:p>
          <w:p w14:paraId="5B04726D" w14:textId="77777777" w:rsidR="00BA6645" w:rsidRPr="007D1918" w:rsidRDefault="00BA6645" w:rsidP="00BA6645">
            <w:pPr>
              <w:pStyle w:val="Tabletext"/>
              <w:keepNext/>
              <w:keepLines/>
              <w:rPr>
                <w:snapToGrid w:val="0"/>
                <w:lang w:eastAsia="en-US"/>
              </w:rPr>
            </w:pPr>
            <w:r w:rsidRPr="007D1918">
              <w:rPr>
                <w:snapToGrid w:val="0"/>
                <w:lang w:eastAsia="en-US"/>
              </w:rPr>
              <w:t>2/41 (4.9%)</w:t>
            </w:r>
          </w:p>
          <w:p w14:paraId="54A6B0AA" w14:textId="77777777" w:rsidR="00BA6645" w:rsidRPr="007D1918" w:rsidRDefault="00BA6645" w:rsidP="00BA6645">
            <w:pPr>
              <w:pStyle w:val="Tabletext"/>
              <w:keepNext/>
              <w:keepLines/>
              <w:rPr>
                <w:snapToGrid w:val="0"/>
                <w:lang w:eastAsia="en-US"/>
              </w:rPr>
            </w:pPr>
            <w:r w:rsidRPr="007D1918">
              <w:rPr>
                <w:snapToGrid w:val="0"/>
                <w:lang w:eastAsia="en-US"/>
              </w:rPr>
              <w:t>3/41 (7.3%)</w:t>
            </w:r>
          </w:p>
          <w:p w14:paraId="19D44745" w14:textId="77777777" w:rsidR="00BA6645" w:rsidRPr="007D1918" w:rsidRDefault="00BA6645" w:rsidP="00BA6645">
            <w:pPr>
              <w:pStyle w:val="Tabletext"/>
              <w:keepNext/>
              <w:keepLines/>
              <w:rPr>
                <w:snapToGrid w:val="0"/>
                <w:lang w:eastAsia="en-US"/>
              </w:rPr>
            </w:pPr>
            <w:r w:rsidRPr="007D1918">
              <w:rPr>
                <w:snapToGrid w:val="0"/>
                <w:lang w:eastAsia="en-US"/>
              </w:rPr>
              <w:t>1/41 (2.45%)</w:t>
            </w:r>
          </w:p>
          <w:p w14:paraId="7FBEEFEA" w14:textId="77777777" w:rsidR="00BA6645" w:rsidRPr="007D1918" w:rsidRDefault="00BA6645" w:rsidP="00BA6645">
            <w:pPr>
              <w:pStyle w:val="Tabletext"/>
              <w:keepNext/>
              <w:keepLines/>
              <w:rPr>
                <w:snapToGrid w:val="0"/>
                <w:lang w:eastAsia="en-US"/>
              </w:rPr>
            </w:pPr>
            <w:r w:rsidRPr="007D1918">
              <w:rPr>
                <w:snapToGrid w:val="0"/>
                <w:lang w:eastAsia="en-US"/>
              </w:rPr>
              <w:t>1/41 (2.4%)</w:t>
            </w:r>
          </w:p>
          <w:p w14:paraId="5B06D9A5" w14:textId="77777777" w:rsidR="00BA6645" w:rsidRPr="007D1918" w:rsidRDefault="00BA6645" w:rsidP="00BA6645">
            <w:pPr>
              <w:pStyle w:val="Tabletext"/>
              <w:keepNext/>
              <w:keepLines/>
              <w:rPr>
                <w:snapToGrid w:val="0"/>
                <w:lang w:eastAsia="en-US"/>
              </w:rPr>
            </w:pPr>
            <w:r w:rsidRPr="007D1918">
              <w:rPr>
                <w:snapToGrid w:val="0"/>
                <w:lang w:eastAsia="en-US"/>
              </w:rPr>
              <w:t>0/41</w:t>
            </w:r>
          </w:p>
          <w:p w14:paraId="30D86FAD" w14:textId="77777777" w:rsidR="00BA6645" w:rsidRPr="007D1918" w:rsidRDefault="00BA6645" w:rsidP="00BA6645">
            <w:pPr>
              <w:pStyle w:val="Tabletext"/>
              <w:keepNext/>
              <w:keepLines/>
              <w:rPr>
                <w:snapToGrid w:val="0"/>
                <w:lang w:eastAsia="en-US"/>
              </w:rPr>
            </w:pPr>
            <w:r w:rsidRPr="007D1918">
              <w:rPr>
                <w:snapToGrid w:val="0"/>
                <w:lang w:eastAsia="en-US"/>
              </w:rPr>
              <w:t>0/41</w:t>
            </w:r>
            <w:r w:rsidRPr="007D1918">
              <w:rPr>
                <w:snapToGrid w:val="0"/>
                <w:lang w:eastAsia="en-US"/>
              </w:rPr>
              <w:br/>
            </w:r>
          </w:p>
          <w:p w14:paraId="7A41066D" w14:textId="77777777" w:rsidR="00BA6645" w:rsidRPr="007D1918" w:rsidRDefault="00BA6645" w:rsidP="00BA6645">
            <w:pPr>
              <w:pStyle w:val="Tabletext"/>
              <w:keepNext/>
              <w:keepLines/>
              <w:rPr>
                <w:snapToGrid w:val="0"/>
                <w:lang w:eastAsia="en-US"/>
              </w:rPr>
            </w:pPr>
            <w:r w:rsidRPr="007D1918">
              <w:rPr>
                <w:snapToGrid w:val="0"/>
                <w:lang w:eastAsia="en-US"/>
              </w:rPr>
              <w:t>0/41</w:t>
            </w:r>
          </w:p>
          <w:p w14:paraId="2BA087D9" w14:textId="77777777" w:rsidR="00BA6645" w:rsidRPr="007D1918" w:rsidRDefault="00BA6645" w:rsidP="00BA6645">
            <w:pPr>
              <w:pStyle w:val="Tabletext"/>
              <w:keepNext/>
              <w:keepLines/>
              <w:rPr>
                <w:snapToGrid w:val="0"/>
                <w:lang w:eastAsia="en-US"/>
              </w:rPr>
            </w:pPr>
            <w:r w:rsidRPr="007D1918">
              <w:rPr>
                <w:snapToGrid w:val="0"/>
                <w:lang w:eastAsia="en-US"/>
              </w:rPr>
              <w:t>0/41</w:t>
            </w:r>
          </w:p>
          <w:p w14:paraId="48885A3C" w14:textId="77777777" w:rsidR="00BA6645" w:rsidRPr="007D1918" w:rsidRDefault="00BA6645" w:rsidP="00BA6645">
            <w:pPr>
              <w:pStyle w:val="Tabletext"/>
              <w:keepNext/>
              <w:keepLines/>
              <w:rPr>
                <w:snapToGrid w:val="0"/>
                <w:lang w:eastAsia="en-US"/>
              </w:rPr>
            </w:pPr>
            <w:r w:rsidRPr="007D1918">
              <w:rPr>
                <w:snapToGrid w:val="0"/>
                <w:lang w:eastAsia="en-US"/>
              </w:rPr>
              <w:t>0/41</w:t>
            </w:r>
          </w:p>
        </w:tc>
        <w:tc>
          <w:tcPr>
            <w:tcW w:w="926" w:type="pct"/>
          </w:tcPr>
          <w:p w14:paraId="31FA97CC" w14:textId="77777777" w:rsidR="00BA6645" w:rsidRPr="007D1918" w:rsidRDefault="00BA6645" w:rsidP="00BA6645">
            <w:pPr>
              <w:pStyle w:val="Tabletext"/>
              <w:keepNext/>
              <w:keepLines/>
              <w:rPr>
                <w:snapToGrid w:val="0"/>
                <w:lang w:eastAsia="en-US"/>
              </w:rPr>
            </w:pPr>
            <w:r w:rsidRPr="007D1918">
              <w:rPr>
                <w:snapToGrid w:val="0"/>
                <w:lang w:eastAsia="en-US"/>
              </w:rPr>
              <w:t>0/43</w:t>
            </w:r>
          </w:p>
          <w:p w14:paraId="759E4B71" w14:textId="77777777" w:rsidR="00BA6645" w:rsidRPr="007D1918" w:rsidRDefault="00BA6645" w:rsidP="00BA6645">
            <w:pPr>
              <w:pStyle w:val="Tabletext"/>
              <w:keepNext/>
              <w:keepLines/>
              <w:rPr>
                <w:snapToGrid w:val="0"/>
                <w:lang w:eastAsia="en-US"/>
              </w:rPr>
            </w:pPr>
            <w:r w:rsidRPr="007D1918">
              <w:rPr>
                <w:snapToGrid w:val="0"/>
                <w:lang w:eastAsia="en-US"/>
              </w:rPr>
              <w:t>0/43</w:t>
            </w:r>
          </w:p>
          <w:p w14:paraId="54C12230" w14:textId="77777777" w:rsidR="00BA6645" w:rsidRPr="007D1918" w:rsidRDefault="00BA6645" w:rsidP="00BA6645">
            <w:pPr>
              <w:pStyle w:val="Tabletext"/>
              <w:keepNext/>
              <w:keepLines/>
              <w:rPr>
                <w:snapToGrid w:val="0"/>
                <w:lang w:eastAsia="en-US"/>
              </w:rPr>
            </w:pPr>
            <w:r w:rsidRPr="007D1918">
              <w:rPr>
                <w:snapToGrid w:val="0"/>
                <w:lang w:eastAsia="en-US"/>
              </w:rPr>
              <w:t>0/43</w:t>
            </w:r>
          </w:p>
          <w:p w14:paraId="10497A42" w14:textId="77777777" w:rsidR="00BA6645" w:rsidRPr="007D1918" w:rsidRDefault="00BA6645" w:rsidP="00BA6645">
            <w:pPr>
              <w:pStyle w:val="Tabletext"/>
              <w:keepNext/>
              <w:keepLines/>
              <w:rPr>
                <w:snapToGrid w:val="0"/>
                <w:lang w:eastAsia="en-US"/>
              </w:rPr>
            </w:pPr>
            <w:r w:rsidRPr="007D1918">
              <w:rPr>
                <w:snapToGrid w:val="0"/>
                <w:lang w:eastAsia="en-US"/>
              </w:rPr>
              <w:t>0/43</w:t>
            </w:r>
          </w:p>
          <w:p w14:paraId="6DE40240" w14:textId="77777777" w:rsidR="00BA6645" w:rsidRPr="007D1918" w:rsidRDefault="00BA6645" w:rsidP="00BA6645">
            <w:pPr>
              <w:pStyle w:val="Tabletext"/>
              <w:keepNext/>
              <w:keepLines/>
              <w:rPr>
                <w:snapToGrid w:val="0"/>
                <w:lang w:eastAsia="en-US"/>
              </w:rPr>
            </w:pPr>
            <w:r w:rsidRPr="007D1918">
              <w:rPr>
                <w:snapToGrid w:val="0"/>
                <w:lang w:eastAsia="en-US"/>
              </w:rPr>
              <w:t>0/43</w:t>
            </w:r>
          </w:p>
          <w:p w14:paraId="5F374E01" w14:textId="77777777" w:rsidR="00BA6645" w:rsidRPr="007D1918" w:rsidRDefault="00BA6645" w:rsidP="00BA6645">
            <w:pPr>
              <w:pStyle w:val="Tabletext"/>
              <w:keepNext/>
              <w:keepLines/>
              <w:rPr>
                <w:snapToGrid w:val="0"/>
                <w:lang w:eastAsia="en-US"/>
              </w:rPr>
            </w:pPr>
            <w:r w:rsidRPr="007D1918">
              <w:rPr>
                <w:snapToGrid w:val="0"/>
                <w:lang w:eastAsia="en-US"/>
              </w:rPr>
              <w:t>0/43</w:t>
            </w:r>
          </w:p>
          <w:p w14:paraId="67B866D6" w14:textId="77777777" w:rsidR="00BA6645" w:rsidRPr="007D1918" w:rsidRDefault="00BA6645" w:rsidP="00BA6645">
            <w:pPr>
              <w:pStyle w:val="Tabletext"/>
              <w:keepNext/>
              <w:keepLines/>
              <w:rPr>
                <w:snapToGrid w:val="0"/>
                <w:lang w:eastAsia="en-US"/>
              </w:rPr>
            </w:pPr>
            <w:r w:rsidRPr="007D1918">
              <w:rPr>
                <w:snapToGrid w:val="0"/>
                <w:lang w:eastAsia="en-US"/>
              </w:rPr>
              <w:t>0/43</w:t>
            </w:r>
          </w:p>
          <w:p w14:paraId="284DFDDB" w14:textId="77777777" w:rsidR="00BA6645" w:rsidRPr="007D1918" w:rsidRDefault="00BA6645" w:rsidP="00BA6645">
            <w:pPr>
              <w:pStyle w:val="Tabletext"/>
              <w:keepNext/>
              <w:keepLines/>
              <w:rPr>
                <w:snapToGrid w:val="0"/>
                <w:lang w:eastAsia="en-US"/>
              </w:rPr>
            </w:pPr>
            <w:r w:rsidRPr="007D1918">
              <w:rPr>
                <w:snapToGrid w:val="0"/>
                <w:lang w:eastAsia="en-US"/>
              </w:rPr>
              <w:t>6/43 (14.0%)</w:t>
            </w:r>
          </w:p>
          <w:p w14:paraId="5310736E" w14:textId="77777777" w:rsidR="00BA6645" w:rsidRPr="007D1918" w:rsidRDefault="00BA6645" w:rsidP="00BA6645">
            <w:pPr>
              <w:pStyle w:val="Tabletext"/>
              <w:keepNext/>
              <w:keepLines/>
              <w:rPr>
                <w:snapToGrid w:val="0"/>
                <w:lang w:eastAsia="en-US"/>
              </w:rPr>
            </w:pPr>
            <w:r w:rsidRPr="007D1918">
              <w:rPr>
                <w:snapToGrid w:val="0"/>
                <w:lang w:eastAsia="en-US"/>
              </w:rPr>
              <w:t>4/43 (9.3%)</w:t>
            </w:r>
            <w:r w:rsidRPr="007D1918">
              <w:rPr>
                <w:snapToGrid w:val="0"/>
                <w:lang w:eastAsia="en-US"/>
              </w:rPr>
              <w:br/>
            </w:r>
          </w:p>
          <w:p w14:paraId="392917A1" w14:textId="77777777" w:rsidR="00BA6645" w:rsidRPr="007D1918" w:rsidRDefault="00BA6645" w:rsidP="00BA6645">
            <w:pPr>
              <w:pStyle w:val="Tabletext"/>
              <w:keepNext/>
              <w:keepLines/>
              <w:rPr>
                <w:snapToGrid w:val="0"/>
                <w:lang w:eastAsia="en-US"/>
              </w:rPr>
            </w:pPr>
            <w:r w:rsidRPr="007D1918">
              <w:rPr>
                <w:snapToGrid w:val="0"/>
                <w:lang w:eastAsia="en-US"/>
              </w:rPr>
              <w:t>8/43 (18.6%)</w:t>
            </w:r>
          </w:p>
          <w:p w14:paraId="787C5F11" w14:textId="77777777" w:rsidR="00BA6645" w:rsidRPr="007D1918" w:rsidRDefault="00BA6645" w:rsidP="00BA6645">
            <w:pPr>
              <w:pStyle w:val="Tabletext"/>
              <w:keepNext/>
              <w:keepLines/>
              <w:rPr>
                <w:snapToGrid w:val="0"/>
                <w:lang w:eastAsia="en-US"/>
              </w:rPr>
            </w:pPr>
            <w:r w:rsidRPr="007D1918">
              <w:rPr>
                <w:snapToGrid w:val="0"/>
                <w:lang w:eastAsia="en-US"/>
              </w:rPr>
              <w:t>2/43 (4.7%)</w:t>
            </w:r>
          </w:p>
          <w:p w14:paraId="5657F860" w14:textId="77777777" w:rsidR="00BA6645" w:rsidRPr="007D1918" w:rsidRDefault="00BA6645" w:rsidP="00BA6645">
            <w:pPr>
              <w:pStyle w:val="Tabletext"/>
              <w:keepNext/>
              <w:keepLines/>
              <w:rPr>
                <w:snapToGrid w:val="0"/>
                <w:lang w:eastAsia="en-US"/>
              </w:rPr>
            </w:pPr>
            <w:r w:rsidRPr="007D1918">
              <w:rPr>
                <w:snapToGrid w:val="0"/>
                <w:lang w:eastAsia="en-US"/>
              </w:rPr>
              <w:t>1/43 (2.3%)</w:t>
            </w:r>
          </w:p>
        </w:tc>
        <w:tc>
          <w:tcPr>
            <w:tcW w:w="1235" w:type="pct"/>
          </w:tcPr>
          <w:p w14:paraId="07E0559E" w14:textId="77777777" w:rsidR="00BA6645" w:rsidRPr="007D1918" w:rsidRDefault="00BA6645" w:rsidP="00BA6645">
            <w:pPr>
              <w:pStyle w:val="Tabletext"/>
              <w:keepNext/>
              <w:keepLines/>
              <w:rPr>
                <w:snapToGrid w:val="0"/>
                <w:vertAlign w:val="superscript"/>
                <w:lang w:eastAsia="en-US"/>
              </w:rPr>
            </w:pPr>
            <w:r w:rsidRPr="007D1918">
              <w:rPr>
                <w:snapToGrid w:val="0"/>
                <w:lang w:eastAsia="en-US"/>
              </w:rPr>
              <w:t>P = 0.14 (-4.03%, 16.1%)</w:t>
            </w:r>
            <w:r w:rsidRPr="007D1918">
              <w:rPr>
                <w:snapToGrid w:val="0"/>
                <w:vertAlign w:val="superscript"/>
                <w:lang w:eastAsia="en-US"/>
              </w:rPr>
              <w:t>a</w:t>
            </w:r>
          </w:p>
          <w:p w14:paraId="4441409A" w14:textId="77777777" w:rsidR="00BA6645" w:rsidRPr="007D1918" w:rsidRDefault="00BA6645" w:rsidP="00BA6645">
            <w:pPr>
              <w:pStyle w:val="Tabletext"/>
              <w:keepNext/>
              <w:keepLines/>
              <w:rPr>
                <w:snapToGrid w:val="0"/>
                <w:lang w:eastAsia="en-US"/>
              </w:rPr>
            </w:pPr>
            <w:r w:rsidRPr="007D1918">
              <w:rPr>
                <w:snapToGrid w:val="0"/>
                <w:lang w:eastAsia="en-US"/>
              </w:rPr>
              <w:t xml:space="preserve">P = </w:t>
            </w:r>
            <w:r w:rsidRPr="007D1918">
              <w:rPr>
                <w:b/>
                <w:snapToGrid w:val="0"/>
                <w:lang w:eastAsia="en-US"/>
              </w:rPr>
              <w:t>0.005</w:t>
            </w:r>
            <w:r w:rsidRPr="007D1918">
              <w:rPr>
                <w:snapToGrid w:val="0"/>
                <w:lang w:eastAsia="en-US"/>
              </w:rPr>
              <w:t xml:space="preserve"> (5.17%, 31.2%)</w:t>
            </w:r>
          </w:p>
          <w:p w14:paraId="16582240" w14:textId="77777777" w:rsidR="00BA6645" w:rsidRPr="007D1918" w:rsidRDefault="00BA6645" w:rsidP="00BA6645">
            <w:pPr>
              <w:pStyle w:val="Tabletext"/>
              <w:keepNext/>
              <w:keepLines/>
              <w:rPr>
                <w:snapToGrid w:val="0"/>
                <w:lang w:eastAsia="en-US"/>
              </w:rPr>
            </w:pPr>
            <w:r w:rsidRPr="007D1918">
              <w:rPr>
                <w:snapToGrid w:val="0"/>
                <w:lang w:eastAsia="en-US"/>
              </w:rPr>
              <w:t xml:space="preserve">P = </w:t>
            </w:r>
            <w:r w:rsidRPr="007D1918">
              <w:rPr>
                <w:b/>
                <w:snapToGrid w:val="0"/>
                <w:lang w:eastAsia="en-US"/>
              </w:rPr>
              <w:t>0.0025</w:t>
            </w:r>
            <w:r w:rsidRPr="007D1918">
              <w:rPr>
                <w:snapToGrid w:val="0"/>
                <w:lang w:eastAsia="en-US"/>
              </w:rPr>
              <w:t xml:space="preserve"> (7.12%, 34.0%)</w:t>
            </w:r>
          </w:p>
          <w:p w14:paraId="4E269D9B" w14:textId="77777777" w:rsidR="00BA6645" w:rsidRPr="007D1918" w:rsidRDefault="00BA6645" w:rsidP="00BA6645">
            <w:pPr>
              <w:pStyle w:val="Tabletext"/>
              <w:keepNext/>
              <w:keepLines/>
              <w:rPr>
                <w:snapToGrid w:val="0"/>
                <w:lang w:eastAsia="en-US"/>
              </w:rPr>
            </w:pPr>
            <w:r w:rsidRPr="007D1918">
              <w:rPr>
                <w:snapToGrid w:val="0"/>
                <w:lang w:eastAsia="en-US"/>
              </w:rPr>
              <w:t>P = 0.14 (-4.03%, 16.1%)</w:t>
            </w:r>
          </w:p>
          <w:p w14:paraId="3A793187" w14:textId="77777777" w:rsidR="00BA6645" w:rsidRPr="007D1918" w:rsidRDefault="00BA6645" w:rsidP="00BA6645">
            <w:pPr>
              <w:pStyle w:val="Tabletext"/>
              <w:keepNext/>
              <w:keepLines/>
              <w:rPr>
                <w:snapToGrid w:val="0"/>
                <w:lang w:eastAsia="en-US"/>
              </w:rPr>
            </w:pPr>
            <w:r w:rsidRPr="007D1918">
              <w:rPr>
                <w:snapToGrid w:val="0"/>
                <w:lang w:eastAsia="en-US"/>
              </w:rPr>
              <w:t>P = 0.073 (-2.20%, 19.4%)</w:t>
            </w:r>
          </w:p>
          <w:p w14:paraId="566DE94D" w14:textId="77777777" w:rsidR="00BA6645" w:rsidRPr="007D1918" w:rsidRDefault="00BA6645" w:rsidP="00BA6645">
            <w:pPr>
              <w:pStyle w:val="Tabletext"/>
              <w:keepNext/>
              <w:keepLines/>
              <w:rPr>
                <w:snapToGrid w:val="0"/>
                <w:lang w:eastAsia="en-US"/>
              </w:rPr>
            </w:pPr>
            <w:r w:rsidRPr="007D1918">
              <w:rPr>
                <w:snapToGrid w:val="0"/>
                <w:lang w:eastAsia="en-US"/>
              </w:rPr>
              <w:t>P = 0.30 (-5.99%, 12.6%)</w:t>
            </w:r>
          </w:p>
          <w:p w14:paraId="519BFFF8" w14:textId="77777777" w:rsidR="00BA6645" w:rsidRPr="007D1918" w:rsidRDefault="00BA6645" w:rsidP="00BA6645">
            <w:pPr>
              <w:pStyle w:val="Tabletext"/>
              <w:keepNext/>
              <w:keepLines/>
              <w:rPr>
                <w:snapToGrid w:val="0"/>
                <w:lang w:eastAsia="en-US"/>
              </w:rPr>
            </w:pPr>
            <w:r w:rsidRPr="007D1918">
              <w:rPr>
                <w:snapToGrid w:val="0"/>
                <w:lang w:eastAsia="en-US"/>
              </w:rPr>
              <w:t>P = 0.30 (-5.99%, 12.6%)</w:t>
            </w:r>
          </w:p>
          <w:p w14:paraId="68B7B47E" w14:textId="77777777" w:rsidR="00BA6645" w:rsidRPr="007D1918" w:rsidRDefault="00BA6645" w:rsidP="00BA6645">
            <w:pPr>
              <w:pStyle w:val="Tabletext"/>
              <w:keepNext/>
              <w:keepLines/>
              <w:rPr>
                <w:snapToGrid w:val="0"/>
                <w:lang w:eastAsia="en-US"/>
              </w:rPr>
            </w:pPr>
            <w:r w:rsidRPr="007D1918">
              <w:rPr>
                <w:snapToGrid w:val="0"/>
                <w:lang w:eastAsia="en-US"/>
              </w:rPr>
              <w:t>P =</w:t>
            </w:r>
            <w:r w:rsidRPr="007D1918">
              <w:rPr>
                <w:b/>
                <w:snapToGrid w:val="0"/>
                <w:lang w:eastAsia="en-US"/>
              </w:rPr>
              <w:t xml:space="preserve"> 0.013</w:t>
            </w:r>
            <w:r w:rsidRPr="007D1918">
              <w:rPr>
                <w:snapToGrid w:val="0"/>
                <w:lang w:eastAsia="en-US"/>
              </w:rPr>
              <w:t xml:space="preserve"> (2.67%, 27.3%)</w:t>
            </w:r>
          </w:p>
          <w:p w14:paraId="6A943916" w14:textId="77777777" w:rsidR="00BA6645" w:rsidRPr="007D1918" w:rsidRDefault="00BA6645" w:rsidP="00BA6645">
            <w:pPr>
              <w:pStyle w:val="Tabletext"/>
              <w:keepNext/>
              <w:keepLines/>
              <w:rPr>
                <w:snapToGrid w:val="0"/>
                <w:lang w:eastAsia="en-US"/>
              </w:rPr>
            </w:pPr>
            <w:r w:rsidRPr="007D1918">
              <w:rPr>
                <w:snapToGrid w:val="0"/>
                <w:lang w:eastAsia="en-US"/>
              </w:rPr>
              <w:t xml:space="preserve">P = </w:t>
            </w:r>
            <w:r w:rsidRPr="007D1918">
              <w:rPr>
                <w:b/>
                <w:snapToGrid w:val="0"/>
                <w:lang w:eastAsia="en-US"/>
              </w:rPr>
              <w:t>0.047</w:t>
            </w:r>
            <w:r w:rsidRPr="007D1918">
              <w:rPr>
                <w:snapToGrid w:val="0"/>
                <w:lang w:eastAsia="en-US"/>
              </w:rPr>
              <w:t xml:space="preserve"> (-.948%, 21.6%)</w:t>
            </w:r>
            <w:r w:rsidRPr="007D1918">
              <w:rPr>
                <w:snapToGrid w:val="0"/>
                <w:lang w:eastAsia="en-US"/>
              </w:rPr>
              <w:br/>
            </w:r>
          </w:p>
          <w:p w14:paraId="535EEFBC" w14:textId="77777777" w:rsidR="00BA6645" w:rsidRPr="007D1918" w:rsidRDefault="00BA6645" w:rsidP="00BA6645">
            <w:pPr>
              <w:pStyle w:val="Tabletext"/>
              <w:keepNext/>
              <w:keepLines/>
              <w:rPr>
                <w:snapToGrid w:val="0"/>
                <w:lang w:eastAsia="en-US"/>
              </w:rPr>
            </w:pPr>
            <w:r w:rsidRPr="007D1918">
              <w:rPr>
                <w:snapToGrid w:val="0"/>
                <w:lang w:eastAsia="en-US"/>
              </w:rPr>
              <w:t xml:space="preserve">P = </w:t>
            </w:r>
            <w:r w:rsidRPr="007D1918">
              <w:rPr>
                <w:b/>
                <w:snapToGrid w:val="0"/>
                <w:lang w:eastAsia="en-US"/>
              </w:rPr>
              <w:t xml:space="preserve">0.0039 </w:t>
            </w:r>
            <w:r w:rsidRPr="007D1918">
              <w:rPr>
                <w:snapToGrid w:val="0"/>
                <w:lang w:eastAsia="en-US"/>
              </w:rPr>
              <w:t>(6.27%, 32.6%)</w:t>
            </w:r>
          </w:p>
          <w:p w14:paraId="7C1FEAF7" w14:textId="77777777" w:rsidR="00BA6645" w:rsidRPr="007D1918" w:rsidRDefault="00BA6645" w:rsidP="00BA6645">
            <w:pPr>
              <w:pStyle w:val="Tabletext"/>
              <w:keepNext/>
              <w:keepLines/>
              <w:rPr>
                <w:snapToGrid w:val="0"/>
                <w:lang w:eastAsia="en-US"/>
              </w:rPr>
            </w:pPr>
            <w:r w:rsidRPr="007D1918">
              <w:rPr>
                <w:snapToGrid w:val="0"/>
                <w:lang w:eastAsia="en-US"/>
              </w:rPr>
              <w:t>P = 0.16 (-4.51%, 15.5%)</w:t>
            </w:r>
          </w:p>
          <w:p w14:paraId="6F86069B" w14:textId="77777777" w:rsidR="00BA6645" w:rsidRPr="007D1918" w:rsidRDefault="00BA6645" w:rsidP="00BA6645">
            <w:pPr>
              <w:pStyle w:val="Tabletext"/>
              <w:keepNext/>
              <w:keepLines/>
              <w:rPr>
                <w:snapToGrid w:val="0"/>
                <w:lang w:eastAsia="en-US"/>
              </w:rPr>
            </w:pPr>
            <w:r w:rsidRPr="007D1918">
              <w:rPr>
                <w:snapToGrid w:val="0"/>
                <w:lang w:eastAsia="en-US"/>
              </w:rPr>
              <w:t>P = 0.30 (-5.99%, 12.6%)</w:t>
            </w:r>
          </w:p>
        </w:tc>
      </w:tr>
      <w:tr w:rsidR="00BA6645" w:rsidRPr="007D1918" w14:paraId="74773B8A" w14:textId="77777777" w:rsidTr="00C163D0">
        <w:tc>
          <w:tcPr>
            <w:tcW w:w="907" w:type="pct"/>
          </w:tcPr>
          <w:p w14:paraId="513B619E" w14:textId="77777777" w:rsidR="00BA6645" w:rsidRPr="007D1918" w:rsidRDefault="00BA6645" w:rsidP="00BA6645">
            <w:pPr>
              <w:pStyle w:val="Tabletext"/>
              <w:rPr>
                <w:snapToGrid w:val="0"/>
                <w:lang w:eastAsia="en-US"/>
              </w:rPr>
            </w:pPr>
            <w:r w:rsidRPr="007D1918">
              <w:rPr>
                <w:snapToGrid w:val="0"/>
                <w:lang w:eastAsia="en-US"/>
              </w:rPr>
              <w:fldChar w:fldCharType="begin">
                <w:fldData xml:space="preserve">PEVuZE5vdGU+PENpdGU+PEF1dGhvcj5MaXU8L0F1dGhvcj48WWVhcj4yMDEwPC9ZZWFyPjxSZWNO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</w:fldData>
              </w:fldChar>
            </w:r>
            <w:r w:rsidRPr="007D1918">
              <w:rPr>
                <w:snapToGrid w:val="0"/>
                <w:lang w:eastAsia="en-US"/>
              </w:rPr>
              <w:instrText xml:space="preserve"> ADDIN EN.CITE </w:instrText>
            </w:r>
            <w:r w:rsidRPr="007D1918">
              <w:rPr>
                <w:snapToGrid w:val="0"/>
                <w:lang w:eastAsia="en-US"/>
              </w:rPr>
              <w:fldChar w:fldCharType="begin">
                <w:fldData xml:space="preserve">PEVuZE5vdGU+PENpdGU+PEF1dGhvcj5MaXU8L0F1dGhvcj48WWVhcj4yMDEwPC9ZZWFyPjxSZWNO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</w:fldData>
              </w:fldChar>
            </w:r>
            <w:r w:rsidRPr="007D1918">
              <w:rPr>
                <w:snapToGrid w:val="0"/>
                <w:lang w:eastAsia="en-US"/>
              </w:rPr>
              <w:instrText xml:space="preserve"> ADDIN EN.CITE.DATA </w:instrText>
            </w:r>
            <w:r w:rsidRPr="007D1918">
              <w:rPr>
                <w:snapToGrid w:val="0"/>
                <w:lang w:eastAsia="en-US"/>
              </w:rPr>
            </w:r>
            <w:r w:rsidRPr="007D1918">
              <w:rPr>
                <w:snapToGrid w:val="0"/>
                <w:lang w:eastAsia="en-US"/>
              </w:rPr>
              <w:fldChar w:fldCharType="end"/>
            </w:r>
            <w:r w:rsidRPr="007D1918">
              <w:rPr>
                <w:snapToGrid w:val="0"/>
                <w:lang w:eastAsia="en-US"/>
              </w:rPr>
            </w:r>
            <w:r w:rsidRPr="007D1918">
              <w:rPr>
                <w:snapToGrid w:val="0"/>
                <w:lang w:eastAsia="en-US"/>
              </w:rPr>
              <w:fldChar w:fldCharType="separate"/>
            </w:r>
            <w:r w:rsidRPr="007D1918">
              <w:rPr>
                <w:noProof/>
                <w:snapToGrid w:val="0"/>
                <w:lang w:eastAsia="en-US"/>
              </w:rPr>
              <w:t>(</w:t>
            </w:r>
            <w:hyperlink w:anchor="_ENREF_63" w:tooltip="Liu, 2010 #56" w:history="1">
              <w:r w:rsidRPr="007D1918">
                <w:rPr>
                  <w:noProof/>
                  <w:snapToGrid w:val="0"/>
                  <w:lang w:eastAsia="en-US"/>
                </w:rPr>
                <w:t>Liu et al. 2010</w:t>
              </w:r>
            </w:hyperlink>
            <w:r w:rsidRPr="007D1918">
              <w:rPr>
                <w:noProof/>
                <w:snapToGrid w:val="0"/>
                <w:lang w:eastAsia="en-US"/>
              </w:rPr>
              <w:t>)</w:t>
            </w:r>
            <w:r w:rsidRPr="007D1918">
              <w:rPr>
                <w:snapToGrid w:val="0"/>
                <w:lang w:eastAsia="en-US"/>
              </w:rPr>
              <w:fldChar w:fldCharType="end"/>
            </w:r>
            <w:r w:rsidRPr="007D1918">
              <w:rPr>
                <w:snapToGrid w:val="0"/>
                <w:lang w:eastAsia="en-US"/>
              </w:rPr>
              <w:t>, China</w:t>
            </w:r>
          </w:p>
          <w:p w14:paraId="6E1CC2F6" w14:textId="77777777" w:rsidR="00BA6645" w:rsidRPr="007D1918" w:rsidRDefault="00BA6645" w:rsidP="00BA6645">
            <w:pPr>
              <w:pStyle w:val="TableText0"/>
              <w:rPr>
                <w:snapToGrid w:val="0"/>
              </w:rPr>
            </w:pPr>
            <w:r w:rsidRPr="007D1918">
              <w:rPr>
                <w:snapToGrid w:val="0"/>
              </w:rPr>
              <w:t>Level II</w:t>
            </w:r>
          </w:p>
          <w:p w14:paraId="60704C07" w14:textId="77777777" w:rsidR="00BA6645" w:rsidRPr="007D1918" w:rsidRDefault="00BA6645" w:rsidP="00BA6645">
            <w:pPr>
              <w:pStyle w:val="Tabletext"/>
              <w:rPr>
                <w:snapToGrid w:val="0"/>
                <w:lang w:eastAsia="en-US"/>
              </w:rPr>
            </w:pPr>
            <w:r w:rsidRPr="007D1918">
              <w:rPr>
                <w:snapToGrid w:val="0"/>
              </w:rPr>
              <w:t>Moderate risk of bias</w:t>
            </w:r>
          </w:p>
        </w:tc>
        <w:tc>
          <w:tcPr>
            <w:tcW w:w="1005" w:type="pct"/>
          </w:tcPr>
          <w:p w14:paraId="4F21A1B4" w14:textId="77777777" w:rsidR="00BA6645" w:rsidRPr="007D1918" w:rsidRDefault="00BA6645" w:rsidP="00BA6645">
            <w:pPr>
              <w:pStyle w:val="TableText0"/>
              <w:rPr>
                <w:snapToGrid w:val="0"/>
              </w:rPr>
            </w:pPr>
            <w:r w:rsidRPr="007D1918">
              <w:rPr>
                <w:snapToGrid w:val="0"/>
              </w:rPr>
              <w:t>Hypotension</w:t>
            </w:r>
          </w:p>
          <w:p w14:paraId="58454537" w14:textId="77777777" w:rsidR="00BA6645" w:rsidRPr="007D1918" w:rsidRDefault="00BA6645" w:rsidP="00BA6645">
            <w:pPr>
              <w:pStyle w:val="TableText0"/>
              <w:rPr>
                <w:snapToGrid w:val="0"/>
              </w:rPr>
            </w:pPr>
            <w:r w:rsidRPr="007D1918">
              <w:rPr>
                <w:snapToGrid w:val="0"/>
              </w:rPr>
              <w:t>Haematoma</w:t>
            </w:r>
          </w:p>
          <w:p w14:paraId="747D2C1D" w14:textId="77777777" w:rsidR="00BA6645" w:rsidRPr="007D1918" w:rsidRDefault="00BA6645" w:rsidP="00BA6645">
            <w:pPr>
              <w:pStyle w:val="TableText0"/>
              <w:rPr>
                <w:snapToGrid w:val="0"/>
              </w:rPr>
            </w:pPr>
            <w:r w:rsidRPr="007D1918">
              <w:rPr>
                <w:snapToGrid w:val="0"/>
              </w:rPr>
              <w:t>Vomiting</w:t>
            </w:r>
          </w:p>
          <w:p w14:paraId="01124C46" w14:textId="77777777" w:rsidR="00BA6645" w:rsidRPr="007D1918" w:rsidRDefault="00BA6645" w:rsidP="00BA6645">
            <w:pPr>
              <w:pStyle w:val="TableText0"/>
              <w:rPr>
                <w:snapToGrid w:val="0"/>
              </w:rPr>
            </w:pPr>
            <w:r w:rsidRPr="007D1918">
              <w:rPr>
                <w:snapToGrid w:val="0"/>
              </w:rPr>
              <w:t>Anaphylaxis</w:t>
            </w:r>
          </w:p>
        </w:tc>
        <w:tc>
          <w:tcPr>
            <w:tcW w:w="927" w:type="pct"/>
          </w:tcPr>
          <w:p w14:paraId="3604D719" w14:textId="77777777" w:rsidR="00BA6645" w:rsidRPr="007D1918" w:rsidRDefault="00BA6645" w:rsidP="00BA6645">
            <w:pPr>
              <w:pStyle w:val="TableText0"/>
              <w:rPr>
                <w:snapToGrid w:val="0"/>
              </w:rPr>
            </w:pPr>
            <w:r w:rsidRPr="007D1918">
              <w:rPr>
                <w:snapToGrid w:val="0"/>
              </w:rPr>
              <w:t>0/15</w:t>
            </w:r>
          </w:p>
          <w:p w14:paraId="72BCA05D" w14:textId="77777777" w:rsidR="00BA6645" w:rsidRPr="007D1918" w:rsidRDefault="00BA6645" w:rsidP="00BA6645">
            <w:pPr>
              <w:pStyle w:val="TableText0"/>
              <w:rPr>
                <w:snapToGrid w:val="0"/>
              </w:rPr>
            </w:pPr>
            <w:r w:rsidRPr="007D1918">
              <w:rPr>
                <w:snapToGrid w:val="0"/>
              </w:rPr>
              <w:t>0/15</w:t>
            </w:r>
          </w:p>
          <w:p w14:paraId="496103A0" w14:textId="77777777" w:rsidR="00BA6645" w:rsidRPr="007D1918" w:rsidRDefault="00BA6645" w:rsidP="00BA6645">
            <w:pPr>
              <w:pStyle w:val="TableText0"/>
              <w:rPr>
                <w:snapToGrid w:val="0"/>
              </w:rPr>
            </w:pPr>
            <w:r w:rsidRPr="007D1918">
              <w:rPr>
                <w:snapToGrid w:val="0"/>
              </w:rPr>
              <w:t>1/15 (6.7%)</w:t>
            </w:r>
          </w:p>
          <w:p w14:paraId="29D4E413" w14:textId="77777777" w:rsidR="00BA6645" w:rsidRPr="007D1918" w:rsidRDefault="00BA6645" w:rsidP="00BA6645">
            <w:pPr>
              <w:pStyle w:val="TableText0"/>
              <w:rPr>
                <w:snapToGrid w:val="0"/>
              </w:rPr>
            </w:pPr>
            <w:r w:rsidRPr="007D1918">
              <w:rPr>
                <w:snapToGrid w:val="0"/>
              </w:rPr>
              <w:t>0/15</w:t>
            </w:r>
          </w:p>
        </w:tc>
        <w:tc>
          <w:tcPr>
            <w:tcW w:w="926" w:type="pct"/>
          </w:tcPr>
          <w:p w14:paraId="673E634C" w14:textId="77777777" w:rsidR="00BA6645" w:rsidRPr="007D1918" w:rsidRDefault="00BA6645" w:rsidP="00BA6645">
            <w:pPr>
              <w:spacing w:after="40"/>
              <w:rPr>
                <w:snapToGrid w:val="0"/>
                <w:lang w:eastAsia="en-US"/>
              </w:rPr>
            </w:pPr>
            <w:r w:rsidRPr="007D1918">
              <w:rPr>
                <w:snapToGrid w:val="0"/>
                <w:lang w:eastAsia="en-US"/>
              </w:rPr>
              <w:t>2/15 (13.3%)</w:t>
            </w:r>
          </w:p>
          <w:p w14:paraId="5F7455DD" w14:textId="77777777" w:rsidR="00BA6645" w:rsidRPr="007D1918" w:rsidRDefault="00BA6645" w:rsidP="00BA6645">
            <w:pPr>
              <w:spacing w:after="40"/>
              <w:rPr>
                <w:snapToGrid w:val="0"/>
                <w:lang w:eastAsia="en-US"/>
              </w:rPr>
            </w:pPr>
            <w:r w:rsidRPr="007D1918">
              <w:rPr>
                <w:snapToGrid w:val="0"/>
                <w:lang w:eastAsia="en-US"/>
              </w:rPr>
              <w:t>1/15 (6.7%)</w:t>
            </w:r>
          </w:p>
          <w:p w14:paraId="0D0EF7C6" w14:textId="77777777" w:rsidR="00BA6645" w:rsidRPr="007D1918" w:rsidRDefault="00BA6645" w:rsidP="00BA6645">
            <w:pPr>
              <w:spacing w:after="40"/>
              <w:rPr>
                <w:snapToGrid w:val="0"/>
                <w:lang w:eastAsia="en-US"/>
              </w:rPr>
            </w:pPr>
            <w:r w:rsidRPr="007D1918">
              <w:rPr>
                <w:snapToGrid w:val="0"/>
                <w:lang w:eastAsia="en-US"/>
              </w:rPr>
              <w:t>0/15</w:t>
            </w:r>
          </w:p>
          <w:p w14:paraId="12441D68" w14:textId="77777777" w:rsidR="00BA6645" w:rsidRPr="007D1918" w:rsidRDefault="00BA6645" w:rsidP="00BA6645">
            <w:pPr>
              <w:spacing w:after="40"/>
              <w:rPr>
                <w:snapToGrid w:val="0"/>
                <w:lang w:eastAsia="en-US"/>
              </w:rPr>
            </w:pPr>
            <w:r w:rsidRPr="007D1918">
              <w:rPr>
                <w:snapToGrid w:val="0"/>
                <w:lang w:eastAsia="en-US"/>
              </w:rPr>
              <w:t>0/15</w:t>
            </w:r>
          </w:p>
        </w:tc>
        <w:tc>
          <w:tcPr>
            <w:tcW w:w="1235" w:type="pct"/>
          </w:tcPr>
          <w:p w14:paraId="5A28D447" w14:textId="77777777" w:rsidR="00BA6645" w:rsidRPr="007D1918" w:rsidRDefault="00BA6645" w:rsidP="00BA6645">
            <w:pPr>
              <w:pStyle w:val="TableText0"/>
              <w:rPr>
                <w:snapToGrid w:val="0"/>
                <w:vertAlign w:val="superscript"/>
              </w:rPr>
            </w:pPr>
            <w:r w:rsidRPr="007D1918">
              <w:rPr>
                <w:snapToGrid w:val="0"/>
              </w:rPr>
              <w:t>P = 0.15 (-9.23%, 37.8%)</w:t>
            </w:r>
            <w:r w:rsidRPr="007D1918">
              <w:rPr>
                <w:snapToGrid w:val="0"/>
                <w:vertAlign w:val="superscript"/>
              </w:rPr>
              <w:t>a</w:t>
            </w:r>
          </w:p>
          <w:p w14:paraId="6B649C27" w14:textId="77777777" w:rsidR="00BA6645" w:rsidRPr="007D1918" w:rsidRDefault="00BA6645" w:rsidP="00BA6645">
            <w:pPr>
              <w:pStyle w:val="TableText0"/>
              <w:rPr>
                <w:snapToGrid w:val="0"/>
              </w:rPr>
            </w:pPr>
            <w:r w:rsidRPr="007D1918">
              <w:rPr>
                <w:snapToGrid w:val="0"/>
              </w:rPr>
              <w:t>P = 0.32 (-14.4%, 29.9%)</w:t>
            </w:r>
          </w:p>
          <w:p w14:paraId="0DC787BF" w14:textId="77777777" w:rsidR="00BA6645" w:rsidRPr="007D1918" w:rsidRDefault="00BA6645" w:rsidP="00BA6645">
            <w:pPr>
              <w:pStyle w:val="TableText0"/>
              <w:rPr>
                <w:snapToGrid w:val="0"/>
              </w:rPr>
            </w:pPr>
            <w:r w:rsidRPr="007D1918">
              <w:rPr>
                <w:snapToGrid w:val="0"/>
              </w:rPr>
              <w:t>P = 0.32 (-14.4%, 29.9%)</w:t>
            </w:r>
          </w:p>
          <w:p w14:paraId="3AAF5C5D" w14:textId="77777777" w:rsidR="00BA6645" w:rsidRPr="007D1918" w:rsidRDefault="00BA6645" w:rsidP="00BA6645">
            <w:pPr>
              <w:pStyle w:val="TableText0"/>
              <w:rPr>
                <w:snapToGrid w:val="0"/>
              </w:rPr>
            </w:pPr>
            <w:r w:rsidRPr="007D1918">
              <w:rPr>
                <w:snapToGrid w:val="0"/>
              </w:rPr>
              <w:t>-</w:t>
            </w:r>
          </w:p>
        </w:tc>
      </w:tr>
      <w:tr w:rsidR="00BA6645" w:rsidRPr="007D1918" w14:paraId="3B73595B" w14:textId="77777777" w:rsidTr="00C163D0">
        <w:tc>
          <w:tcPr>
            <w:tcW w:w="907" w:type="pct"/>
          </w:tcPr>
          <w:p w14:paraId="1D342295" w14:textId="77777777" w:rsidR="00BA6645" w:rsidRPr="007D1918" w:rsidRDefault="00BA6645" w:rsidP="00BA6645">
            <w:pPr>
              <w:pStyle w:val="Tabletext"/>
              <w:rPr>
                <w:snapToGrid w:val="0"/>
                <w:lang w:eastAsia="en-US"/>
              </w:rPr>
            </w:pPr>
            <w:r w:rsidRPr="007D1918">
              <w:rPr>
                <w:snapToGrid w:val="0"/>
                <w:lang w:eastAsia="en-US"/>
              </w:rPr>
              <w:fldChar w:fldCharType="begin">
                <w:fldData xml:space="preserve">PEVuZE5vdGU+PENpdGU+PEF1dGhvcj5NYW5kYXdhdDwvQXV0aG9yPjxZZWFyPjIwMTA8L1llYXI+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</w:fldData>
              </w:fldChar>
            </w:r>
            <w:r w:rsidRPr="007D1918">
              <w:rPr>
                <w:snapToGrid w:val="0"/>
                <w:lang w:eastAsia="en-US"/>
              </w:rPr>
              <w:instrText xml:space="preserve"> ADDIN EN.CITE </w:instrText>
            </w:r>
            <w:r w:rsidRPr="007D1918">
              <w:rPr>
                <w:snapToGrid w:val="0"/>
                <w:lang w:eastAsia="en-US"/>
              </w:rPr>
              <w:fldChar w:fldCharType="begin">
                <w:fldData xml:space="preserve">PEVuZE5vdGU+PENpdGU+PEF1dGhvcj5NYW5kYXdhdDwvQXV0aG9yPjxZZWFyPjIwMTA8L1llYXI+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</w:fldData>
              </w:fldChar>
            </w:r>
            <w:r w:rsidRPr="007D1918">
              <w:rPr>
                <w:snapToGrid w:val="0"/>
                <w:lang w:eastAsia="en-US"/>
              </w:rPr>
              <w:instrText xml:space="preserve"> ADDIN EN.CITE.DATA </w:instrText>
            </w:r>
            <w:r w:rsidRPr="007D1918">
              <w:rPr>
                <w:snapToGrid w:val="0"/>
                <w:lang w:eastAsia="en-US"/>
              </w:rPr>
            </w:r>
            <w:r w:rsidRPr="007D1918">
              <w:rPr>
                <w:snapToGrid w:val="0"/>
                <w:lang w:eastAsia="en-US"/>
              </w:rPr>
              <w:fldChar w:fldCharType="end"/>
            </w:r>
            <w:r w:rsidRPr="007D1918">
              <w:rPr>
                <w:snapToGrid w:val="0"/>
                <w:lang w:eastAsia="en-US"/>
              </w:rPr>
            </w:r>
            <w:r w:rsidRPr="007D1918">
              <w:rPr>
                <w:snapToGrid w:val="0"/>
                <w:lang w:eastAsia="en-US"/>
              </w:rPr>
              <w:fldChar w:fldCharType="separate"/>
            </w:r>
            <w:r w:rsidRPr="007D1918">
              <w:rPr>
                <w:noProof/>
                <w:snapToGrid w:val="0"/>
                <w:lang w:eastAsia="en-US"/>
              </w:rPr>
              <w:t>(</w:t>
            </w:r>
            <w:hyperlink w:anchor="_ENREF_64" w:tooltip="Mandawat, 2010 #37" w:history="1">
              <w:r w:rsidRPr="007D1918">
                <w:rPr>
                  <w:noProof/>
                  <w:snapToGrid w:val="0"/>
                  <w:lang w:eastAsia="en-US"/>
                </w:rPr>
                <w:t>Mandawat et al. 2010</w:t>
              </w:r>
            </w:hyperlink>
            <w:r w:rsidRPr="007D1918">
              <w:rPr>
                <w:noProof/>
                <w:snapToGrid w:val="0"/>
                <w:lang w:eastAsia="en-US"/>
              </w:rPr>
              <w:t>)</w:t>
            </w:r>
            <w:r w:rsidRPr="007D1918">
              <w:rPr>
                <w:snapToGrid w:val="0"/>
                <w:lang w:eastAsia="en-US"/>
              </w:rPr>
              <w:fldChar w:fldCharType="end"/>
            </w:r>
            <w:r w:rsidRPr="007D1918">
              <w:rPr>
                <w:snapToGrid w:val="0"/>
                <w:lang w:eastAsia="en-US"/>
              </w:rPr>
              <w:t>, USA</w:t>
            </w:r>
          </w:p>
          <w:p w14:paraId="741F74EF" w14:textId="77777777" w:rsidR="00BA6645" w:rsidRPr="007D1918" w:rsidRDefault="00BA6645" w:rsidP="00BA6645">
            <w:pPr>
              <w:pStyle w:val="Tabletext"/>
              <w:rPr>
                <w:snapToGrid w:val="0"/>
                <w:lang w:eastAsia="en-US"/>
              </w:rPr>
            </w:pPr>
            <w:r w:rsidRPr="007D1918">
              <w:rPr>
                <w:snapToGrid w:val="0"/>
                <w:lang w:eastAsia="en-US"/>
              </w:rPr>
              <w:t>Level III-2</w:t>
            </w:r>
          </w:p>
          <w:p w14:paraId="75D5E79D" w14:textId="77777777" w:rsidR="00BA6645" w:rsidRPr="007D1918" w:rsidRDefault="00BA6645" w:rsidP="00BA6645">
            <w:pPr>
              <w:pStyle w:val="Tabletext"/>
              <w:rPr>
                <w:snapToGrid w:val="0"/>
                <w:lang w:eastAsia="en-US"/>
              </w:rPr>
            </w:pPr>
            <w:r w:rsidRPr="007D1918">
              <w:rPr>
                <w:snapToGrid w:val="0"/>
                <w:lang w:eastAsia="en-US"/>
              </w:rPr>
              <w:t>Moderate risk of bias</w:t>
            </w:r>
          </w:p>
        </w:tc>
        <w:tc>
          <w:tcPr>
            <w:tcW w:w="1005" w:type="pct"/>
          </w:tcPr>
          <w:p w14:paraId="2A23565E" w14:textId="77777777" w:rsidR="00BA6645" w:rsidRPr="007D1918" w:rsidRDefault="00BA6645" w:rsidP="00BA6645">
            <w:pPr>
              <w:pStyle w:val="TableText0"/>
              <w:rPr>
                <w:snapToGrid w:val="0"/>
              </w:rPr>
            </w:pPr>
            <w:r w:rsidRPr="007D1918">
              <w:rPr>
                <w:snapToGrid w:val="0"/>
              </w:rPr>
              <w:t>Patient number</w:t>
            </w:r>
          </w:p>
          <w:p w14:paraId="28B51005" w14:textId="77777777" w:rsidR="00BA6645" w:rsidRPr="007D1918" w:rsidRDefault="00BA6645" w:rsidP="00BA6645">
            <w:pPr>
              <w:pStyle w:val="TableText0"/>
              <w:rPr>
                <w:snapToGrid w:val="0"/>
              </w:rPr>
            </w:pPr>
            <w:r w:rsidRPr="007D1918">
              <w:rPr>
                <w:snapToGrid w:val="0"/>
              </w:rPr>
              <w:t xml:space="preserve">Mortality </w:t>
            </w:r>
          </w:p>
          <w:p w14:paraId="45344850" w14:textId="77777777" w:rsidR="00BA6645" w:rsidRPr="007D1918" w:rsidRDefault="00BA6645" w:rsidP="00BA6645">
            <w:pPr>
              <w:pStyle w:val="TableText0"/>
              <w:rPr>
                <w:snapToGrid w:val="0"/>
              </w:rPr>
            </w:pPr>
            <w:r w:rsidRPr="007D1918">
              <w:rPr>
                <w:snapToGrid w:val="0"/>
              </w:rPr>
              <w:t xml:space="preserve">Any complication </w:t>
            </w:r>
          </w:p>
          <w:p w14:paraId="01C6FD42" w14:textId="77777777" w:rsidR="00BA6645" w:rsidRPr="007D1918" w:rsidRDefault="00BA6645" w:rsidP="00BA6645">
            <w:pPr>
              <w:pStyle w:val="TableText0"/>
              <w:rPr>
                <w:snapToGrid w:val="0"/>
              </w:rPr>
            </w:pPr>
            <w:r w:rsidRPr="007D1918">
              <w:rPr>
                <w:snapToGrid w:val="0"/>
              </w:rPr>
              <w:t>Cardiac</w:t>
            </w:r>
          </w:p>
          <w:p w14:paraId="49EE786F" w14:textId="77777777" w:rsidR="00BA6645" w:rsidRPr="007D1918" w:rsidRDefault="00BA6645" w:rsidP="00BA6645">
            <w:pPr>
              <w:pStyle w:val="TableText0"/>
              <w:rPr>
                <w:snapToGrid w:val="0"/>
              </w:rPr>
            </w:pPr>
            <w:r w:rsidRPr="007D1918">
              <w:rPr>
                <w:snapToGrid w:val="0"/>
              </w:rPr>
              <w:t>Acute renal failure</w:t>
            </w:r>
          </w:p>
          <w:p w14:paraId="5C8F21A7" w14:textId="77777777" w:rsidR="00BA6645" w:rsidRPr="007D1918" w:rsidRDefault="00BA6645" w:rsidP="00BA6645">
            <w:pPr>
              <w:pStyle w:val="TableText0"/>
              <w:rPr>
                <w:snapToGrid w:val="0"/>
              </w:rPr>
            </w:pPr>
            <w:r w:rsidRPr="007D1918">
              <w:rPr>
                <w:snapToGrid w:val="0"/>
              </w:rPr>
              <w:t>Systemic infection</w:t>
            </w:r>
          </w:p>
          <w:p w14:paraId="7A0AE0A7" w14:textId="77777777" w:rsidR="00BA6645" w:rsidRPr="007D1918" w:rsidRDefault="00BA6645" w:rsidP="00BA6645">
            <w:pPr>
              <w:pStyle w:val="TableText0"/>
              <w:rPr>
                <w:snapToGrid w:val="0"/>
              </w:rPr>
            </w:pPr>
            <w:r w:rsidRPr="007D1918">
              <w:rPr>
                <w:snapToGrid w:val="0"/>
              </w:rPr>
              <w:t>Thrombotic complications</w:t>
            </w:r>
          </w:p>
        </w:tc>
        <w:tc>
          <w:tcPr>
            <w:tcW w:w="927" w:type="pct"/>
          </w:tcPr>
          <w:p w14:paraId="0E595078" w14:textId="77777777" w:rsidR="00BA6645" w:rsidRPr="007D1918" w:rsidRDefault="00BA6645" w:rsidP="00BA6645">
            <w:pPr>
              <w:pStyle w:val="TableText0"/>
              <w:rPr>
                <w:snapToGrid w:val="0"/>
              </w:rPr>
            </w:pPr>
            <w:r w:rsidRPr="007D1918">
              <w:rPr>
                <w:snapToGrid w:val="0"/>
              </w:rPr>
              <w:t>171</w:t>
            </w:r>
          </w:p>
          <w:p w14:paraId="1370D15B" w14:textId="77777777" w:rsidR="00BA6645" w:rsidRPr="007D1918" w:rsidRDefault="00BA6645" w:rsidP="00BA6645">
            <w:pPr>
              <w:pStyle w:val="TableText0"/>
              <w:rPr>
                <w:snapToGrid w:val="0"/>
              </w:rPr>
            </w:pPr>
            <w:r w:rsidRPr="007D1918">
              <w:rPr>
                <w:snapToGrid w:val="0"/>
              </w:rPr>
              <w:t>(0.58%)</w:t>
            </w:r>
          </w:p>
          <w:p w14:paraId="6A1C47A7" w14:textId="77777777" w:rsidR="00BA6645" w:rsidRPr="007D1918" w:rsidRDefault="00BA6645" w:rsidP="00BA6645">
            <w:pPr>
              <w:pStyle w:val="TableText0"/>
              <w:rPr>
                <w:snapToGrid w:val="0"/>
              </w:rPr>
            </w:pPr>
            <w:r w:rsidRPr="007D1918">
              <w:rPr>
                <w:snapToGrid w:val="0"/>
              </w:rPr>
              <w:t>(10.53%)</w:t>
            </w:r>
          </w:p>
          <w:p w14:paraId="59F5C954" w14:textId="77777777" w:rsidR="00BA6645" w:rsidRPr="007D1918" w:rsidRDefault="00BA6645" w:rsidP="00BA6645">
            <w:pPr>
              <w:pStyle w:val="TableText0"/>
              <w:rPr>
                <w:snapToGrid w:val="0"/>
              </w:rPr>
            </w:pPr>
            <w:r w:rsidRPr="007D1918">
              <w:rPr>
                <w:snapToGrid w:val="0"/>
              </w:rPr>
              <w:t>(7.60%)</w:t>
            </w:r>
          </w:p>
          <w:p w14:paraId="4539786D" w14:textId="77777777" w:rsidR="00BA6645" w:rsidRPr="007D1918" w:rsidRDefault="00BA6645" w:rsidP="00BA6645">
            <w:pPr>
              <w:pStyle w:val="TableText0"/>
              <w:rPr>
                <w:snapToGrid w:val="0"/>
              </w:rPr>
            </w:pPr>
            <w:r w:rsidRPr="007D1918">
              <w:rPr>
                <w:snapToGrid w:val="0"/>
              </w:rPr>
              <w:t>(1.17%)</w:t>
            </w:r>
          </w:p>
          <w:p w14:paraId="48CDD06E" w14:textId="77777777" w:rsidR="00BA6645" w:rsidRPr="007D1918" w:rsidRDefault="00BA6645" w:rsidP="00BA6645">
            <w:pPr>
              <w:pStyle w:val="TableText0"/>
              <w:rPr>
                <w:snapToGrid w:val="0"/>
              </w:rPr>
            </w:pPr>
            <w:r w:rsidRPr="007D1918">
              <w:rPr>
                <w:snapToGrid w:val="0"/>
              </w:rPr>
              <w:t>(1.7%)</w:t>
            </w:r>
          </w:p>
          <w:p w14:paraId="1AC1D5D8" w14:textId="77777777" w:rsidR="00BA6645" w:rsidRPr="007D1918" w:rsidRDefault="00BA6645" w:rsidP="00BA6645">
            <w:pPr>
              <w:pStyle w:val="TableText0"/>
              <w:rPr>
                <w:snapToGrid w:val="0"/>
              </w:rPr>
            </w:pPr>
            <w:r w:rsidRPr="007D1918">
              <w:rPr>
                <w:snapToGrid w:val="0"/>
              </w:rPr>
              <w:t>(0.58%)</w:t>
            </w:r>
          </w:p>
        </w:tc>
        <w:tc>
          <w:tcPr>
            <w:tcW w:w="926" w:type="pct"/>
          </w:tcPr>
          <w:p w14:paraId="193576B2" w14:textId="77777777" w:rsidR="00BA6645" w:rsidRPr="007D1918" w:rsidRDefault="00BA6645" w:rsidP="00BA6645">
            <w:pPr>
              <w:spacing w:after="40"/>
              <w:rPr>
                <w:snapToGrid w:val="0"/>
                <w:lang w:eastAsia="en-US"/>
              </w:rPr>
            </w:pPr>
            <w:r w:rsidRPr="007D1918">
              <w:rPr>
                <w:snapToGrid w:val="0"/>
                <w:lang w:eastAsia="en-US"/>
              </w:rPr>
              <w:t>737</w:t>
            </w:r>
          </w:p>
          <w:p w14:paraId="3317391F" w14:textId="77777777" w:rsidR="00BA6645" w:rsidRPr="007D1918" w:rsidRDefault="00BA6645" w:rsidP="00BA6645">
            <w:pPr>
              <w:spacing w:after="40"/>
              <w:rPr>
                <w:snapToGrid w:val="0"/>
                <w:lang w:eastAsia="en-US"/>
              </w:rPr>
            </w:pPr>
            <w:r w:rsidRPr="007D1918">
              <w:rPr>
                <w:snapToGrid w:val="0"/>
                <w:lang w:eastAsia="en-US"/>
              </w:rPr>
              <w:t>(0.41%)</w:t>
            </w:r>
          </w:p>
          <w:p w14:paraId="1CF7256B" w14:textId="77777777" w:rsidR="00BA6645" w:rsidRPr="007D1918" w:rsidRDefault="00BA6645" w:rsidP="00BA6645">
            <w:pPr>
              <w:spacing w:after="40"/>
              <w:rPr>
                <w:snapToGrid w:val="0"/>
                <w:lang w:eastAsia="en-US"/>
              </w:rPr>
            </w:pPr>
            <w:r w:rsidRPr="007D1918">
              <w:rPr>
                <w:snapToGrid w:val="0"/>
                <w:lang w:eastAsia="en-US"/>
              </w:rPr>
              <w:t>(11.40%)</w:t>
            </w:r>
          </w:p>
          <w:p w14:paraId="50633477" w14:textId="77777777" w:rsidR="00BA6645" w:rsidRPr="007D1918" w:rsidRDefault="00BA6645" w:rsidP="00BA6645">
            <w:pPr>
              <w:spacing w:after="40"/>
              <w:rPr>
                <w:snapToGrid w:val="0"/>
                <w:lang w:eastAsia="en-US"/>
              </w:rPr>
            </w:pPr>
            <w:r w:rsidRPr="007D1918">
              <w:rPr>
                <w:snapToGrid w:val="0"/>
                <w:lang w:eastAsia="en-US"/>
              </w:rPr>
              <w:t>(9.50%)</w:t>
            </w:r>
          </w:p>
          <w:p w14:paraId="08E094B9" w14:textId="77777777" w:rsidR="00BA6645" w:rsidRPr="007D1918" w:rsidRDefault="00BA6645" w:rsidP="00BA6645">
            <w:pPr>
              <w:spacing w:after="40"/>
              <w:rPr>
                <w:snapToGrid w:val="0"/>
                <w:lang w:eastAsia="en-US"/>
              </w:rPr>
            </w:pPr>
            <w:r w:rsidRPr="007D1918">
              <w:rPr>
                <w:snapToGrid w:val="0"/>
                <w:lang w:eastAsia="en-US"/>
              </w:rPr>
              <w:t>(0.27%)</w:t>
            </w:r>
          </w:p>
          <w:p w14:paraId="2AB6285E" w14:textId="77777777" w:rsidR="00BA6645" w:rsidRPr="007D1918" w:rsidRDefault="00BA6645" w:rsidP="00BA6645">
            <w:pPr>
              <w:spacing w:after="40"/>
              <w:rPr>
                <w:snapToGrid w:val="0"/>
                <w:lang w:eastAsia="en-US"/>
              </w:rPr>
            </w:pPr>
            <w:r w:rsidRPr="007D1918">
              <w:rPr>
                <w:snapToGrid w:val="0"/>
                <w:lang w:eastAsia="en-US"/>
              </w:rPr>
              <w:t>(1.63%)</w:t>
            </w:r>
          </w:p>
          <w:p w14:paraId="2937699A" w14:textId="77777777" w:rsidR="00BA6645" w:rsidRPr="007D1918" w:rsidRDefault="00BA6645" w:rsidP="00BA6645">
            <w:pPr>
              <w:spacing w:after="40"/>
              <w:rPr>
                <w:snapToGrid w:val="0"/>
                <w:lang w:eastAsia="en-US"/>
              </w:rPr>
            </w:pPr>
            <w:r w:rsidRPr="007D1918">
              <w:rPr>
                <w:snapToGrid w:val="0"/>
                <w:lang w:eastAsia="en-US"/>
              </w:rPr>
              <w:t>(0.27%)</w:t>
            </w:r>
          </w:p>
        </w:tc>
        <w:tc>
          <w:tcPr>
            <w:tcW w:w="1235" w:type="pct"/>
          </w:tcPr>
          <w:p w14:paraId="4DDB0F69" w14:textId="77777777" w:rsidR="00BA6645" w:rsidRPr="007D1918" w:rsidRDefault="00BA6645" w:rsidP="00BA6645">
            <w:pPr>
              <w:pStyle w:val="TableText0"/>
              <w:rPr>
                <w:snapToGrid w:val="0"/>
              </w:rPr>
            </w:pPr>
            <w:r w:rsidRPr="007D1918">
              <w:rPr>
                <w:snapToGrid w:val="0"/>
              </w:rPr>
              <w:t>-</w:t>
            </w:r>
          </w:p>
          <w:p w14:paraId="67EB2082" w14:textId="77777777" w:rsidR="00BA6645" w:rsidRPr="007D1918" w:rsidRDefault="00BA6645" w:rsidP="00BA6645">
            <w:pPr>
              <w:pStyle w:val="TableText0"/>
              <w:rPr>
                <w:snapToGrid w:val="0"/>
                <w:vertAlign w:val="superscript"/>
              </w:rPr>
            </w:pPr>
            <w:r w:rsidRPr="007D1918">
              <w:rPr>
                <w:snapToGrid w:val="0"/>
              </w:rPr>
              <w:t>P = 0.56</w:t>
            </w:r>
            <w:r w:rsidRPr="007D1918">
              <w:rPr>
                <w:snapToGrid w:val="0"/>
                <w:vertAlign w:val="superscript"/>
              </w:rPr>
              <w:t>b</w:t>
            </w:r>
          </w:p>
          <w:p w14:paraId="424B149C" w14:textId="77777777" w:rsidR="00BA6645" w:rsidRPr="007D1918" w:rsidRDefault="00BA6645" w:rsidP="00BA6645">
            <w:pPr>
              <w:pStyle w:val="TableText0"/>
              <w:rPr>
                <w:snapToGrid w:val="0"/>
              </w:rPr>
            </w:pPr>
            <w:r w:rsidRPr="007D1918">
              <w:rPr>
                <w:snapToGrid w:val="0"/>
              </w:rPr>
              <w:t>P = 0.89</w:t>
            </w:r>
          </w:p>
          <w:p w14:paraId="55628867" w14:textId="77777777" w:rsidR="00BA6645" w:rsidRPr="007D1918" w:rsidRDefault="00BA6645" w:rsidP="00BA6645">
            <w:pPr>
              <w:pStyle w:val="TableText0"/>
              <w:rPr>
                <w:snapToGrid w:val="0"/>
              </w:rPr>
            </w:pPr>
            <w:r w:rsidRPr="007D1918">
              <w:rPr>
                <w:snapToGrid w:val="0"/>
              </w:rPr>
              <w:t>P = 0.55</w:t>
            </w:r>
          </w:p>
          <w:p w14:paraId="4017A831" w14:textId="77777777" w:rsidR="00BA6645" w:rsidRPr="007D1918" w:rsidRDefault="00BA6645" w:rsidP="00BA6645">
            <w:pPr>
              <w:pStyle w:val="TableText0"/>
              <w:rPr>
                <w:snapToGrid w:val="0"/>
              </w:rPr>
            </w:pPr>
            <w:r w:rsidRPr="007D1918">
              <w:rPr>
                <w:snapToGrid w:val="0"/>
              </w:rPr>
              <w:t>P = 0.16</w:t>
            </w:r>
          </w:p>
          <w:p w14:paraId="669C324B" w14:textId="77777777" w:rsidR="00BA6645" w:rsidRPr="007D1918" w:rsidRDefault="00BA6645" w:rsidP="00BA6645">
            <w:pPr>
              <w:pStyle w:val="TableText0"/>
              <w:rPr>
                <w:snapToGrid w:val="0"/>
              </w:rPr>
            </w:pPr>
            <w:r w:rsidRPr="007D1918">
              <w:rPr>
                <w:snapToGrid w:val="0"/>
              </w:rPr>
              <w:t>P = 1.00</w:t>
            </w:r>
          </w:p>
          <w:p w14:paraId="114266ED" w14:textId="77777777" w:rsidR="00BA6645" w:rsidRPr="007D1918" w:rsidRDefault="00BA6645" w:rsidP="00BA6645">
            <w:pPr>
              <w:pStyle w:val="TableText0"/>
              <w:rPr>
                <w:snapToGrid w:val="0"/>
              </w:rPr>
            </w:pPr>
            <w:r w:rsidRPr="007D1918">
              <w:rPr>
                <w:snapToGrid w:val="0"/>
              </w:rPr>
              <w:t>P = 0.46</w:t>
            </w:r>
          </w:p>
        </w:tc>
      </w:tr>
      <w:tr w:rsidR="00BA6645" w:rsidRPr="007D1918" w14:paraId="7E0BA6F3" w14:textId="77777777" w:rsidTr="00C163D0">
        <w:tc>
          <w:tcPr>
            <w:tcW w:w="907" w:type="pct"/>
          </w:tcPr>
          <w:p w14:paraId="5337C7EE" w14:textId="77777777" w:rsidR="00BA6645" w:rsidRPr="007D1918" w:rsidRDefault="00BA6645" w:rsidP="00BA6645">
            <w:pPr>
              <w:pStyle w:val="Tabletext"/>
              <w:rPr>
                <w:snapToGrid w:val="0"/>
                <w:lang w:eastAsia="en-US"/>
              </w:rPr>
            </w:pPr>
            <w:r w:rsidRPr="007D1918">
              <w:rPr>
                <w:snapToGrid w:val="0"/>
                <w:lang w:eastAsia="en-US"/>
              </w:rPr>
              <w:fldChar w:fldCharType="begin">
                <w:fldData xml:space="preserve">PEVuZE5vdGU+PENpdGU+PEF1dGhvcj5Sw7huYWdlcjwvQXV0aG9yPjxZZWFyPjIwMDE8L1llYXI+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</w:fldData>
              </w:fldChar>
            </w:r>
            <w:r w:rsidRPr="007D1918">
              <w:rPr>
                <w:snapToGrid w:val="0"/>
                <w:lang w:eastAsia="en-US"/>
              </w:rPr>
              <w:instrText xml:space="preserve"> ADDIN EN.CITE </w:instrText>
            </w:r>
            <w:r w:rsidRPr="007D1918">
              <w:rPr>
                <w:snapToGrid w:val="0"/>
                <w:lang w:eastAsia="en-US"/>
              </w:rPr>
              <w:fldChar w:fldCharType="begin">
                <w:fldData xml:space="preserve">PEVuZE5vdGU+PENpdGU+PEF1dGhvcj5Sw7huYWdlcjwvQXV0aG9yPjxZZWFyPjIwMDE8L1llYXI+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</w:fldData>
              </w:fldChar>
            </w:r>
            <w:r w:rsidRPr="007D1918">
              <w:rPr>
                <w:snapToGrid w:val="0"/>
                <w:lang w:eastAsia="en-US"/>
              </w:rPr>
              <w:instrText xml:space="preserve"> ADDIN EN.CITE.DATA </w:instrText>
            </w:r>
            <w:r w:rsidRPr="007D1918">
              <w:rPr>
                <w:snapToGrid w:val="0"/>
                <w:lang w:eastAsia="en-US"/>
              </w:rPr>
            </w:r>
            <w:r w:rsidRPr="007D1918">
              <w:rPr>
                <w:snapToGrid w:val="0"/>
                <w:lang w:eastAsia="en-US"/>
              </w:rPr>
              <w:fldChar w:fldCharType="end"/>
            </w:r>
            <w:r w:rsidRPr="007D1918">
              <w:rPr>
                <w:snapToGrid w:val="0"/>
                <w:lang w:eastAsia="en-US"/>
              </w:rPr>
            </w:r>
            <w:r w:rsidRPr="007D1918">
              <w:rPr>
                <w:snapToGrid w:val="0"/>
                <w:lang w:eastAsia="en-US"/>
              </w:rPr>
              <w:fldChar w:fldCharType="separate"/>
            </w:r>
            <w:r w:rsidRPr="007D1918">
              <w:rPr>
                <w:noProof/>
                <w:snapToGrid w:val="0"/>
                <w:lang w:eastAsia="en-US"/>
              </w:rPr>
              <w:t>(</w:t>
            </w:r>
            <w:hyperlink w:anchor="_ENREF_83" w:tooltip="Rønager, 2001 #41" w:history="1">
              <w:r w:rsidRPr="007D1918">
                <w:rPr>
                  <w:noProof/>
                  <w:snapToGrid w:val="0"/>
                  <w:lang w:eastAsia="en-US"/>
                </w:rPr>
                <w:t>Rønager et al. 2001</w:t>
              </w:r>
            </w:hyperlink>
            <w:r w:rsidRPr="007D1918">
              <w:rPr>
                <w:noProof/>
                <w:snapToGrid w:val="0"/>
                <w:lang w:eastAsia="en-US"/>
              </w:rPr>
              <w:t>)</w:t>
            </w:r>
            <w:r w:rsidRPr="007D1918">
              <w:rPr>
                <w:snapToGrid w:val="0"/>
                <w:lang w:eastAsia="en-US"/>
              </w:rPr>
              <w:fldChar w:fldCharType="end"/>
            </w:r>
            <w:r w:rsidRPr="007D1918">
              <w:rPr>
                <w:snapToGrid w:val="0"/>
                <w:lang w:eastAsia="en-US"/>
              </w:rPr>
              <w:t>, Denmark</w:t>
            </w:r>
          </w:p>
          <w:p w14:paraId="1DFDE76E" w14:textId="77777777" w:rsidR="00BA6645" w:rsidRPr="007D1918" w:rsidRDefault="00BA6645" w:rsidP="00BA6645">
            <w:pPr>
              <w:pStyle w:val="Tabletext"/>
              <w:rPr>
                <w:snapToGrid w:val="0"/>
                <w:lang w:eastAsia="en-US"/>
              </w:rPr>
            </w:pPr>
            <w:r w:rsidRPr="007D1918">
              <w:rPr>
                <w:snapToGrid w:val="0"/>
                <w:lang w:eastAsia="en-US"/>
              </w:rPr>
              <w:t>Level II</w:t>
            </w:r>
          </w:p>
          <w:p w14:paraId="30A42501" w14:textId="77777777" w:rsidR="00BA6645" w:rsidRPr="007D1918" w:rsidRDefault="00BA6645" w:rsidP="00BA6645">
            <w:pPr>
              <w:pStyle w:val="Tabletext"/>
              <w:rPr>
                <w:snapToGrid w:val="0"/>
                <w:lang w:eastAsia="en-US"/>
              </w:rPr>
            </w:pPr>
            <w:r w:rsidRPr="007D1918">
              <w:rPr>
                <w:snapToGrid w:val="0"/>
                <w:lang w:eastAsia="en-US"/>
              </w:rPr>
              <w:t>High risk of bias</w:t>
            </w:r>
          </w:p>
        </w:tc>
        <w:tc>
          <w:tcPr>
            <w:tcW w:w="1005" w:type="pct"/>
          </w:tcPr>
          <w:p w14:paraId="242C5A20" w14:textId="77777777" w:rsidR="00BA6645" w:rsidRPr="007D1918" w:rsidRDefault="00BA6645" w:rsidP="00BA6645">
            <w:pPr>
              <w:pStyle w:val="TableText0"/>
              <w:rPr>
                <w:snapToGrid w:val="0"/>
              </w:rPr>
            </w:pPr>
            <w:r w:rsidRPr="007D1918">
              <w:rPr>
                <w:snapToGrid w:val="0"/>
              </w:rPr>
              <w:t>Number of AEs</w:t>
            </w:r>
          </w:p>
          <w:p w14:paraId="548A5165" w14:textId="77777777" w:rsidR="00BA6645" w:rsidRPr="007D1918" w:rsidRDefault="00BA6645" w:rsidP="00BA6645">
            <w:pPr>
              <w:pStyle w:val="TableText0"/>
              <w:rPr>
                <w:snapToGrid w:val="0"/>
              </w:rPr>
            </w:pPr>
            <w:r w:rsidRPr="007D1918">
              <w:rPr>
                <w:snapToGrid w:val="0"/>
              </w:rPr>
              <w:t>Hypotension</w:t>
            </w:r>
          </w:p>
          <w:p w14:paraId="59616C60" w14:textId="77777777" w:rsidR="00BA6645" w:rsidRPr="007D1918" w:rsidRDefault="00BA6645" w:rsidP="00BA6645">
            <w:pPr>
              <w:pStyle w:val="TableText0"/>
              <w:rPr>
                <w:snapToGrid w:val="0"/>
              </w:rPr>
            </w:pPr>
            <w:r w:rsidRPr="007D1918">
              <w:rPr>
                <w:snapToGrid w:val="0"/>
              </w:rPr>
              <w:t>Nausea, vomiting</w:t>
            </w:r>
          </w:p>
          <w:p w14:paraId="0987932B" w14:textId="77777777" w:rsidR="00BA6645" w:rsidRPr="007D1918" w:rsidRDefault="00BA6645" w:rsidP="00BA6645">
            <w:pPr>
              <w:pStyle w:val="TableText0"/>
              <w:rPr>
                <w:snapToGrid w:val="0"/>
              </w:rPr>
            </w:pPr>
            <w:r w:rsidRPr="007D1918">
              <w:rPr>
                <w:snapToGrid w:val="0"/>
              </w:rPr>
              <w:t>Septicaemia</w:t>
            </w:r>
          </w:p>
          <w:p w14:paraId="31258880" w14:textId="77777777" w:rsidR="00BA6645" w:rsidRPr="007D1918" w:rsidRDefault="00BA6645" w:rsidP="00BA6645">
            <w:pPr>
              <w:pStyle w:val="TableText0"/>
              <w:rPr>
                <w:snapToGrid w:val="0"/>
              </w:rPr>
            </w:pPr>
            <w:r w:rsidRPr="007D1918">
              <w:rPr>
                <w:snapToGrid w:val="0"/>
              </w:rPr>
              <w:t>Deep vein thrombosis</w:t>
            </w:r>
          </w:p>
          <w:p w14:paraId="07F272F7" w14:textId="77777777" w:rsidR="00BA6645" w:rsidRPr="007D1918" w:rsidRDefault="00BA6645" w:rsidP="00BA6645">
            <w:pPr>
              <w:pStyle w:val="TableText0"/>
              <w:rPr>
                <w:snapToGrid w:val="0"/>
              </w:rPr>
            </w:pPr>
            <w:r w:rsidRPr="007D1918">
              <w:rPr>
                <w:snapToGrid w:val="0"/>
              </w:rPr>
              <w:t>High temperature</w:t>
            </w:r>
          </w:p>
          <w:p w14:paraId="7B3126BF" w14:textId="77777777" w:rsidR="00BA6645" w:rsidRPr="007D1918" w:rsidRDefault="00BA6645" w:rsidP="00BA6645">
            <w:pPr>
              <w:pStyle w:val="TableText0"/>
              <w:rPr>
                <w:snapToGrid w:val="0"/>
              </w:rPr>
            </w:pPr>
            <w:r w:rsidRPr="007D1918">
              <w:rPr>
                <w:snapToGrid w:val="0"/>
              </w:rPr>
              <w:t>Headache</w:t>
            </w:r>
          </w:p>
          <w:p w14:paraId="27A8765C" w14:textId="77777777" w:rsidR="00BA6645" w:rsidRPr="007D1918" w:rsidRDefault="00BA6645" w:rsidP="00BA6645">
            <w:pPr>
              <w:pStyle w:val="TableText0"/>
              <w:rPr>
                <w:snapToGrid w:val="0"/>
              </w:rPr>
            </w:pPr>
            <w:r w:rsidRPr="007D1918">
              <w:rPr>
                <w:snapToGrid w:val="0"/>
              </w:rPr>
              <w:t>Patients with no AE</w:t>
            </w:r>
          </w:p>
        </w:tc>
        <w:tc>
          <w:tcPr>
            <w:tcW w:w="927" w:type="pct"/>
          </w:tcPr>
          <w:p w14:paraId="04D15C66" w14:textId="77777777" w:rsidR="00BA6645" w:rsidRPr="007D1918" w:rsidRDefault="00BA6645" w:rsidP="00BA6645">
            <w:pPr>
              <w:pStyle w:val="TableText0"/>
              <w:rPr>
                <w:snapToGrid w:val="0"/>
              </w:rPr>
            </w:pPr>
            <w:r w:rsidRPr="007D1918">
              <w:rPr>
                <w:snapToGrid w:val="0"/>
              </w:rPr>
              <w:t>14</w:t>
            </w:r>
          </w:p>
          <w:p w14:paraId="6ED278A3" w14:textId="77777777" w:rsidR="00BA6645" w:rsidRPr="007D1918" w:rsidRDefault="00BA6645" w:rsidP="00BA6645">
            <w:pPr>
              <w:pStyle w:val="TableText0"/>
              <w:rPr>
                <w:snapToGrid w:val="0"/>
              </w:rPr>
            </w:pPr>
            <w:r w:rsidRPr="007D1918">
              <w:rPr>
                <w:snapToGrid w:val="0"/>
              </w:rPr>
              <w:t>0</w:t>
            </w:r>
          </w:p>
          <w:p w14:paraId="1B6AFF47" w14:textId="77777777" w:rsidR="00BA6645" w:rsidRPr="007D1918" w:rsidRDefault="00BA6645" w:rsidP="00BA6645">
            <w:pPr>
              <w:pStyle w:val="TableText0"/>
              <w:rPr>
                <w:snapToGrid w:val="0"/>
              </w:rPr>
            </w:pPr>
            <w:r w:rsidRPr="007D1918">
              <w:rPr>
                <w:snapToGrid w:val="0"/>
              </w:rPr>
              <w:t>3</w:t>
            </w:r>
          </w:p>
          <w:p w14:paraId="72CFF638" w14:textId="77777777" w:rsidR="00BA6645" w:rsidRPr="007D1918" w:rsidRDefault="00BA6645" w:rsidP="00BA6645">
            <w:pPr>
              <w:pStyle w:val="TableText0"/>
              <w:rPr>
                <w:snapToGrid w:val="0"/>
              </w:rPr>
            </w:pPr>
            <w:r w:rsidRPr="007D1918">
              <w:rPr>
                <w:snapToGrid w:val="0"/>
              </w:rPr>
              <w:t>0</w:t>
            </w:r>
          </w:p>
          <w:p w14:paraId="2F25C1B9" w14:textId="77777777" w:rsidR="00BA6645" w:rsidRPr="007D1918" w:rsidRDefault="00BA6645" w:rsidP="00BA6645">
            <w:pPr>
              <w:pStyle w:val="TableText0"/>
              <w:rPr>
                <w:snapToGrid w:val="0"/>
              </w:rPr>
            </w:pPr>
            <w:r w:rsidRPr="007D1918">
              <w:rPr>
                <w:snapToGrid w:val="0"/>
              </w:rPr>
              <w:t>0</w:t>
            </w:r>
          </w:p>
          <w:p w14:paraId="5685A7F4" w14:textId="77777777" w:rsidR="00BA6645" w:rsidRPr="007D1918" w:rsidRDefault="00BA6645" w:rsidP="00BA6645">
            <w:pPr>
              <w:pStyle w:val="TableText0"/>
              <w:rPr>
                <w:snapToGrid w:val="0"/>
              </w:rPr>
            </w:pPr>
            <w:r w:rsidRPr="007D1918">
              <w:rPr>
                <w:snapToGrid w:val="0"/>
              </w:rPr>
              <w:t>5</w:t>
            </w:r>
          </w:p>
          <w:p w14:paraId="60891BFF" w14:textId="77777777" w:rsidR="00BA6645" w:rsidRPr="007D1918" w:rsidRDefault="00BA6645" w:rsidP="00BA6645">
            <w:pPr>
              <w:pStyle w:val="TableText0"/>
              <w:rPr>
                <w:snapToGrid w:val="0"/>
              </w:rPr>
            </w:pPr>
            <w:r w:rsidRPr="007D1918">
              <w:rPr>
                <w:snapToGrid w:val="0"/>
              </w:rPr>
              <w:t>7</w:t>
            </w:r>
          </w:p>
          <w:p w14:paraId="0703F61C" w14:textId="77777777" w:rsidR="00BA6645" w:rsidRPr="007D1918" w:rsidRDefault="00BA6645" w:rsidP="00BA6645">
            <w:pPr>
              <w:pStyle w:val="TableText0"/>
              <w:rPr>
                <w:snapToGrid w:val="0"/>
              </w:rPr>
            </w:pPr>
            <w:r w:rsidRPr="007D1918">
              <w:rPr>
                <w:snapToGrid w:val="0"/>
              </w:rPr>
              <w:t>4/12 (33.3%)</w:t>
            </w:r>
          </w:p>
        </w:tc>
        <w:tc>
          <w:tcPr>
            <w:tcW w:w="926" w:type="pct"/>
          </w:tcPr>
          <w:p w14:paraId="3E0535F0" w14:textId="77777777" w:rsidR="00BA6645" w:rsidRPr="007D1918" w:rsidRDefault="00BA6645" w:rsidP="00BA6645">
            <w:pPr>
              <w:spacing w:after="40"/>
              <w:rPr>
                <w:snapToGrid w:val="0"/>
                <w:lang w:eastAsia="en-US"/>
              </w:rPr>
            </w:pPr>
            <w:r w:rsidRPr="007D1918">
              <w:rPr>
                <w:snapToGrid w:val="0"/>
                <w:lang w:eastAsia="en-US"/>
              </w:rPr>
              <w:t>7</w:t>
            </w:r>
          </w:p>
          <w:p w14:paraId="68F300A4" w14:textId="77777777" w:rsidR="00BA6645" w:rsidRPr="007D1918" w:rsidRDefault="00BA6645" w:rsidP="00BA6645">
            <w:pPr>
              <w:spacing w:after="40"/>
              <w:rPr>
                <w:snapToGrid w:val="0"/>
                <w:lang w:eastAsia="en-US"/>
              </w:rPr>
            </w:pPr>
            <w:r w:rsidRPr="007D1918">
              <w:rPr>
                <w:snapToGrid w:val="0"/>
                <w:lang w:eastAsia="en-US"/>
              </w:rPr>
              <w:t>4</w:t>
            </w:r>
          </w:p>
          <w:p w14:paraId="4D6C8638" w14:textId="77777777" w:rsidR="00BA6645" w:rsidRPr="007D1918" w:rsidRDefault="00BA6645" w:rsidP="00BA6645">
            <w:pPr>
              <w:spacing w:after="40"/>
              <w:rPr>
                <w:snapToGrid w:val="0"/>
                <w:lang w:eastAsia="en-US"/>
              </w:rPr>
            </w:pPr>
            <w:r w:rsidRPr="007D1918">
              <w:rPr>
                <w:snapToGrid w:val="0"/>
                <w:lang w:eastAsia="en-US"/>
              </w:rPr>
              <w:t>1</w:t>
            </w:r>
          </w:p>
          <w:p w14:paraId="5765E8BC" w14:textId="77777777" w:rsidR="00BA6645" w:rsidRPr="007D1918" w:rsidRDefault="00BA6645" w:rsidP="00BA6645">
            <w:pPr>
              <w:spacing w:after="40"/>
              <w:rPr>
                <w:snapToGrid w:val="0"/>
                <w:lang w:eastAsia="en-US"/>
              </w:rPr>
            </w:pPr>
            <w:r w:rsidRPr="007D1918">
              <w:rPr>
                <w:snapToGrid w:val="0"/>
                <w:lang w:eastAsia="en-US"/>
              </w:rPr>
              <w:t>1</w:t>
            </w:r>
          </w:p>
          <w:p w14:paraId="7B9E5EB1" w14:textId="77777777" w:rsidR="00BA6645" w:rsidRPr="007D1918" w:rsidRDefault="00BA6645" w:rsidP="00BA6645">
            <w:pPr>
              <w:spacing w:after="40"/>
              <w:rPr>
                <w:snapToGrid w:val="0"/>
                <w:lang w:eastAsia="en-US"/>
              </w:rPr>
            </w:pPr>
            <w:r w:rsidRPr="007D1918">
              <w:rPr>
                <w:snapToGrid w:val="0"/>
                <w:lang w:eastAsia="en-US"/>
              </w:rPr>
              <w:t>1</w:t>
            </w:r>
          </w:p>
          <w:p w14:paraId="05A3A9CF" w14:textId="77777777" w:rsidR="00BA6645" w:rsidRPr="007D1918" w:rsidRDefault="00BA6645" w:rsidP="00BA6645">
            <w:pPr>
              <w:spacing w:after="40"/>
              <w:rPr>
                <w:snapToGrid w:val="0"/>
                <w:lang w:eastAsia="en-US"/>
              </w:rPr>
            </w:pPr>
            <w:r w:rsidRPr="007D1918">
              <w:rPr>
                <w:snapToGrid w:val="0"/>
                <w:lang w:eastAsia="en-US"/>
              </w:rPr>
              <w:t>0</w:t>
            </w:r>
          </w:p>
          <w:p w14:paraId="72B62743" w14:textId="77777777" w:rsidR="00BA6645" w:rsidRPr="007D1918" w:rsidRDefault="00BA6645" w:rsidP="00BA6645">
            <w:pPr>
              <w:spacing w:after="40"/>
              <w:rPr>
                <w:snapToGrid w:val="0"/>
                <w:lang w:eastAsia="en-US"/>
              </w:rPr>
            </w:pPr>
            <w:r w:rsidRPr="007D1918">
              <w:rPr>
                <w:snapToGrid w:val="0"/>
                <w:lang w:eastAsia="en-US"/>
              </w:rPr>
              <w:t>0</w:t>
            </w:r>
          </w:p>
          <w:p w14:paraId="510D36F7" w14:textId="77777777" w:rsidR="00BA6645" w:rsidRPr="007D1918" w:rsidRDefault="00BA6645" w:rsidP="00BA6645">
            <w:pPr>
              <w:spacing w:after="40"/>
              <w:rPr>
                <w:snapToGrid w:val="0"/>
                <w:lang w:eastAsia="en-US"/>
              </w:rPr>
            </w:pPr>
            <w:r w:rsidRPr="007D1918">
              <w:rPr>
                <w:snapToGrid w:val="0"/>
                <w:lang w:eastAsia="en-US"/>
              </w:rPr>
              <w:t>8/12 (66.7%)</w:t>
            </w:r>
          </w:p>
        </w:tc>
        <w:tc>
          <w:tcPr>
            <w:tcW w:w="1235" w:type="pct"/>
          </w:tcPr>
          <w:p w14:paraId="030284DD" w14:textId="77777777" w:rsidR="00BA6645" w:rsidRPr="002909D8" w:rsidRDefault="00BA6645" w:rsidP="00BA6645">
            <w:pPr>
              <w:pStyle w:val="TableText0"/>
              <w:rPr>
                <w:snapToGrid w:val="0"/>
                <w:sz w:val="160"/>
                <w:szCs w:val="160"/>
              </w:rPr>
            </w:pPr>
          </w:p>
          <w:p w14:paraId="12AFD1AD" w14:textId="77777777" w:rsidR="00BA6645" w:rsidRPr="007D1918" w:rsidRDefault="00BA6645" w:rsidP="00BA6645">
            <w:pPr>
              <w:pStyle w:val="TableText0"/>
              <w:rPr>
                <w:snapToGrid w:val="0"/>
                <w:vertAlign w:val="superscript"/>
              </w:rPr>
            </w:pPr>
            <w:r w:rsidRPr="007D1918">
              <w:rPr>
                <w:snapToGrid w:val="0"/>
              </w:rPr>
              <w:t>P = 0.11 (-5.64%, 61.0%)</w:t>
            </w:r>
            <w:r w:rsidRPr="007D1918">
              <w:rPr>
                <w:snapToGrid w:val="0"/>
                <w:vertAlign w:val="superscript"/>
              </w:rPr>
              <w:t>a</w:t>
            </w:r>
          </w:p>
        </w:tc>
      </w:tr>
    </w:tbl>
    <w:p w14:paraId="2010A59A" w14:textId="77777777" w:rsidR="00BA6645" w:rsidRPr="007D1918" w:rsidRDefault="00BA6645" w:rsidP="00BA6645">
      <w:pPr>
        <w:pStyle w:val="Tablenotes"/>
        <w:spacing w:after="80"/>
        <w:contextualSpacing w:val="0"/>
      </w:pPr>
      <w:r w:rsidRPr="007D1918">
        <w:t xml:space="preserve">AE = adverse event; </w:t>
      </w:r>
      <w:proofErr w:type="spellStart"/>
      <w:r w:rsidRPr="007D1918">
        <w:t>IVIg</w:t>
      </w:r>
      <w:proofErr w:type="spellEnd"/>
      <w:r w:rsidRPr="007D1918">
        <w:t xml:space="preserve"> = intravenous immunoglobulin therapy; MG = myasthenia gravis; PE = plasma exchange therapy</w:t>
      </w:r>
    </w:p>
    <w:p w14:paraId="39ADB905" w14:textId="77777777" w:rsidR="00BA6645" w:rsidRPr="007D1918" w:rsidRDefault="00BA6645" w:rsidP="00BA6645">
      <w:pPr>
        <w:pStyle w:val="Tablenotes"/>
      </w:pPr>
      <w:proofErr w:type="gramStart"/>
      <w:r w:rsidRPr="007D1918">
        <w:rPr>
          <w:vertAlign w:val="superscript"/>
        </w:rPr>
        <w:t>a</w:t>
      </w:r>
      <w:proofErr w:type="gramEnd"/>
      <w:r w:rsidRPr="007D1918">
        <w:t xml:space="preserve"> Chi-squared test, </w:t>
      </w:r>
      <w:proofErr w:type="spellStart"/>
      <w:r w:rsidRPr="007D1918">
        <w:t>MedCalc</w:t>
      </w:r>
      <w:proofErr w:type="spellEnd"/>
      <w:r w:rsidRPr="007D1918">
        <w:t xml:space="preserve"> online calculator</w:t>
      </w:r>
    </w:p>
    <w:p w14:paraId="589FD7DF" w14:textId="77777777" w:rsidR="00BA6645" w:rsidRDefault="00BA6645" w:rsidP="00BA6645">
      <w:pPr>
        <w:pStyle w:val="Tablenotes"/>
        <w:spacing w:after="0"/>
      </w:pPr>
      <w:proofErr w:type="gramStart"/>
      <w:r w:rsidRPr="007D1918">
        <w:rPr>
          <w:vertAlign w:val="superscript"/>
        </w:rPr>
        <w:t>b</w:t>
      </w:r>
      <w:proofErr w:type="gramEnd"/>
      <w:r w:rsidRPr="007D1918">
        <w:t xml:space="preserve"> Fisher’s exact test </w:t>
      </w:r>
      <w:r w:rsidRPr="007D1918">
        <w:fldChar w:fldCharType="begin">
          <w:fldData xml:space="preserve">PEVuZE5vdGU+PENpdGU+PEF1dGhvcj5NYW5kYXdhdDwvQXV0aG9yPjxZZWFyPjIwMTA8L1llYXI+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</w:fldData>
        </w:fldChar>
      </w:r>
      <w:r w:rsidRPr="007D1918">
        <w:instrText xml:space="preserve"> ADDIN EN.CITE </w:instrText>
      </w:r>
      <w:r w:rsidRPr="007D1918">
        <w:fldChar w:fldCharType="begin">
          <w:fldData xml:space="preserve">PEVuZE5vdGU+PENpdGU+PEF1dGhvcj5NYW5kYXdhdDwvQXV0aG9yPjxZZWFyPjIwMTA8L1llYXI+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</w:fldData>
        </w:fldChar>
      </w:r>
      <w:r w:rsidRPr="007D1918">
        <w:instrText xml:space="preserve"> ADDIN EN.CITE.DATA </w:instrText>
      </w:r>
      <w:r w:rsidRPr="007D1918">
        <w:fldChar w:fldCharType="end"/>
      </w:r>
      <w:r w:rsidRPr="007D1918">
        <w:fldChar w:fldCharType="separate"/>
      </w:r>
      <w:r w:rsidRPr="007D1918">
        <w:rPr>
          <w:noProof/>
        </w:rPr>
        <w:t>(</w:t>
      </w:r>
      <w:hyperlink w:anchor="_ENREF_64" w:tooltip="Mandawat, 2010 #37" w:history="1">
        <w:r w:rsidRPr="007D1918">
          <w:rPr>
            <w:noProof/>
          </w:rPr>
          <w:t>Mandawat et al. 2010</w:t>
        </w:r>
      </w:hyperlink>
      <w:r w:rsidRPr="007D1918">
        <w:rPr>
          <w:noProof/>
        </w:rPr>
        <w:t>)</w:t>
      </w:r>
      <w:r w:rsidRPr="007D1918">
        <w:fldChar w:fldCharType="end"/>
      </w:r>
    </w:p>
    <w:p w14:paraId="5A0CB755" w14:textId="000CB91F" w:rsidR="00BA6645" w:rsidRPr="00BE75FD" w:rsidRDefault="00BA6645" w:rsidP="00BE75FD">
      <w:pPr>
        <w:pStyle w:val="Tablenotes"/>
        <w:spacing w:after="0"/>
      </w:pPr>
      <w:r>
        <w:t>Source: Contracted Assessment, Table 21</w:t>
      </w:r>
    </w:p>
    <w:p w14:paraId="34E20DD3" w14:textId="77777777" w:rsidR="00111108" w:rsidRPr="00F715D1" w:rsidRDefault="00111108" w:rsidP="00111108">
      <w:pPr>
        <w:pStyle w:val="Heading1"/>
      </w:pPr>
      <w:r w:rsidRPr="00F715D1">
        <w:t>Comparative effectiveness</w:t>
      </w:r>
    </w:p>
    <w:p w14:paraId="5F39183D" w14:textId="77777777" w:rsidR="00BA6645" w:rsidRDefault="00BA6645" w:rsidP="00BA6645">
      <w:pPr>
        <w:tabs>
          <w:tab w:val="left" w:pos="720"/>
          <w:tab w:val="left" w:pos="1140"/>
        </w:tabs>
        <w:rPr>
          <w:szCs w:val="24"/>
        </w:rPr>
      </w:pPr>
      <w:r w:rsidRPr="001D4060">
        <w:rPr>
          <w:szCs w:val="24"/>
        </w:rPr>
        <w:t>The clinical effectiveness outcomes of interest reporte</w:t>
      </w:r>
      <w:r>
        <w:rPr>
          <w:szCs w:val="24"/>
        </w:rPr>
        <w:t>d by the included studies were:</w:t>
      </w:r>
    </w:p>
    <w:p w14:paraId="2C63CC08" w14:textId="77777777" w:rsidR="00BA6645" w:rsidRDefault="00BA6645" w:rsidP="00BA6645">
      <w:pPr>
        <w:pStyle w:val="ListParagraph"/>
        <w:numPr>
          <w:ilvl w:val="0"/>
          <w:numId w:val="11"/>
        </w:numPr>
        <w:tabs>
          <w:tab w:val="left" w:pos="720"/>
          <w:tab w:val="left" w:pos="1140"/>
        </w:tabs>
        <w:rPr>
          <w:szCs w:val="24"/>
        </w:rPr>
      </w:pPr>
      <w:r>
        <w:rPr>
          <w:szCs w:val="24"/>
        </w:rPr>
        <w:t>m</w:t>
      </w:r>
      <w:r w:rsidRPr="00C41478">
        <w:rPr>
          <w:szCs w:val="24"/>
        </w:rPr>
        <w:t>ortality</w:t>
      </w:r>
    </w:p>
    <w:p w14:paraId="0B9709A7" w14:textId="77777777" w:rsidR="00BA6645" w:rsidRDefault="00BA6645" w:rsidP="00BA6645">
      <w:pPr>
        <w:pStyle w:val="ListParagraph"/>
        <w:numPr>
          <w:ilvl w:val="0"/>
          <w:numId w:val="11"/>
        </w:numPr>
        <w:tabs>
          <w:tab w:val="left" w:pos="720"/>
          <w:tab w:val="left" w:pos="1140"/>
        </w:tabs>
        <w:rPr>
          <w:szCs w:val="24"/>
        </w:rPr>
      </w:pPr>
      <w:r w:rsidRPr="00C41478">
        <w:rPr>
          <w:szCs w:val="24"/>
        </w:rPr>
        <w:t>change in symptoms (change in disability and muscle strength by various scales, described below)</w:t>
      </w:r>
    </w:p>
    <w:p w14:paraId="3C5A0EBB" w14:textId="77777777" w:rsidR="00BA6645" w:rsidRDefault="00BA6645" w:rsidP="00BA6645">
      <w:pPr>
        <w:pStyle w:val="ListParagraph"/>
        <w:numPr>
          <w:ilvl w:val="0"/>
          <w:numId w:val="11"/>
        </w:numPr>
        <w:tabs>
          <w:tab w:val="left" w:pos="720"/>
          <w:tab w:val="left" w:pos="1140"/>
        </w:tabs>
        <w:rPr>
          <w:szCs w:val="24"/>
        </w:rPr>
      </w:pPr>
      <w:r w:rsidRPr="00C41478">
        <w:rPr>
          <w:szCs w:val="24"/>
        </w:rPr>
        <w:t>change in quality of life (by various scales described below)</w:t>
      </w:r>
    </w:p>
    <w:p w14:paraId="65F3E536" w14:textId="77777777" w:rsidR="00BA6645" w:rsidRDefault="00BA6645" w:rsidP="00BA6645">
      <w:pPr>
        <w:pStyle w:val="ListParagraph"/>
        <w:numPr>
          <w:ilvl w:val="0"/>
          <w:numId w:val="11"/>
        </w:numPr>
        <w:tabs>
          <w:tab w:val="left" w:pos="720"/>
          <w:tab w:val="left" w:pos="1140"/>
        </w:tabs>
        <w:rPr>
          <w:szCs w:val="24"/>
        </w:rPr>
      </w:pPr>
      <w:r w:rsidRPr="00C41478">
        <w:rPr>
          <w:szCs w:val="24"/>
        </w:rPr>
        <w:t>rate of remission</w:t>
      </w:r>
    </w:p>
    <w:p w14:paraId="58AD3B2E" w14:textId="77777777" w:rsidR="00BA6645" w:rsidRDefault="00BA6645" w:rsidP="00BA6645">
      <w:pPr>
        <w:pStyle w:val="ListParagraph"/>
        <w:numPr>
          <w:ilvl w:val="0"/>
          <w:numId w:val="11"/>
        </w:numPr>
        <w:tabs>
          <w:tab w:val="left" w:pos="720"/>
          <w:tab w:val="left" w:pos="1140"/>
        </w:tabs>
        <w:rPr>
          <w:szCs w:val="24"/>
        </w:rPr>
      </w:pPr>
      <w:r w:rsidRPr="00C41478">
        <w:rPr>
          <w:szCs w:val="24"/>
        </w:rPr>
        <w:t>disease stability</w:t>
      </w:r>
    </w:p>
    <w:p w14:paraId="08C44980" w14:textId="77777777" w:rsidR="00BA6645" w:rsidRDefault="00BA6645" w:rsidP="00BA6645">
      <w:pPr>
        <w:pStyle w:val="ListParagraph"/>
        <w:numPr>
          <w:ilvl w:val="0"/>
          <w:numId w:val="11"/>
        </w:numPr>
        <w:tabs>
          <w:tab w:val="left" w:pos="720"/>
          <w:tab w:val="left" w:pos="1140"/>
        </w:tabs>
        <w:rPr>
          <w:szCs w:val="24"/>
        </w:rPr>
      </w:pPr>
      <w:r w:rsidRPr="00C41478">
        <w:rPr>
          <w:szCs w:val="24"/>
        </w:rPr>
        <w:t>time to relapse</w:t>
      </w:r>
    </w:p>
    <w:p w14:paraId="6D447BA7" w14:textId="77777777" w:rsidR="00BA6645" w:rsidRDefault="00BA6645" w:rsidP="00BA6645">
      <w:pPr>
        <w:pStyle w:val="ListParagraph"/>
        <w:numPr>
          <w:ilvl w:val="0"/>
          <w:numId w:val="11"/>
        </w:numPr>
        <w:tabs>
          <w:tab w:val="left" w:pos="720"/>
          <w:tab w:val="left" w:pos="1140"/>
        </w:tabs>
        <w:rPr>
          <w:szCs w:val="24"/>
        </w:rPr>
      </w:pPr>
      <w:r w:rsidRPr="00C41478">
        <w:rPr>
          <w:szCs w:val="24"/>
        </w:rPr>
        <w:lastRenderedPageBreak/>
        <w:t>need for ventilation or other life support systems</w:t>
      </w:r>
    </w:p>
    <w:p w14:paraId="3B002323" w14:textId="7FD280EE" w:rsidR="00BA6645" w:rsidRPr="000031DC" w:rsidRDefault="00BA6645" w:rsidP="00BA6645">
      <w:pPr>
        <w:pStyle w:val="ListParagraph"/>
        <w:numPr>
          <w:ilvl w:val="0"/>
          <w:numId w:val="11"/>
        </w:numPr>
        <w:tabs>
          <w:tab w:val="left" w:pos="720"/>
          <w:tab w:val="left" w:pos="1140"/>
        </w:tabs>
        <w:rPr>
          <w:szCs w:val="24"/>
        </w:rPr>
      </w:pPr>
      <w:proofErr w:type="gramStart"/>
      <w:r w:rsidRPr="00C41478">
        <w:rPr>
          <w:szCs w:val="24"/>
        </w:rPr>
        <w:t>adverse</w:t>
      </w:r>
      <w:proofErr w:type="gramEnd"/>
      <w:r w:rsidRPr="00C41478">
        <w:rPr>
          <w:szCs w:val="24"/>
        </w:rPr>
        <w:t xml:space="preserve"> events (AEs) associated with administration of the therapy or side effects of therapy (such as IV line insertion risks, line sepsis, haemodynamic effects, inflammatory and thrombotic effects)</w:t>
      </w:r>
      <w:r w:rsidR="000031DC">
        <w:rPr>
          <w:szCs w:val="24"/>
        </w:rPr>
        <w:t>.</w:t>
      </w:r>
    </w:p>
    <w:p w14:paraId="0F50C644" w14:textId="77777777" w:rsidR="00BA6645" w:rsidRPr="00F80BF5" w:rsidRDefault="00BA6645" w:rsidP="000031DC">
      <w:pPr>
        <w:spacing w:before="240"/>
        <w:rPr>
          <w:szCs w:val="24"/>
        </w:rPr>
      </w:pPr>
      <w:r w:rsidRPr="00F80BF5">
        <w:rPr>
          <w:szCs w:val="24"/>
        </w:rPr>
        <w:t xml:space="preserve">A summary of the comparative effectiveness of Ig </w:t>
      </w:r>
      <w:proofErr w:type="gramStart"/>
      <w:r w:rsidRPr="00F80BF5">
        <w:rPr>
          <w:szCs w:val="24"/>
        </w:rPr>
        <w:t>is discussed</w:t>
      </w:r>
      <w:proofErr w:type="gramEnd"/>
      <w:r w:rsidRPr="00F80BF5">
        <w:rPr>
          <w:szCs w:val="24"/>
        </w:rPr>
        <w:t xml:space="preserve"> for each Indication below.</w:t>
      </w:r>
      <w:r>
        <w:rPr>
          <w:szCs w:val="24"/>
        </w:rPr>
        <w:t xml:space="preserve"> See Tables 5-8 for the balance of clinical benefits and harms of </w:t>
      </w:r>
      <w:proofErr w:type="spellStart"/>
      <w:r>
        <w:rPr>
          <w:szCs w:val="24"/>
        </w:rPr>
        <w:t>IVIg</w:t>
      </w:r>
      <w:proofErr w:type="spellEnd"/>
      <w:r>
        <w:rPr>
          <w:szCs w:val="24"/>
        </w:rPr>
        <w:t xml:space="preserve"> relative to its comparators.</w:t>
      </w:r>
    </w:p>
    <w:p w14:paraId="3C5A0EED" w14:textId="6930C0E4" w:rsidR="00BA6645" w:rsidRPr="00792F41" w:rsidRDefault="00BA6645" w:rsidP="000031DC">
      <w:pPr>
        <w:spacing w:before="240"/>
        <w:rPr>
          <w:szCs w:val="24"/>
          <w:u w:val="single"/>
        </w:rPr>
      </w:pPr>
      <w:r w:rsidRPr="00792F41">
        <w:rPr>
          <w:szCs w:val="24"/>
          <w:u w:val="single"/>
        </w:rPr>
        <w:t xml:space="preserve">Indication 1: </w:t>
      </w:r>
      <w:proofErr w:type="spellStart"/>
      <w:r w:rsidRPr="00792F41">
        <w:rPr>
          <w:szCs w:val="24"/>
          <w:u w:val="single"/>
        </w:rPr>
        <w:t>Myasthenic</w:t>
      </w:r>
      <w:proofErr w:type="spellEnd"/>
      <w:r w:rsidRPr="00792F41">
        <w:rPr>
          <w:szCs w:val="24"/>
          <w:u w:val="single"/>
        </w:rPr>
        <w:t xml:space="preserve"> crisis</w:t>
      </w:r>
    </w:p>
    <w:p w14:paraId="65FB603B" w14:textId="4C171021" w:rsidR="00BA6645" w:rsidRDefault="00BA6645" w:rsidP="00BA6645">
      <w:pPr>
        <w:tabs>
          <w:tab w:val="left" w:pos="720"/>
          <w:tab w:val="left" w:pos="1140"/>
        </w:tabs>
        <w:rPr>
          <w:szCs w:val="24"/>
        </w:rPr>
      </w:pPr>
      <w:r>
        <w:rPr>
          <w:szCs w:val="24"/>
        </w:rPr>
        <w:t xml:space="preserve">Three retrospective cohort studies compared the rate of mortality between patients treated with </w:t>
      </w:r>
      <w:proofErr w:type="spellStart"/>
      <w:r>
        <w:rPr>
          <w:szCs w:val="24"/>
        </w:rPr>
        <w:t>IVIg</w:t>
      </w:r>
      <w:proofErr w:type="spellEnd"/>
      <w:r>
        <w:rPr>
          <w:szCs w:val="24"/>
        </w:rPr>
        <w:t xml:space="preserve"> and PE. </w:t>
      </w:r>
      <w:proofErr w:type="spellStart"/>
      <w:r w:rsidR="008907A3">
        <w:rPr>
          <w:szCs w:val="24"/>
        </w:rPr>
        <w:t>Mandawat</w:t>
      </w:r>
      <w:proofErr w:type="spellEnd"/>
      <w:r w:rsidR="008907A3">
        <w:rPr>
          <w:szCs w:val="24"/>
        </w:rPr>
        <w:t xml:space="preserve"> et al. 2010 </w:t>
      </w:r>
      <w:r>
        <w:rPr>
          <w:szCs w:val="24"/>
        </w:rPr>
        <w:t xml:space="preserve">found that of the patients who underwent either </w:t>
      </w:r>
      <w:proofErr w:type="spellStart"/>
      <w:r>
        <w:rPr>
          <w:szCs w:val="24"/>
        </w:rPr>
        <w:t>IVIg</w:t>
      </w:r>
      <w:proofErr w:type="spellEnd"/>
      <w:r>
        <w:rPr>
          <w:szCs w:val="24"/>
        </w:rPr>
        <w:t xml:space="preserve"> or PE in MG crisis, unadjusted mortality rates were significantly higher in the PE group compared to the </w:t>
      </w:r>
      <w:proofErr w:type="spellStart"/>
      <w:r>
        <w:rPr>
          <w:szCs w:val="24"/>
        </w:rPr>
        <w:t>IVIg</w:t>
      </w:r>
      <w:proofErr w:type="spellEnd"/>
      <w:r>
        <w:rPr>
          <w:szCs w:val="24"/>
        </w:rPr>
        <w:t xml:space="preserve"> group (5.67% v 0.59%; p = 0.002). However t</w:t>
      </w:r>
      <w:r w:rsidRPr="00846D3D">
        <w:rPr>
          <w:szCs w:val="24"/>
        </w:rPr>
        <w:t>he difference in mortality rates may not be as large as indicated by the data, given the baseline population characteristics indicate patients given PE are more likely to have systemic infection (p &lt; 0.0001).</w:t>
      </w:r>
      <w:r w:rsidRPr="00C41478">
        <w:t xml:space="preserve"> </w:t>
      </w:r>
      <w:r>
        <w:t xml:space="preserve">This indicates that </w:t>
      </w:r>
      <w:r>
        <w:rPr>
          <w:szCs w:val="24"/>
        </w:rPr>
        <w:t>p</w:t>
      </w:r>
      <w:r w:rsidRPr="00C41478">
        <w:rPr>
          <w:szCs w:val="24"/>
        </w:rPr>
        <w:t>atients a</w:t>
      </w:r>
      <w:r>
        <w:rPr>
          <w:szCs w:val="24"/>
        </w:rPr>
        <w:t xml:space="preserve">t a more critical stage </w:t>
      </w:r>
      <w:r w:rsidRPr="00C41478">
        <w:rPr>
          <w:szCs w:val="24"/>
        </w:rPr>
        <w:t xml:space="preserve">may be more likely to </w:t>
      </w:r>
      <w:proofErr w:type="gramStart"/>
      <w:r w:rsidRPr="00C41478">
        <w:rPr>
          <w:szCs w:val="24"/>
        </w:rPr>
        <w:t xml:space="preserve">be </w:t>
      </w:r>
      <w:r>
        <w:rPr>
          <w:szCs w:val="24"/>
        </w:rPr>
        <w:t>treated</w:t>
      </w:r>
      <w:proofErr w:type="gramEnd"/>
      <w:r>
        <w:rPr>
          <w:szCs w:val="24"/>
        </w:rPr>
        <w:t xml:space="preserve"> with</w:t>
      </w:r>
      <w:r w:rsidRPr="00C41478">
        <w:rPr>
          <w:szCs w:val="24"/>
        </w:rPr>
        <w:t xml:space="preserve"> PE as it is thought to act more quickly.</w:t>
      </w:r>
    </w:p>
    <w:p w14:paraId="7293FB10" w14:textId="63352522" w:rsidR="00BA6645" w:rsidRDefault="00BA6645" w:rsidP="000031DC">
      <w:pPr>
        <w:tabs>
          <w:tab w:val="left" w:pos="720"/>
          <w:tab w:val="left" w:pos="1140"/>
        </w:tabs>
        <w:spacing w:before="240"/>
        <w:rPr>
          <w:szCs w:val="24"/>
        </w:rPr>
      </w:pPr>
      <w:r w:rsidRPr="00846D3D">
        <w:rPr>
          <w:szCs w:val="24"/>
        </w:rPr>
        <w:t xml:space="preserve">Two smaller studies did not find any difference in mortality between the </w:t>
      </w:r>
      <w:r>
        <w:rPr>
          <w:szCs w:val="24"/>
        </w:rPr>
        <w:t xml:space="preserve">patients treated with </w:t>
      </w:r>
      <w:proofErr w:type="spellStart"/>
      <w:r>
        <w:rPr>
          <w:szCs w:val="24"/>
        </w:rPr>
        <w:t>IVIg</w:t>
      </w:r>
      <w:proofErr w:type="spellEnd"/>
      <w:r>
        <w:rPr>
          <w:szCs w:val="24"/>
        </w:rPr>
        <w:t xml:space="preserve"> or PE</w:t>
      </w:r>
      <w:r w:rsidRPr="00846D3D">
        <w:rPr>
          <w:szCs w:val="24"/>
        </w:rPr>
        <w:t>.</w:t>
      </w:r>
      <w:r>
        <w:rPr>
          <w:szCs w:val="24"/>
        </w:rPr>
        <w:t xml:space="preserve"> In the </w:t>
      </w:r>
      <w:proofErr w:type="spellStart"/>
      <w:r>
        <w:rPr>
          <w:szCs w:val="24"/>
        </w:rPr>
        <w:t>IVIg</w:t>
      </w:r>
      <w:proofErr w:type="spellEnd"/>
      <w:r>
        <w:rPr>
          <w:szCs w:val="24"/>
        </w:rPr>
        <w:t xml:space="preserve"> group, one death resulted from sepsis, one due to withdrawal of care and one patient could not be stabilised or revived in crisis. In the PE group, one death was due to ventilator related infection and the other was due to cardiac arrest.</w:t>
      </w:r>
      <w:r w:rsidRPr="00846D3D">
        <w:rPr>
          <w:szCs w:val="24"/>
        </w:rPr>
        <w:t xml:space="preserve"> </w:t>
      </w:r>
    </w:p>
    <w:p w14:paraId="350C0368" w14:textId="74EB841B" w:rsidR="00BA6645" w:rsidRDefault="00BA6645" w:rsidP="000031DC">
      <w:pPr>
        <w:tabs>
          <w:tab w:val="left" w:pos="720"/>
          <w:tab w:val="left" w:pos="1140"/>
        </w:tabs>
        <w:spacing w:before="240"/>
        <w:rPr>
          <w:szCs w:val="24"/>
        </w:rPr>
      </w:pPr>
      <w:r>
        <w:rPr>
          <w:szCs w:val="24"/>
        </w:rPr>
        <w:t>None of the included studies used t</w:t>
      </w:r>
      <w:r w:rsidRPr="00846D3D">
        <w:rPr>
          <w:szCs w:val="24"/>
        </w:rPr>
        <w:t>he MGC to measure change in symptoms for the MG crisis population. For other symptom measures (</w:t>
      </w:r>
      <w:r w:rsidR="002243B3">
        <w:rPr>
          <w:szCs w:val="24"/>
        </w:rPr>
        <w:t xml:space="preserve">myasthenia muscle score </w:t>
      </w:r>
      <w:r w:rsidRPr="00846D3D">
        <w:rPr>
          <w:szCs w:val="24"/>
        </w:rPr>
        <w:t xml:space="preserve">MMS and </w:t>
      </w:r>
      <w:r w:rsidR="002243B3">
        <w:rPr>
          <w:szCs w:val="24"/>
        </w:rPr>
        <w:t>m</w:t>
      </w:r>
      <w:r w:rsidR="002243B3" w:rsidRPr="002243B3">
        <w:rPr>
          <w:szCs w:val="24"/>
        </w:rPr>
        <w:t xml:space="preserve">yasthenia severity scale </w:t>
      </w:r>
      <w:r w:rsidRPr="00846D3D">
        <w:rPr>
          <w:szCs w:val="24"/>
        </w:rPr>
        <w:t>MSS) from baseline at 15 days</w:t>
      </w:r>
      <w:r>
        <w:rPr>
          <w:szCs w:val="24"/>
        </w:rPr>
        <w:t xml:space="preserve">, patients receiving either </w:t>
      </w:r>
      <w:proofErr w:type="spellStart"/>
      <w:r>
        <w:rPr>
          <w:szCs w:val="24"/>
        </w:rPr>
        <w:t>IVIg</w:t>
      </w:r>
      <w:proofErr w:type="spellEnd"/>
      <w:r>
        <w:rPr>
          <w:szCs w:val="24"/>
        </w:rPr>
        <w:t xml:space="preserve"> or PE both improved</w:t>
      </w:r>
      <w:r w:rsidRPr="00846D3D">
        <w:rPr>
          <w:szCs w:val="24"/>
        </w:rPr>
        <w:t xml:space="preserve">, </w:t>
      </w:r>
      <w:r>
        <w:rPr>
          <w:szCs w:val="24"/>
        </w:rPr>
        <w:t xml:space="preserve">but there was either no significant difference between the groups, or the significance of results was not determined. </w:t>
      </w:r>
    </w:p>
    <w:p w14:paraId="2BCB1842" w14:textId="39D59CC1" w:rsidR="00BA6645" w:rsidRDefault="00BA6645" w:rsidP="000031DC">
      <w:pPr>
        <w:tabs>
          <w:tab w:val="left" w:pos="720"/>
          <w:tab w:val="left" w:pos="1140"/>
        </w:tabs>
        <w:spacing w:before="240"/>
        <w:rPr>
          <w:szCs w:val="24"/>
        </w:rPr>
      </w:pPr>
      <w:r>
        <w:rPr>
          <w:szCs w:val="24"/>
        </w:rPr>
        <w:t xml:space="preserve">Mean improvement in MMS was also assessed comparing lower dose (1 g/kg) and higher dose (2 g/kg over two days) </w:t>
      </w:r>
      <w:proofErr w:type="spellStart"/>
      <w:r>
        <w:rPr>
          <w:szCs w:val="24"/>
        </w:rPr>
        <w:t>IVIg</w:t>
      </w:r>
      <w:proofErr w:type="spellEnd"/>
      <w:r>
        <w:rPr>
          <w:szCs w:val="24"/>
        </w:rPr>
        <w:t xml:space="preserve">. Patients receiving the higher </w:t>
      </w:r>
      <w:proofErr w:type="spellStart"/>
      <w:r>
        <w:rPr>
          <w:szCs w:val="24"/>
        </w:rPr>
        <w:t>IVIg</w:t>
      </w:r>
      <w:proofErr w:type="spellEnd"/>
      <w:r>
        <w:rPr>
          <w:szCs w:val="24"/>
        </w:rPr>
        <w:t xml:space="preserve"> dose achieved a higher mean improvement in MMS but the difference was not significant and the author concluded that the lower dose </w:t>
      </w:r>
      <w:proofErr w:type="gramStart"/>
      <w:r>
        <w:rPr>
          <w:szCs w:val="24"/>
        </w:rPr>
        <w:t>may</w:t>
      </w:r>
      <w:proofErr w:type="gramEnd"/>
      <w:r>
        <w:rPr>
          <w:szCs w:val="24"/>
        </w:rPr>
        <w:t xml:space="preserve"> be the best dose in clinical practise when cost benefits are considered in using the smaller dose.</w:t>
      </w:r>
    </w:p>
    <w:p w14:paraId="296E76B7" w14:textId="60BF4A29" w:rsidR="00BA6645" w:rsidRPr="006B3038" w:rsidRDefault="00BA6645" w:rsidP="006B3038">
      <w:pPr>
        <w:spacing w:before="240"/>
        <w:rPr>
          <w:rFonts w:ascii="Arial Narrow" w:hAnsi="Arial Narrow"/>
          <w:b/>
          <w:sz w:val="20"/>
        </w:rPr>
      </w:pPr>
      <w:bookmarkStart w:id="12" w:name="_Ref9345676"/>
      <w:bookmarkStart w:id="13" w:name="_Toc23769516"/>
      <w:r w:rsidRPr="006B3038">
        <w:rPr>
          <w:rFonts w:ascii="Arial Narrow" w:hAnsi="Arial Narrow"/>
          <w:b/>
          <w:sz w:val="20"/>
        </w:rPr>
        <w:t xml:space="preserve">Table </w:t>
      </w:r>
      <w:bookmarkEnd w:id="12"/>
      <w:r w:rsidRPr="006B3038">
        <w:rPr>
          <w:rFonts w:ascii="Arial Narrow" w:hAnsi="Arial Narrow"/>
          <w:b/>
          <w:sz w:val="20"/>
        </w:rPr>
        <w:t>4</w:t>
      </w:r>
      <w:r w:rsidRPr="006B3038">
        <w:rPr>
          <w:rFonts w:ascii="Arial Narrow" w:hAnsi="Arial Narrow"/>
          <w:b/>
          <w:sz w:val="20"/>
        </w:rPr>
        <w:tab/>
        <w:t xml:space="preserve">Change in MMS after 15 days for MG patients treated with </w:t>
      </w:r>
      <w:proofErr w:type="spellStart"/>
      <w:r w:rsidRPr="006B3038">
        <w:rPr>
          <w:rFonts w:ascii="Arial Narrow" w:hAnsi="Arial Narrow"/>
          <w:b/>
          <w:sz w:val="20"/>
        </w:rPr>
        <w:t>IVIg</w:t>
      </w:r>
      <w:proofErr w:type="spellEnd"/>
      <w:r w:rsidRPr="006B3038">
        <w:rPr>
          <w:rFonts w:ascii="Arial Narrow" w:hAnsi="Arial Narrow"/>
          <w:b/>
          <w:sz w:val="20"/>
        </w:rPr>
        <w:t xml:space="preserve"> (dose comparison) </w:t>
      </w:r>
      <w:r w:rsidRPr="006B3038">
        <w:rPr>
          <w:rFonts w:ascii="Arial Narrow" w:hAnsi="Arial Narrow"/>
          <w:b/>
          <w:sz w:val="20"/>
        </w:rPr>
        <w:fldChar w:fldCharType="begin"/>
      </w:r>
      <w:r w:rsidRPr="006B3038">
        <w:rPr>
          <w:rFonts w:ascii="Arial Narrow" w:hAnsi="Arial Narrow"/>
          <w:b/>
          <w:sz w:val="20"/>
        </w:rPr>
        <w:instrText xml:space="preserve"> ADDIN EN.CITE &lt;EndNote&gt;&lt;Cite&gt;&lt;Author&gt;Gajdos&lt;/Author&gt;&lt;Year&gt;2012&lt;/Year&gt;&lt;RecNum&gt;3&lt;/RecNum&gt;&lt;DisplayText&gt;(Gajdos, Chevret &amp;amp; Toyka 2012)&lt;/DisplayText&gt;&lt;record&gt;&lt;rec-number&gt;3&lt;/rec-number&gt;&lt;foreign-keys&gt;&lt;key app="EN" db-id="2aevrx2slsts5ve9sdavatf125dsx0av2v9d" timestamp="1556505895"&gt;3&lt;/key&gt;&lt;/foreign-keys&gt;&lt;ref-type name="Journal Article"&gt;17&lt;/ref-type&gt;&lt;contributors&gt;&lt;authors&gt;&lt;author&gt;Gajdos, P.&lt;/author&gt;&lt;author&gt;Chevret, S.&lt;/author&gt;&lt;author&gt;Toyka, K. V.&lt;/author&gt;&lt;/authors&gt;&lt;/contributors&gt;&lt;titles&gt;&lt;title&gt;Intravenous immunoglobulin for myasthenia gravis&lt;/title&gt;&lt;secondary-title&gt;Cochrane Database of Systematic Reviews&lt;/secondary-title&gt;&lt;/titles&gt;&lt;periodical&gt;&lt;full-title&gt;Cochrane Database of Systematic Reviews&lt;/full-title&gt;&lt;/periodical&gt;&lt;number&gt;12&lt;/number&gt;&lt;keywords&gt;&lt;keyword&gt;Chronic Disease&lt;/keyword&gt;&lt;keyword&gt;Disease Progression&lt;/keyword&gt;&lt;keyword&gt;Humans&lt;/keyword&gt;&lt;keyword&gt;Immunoglobulins, Intravenous [*therapeutic use]&lt;/keyword&gt;&lt;keyword&gt;Methylprednisolone [therapeutic use]&lt;/keyword&gt;&lt;keyword&gt;Myasthenia Gravis [*therapy]&lt;/keyword&gt;&lt;keyword&gt;Neuroprotective Agents [therapeutic use]&lt;/keyword&gt;&lt;keyword&gt;Plasma Exchange&lt;/keyword&gt;&lt;keyword&gt;Randomized Controlled Trials as Topic&lt;/keyword&gt;&lt;/keywords&gt;&lt;dates&gt;&lt;year&gt;2012&lt;/year&gt;&lt;/dates&gt;&lt;publisher&gt;John Wiley &amp;amp; Sons, Ltd&lt;/publisher&gt;&lt;isbn&gt;1465-1858&lt;/isbn&gt;&lt;accession-num&gt;CD002277&lt;/accession-num&gt;&lt;urls&gt;&lt;related-urls&gt;&lt;url&gt;http://dx.doi.org/10.1002/14651858.CD002277.pub4&lt;/url&gt;&lt;/related-urls&gt;&lt;/urls&gt;&lt;electronic-resource-num&gt;10.1002/14651858.CD002277.pub4&lt;/electronic-resource-num&gt;&lt;/record&gt;&lt;/Cite&gt;&lt;/EndNote&gt;</w:instrText>
      </w:r>
      <w:r w:rsidRPr="006B3038">
        <w:rPr>
          <w:rFonts w:ascii="Arial Narrow" w:hAnsi="Arial Narrow"/>
          <w:b/>
          <w:sz w:val="20"/>
        </w:rPr>
        <w:fldChar w:fldCharType="separate"/>
      </w:r>
      <w:r w:rsidRPr="006B3038">
        <w:rPr>
          <w:rFonts w:ascii="Arial Narrow" w:hAnsi="Arial Narrow"/>
          <w:b/>
          <w:sz w:val="20"/>
        </w:rPr>
        <w:t>(Gajdos, Chevret &amp; Toyka 2012)</w:t>
      </w:r>
      <w:bookmarkEnd w:id="13"/>
      <w:r w:rsidRPr="006B3038">
        <w:rPr>
          <w:rFonts w:ascii="Arial Narrow" w:hAnsi="Arial Narrow"/>
          <w:b/>
          <w:sz w:val="20"/>
        </w:rPr>
        <w:fldChar w:fldCharType="end"/>
      </w:r>
    </w:p>
    <w:tbl>
      <w:tblPr>
        <w:tblStyle w:val="TableGrid1"/>
        <w:tblW w:w="4935" w:type="pct"/>
        <w:tblLook w:val="04A0" w:firstRow="1" w:lastRow="0" w:firstColumn="1" w:lastColumn="0" w:noHBand="0" w:noVBand="1"/>
        <w:tblCaption w:val="Table 27 Change in MMS after 15 days for MG crisis patients treated with IVIg (dose comparison) (Gajdos, Chevret &amp; Toyka 2012)"/>
        <w:tblDescription w:val="Change in symptoms (MMS) for patients receiving 1 g/kg IVIg comared to those receiving 2 g/kg IVIg (Indication1)."/>
      </w:tblPr>
      <w:tblGrid>
        <w:gridCol w:w="1527"/>
        <w:gridCol w:w="2127"/>
        <w:gridCol w:w="1844"/>
        <w:gridCol w:w="1701"/>
        <w:gridCol w:w="1700"/>
      </w:tblGrid>
      <w:tr w:rsidR="00BA6645" w:rsidRPr="007D1918" w14:paraId="5EE8B37A" w14:textId="77777777" w:rsidTr="00C163D0">
        <w:trPr>
          <w:cnfStyle w:val="100000000000" w:firstRow="1" w:lastRow="0" w:firstColumn="0" w:lastColumn="0" w:oddVBand="0" w:evenVBand="0" w:oddHBand="0" w:evenHBand="0" w:firstRowFirstColumn="0" w:firstRowLastColumn="0" w:lastRowFirstColumn="0" w:lastRowLastColumn="0"/>
          <w:tblHeader/>
        </w:trPr>
        <w:tc>
          <w:tcPr>
            <w:tcW w:w="858" w:type="pct"/>
          </w:tcPr>
          <w:p w14:paraId="0DCD230D" w14:textId="77777777" w:rsidR="00BA6645" w:rsidRPr="007D1918" w:rsidRDefault="00BA6645" w:rsidP="00BA6645">
            <w:pPr>
              <w:pStyle w:val="TableHeading"/>
              <w:keepLines/>
              <w:rPr>
                <w:snapToGrid w:val="0"/>
                <w:lang w:eastAsia="en-US"/>
              </w:rPr>
            </w:pPr>
            <w:r w:rsidRPr="007D1918">
              <w:rPr>
                <w:snapToGrid w:val="0"/>
                <w:lang w:eastAsia="en-US"/>
              </w:rPr>
              <w:t>Measure</w:t>
            </w:r>
          </w:p>
        </w:tc>
        <w:tc>
          <w:tcPr>
            <w:tcW w:w="1195" w:type="pct"/>
          </w:tcPr>
          <w:p w14:paraId="11C651AA" w14:textId="77777777" w:rsidR="00BA6645" w:rsidRPr="007D1918" w:rsidRDefault="00BA6645" w:rsidP="00BA6645">
            <w:pPr>
              <w:pStyle w:val="TableHeading"/>
              <w:keepLines/>
              <w:rPr>
                <w:snapToGrid w:val="0"/>
                <w:lang w:eastAsia="en-US"/>
              </w:rPr>
            </w:pPr>
            <w:proofErr w:type="spellStart"/>
            <w:r w:rsidRPr="007D1918">
              <w:rPr>
                <w:snapToGrid w:val="0"/>
                <w:lang w:eastAsia="en-US"/>
              </w:rPr>
              <w:t>IVIg</w:t>
            </w:r>
            <w:proofErr w:type="spellEnd"/>
            <w:r w:rsidRPr="007D1918">
              <w:rPr>
                <w:snapToGrid w:val="0"/>
                <w:lang w:eastAsia="en-US"/>
              </w:rPr>
              <w:t xml:space="preserve"> (2 g/kg)</w:t>
            </w:r>
          </w:p>
          <w:p w14:paraId="0037931F" w14:textId="77777777" w:rsidR="00BA6645" w:rsidRPr="007D1918" w:rsidRDefault="00BA6645" w:rsidP="00BA6645">
            <w:pPr>
              <w:pStyle w:val="TableHeading"/>
              <w:keepLines/>
              <w:rPr>
                <w:snapToGrid w:val="0"/>
                <w:lang w:eastAsia="en-US"/>
              </w:rPr>
            </w:pPr>
            <w:r w:rsidRPr="007D1918">
              <w:rPr>
                <w:snapToGrid w:val="0"/>
                <w:lang w:eastAsia="en-US"/>
              </w:rPr>
              <w:t>N = 87</w:t>
            </w:r>
          </w:p>
          <w:p w14:paraId="6F13ADC1" w14:textId="77777777" w:rsidR="00BA6645" w:rsidRPr="007D1918" w:rsidRDefault="00BA6645" w:rsidP="00BA6645">
            <w:pPr>
              <w:pStyle w:val="TableHeading"/>
              <w:keepLines/>
              <w:rPr>
                <w:snapToGrid w:val="0"/>
                <w:lang w:eastAsia="en-US"/>
              </w:rPr>
            </w:pPr>
            <w:r w:rsidRPr="007D1918">
              <w:rPr>
                <w:snapToGrid w:val="0"/>
                <w:lang w:eastAsia="en-US"/>
              </w:rPr>
              <w:t>Mean (SD)</w:t>
            </w:r>
          </w:p>
        </w:tc>
        <w:tc>
          <w:tcPr>
            <w:tcW w:w="1036" w:type="pct"/>
          </w:tcPr>
          <w:p w14:paraId="60FDA65F" w14:textId="77777777" w:rsidR="00BA6645" w:rsidRPr="007D1918" w:rsidRDefault="00BA6645" w:rsidP="00BA6645">
            <w:pPr>
              <w:pStyle w:val="TableHeading"/>
              <w:keepLines/>
              <w:rPr>
                <w:snapToGrid w:val="0"/>
                <w:lang w:eastAsia="en-US"/>
              </w:rPr>
            </w:pPr>
            <w:proofErr w:type="spellStart"/>
            <w:r w:rsidRPr="007D1918">
              <w:rPr>
                <w:snapToGrid w:val="0"/>
                <w:lang w:eastAsia="en-US"/>
              </w:rPr>
              <w:t>IVIg</w:t>
            </w:r>
            <w:proofErr w:type="spellEnd"/>
            <w:r w:rsidRPr="007D1918">
              <w:rPr>
                <w:snapToGrid w:val="0"/>
                <w:lang w:eastAsia="en-US"/>
              </w:rPr>
              <w:t xml:space="preserve"> (1g/kg)</w:t>
            </w:r>
          </w:p>
          <w:p w14:paraId="7DE469E4" w14:textId="77777777" w:rsidR="00BA6645" w:rsidRPr="007D1918" w:rsidRDefault="00BA6645" w:rsidP="00BA6645">
            <w:pPr>
              <w:pStyle w:val="TableHeading"/>
              <w:keepLines/>
              <w:rPr>
                <w:snapToGrid w:val="0"/>
                <w:lang w:eastAsia="en-US"/>
              </w:rPr>
            </w:pPr>
            <w:r w:rsidRPr="007D1918">
              <w:rPr>
                <w:snapToGrid w:val="0"/>
                <w:lang w:eastAsia="en-US"/>
              </w:rPr>
              <w:t>N = 81</w:t>
            </w:r>
          </w:p>
          <w:p w14:paraId="3EBF58CC" w14:textId="77777777" w:rsidR="00BA6645" w:rsidRPr="007D1918" w:rsidRDefault="00BA6645" w:rsidP="00BA6645">
            <w:pPr>
              <w:pStyle w:val="TableHeading"/>
              <w:keepLines/>
              <w:rPr>
                <w:snapToGrid w:val="0"/>
                <w:lang w:eastAsia="en-US"/>
              </w:rPr>
            </w:pPr>
            <w:r w:rsidRPr="007D1918">
              <w:rPr>
                <w:snapToGrid w:val="0"/>
                <w:lang w:eastAsia="en-US"/>
              </w:rPr>
              <w:t xml:space="preserve">Mean (SD)  </w:t>
            </w:r>
          </w:p>
        </w:tc>
        <w:tc>
          <w:tcPr>
            <w:tcW w:w="956" w:type="pct"/>
          </w:tcPr>
          <w:p w14:paraId="4DBE6572" w14:textId="77777777" w:rsidR="00BA6645" w:rsidRPr="007D1918" w:rsidRDefault="00BA6645" w:rsidP="00BA6645">
            <w:pPr>
              <w:pStyle w:val="TableHeading"/>
              <w:keepLines/>
              <w:rPr>
                <w:snapToGrid w:val="0"/>
                <w:lang w:eastAsia="en-US"/>
              </w:rPr>
            </w:pPr>
            <w:r w:rsidRPr="007D1918">
              <w:rPr>
                <w:snapToGrid w:val="0"/>
                <w:lang w:eastAsia="en-US"/>
              </w:rPr>
              <w:t>Mean difference (95% CI)</w:t>
            </w:r>
          </w:p>
        </w:tc>
        <w:tc>
          <w:tcPr>
            <w:tcW w:w="956" w:type="pct"/>
          </w:tcPr>
          <w:p w14:paraId="1C46B05D" w14:textId="77777777" w:rsidR="00BA6645" w:rsidRPr="007D1918" w:rsidRDefault="00BA6645" w:rsidP="00BA6645">
            <w:pPr>
              <w:pStyle w:val="TableHeading"/>
              <w:keepLines/>
              <w:rPr>
                <w:snapToGrid w:val="0"/>
                <w:lang w:eastAsia="en-US"/>
              </w:rPr>
            </w:pPr>
            <w:r w:rsidRPr="007D1918">
              <w:rPr>
                <w:snapToGrid w:val="0"/>
                <w:lang w:eastAsia="en-US"/>
              </w:rPr>
              <w:t>Overall effect</w:t>
            </w:r>
          </w:p>
        </w:tc>
      </w:tr>
      <w:tr w:rsidR="00BA6645" w:rsidRPr="007D1918" w14:paraId="67694FDB" w14:textId="77777777" w:rsidTr="00C163D0">
        <w:tc>
          <w:tcPr>
            <w:tcW w:w="858" w:type="pct"/>
          </w:tcPr>
          <w:p w14:paraId="203A4B67" w14:textId="77777777" w:rsidR="00BA6645" w:rsidRPr="007D1918" w:rsidRDefault="00BA6645" w:rsidP="00BA6645">
            <w:pPr>
              <w:pStyle w:val="TableText0"/>
              <w:keepLines/>
              <w:rPr>
                <w:snapToGrid w:val="0"/>
              </w:rPr>
            </w:pPr>
            <w:r w:rsidRPr="007D1918">
              <w:rPr>
                <w:snapToGrid w:val="0"/>
              </w:rPr>
              <w:t>Change in MMS</w:t>
            </w:r>
          </w:p>
        </w:tc>
        <w:tc>
          <w:tcPr>
            <w:tcW w:w="1195" w:type="pct"/>
          </w:tcPr>
          <w:p w14:paraId="776B8076" w14:textId="77777777" w:rsidR="00BA6645" w:rsidRPr="007D1918" w:rsidRDefault="00BA6645" w:rsidP="00BA6645">
            <w:pPr>
              <w:pStyle w:val="TableText0"/>
              <w:keepLines/>
              <w:rPr>
                <w:snapToGrid w:val="0"/>
              </w:rPr>
            </w:pPr>
            <w:r w:rsidRPr="007D1918">
              <w:rPr>
                <w:snapToGrid w:val="0"/>
              </w:rPr>
              <w:t>19.33 (16.48)</w:t>
            </w:r>
          </w:p>
        </w:tc>
        <w:tc>
          <w:tcPr>
            <w:tcW w:w="1036" w:type="pct"/>
          </w:tcPr>
          <w:p w14:paraId="722C2B18" w14:textId="77777777" w:rsidR="00BA6645" w:rsidRPr="007D1918" w:rsidRDefault="00BA6645" w:rsidP="00BA6645">
            <w:pPr>
              <w:pStyle w:val="TableText0"/>
              <w:keepLines/>
              <w:rPr>
                <w:snapToGrid w:val="0"/>
              </w:rPr>
            </w:pPr>
            <w:r w:rsidRPr="007D1918">
              <w:rPr>
                <w:snapToGrid w:val="0"/>
              </w:rPr>
              <w:t>15.49 (15.4)</w:t>
            </w:r>
          </w:p>
        </w:tc>
        <w:tc>
          <w:tcPr>
            <w:tcW w:w="956" w:type="pct"/>
          </w:tcPr>
          <w:p w14:paraId="237E3E38" w14:textId="77777777" w:rsidR="00BA6645" w:rsidRPr="007D1918" w:rsidRDefault="00BA6645" w:rsidP="00BA6645">
            <w:pPr>
              <w:pStyle w:val="TableText0"/>
              <w:keepLines/>
              <w:rPr>
                <w:snapToGrid w:val="0"/>
              </w:rPr>
            </w:pPr>
            <w:r w:rsidRPr="007D1918">
              <w:rPr>
                <w:snapToGrid w:val="0"/>
              </w:rPr>
              <w:t>3.84 (-0.98, 8.66)</w:t>
            </w:r>
          </w:p>
        </w:tc>
        <w:tc>
          <w:tcPr>
            <w:tcW w:w="956" w:type="pct"/>
          </w:tcPr>
          <w:p w14:paraId="3D259F9E" w14:textId="77777777" w:rsidR="00BA6645" w:rsidRPr="007D1918" w:rsidRDefault="00BA6645" w:rsidP="00BA6645">
            <w:pPr>
              <w:pStyle w:val="TableText0"/>
              <w:keepLines/>
              <w:rPr>
                <w:snapToGrid w:val="0"/>
                <w:vertAlign w:val="superscript"/>
              </w:rPr>
            </w:pPr>
            <w:r w:rsidRPr="007D1918">
              <w:rPr>
                <w:snapToGrid w:val="0"/>
              </w:rPr>
              <w:t>P = 0.12</w:t>
            </w:r>
            <w:r w:rsidRPr="007D1918">
              <w:rPr>
                <w:snapToGrid w:val="0"/>
                <w:vertAlign w:val="superscript"/>
              </w:rPr>
              <w:t>a</w:t>
            </w:r>
          </w:p>
        </w:tc>
      </w:tr>
    </w:tbl>
    <w:p w14:paraId="4E296E22" w14:textId="77777777" w:rsidR="00BA6645" w:rsidRPr="007D1918" w:rsidRDefault="00BA6645" w:rsidP="00BA6645">
      <w:pPr>
        <w:pStyle w:val="Tablenotes"/>
        <w:spacing w:after="80"/>
        <w:contextualSpacing w:val="0"/>
      </w:pPr>
      <w:proofErr w:type="spellStart"/>
      <w:r w:rsidRPr="007D1918">
        <w:t>IVIg</w:t>
      </w:r>
      <w:proofErr w:type="spellEnd"/>
      <w:r w:rsidRPr="007D1918">
        <w:t xml:space="preserve"> = intravenous immunoglobulin therapy; MG = myasthenia gravis; MMS myasthenia muscle score; SD = standard deviation</w:t>
      </w:r>
    </w:p>
    <w:p w14:paraId="2672E592" w14:textId="77777777" w:rsidR="00BA6645" w:rsidRDefault="00BA6645" w:rsidP="00BA6645">
      <w:pPr>
        <w:pStyle w:val="Tablenotes"/>
        <w:spacing w:after="80"/>
      </w:pPr>
      <w:proofErr w:type="gramStart"/>
      <w:r w:rsidRPr="007D1918">
        <w:rPr>
          <w:vertAlign w:val="superscript"/>
        </w:rPr>
        <w:t>a</w:t>
      </w:r>
      <w:proofErr w:type="gramEnd"/>
      <w:r w:rsidRPr="007D1918">
        <w:t xml:space="preserve"> Result reported in </w:t>
      </w:r>
      <w:proofErr w:type="spellStart"/>
      <w:r w:rsidRPr="007D1918">
        <w:t>Gajdos</w:t>
      </w:r>
      <w:proofErr w:type="spellEnd"/>
      <w:r w:rsidRPr="007D1918">
        <w:t xml:space="preserve">, </w:t>
      </w:r>
      <w:proofErr w:type="spellStart"/>
      <w:r w:rsidRPr="007D1918">
        <w:t>Chevret</w:t>
      </w:r>
      <w:proofErr w:type="spellEnd"/>
      <w:r w:rsidRPr="007D1918">
        <w:t xml:space="preserve"> and </w:t>
      </w:r>
      <w:proofErr w:type="spellStart"/>
      <w:r w:rsidRPr="007D1918">
        <w:t>Toyka</w:t>
      </w:r>
      <w:proofErr w:type="spellEnd"/>
      <w:r w:rsidRPr="007D1918">
        <w:t>, 2012</w:t>
      </w:r>
    </w:p>
    <w:p w14:paraId="79678E2C" w14:textId="20B657C5" w:rsidR="00BA6645" w:rsidRPr="000031DC" w:rsidRDefault="00BA6645" w:rsidP="000031DC">
      <w:pPr>
        <w:pStyle w:val="Tablenotes"/>
        <w:spacing w:after="80"/>
      </w:pPr>
      <w:r>
        <w:t>Source: Contracted Assessment, Table 29</w:t>
      </w:r>
    </w:p>
    <w:p w14:paraId="14C61577" w14:textId="77777777" w:rsidR="00BA6645" w:rsidRDefault="00BA6645" w:rsidP="000031DC">
      <w:pPr>
        <w:tabs>
          <w:tab w:val="left" w:pos="720"/>
          <w:tab w:val="left" w:pos="1140"/>
        </w:tabs>
        <w:spacing w:before="240"/>
        <w:rPr>
          <w:szCs w:val="24"/>
        </w:rPr>
      </w:pPr>
      <w:r>
        <w:rPr>
          <w:szCs w:val="24"/>
        </w:rPr>
        <w:t xml:space="preserve">Quality of life, rate of remission, time to relapse and need for ventilation </w:t>
      </w:r>
      <w:proofErr w:type="gramStart"/>
      <w:r>
        <w:rPr>
          <w:szCs w:val="24"/>
        </w:rPr>
        <w:t>were not reported</w:t>
      </w:r>
      <w:proofErr w:type="gramEnd"/>
      <w:r>
        <w:rPr>
          <w:szCs w:val="24"/>
        </w:rPr>
        <w:t xml:space="preserve"> in any of the studies assessing </w:t>
      </w:r>
      <w:proofErr w:type="spellStart"/>
      <w:r>
        <w:rPr>
          <w:szCs w:val="24"/>
        </w:rPr>
        <w:t>IVIg</w:t>
      </w:r>
      <w:proofErr w:type="spellEnd"/>
      <w:r>
        <w:rPr>
          <w:szCs w:val="24"/>
        </w:rPr>
        <w:t xml:space="preserve"> and PE for patients in this indication. </w:t>
      </w:r>
      <w:proofErr w:type="gramStart"/>
      <w:r>
        <w:rPr>
          <w:szCs w:val="24"/>
        </w:rPr>
        <w:t>Overall</w:t>
      </w:r>
      <w:proofErr w:type="gramEnd"/>
      <w:r>
        <w:rPr>
          <w:szCs w:val="24"/>
        </w:rPr>
        <w:t xml:space="preserve"> it was considered that </w:t>
      </w:r>
      <w:proofErr w:type="spellStart"/>
      <w:r>
        <w:rPr>
          <w:szCs w:val="24"/>
        </w:rPr>
        <w:t>IVIg</w:t>
      </w:r>
      <w:proofErr w:type="spellEnd"/>
      <w:r>
        <w:rPr>
          <w:szCs w:val="24"/>
        </w:rPr>
        <w:t xml:space="preserve"> has non-inferior effectiveness relative to PE.</w:t>
      </w:r>
    </w:p>
    <w:p w14:paraId="3496A084" w14:textId="0C24C213" w:rsidR="00BA6645" w:rsidRPr="00792F41" w:rsidRDefault="00BA6645" w:rsidP="000031DC">
      <w:pPr>
        <w:spacing w:before="240"/>
        <w:rPr>
          <w:szCs w:val="24"/>
          <w:u w:val="single"/>
        </w:rPr>
      </w:pPr>
      <w:r w:rsidRPr="00792F41">
        <w:rPr>
          <w:szCs w:val="24"/>
          <w:u w:val="single"/>
        </w:rPr>
        <w:t>Indication 2: Patients preparing for surgery</w:t>
      </w:r>
    </w:p>
    <w:p w14:paraId="1198A985" w14:textId="01D76E4D" w:rsidR="00BA6645" w:rsidRDefault="00BA6645" w:rsidP="00BA6645">
      <w:pPr>
        <w:tabs>
          <w:tab w:val="left" w:pos="720"/>
          <w:tab w:val="left" w:pos="1140"/>
        </w:tabs>
        <w:rPr>
          <w:szCs w:val="24"/>
        </w:rPr>
      </w:pPr>
      <w:r>
        <w:rPr>
          <w:szCs w:val="24"/>
        </w:rPr>
        <w:t xml:space="preserve">One RCT and one retrospective matched cohort study were included in the assessment of </w:t>
      </w:r>
      <w:proofErr w:type="spellStart"/>
      <w:r>
        <w:rPr>
          <w:szCs w:val="24"/>
        </w:rPr>
        <w:t>IVIg</w:t>
      </w:r>
      <w:proofErr w:type="spellEnd"/>
      <w:r>
        <w:rPr>
          <w:szCs w:val="24"/>
        </w:rPr>
        <w:t xml:space="preserve"> and PE in this group. The cohort study reported there was no sepsis observed in either </w:t>
      </w:r>
      <w:r>
        <w:rPr>
          <w:szCs w:val="24"/>
        </w:rPr>
        <w:lastRenderedPageBreak/>
        <w:t xml:space="preserve">group, and the RCT stated that two cases of </w:t>
      </w:r>
      <w:proofErr w:type="spellStart"/>
      <w:r>
        <w:rPr>
          <w:szCs w:val="24"/>
        </w:rPr>
        <w:t>myasthenic</w:t>
      </w:r>
      <w:proofErr w:type="spellEnd"/>
      <w:r>
        <w:rPr>
          <w:szCs w:val="24"/>
        </w:rPr>
        <w:t xml:space="preserve"> crisis in the PE group </w:t>
      </w:r>
      <w:proofErr w:type="gramStart"/>
      <w:r>
        <w:rPr>
          <w:szCs w:val="24"/>
        </w:rPr>
        <w:t>were related</w:t>
      </w:r>
      <w:proofErr w:type="gramEnd"/>
      <w:r>
        <w:rPr>
          <w:szCs w:val="24"/>
        </w:rPr>
        <w:t xml:space="preserve"> to pneumonia infections while no such cases were reported in the </w:t>
      </w:r>
      <w:proofErr w:type="spellStart"/>
      <w:r>
        <w:rPr>
          <w:szCs w:val="24"/>
        </w:rPr>
        <w:t>IVIg</w:t>
      </w:r>
      <w:proofErr w:type="spellEnd"/>
      <w:r>
        <w:rPr>
          <w:szCs w:val="24"/>
        </w:rPr>
        <w:t xml:space="preserve"> group.</w:t>
      </w:r>
    </w:p>
    <w:p w14:paraId="6A2E8FAF" w14:textId="631B3CC3" w:rsidR="00BA6645" w:rsidRDefault="00BA6645" w:rsidP="000031DC">
      <w:pPr>
        <w:tabs>
          <w:tab w:val="left" w:pos="720"/>
          <w:tab w:val="left" w:pos="1140"/>
        </w:tabs>
        <w:spacing w:before="240"/>
        <w:rPr>
          <w:szCs w:val="24"/>
        </w:rPr>
      </w:pPr>
      <w:r>
        <w:rPr>
          <w:szCs w:val="24"/>
        </w:rPr>
        <w:t xml:space="preserve">With respect to change in symptoms, </w:t>
      </w:r>
      <w:r w:rsidR="008907A3" w:rsidRPr="008907A3">
        <w:rPr>
          <w:szCs w:val="24"/>
        </w:rPr>
        <w:t xml:space="preserve">Jensen &amp; </w:t>
      </w:r>
      <w:proofErr w:type="spellStart"/>
      <w:r w:rsidR="008907A3" w:rsidRPr="008907A3">
        <w:rPr>
          <w:szCs w:val="24"/>
        </w:rPr>
        <w:t>Bril</w:t>
      </w:r>
      <w:proofErr w:type="spellEnd"/>
      <w:r w:rsidR="008907A3" w:rsidRPr="008907A3">
        <w:rPr>
          <w:szCs w:val="24"/>
        </w:rPr>
        <w:t xml:space="preserve"> </w:t>
      </w:r>
      <w:r w:rsidR="008907A3">
        <w:rPr>
          <w:szCs w:val="24"/>
        </w:rPr>
        <w:t xml:space="preserve">et al. </w:t>
      </w:r>
      <w:r w:rsidR="008907A3" w:rsidRPr="008907A3">
        <w:rPr>
          <w:szCs w:val="24"/>
        </w:rPr>
        <w:t>2008</w:t>
      </w:r>
      <w:r w:rsidR="00C81AE8">
        <w:rPr>
          <w:szCs w:val="24"/>
        </w:rPr>
        <w:t xml:space="preserve"> </w:t>
      </w:r>
      <w:r>
        <w:rPr>
          <w:szCs w:val="24"/>
        </w:rPr>
        <w:t xml:space="preserve">found that there was no statistical difference in the degree of improvement between either </w:t>
      </w:r>
      <w:proofErr w:type="gramStart"/>
      <w:r>
        <w:rPr>
          <w:szCs w:val="24"/>
        </w:rPr>
        <w:t>group</w:t>
      </w:r>
      <w:proofErr w:type="gramEnd"/>
      <w:r>
        <w:rPr>
          <w:szCs w:val="24"/>
        </w:rPr>
        <w:t xml:space="preserve">. Symptoms improved (change in </w:t>
      </w:r>
      <w:proofErr w:type="spellStart"/>
      <w:r>
        <w:rPr>
          <w:szCs w:val="24"/>
        </w:rPr>
        <w:t>Osserman</w:t>
      </w:r>
      <w:proofErr w:type="spellEnd"/>
      <w:r>
        <w:rPr>
          <w:szCs w:val="24"/>
        </w:rPr>
        <w:t xml:space="preserve"> grade) following surgery and treatment in both the </w:t>
      </w:r>
      <w:proofErr w:type="spellStart"/>
      <w:r>
        <w:rPr>
          <w:szCs w:val="24"/>
        </w:rPr>
        <w:t>IVIg</w:t>
      </w:r>
      <w:proofErr w:type="spellEnd"/>
      <w:r>
        <w:rPr>
          <w:szCs w:val="24"/>
        </w:rPr>
        <w:t xml:space="preserve"> and PE groups with two out of nine patients in each group improving by two </w:t>
      </w:r>
      <w:proofErr w:type="spellStart"/>
      <w:r>
        <w:rPr>
          <w:szCs w:val="24"/>
        </w:rPr>
        <w:t>Osserman</w:t>
      </w:r>
      <w:proofErr w:type="spellEnd"/>
      <w:r>
        <w:rPr>
          <w:szCs w:val="24"/>
        </w:rPr>
        <w:t xml:space="preserve"> grades. However, it is likely that the </w:t>
      </w:r>
      <w:proofErr w:type="spellStart"/>
      <w:r>
        <w:rPr>
          <w:szCs w:val="24"/>
        </w:rPr>
        <w:t>thymectomy</w:t>
      </w:r>
      <w:proofErr w:type="spellEnd"/>
      <w:r>
        <w:rPr>
          <w:szCs w:val="24"/>
        </w:rPr>
        <w:t xml:space="preserve"> contributed to the improved status.</w:t>
      </w:r>
    </w:p>
    <w:p w14:paraId="37529EE0" w14:textId="1CF3287F" w:rsidR="00BA6645" w:rsidRDefault="00BA6645" w:rsidP="000031DC">
      <w:pPr>
        <w:tabs>
          <w:tab w:val="left" w:pos="720"/>
          <w:tab w:val="left" w:pos="1140"/>
        </w:tabs>
        <w:spacing w:before="240"/>
        <w:rPr>
          <w:szCs w:val="24"/>
        </w:rPr>
      </w:pPr>
      <w:r>
        <w:rPr>
          <w:szCs w:val="24"/>
        </w:rPr>
        <w:t xml:space="preserve">In </w:t>
      </w:r>
      <w:proofErr w:type="spellStart"/>
      <w:r w:rsidR="008907A3" w:rsidRPr="008907A3">
        <w:rPr>
          <w:szCs w:val="24"/>
        </w:rPr>
        <w:t>Alipour-Faz</w:t>
      </w:r>
      <w:proofErr w:type="spellEnd"/>
      <w:r w:rsidR="008907A3" w:rsidRPr="008907A3">
        <w:rPr>
          <w:szCs w:val="24"/>
        </w:rPr>
        <w:t xml:space="preserve"> et al. 2017</w:t>
      </w:r>
      <w:r>
        <w:rPr>
          <w:szCs w:val="24"/>
        </w:rPr>
        <w:t>, p</w:t>
      </w:r>
      <w:r w:rsidRPr="003E4278">
        <w:rPr>
          <w:szCs w:val="24"/>
        </w:rPr>
        <w:t xml:space="preserve">atients had a shorter intubation period on average and fewer required intubation when randomised to </w:t>
      </w:r>
      <w:proofErr w:type="spellStart"/>
      <w:r w:rsidRPr="003E4278">
        <w:rPr>
          <w:szCs w:val="24"/>
        </w:rPr>
        <w:t>IVIg</w:t>
      </w:r>
      <w:proofErr w:type="spellEnd"/>
      <w:r w:rsidRPr="003E4278">
        <w:rPr>
          <w:szCs w:val="24"/>
        </w:rPr>
        <w:t xml:space="preserve"> compared to PE</w:t>
      </w:r>
      <w:r>
        <w:rPr>
          <w:szCs w:val="24"/>
        </w:rPr>
        <w:t>, however the number of patients was very small (12 in each group).</w:t>
      </w:r>
    </w:p>
    <w:p w14:paraId="2D66B307" w14:textId="45EF82ED" w:rsidR="00BA6645" w:rsidRDefault="00BA6645" w:rsidP="000031DC">
      <w:pPr>
        <w:tabs>
          <w:tab w:val="left" w:pos="720"/>
          <w:tab w:val="left" w:pos="1140"/>
        </w:tabs>
        <w:spacing w:before="240"/>
        <w:rPr>
          <w:szCs w:val="24"/>
        </w:rPr>
      </w:pPr>
      <w:r>
        <w:rPr>
          <w:szCs w:val="24"/>
        </w:rPr>
        <w:t xml:space="preserve">Neither studies reported on mortality rates, rate of remission or time to relapse. </w:t>
      </w:r>
      <w:proofErr w:type="gramStart"/>
      <w:r w:rsidRPr="003E4278">
        <w:rPr>
          <w:szCs w:val="24"/>
        </w:rPr>
        <w:t>Overall</w:t>
      </w:r>
      <w:proofErr w:type="gramEnd"/>
      <w:r w:rsidRPr="003E4278">
        <w:rPr>
          <w:szCs w:val="24"/>
        </w:rPr>
        <w:t xml:space="preserve"> there was no strong evidence favouring </w:t>
      </w:r>
      <w:proofErr w:type="spellStart"/>
      <w:r w:rsidRPr="003E4278">
        <w:rPr>
          <w:szCs w:val="24"/>
        </w:rPr>
        <w:t>IVIg</w:t>
      </w:r>
      <w:proofErr w:type="spellEnd"/>
      <w:r w:rsidRPr="003E4278">
        <w:rPr>
          <w:szCs w:val="24"/>
        </w:rPr>
        <w:t xml:space="preserve"> or PE in patients preparing for surgery</w:t>
      </w:r>
      <w:r>
        <w:rPr>
          <w:szCs w:val="24"/>
        </w:rPr>
        <w:t>.</w:t>
      </w:r>
    </w:p>
    <w:p w14:paraId="01A2F678" w14:textId="2E0396F0" w:rsidR="00BA6645" w:rsidRPr="00792F41" w:rsidRDefault="00BA6645" w:rsidP="000031DC">
      <w:pPr>
        <w:spacing w:before="240"/>
        <w:rPr>
          <w:szCs w:val="24"/>
          <w:u w:val="single"/>
        </w:rPr>
      </w:pPr>
      <w:r w:rsidRPr="00792F41">
        <w:rPr>
          <w:szCs w:val="24"/>
          <w:u w:val="single"/>
        </w:rPr>
        <w:t>Indication 3: Maintenance therapy</w:t>
      </w:r>
    </w:p>
    <w:p w14:paraId="63D61CA7" w14:textId="30177622" w:rsidR="00BA6645" w:rsidRDefault="00BA6645" w:rsidP="00BA6645">
      <w:pPr>
        <w:tabs>
          <w:tab w:val="left" w:pos="720"/>
          <w:tab w:val="left" w:pos="1140"/>
        </w:tabs>
        <w:rPr>
          <w:szCs w:val="24"/>
        </w:rPr>
      </w:pPr>
      <w:r>
        <w:rPr>
          <w:szCs w:val="24"/>
        </w:rPr>
        <w:t xml:space="preserve">There was insufficient data comparing </w:t>
      </w:r>
      <w:proofErr w:type="spellStart"/>
      <w:r>
        <w:rPr>
          <w:szCs w:val="24"/>
        </w:rPr>
        <w:t>IVIg</w:t>
      </w:r>
      <w:proofErr w:type="spellEnd"/>
      <w:r>
        <w:rPr>
          <w:szCs w:val="24"/>
        </w:rPr>
        <w:t xml:space="preserve"> with standard maintenance therapies other than PE. </w:t>
      </w:r>
      <w:r w:rsidR="00BC6B81">
        <w:rPr>
          <w:szCs w:val="24"/>
        </w:rPr>
        <w:t>F</w:t>
      </w:r>
      <w:r>
        <w:rPr>
          <w:szCs w:val="24"/>
        </w:rPr>
        <w:t>urther data on the changes in symptoms (QMGS) from ongoing trials</w:t>
      </w:r>
      <w:r w:rsidR="00BC6B81">
        <w:rPr>
          <w:szCs w:val="24"/>
        </w:rPr>
        <w:t xml:space="preserve"> (</w:t>
      </w:r>
      <w:r w:rsidR="00BC6B81" w:rsidRPr="00AF4EAA">
        <w:t>NCT02473952</w:t>
      </w:r>
      <w:r w:rsidR="00BC6B81">
        <w:t>)</w:t>
      </w:r>
      <w:r>
        <w:rPr>
          <w:szCs w:val="24"/>
        </w:rPr>
        <w:t xml:space="preserve"> </w:t>
      </w:r>
      <w:r w:rsidR="00BC6B81">
        <w:rPr>
          <w:szCs w:val="24"/>
        </w:rPr>
        <w:t xml:space="preserve">comparing </w:t>
      </w:r>
      <w:proofErr w:type="spellStart"/>
      <w:r w:rsidR="00BC6B81">
        <w:rPr>
          <w:szCs w:val="24"/>
        </w:rPr>
        <w:t>IVIg</w:t>
      </w:r>
      <w:proofErr w:type="spellEnd"/>
      <w:r w:rsidR="00BC6B81">
        <w:rPr>
          <w:szCs w:val="24"/>
        </w:rPr>
        <w:t xml:space="preserve"> and placebo </w:t>
      </w:r>
      <w:r w:rsidR="004E4BF6">
        <w:rPr>
          <w:szCs w:val="24"/>
        </w:rPr>
        <w:t xml:space="preserve">may </w:t>
      </w:r>
      <w:r w:rsidR="00BC6B81">
        <w:rPr>
          <w:szCs w:val="24"/>
        </w:rPr>
        <w:t xml:space="preserve">be of interest. These outcomes </w:t>
      </w:r>
      <w:proofErr w:type="gramStart"/>
      <w:r w:rsidR="00BC6B81">
        <w:rPr>
          <w:szCs w:val="24"/>
        </w:rPr>
        <w:t xml:space="preserve">were </w:t>
      </w:r>
      <w:r w:rsidR="004E4BF6">
        <w:rPr>
          <w:szCs w:val="24"/>
        </w:rPr>
        <w:t>not yet published</w:t>
      </w:r>
      <w:proofErr w:type="gramEnd"/>
      <w:r w:rsidR="00BC6B81">
        <w:rPr>
          <w:szCs w:val="24"/>
        </w:rPr>
        <w:t xml:space="preserve"> during the preparation of the DCAR. </w:t>
      </w:r>
      <w:r w:rsidR="00BC6B81">
        <w:t xml:space="preserve"> </w:t>
      </w:r>
      <w:r>
        <w:rPr>
          <w:szCs w:val="24"/>
        </w:rPr>
        <w:t>.</w:t>
      </w:r>
    </w:p>
    <w:p w14:paraId="742F2EBA" w14:textId="72B02FF1" w:rsidR="00BA6645" w:rsidRDefault="00BA6645" w:rsidP="000031DC">
      <w:pPr>
        <w:tabs>
          <w:tab w:val="left" w:pos="720"/>
          <w:tab w:val="left" w:pos="1140"/>
        </w:tabs>
        <w:spacing w:before="240"/>
        <w:rPr>
          <w:szCs w:val="24"/>
        </w:rPr>
      </w:pPr>
      <w:r>
        <w:rPr>
          <w:szCs w:val="24"/>
        </w:rPr>
        <w:t xml:space="preserve">One RCT and one retrospective cohort study compared the number of infections between patients receiving </w:t>
      </w:r>
      <w:proofErr w:type="spellStart"/>
      <w:r>
        <w:rPr>
          <w:szCs w:val="24"/>
        </w:rPr>
        <w:t>IVIg</w:t>
      </w:r>
      <w:proofErr w:type="spellEnd"/>
      <w:r>
        <w:rPr>
          <w:szCs w:val="24"/>
        </w:rPr>
        <w:t xml:space="preserve"> or PE for MG maintenance therapy. </w:t>
      </w:r>
      <w:proofErr w:type="spellStart"/>
      <w:r w:rsidR="008907A3" w:rsidRPr="008907A3">
        <w:rPr>
          <w:szCs w:val="24"/>
        </w:rPr>
        <w:t>Rønager</w:t>
      </w:r>
      <w:proofErr w:type="spellEnd"/>
      <w:r w:rsidR="008907A3" w:rsidRPr="008907A3">
        <w:rPr>
          <w:szCs w:val="24"/>
        </w:rPr>
        <w:t xml:space="preserve"> et al. 2001</w:t>
      </w:r>
      <w:r w:rsidR="00C81AE8">
        <w:rPr>
          <w:szCs w:val="24"/>
        </w:rPr>
        <w:t xml:space="preserve"> </w:t>
      </w:r>
      <w:r>
        <w:rPr>
          <w:szCs w:val="24"/>
        </w:rPr>
        <w:t xml:space="preserve">used a crossover design where all 12 patients received </w:t>
      </w:r>
      <w:proofErr w:type="spellStart"/>
      <w:r>
        <w:rPr>
          <w:szCs w:val="24"/>
        </w:rPr>
        <w:t>IVIg</w:t>
      </w:r>
      <w:proofErr w:type="spellEnd"/>
      <w:r>
        <w:rPr>
          <w:szCs w:val="24"/>
        </w:rPr>
        <w:t xml:space="preserve"> and PE separated by an observation period. One case of septicaemia </w:t>
      </w:r>
      <w:proofErr w:type="gramStart"/>
      <w:r>
        <w:rPr>
          <w:szCs w:val="24"/>
        </w:rPr>
        <w:t>was reported</w:t>
      </w:r>
      <w:proofErr w:type="gramEnd"/>
      <w:r>
        <w:rPr>
          <w:szCs w:val="24"/>
        </w:rPr>
        <w:t xml:space="preserve"> in a patient undergoing PE. There was no difference in proportions of systemic infection between groups in the retrospective cohort study.</w:t>
      </w:r>
    </w:p>
    <w:p w14:paraId="675B7E7D" w14:textId="675CA265" w:rsidR="00BA6645" w:rsidRPr="007D1918" w:rsidRDefault="00BA6645" w:rsidP="00D0027F">
      <w:pPr>
        <w:spacing w:before="240"/>
      </w:pPr>
      <w:r>
        <w:rPr>
          <w:szCs w:val="24"/>
        </w:rPr>
        <w:t xml:space="preserve">No studies used the MGC tool for assessing symptom improvement for patients, but three RCTs used the QMGS tool. </w:t>
      </w:r>
      <w:r w:rsidRPr="007D1918">
        <w:t xml:space="preserve">Patients on </w:t>
      </w:r>
      <w:proofErr w:type="spellStart"/>
      <w:r w:rsidRPr="007D1918">
        <w:t>IVIg</w:t>
      </w:r>
      <w:proofErr w:type="spellEnd"/>
      <w:r w:rsidRPr="007D1918">
        <w:t xml:space="preserve"> and PE had similar improvement in symptoms at </w:t>
      </w:r>
      <w:r>
        <w:t>4 weeks</w:t>
      </w:r>
      <w:r>
        <w:rPr>
          <w:rStyle w:val="FootnoteReference"/>
        </w:rPr>
        <w:footnoteReference w:id="7"/>
      </w:r>
      <w:r w:rsidRPr="007D1918">
        <w:t xml:space="preserve"> and 16 weeks</w:t>
      </w:r>
      <w:r>
        <w:rPr>
          <w:rStyle w:val="FootnoteReference"/>
        </w:rPr>
        <w:footnoteReference w:id="8"/>
      </w:r>
      <w:r>
        <w:t xml:space="preserve"> </w:t>
      </w:r>
      <w:r w:rsidRPr="007D1918">
        <w:t xml:space="preserve">from start of treatment. Only a small degree of improvement appeared to </w:t>
      </w:r>
      <w:proofErr w:type="gramStart"/>
      <w:r w:rsidRPr="007D1918">
        <w:t>be sustained</w:t>
      </w:r>
      <w:proofErr w:type="gramEnd"/>
      <w:r w:rsidRPr="007D1918">
        <w:t xml:space="preserve"> for up to 16 weeks for either </w:t>
      </w:r>
      <w:proofErr w:type="spellStart"/>
      <w:r w:rsidRPr="007D1918">
        <w:t>IVIg</w:t>
      </w:r>
      <w:proofErr w:type="spellEnd"/>
      <w:r w:rsidRPr="007D1918">
        <w:t xml:space="preserve"> or PE. </w:t>
      </w:r>
      <w:proofErr w:type="gramStart"/>
      <w:r w:rsidRPr="007D1918">
        <w:t>Longer term</w:t>
      </w:r>
      <w:proofErr w:type="gramEnd"/>
      <w:r w:rsidRPr="007D1918">
        <w:t xml:space="preserve"> comparative studies may be more informative on the degree of sustained symptom improvement. The degree of improvement </w:t>
      </w:r>
      <w:proofErr w:type="gramStart"/>
      <w:r w:rsidRPr="007D1918">
        <w:t>may be influenced</w:t>
      </w:r>
      <w:proofErr w:type="gramEnd"/>
      <w:r w:rsidRPr="007D1918">
        <w:t xml:space="preserve"> by the severity of symptoms at baseline.</w:t>
      </w:r>
    </w:p>
    <w:p w14:paraId="5DF6307A" w14:textId="5D5134D5" w:rsidR="00BA6645" w:rsidRDefault="00BA6645" w:rsidP="000031DC">
      <w:pPr>
        <w:tabs>
          <w:tab w:val="left" w:pos="720"/>
          <w:tab w:val="left" w:pos="1140"/>
        </w:tabs>
        <w:spacing w:before="240"/>
        <w:rPr>
          <w:szCs w:val="24"/>
        </w:rPr>
      </w:pPr>
      <w:r>
        <w:rPr>
          <w:szCs w:val="24"/>
        </w:rPr>
        <w:t>Quality of life (</w:t>
      </w:r>
      <w:proofErr w:type="spellStart"/>
      <w:r>
        <w:rPr>
          <w:szCs w:val="24"/>
        </w:rPr>
        <w:t>QoL</w:t>
      </w:r>
      <w:proofErr w:type="spellEnd"/>
      <w:r>
        <w:rPr>
          <w:szCs w:val="24"/>
        </w:rPr>
        <w:t xml:space="preserve">) was </w:t>
      </w:r>
      <w:r w:rsidR="002F1721">
        <w:rPr>
          <w:szCs w:val="24"/>
        </w:rPr>
        <w:t xml:space="preserve">reported </w:t>
      </w:r>
      <w:r>
        <w:rPr>
          <w:szCs w:val="24"/>
        </w:rPr>
        <w:t>in an RCT</w:t>
      </w:r>
      <w:r w:rsidR="002F1721">
        <w:rPr>
          <w:szCs w:val="24"/>
        </w:rPr>
        <w:t xml:space="preserve"> (</w:t>
      </w:r>
      <w:r w:rsidR="002F1721" w:rsidRPr="002F1721">
        <w:rPr>
          <w:szCs w:val="24"/>
        </w:rPr>
        <w:t>Barnett et al. 2013</w:t>
      </w:r>
      <w:r w:rsidR="002F1721">
        <w:rPr>
          <w:szCs w:val="24"/>
        </w:rPr>
        <w:t>)</w:t>
      </w:r>
      <w:r>
        <w:rPr>
          <w:szCs w:val="24"/>
        </w:rPr>
        <w:t xml:space="preserve"> and there was no statistically significant difference found in change of </w:t>
      </w:r>
      <w:proofErr w:type="spellStart"/>
      <w:r>
        <w:rPr>
          <w:szCs w:val="24"/>
        </w:rPr>
        <w:t>QoL</w:t>
      </w:r>
      <w:proofErr w:type="spellEnd"/>
      <w:r>
        <w:rPr>
          <w:szCs w:val="24"/>
        </w:rPr>
        <w:t xml:space="preserve"> between </w:t>
      </w:r>
      <w:proofErr w:type="spellStart"/>
      <w:r>
        <w:rPr>
          <w:szCs w:val="24"/>
        </w:rPr>
        <w:t>IVIg</w:t>
      </w:r>
      <w:proofErr w:type="spellEnd"/>
      <w:r>
        <w:rPr>
          <w:szCs w:val="24"/>
        </w:rPr>
        <w:t xml:space="preserve"> and PE treatment groups at 14, 21, or 28 days from start of treatment. </w:t>
      </w:r>
      <w:proofErr w:type="spellStart"/>
      <w:r>
        <w:rPr>
          <w:szCs w:val="24"/>
        </w:rPr>
        <w:t>QoL</w:t>
      </w:r>
      <w:proofErr w:type="spellEnd"/>
      <w:r>
        <w:rPr>
          <w:szCs w:val="24"/>
        </w:rPr>
        <w:t xml:space="preserve"> increased from baseline at all </w:t>
      </w:r>
      <w:r w:rsidR="00E62004">
        <w:rPr>
          <w:szCs w:val="24"/>
        </w:rPr>
        <w:t>time-</w:t>
      </w:r>
      <w:r>
        <w:rPr>
          <w:szCs w:val="24"/>
        </w:rPr>
        <w:t>points but appeared to plateau in the PE group.</w:t>
      </w:r>
    </w:p>
    <w:p w14:paraId="6D7491B1" w14:textId="37ABF294" w:rsidR="00BA6645" w:rsidRDefault="00BA6645" w:rsidP="000031DC">
      <w:pPr>
        <w:tabs>
          <w:tab w:val="left" w:pos="720"/>
          <w:tab w:val="left" w:pos="1140"/>
        </w:tabs>
        <w:spacing w:before="240" w:after="240"/>
        <w:rPr>
          <w:szCs w:val="24"/>
        </w:rPr>
      </w:pPr>
      <w:r>
        <w:rPr>
          <w:szCs w:val="24"/>
        </w:rPr>
        <w:t>None of the included studies reported on disease stability or time to relapse.</w:t>
      </w:r>
    </w:p>
    <w:p w14:paraId="02D925B9" w14:textId="29BB069D" w:rsidR="00BA6645" w:rsidRPr="00BA6645" w:rsidRDefault="00BA6645" w:rsidP="00BA6645">
      <w:pPr>
        <w:tabs>
          <w:tab w:val="left" w:pos="720"/>
          <w:tab w:val="left" w:pos="1140"/>
        </w:tabs>
        <w:spacing w:after="120"/>
        <w:rPr>
          <w:b/>
          <w:szCs w:val="24"/>
        </w:rPr>
      </w:pPr>
      <w:r>
        <w:rPr>
          <w:b/>
          <w:szCs w:val="24"/>
        </w:rPr>
        <w:t>Clinical c</w:t>
      </w:r>
      <w:r w:rsidRPr="00F37B9C">
        <w:rPr>
          <w:b/>
          <w:szCs w:val="24"/>
        </w:rPr>
        <w:t>laim</w:t>
      </w:r>
    </w:p>
    <w:p w14:paraId="211D6F35" w14:textId="4C4F78C0" w:rsidR="00BA6645" w:rsidRDefault="00BA6645" w:rsidP="000031DC">
      <w:pPr>
        <w:tabs>
          <w:tab w:val="left" w:pos="720"/>
          <w:tab w:val="left" w:pos="1140"/>
        </w:tabs>
        <w:spacing w:after="240"/>
        <w:rPr>
          <w:szCs w:val="24"/>
        </w:rPr>
      </w:pPr>
      <w:bookmarkStart w:id="14" w:name="_GoBack"/>
      <w:bookmarkEnd w:id="14"/>
      <w:r w:rsidRPr="00180D2B">
        <w:rPr>
          <w:szCs w:val="24"/>
        </w:rPr>
        <w:t xml:space="preserve">Compared to PE, </w:t>
      </w:r>
      <w:proofErr w:type="spellStart"/>
      <w:r w:rsidRPr="00180D2B">
        <w:rPr>
          <w:szCs w:val="24"/>
        </w:rPr>
        <w:t>IVIg</w:t>
      </w:r>
      <w:proofErr w:type="spellEnd"/>
      <w:r w:rsidRPr="00180D2B">
        <w:rPr>
          <w:szCs w:val="24"/>
        </w:rPr>
        <w:t xml:space="preserve"> </w:t>
      </w:r>
      <w:proofErr w:type="gramStart"/>
      <w:r w:rsidRPr="00180D2B">
        <w:rPr>
          <w:szCs w:val="24"/>
        </w:rPr>
        <w:t>was found</w:t>
      </w:r>
      <w:proofErr w:type="gramEnd"/>
      <w:r w:rsidRPr="00180D2B">
        <w:rPr>
          <w:szCs w:val="24"/>
        </w:rPr>
        <w:t xml:space="preserve"> to have non-inferior effectiveness for MG patients given these maintenance therapies.</w:t>
      </w:r>
      <w:bookmarkStart w:id="15" w:name="_Ref12884166"/>
      <w:bookmarkStart w:id="16" w:name="_Toc23769535"/>
    </w:p>
    <w:p w14:paraId="01400705" w14:textId="77777777" w:rsidR="00BA6645" w:rsidRPr="006B3038" w:rsidRDefault="00BA6645" w:rsidP="006B3038">
      <w:pPr>
        <w:rPr>
          <w:rFonts w:ascii="Arial Narrow" w:hAnsi="Arial Narrow"/>
          <w:b/>
          <w:sz w:val="20"/>
        </w:rPr>
      </w:pPr>
      <w:r w:rsidRPr="006B3038">
        <w:rPr>
          <w:rFonts w:ascii="Arial Narrow" w:hAnsi="Arial Narrow"/>
          <w:b/>
          <w:sz w:val="20"/>
        </w:rPr>
        <w:lastRenderedPageBreak/>
        <w:t>Table</w:t>
      </w:r>
      <w:bookmarkEnd w:id="15"/>
      <w:r w:rsidRPr="006B3038">
        <w:rPr>
          <w:rFonts w:ascii="Arial Narrow" w:hAnsi="Arial Narrow"/>
          <w:b/>
          <w:sz w:val="20"/>
        </w:rPr>
        <w:t xml:space="preserve"> </w:t>
      </w:r>
      <w:proofErr w:type="gramStart"/>
      <w:r w:rsidRPr="006B3038">
        <w:rPr>
          <w:rFonts w:ascii="Arial Narrow" w:hAnsi="Arial Narrow"/>
          <w:b/>
          <w:sz w:val="20"/>
        </w:rPr>
        <w:t>5</w:t>
      </w:r>
      <w:proofErr w:type="gramEnd"/>
      <w:r w:rsidRPr="006B3038">
        <w:rPr>
          <w:rFonts w:ascii="Arial Narrow" w:hAnsi="Arial Narrow"/>
          <w:b/>
          <w:sz w:val="20"/>
        </w:rPr>
        <w:tab/>
        <w:t xml:space="preserve">Balance of clinical benefits and harms of </w:t>
      </w:r>
      <w:proofErr w:type="spellStart"/>
      <w:r w:rsidRPr="006B3038">
        <w:rPr>
          <w:rFonts w:ascii="Arial Narrow" w:hAnsi="Arial Narrow"/>
          <w:b/>
          <w:sz w:val="20"/>
          <w:u w:val="single"/>
        </w:rPr>
        <w:t>IVIg</w:t>
      </w:r>
      <w:proofErr w:type="spellEnd"/>
      <w:r w:rsidRPr="006B3038">
        <w:rPr>
          <w:rFonts w:ascii="Arial Narrow" w:hAnsi="Arial Narrow"/>
          <w:b/>
          <w:sz w:val="20"/>
          <w:u w:val="single"/>
        </w:rPr>
        <w:t xml:space="preserve"> relative to PE</w:t>
      </w:r>
      <w:r w:rsidRPr="006B3038">
        <w:rPr>
          <w:rFonts w:ascii="Arial Narrow" w:hAnsi="Arial Narrow"/>
          <w:b/>
          <w:sz w:val="20"/>
        </w:rPr>
        <w:t xml:space="preserve"> in MG patients in or at risk of MG crisis (</w:t>
      </w:r>
      <w:r w:rsidRPr="006B3038">
        <w:rPr>
          <w:rFonts w:ascii="Arial Narrow" w:hAnsi="Arial Narrow"/>
          <w:b/>
          <w:i/>
          <w:sz w:val="20"/>
        </w:rPr>
        <w:t>Criteria V3</w:t>
      </w:r>
      <w:r w:rsidRPr="006B3038">
        <w:rPr>
          <w:rFonts w:ascii="Arial Narrow" w:hAnsi="Arial Narrow"/>
          <w:b/>
          <w:sz w:val="20"/>
        </w:rPr>
        <w:t xml:space="preserve"> Indication 1), as measured by the </w:t>
      </w:r>
      <w:r w:rsidRPr="006B3038">
        <w:rPr>
          <w:rFonts w:ascii="Arial Narrow" w:hAnsi="Arial Narrow"/>
          <w:b/>
          <w:sz w:val="20"/>
          <w:u w:val="single"/>
        </w:rPr>
        <w:t>critical</w:t>
      </w:r>
      <w:r w:rsidRPr="006B3038">
        <w:rPr>
          <w:rFonts w:ascii="Arial Narrow" w:hAnsi="Arial Narrow"/>
          <w:b/>
          <w:sz w:val="20"/>
        </w:rPr>
        <w:t xml:space="preserve"> patient relevant outcomes in the key studies</w:t>
      </w:r>
      <w:bookmarkEnd w:id="16"/>
      <w:r w:rsidRPr="006B3038">
        <w:rPr>
          <w:rFonts w:ascii="Arial Narrow" w:hAnsi="Arial Narrow"/>
          <w:b/>
          <w:sz w:val="20"/>
        </w:rPr>
        <w:t xml:space="preserve"> </w:t>
      </w:r>
    </w:p>
    <w:tbl>
      <w:tblPr>
        <w:tblW w:w="5028" w:type="pct"/>
        <w:tblLook w:val="04A0" w:firstRow="1" w:lastRow="0" w:firstColumn="1" w:lastColumn="0" w:noHBand="0" w:noVBand="1"/>
        <w:tblCaption w:val="Table 46 Balance of clinical benefits and harms of IVIg relative to PE in MG patients in or at risk of MG crisis (NBA Criteria V3 Indication 1), as measured by the critical patient relevant outcomes in the key studies "/>
        <w:tblDescription w:val="Summary of GRADE assessment for thee critical safety and effectiveness outcomes in patients receiving IVIg compared with those receiving PE (Indication 1)."/>
      </w:tblPr>
      <w:tblGrid>
        <w:gridCol w:w="1558"/>
        <w:gridCol w:w="1189"/>
        <w:gridCol w:w="1831"/>
        <w:gridCol w:w="1099"/>
        <w:gridCol w:w="3389"/>
      </w:tblGrid>
      <w:tr w:rsidR="00BA6645" w:rsidRPr="00C36B85" w14:paraId="0A6AFC1A" w14:textId="77777777" w:rsidTr="000528B8">
        <w:trPr>
          <w:trHeight w:val="518"/>
          <w:tblHeader/>
        </w:trPr>
        <w:tc>
          <w:tcPr>
            <w:tcW w:w="859" w:type="pct"/>
            <w:tcBorders>
              <w:top w:val="single" w:sz="4" w:space="0" w:color="auto"/>
              <w:left w:val="single" w:sz="4" w:space="0" w:color="auto"/>
              <w:right w:val="single" w:sz="4" w:space="0" w:color="auto"/>
            </w:tcBorders>
            <w:shd w:val="clear" w:color="auto" w:fill="EEECE1"/>
          </w:tcPr>
          <w:p w14:paraId="1059F83A"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Outcome</w:t>
            </w:r>
          </w:p>
        </w:tc>
        <w:tc>
          <w:tcPr>
            <w:tcW w:w="656" w:type="pct"/>
            <w:tcBorders>
              <w:top w:val="single" w:sz="4" w:space="0" w:color="auto"/>
              <w:right w:val="single" w:sz="4" w:space="0" w:color="auto"/>
            </w:tcBorders>
            <w:shd w:val="clear" w:color="auto" w:fill="EEECE1"/>
          </w:tcPr>
          <w:p w14:paraId="66947F64"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Participants</w:t>
            </w:r>
          </w:p>
          <w:p w14:paraId="69E81F1E" w14:textId="77777777" w:rsidR="00BA6645" w:rsidRPr="00C36B85" w:rsidRDefault="00BA6645" w:rsidP="00BA6645">
            <w:pPr>
              <w:spacing w:before="40" w:after="40"/>
              <w:rPr>
                <w:rFonts w:ascii="Arial Narrow" w:hAnsi="Arial Narrow" w:cs="Tahoma"/>
                <w:b/>
                <w:sz w:val="20"/>
                <w:lang w:eastAsia="en-US"/>
              </w:rPr>
            </w:pPr>
            <w:r w:rsidRPr="00C36B85">
              <w:rPr>
                <w:rFonts w:ascii="Arial Narrow" w:hAnsi="Arial Narrow" w:cs="Tahoma"/>
                <w:b/>
                <w:sz w:val="20"/>
                <w:lang w:eastAsia="en-US"/>
              </w:rPr>
              <w:t>Studies</w:t>
            </w:r>
          </w:p>
        </w:tc>
        <w:tc>
          <w:tcPr>
            <w:tcW w:w="1010" w:type="pct"/>
            <w:tcBorders>
              <w:top w:val="single" w:sz="4" w:space="0" w:color="auto"/>
              <w:left w:val="single" w:sz="4" w:space="0" w:color="auto"/>
              <w:right w:val="single" w:sz="4" w:space="0" w:color="auto"/>
            </w:tcBorders>
            <w:shd w:val="clear" w:color="auto" w:fill="EEECE1"/>
          </w:tcPr>
          <w:p w14:paraId="08FEA6C1"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 xml:space="preserve">Effect </w:t>
            </w:r>
          </w:p>
        </w:tc>
        <w:tc>
          <w:tcPr>
            <w:tcW w:w="606" w:type="pct"/>
            <w:tcBorders>
              <w:top w:val="single" w:sz="4" w:space="0" w:color="auto"/>
              <w:left w:val="single" w:sz="4" w:space="0" w:color="auto"/>
              <w:bottom w:val="single" w:sz="4" w:space="0" w:color="auto"/>
              <w:right w:val="single" w:sz="4" w:space="0" w:color="auto"/>
            </w:tcBorders>
            <w:shd w:val="clear" w:color="auto" w:fill="EEECE1"/>
          </w:tcPr>
          <w:p w14:paraId="2C500053"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 xml:space="preserve">GRADE </w:t>
            </w:r>
          </w:p>
        </w:tc>
        <w:tc>
          <w:tcPr>
            <w:tcW w:w="1869" w:type="pct"/>
            <w:tcBorders>
              <w:top w:val="single" w:sz="4" w:space="0" w:color="auto"/>
              <w:left w:val="single" w:sz="4" w:space="0" w:color="auto"/>
              <w:bottom w:val="single" w:sz="4" w:space="0" w:color="auto"/>
              <w:right w:val="single" w:sz="4" w:space="0" w:color="auto"/>
            </w:tcBorders>
            <w:shd w:val="clear" w:color="auto" w:fill="EEECE1"/>
          </w:tcPr>
          <w:p w14:paraId="14292B33"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Comments</w:t>
            </w:r>
          </w:p>
        </w:tc>
      </w:tr>
      <w:tr w:rsidR="00BA6645" w:rsidRPr="00C36B85" w14:paraId="159F5A3A" w14:textId="77777777" w:rsidTr="000528B8">
        <w:tc>
          <w:tcPr>
            <w:tcW w:w="5000" w:type="pct"/>
            <w:gridSpan w:val="5"/>
            <w:tcBorders>
              <w:top w:val="single" w:sz="4" w:space="0" w:color="auto"/>
              <w:left w:val="single" w:sz="4" w:space="0" w:color="auto"/>
              <w:bottom w:val="single" w:sz="4" w:space="0" w:color="auto"/>
              <w:right w:val="single" w:sz="4" w:space="0" w:color="auto"/>
            </w:tcBorders>
          </w:tcPr>
          <w:p w14:paraId="45562A3E" w14:textId="77777777" w:rsidR="00BA6645" w:rsidRPr="00C36B85" w:rsidRDefault="00BA6645" w:rsidP="00BA6645">
            <w:pPr>
              <w:spacing w:before="40" w:after="40"/>
              <w:rPr>
                <w:rFonts w:ascii="Arial Narrow" w:hAnsi="Arial Narrow" w:cs="Tahoma"/>
                <w:b/>
                <w:sz w:val="18"/>
                <w:szCs w:val="18"/>
                <w:lang w:eastAsia="en-US"/>
              </w:rPr>
            </w:pPr>
            <w:r w:rsidRPr="00C36B85">
              <w:rPr>
                <w:rFonts w:ascii="Arial Narrow" w:hAnsi="Arial Narrow" w:cs="Tahoma"/>
                <w:b/>
                <w:sz w:val="18"/>
                <w:szCs w:val="18"/>
                <w:lang w:eastAsia="en-US"/>
              </w:rPr>
              <w:t>Safety</w:t>
            </w:r>
          </w:p>
        </w:tc>
      </w:tr>
      <w:tr w:rsidR="00BA6645" w:rsidRPr="00C36B85" w14:paraId="778081DD" w14:textId="77777777" w:rsidTr="000528B8">
        <w:tc>
          <w:tcPr>
            <w:tcW w:w="859" w:type="pct"/>
            <w:tcBorders>
              <w:top w:val="single" w:sz="4" w:space="0" w:color="auto"/>
              <w:left w:val="single" w:sz="4" w:space="0" w:color="auto"/>
              <w:bottom w:val="single" w:sz="4" w:space="0" w:color="auto"/>
              <w:right w:val="single" w:sz="4" w:space="0" w:color="auto"/>
            </w:tcBorders>
          </w:tcPr>
          <w:p w14:paraId="1D552469"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Arial"/>
                <w:sz w:val="18"/>
                <w:szCs w:val="18"/>
              </w:rPr>
              <w:t xml:space="preserve">Adverse events </w:t>
            </w:r>
            <w:r w:rsidRPr="00C36B85">
              <w:rPr>
                <w:rFonts w:ascii="Arial Narrow" w:hAnsi="Arial Narrow" w:cs="Arial"/>
                <w:sz w:val="18"/>
                <w:szCs w:val="18"/>
              </w:rPr>
              <w:br/>
              <w:t>(% patients with an event)</w:t>
            </w:r>
          </w:p>
        </w:tc>
        <w:tc>
          <w:tcPr>
            <w:tcW w:w="656" w:type="pct"/>
            <w:tcBorders>
              <w:top w:val="single" w:sz="4" w:space="0" w:color="auto"/>
              <w:left w:val="single" w:sz="4" w:space="0" w:color="auto"/>
              <w:bottom w:val="single" w:sz="4" w:space="0" w:color="auto"/>
              <w:right w:val="single" w:sz="4" w:space="0" w:color="auto"/>
            </w:tcBorders>
          </w:tcPr>
          <w:p w14:paraId="6662929B"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n=897</w:t>
            </w:r>
          </w:p>
          <w:p w14:paraId="6E9F2291"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 xml:space="preserve">k=1 RCT, 5 Ret </w:t>
            </w:r>
            <w:proofErr w:type="spellStart"/>
            <w:r w:rsidRPr="00C36B85">
              <w:rPr>
                <w:rFonts w:ascii="Arial Narrow" w:hAnsi="Arial Narrow" w:cs="Tahoma"/>
                <w:sz w:val="18"/>
                <w:szCs w:val="18"/>
                <w:lang w:eastAsia="en-US"/>
              </w:rPr>
              <w:t>CoH</w:t>
            </w:r>
            <w:proofErr w:type="spellEnd"/>
          </w:p>
        </w:tc>
        <w:tc>
          <w:tcPr>
            <w:tcW w:w="1010" w:type="pct"/>
            <w:tcBorders>
              <w:top w:val="single" w:sz="4" w:space="0" w:color="auto"/>
              <w:left w:val="single" w:sz="4" w:space="0" w:color="auto"/>
              <w:bottom w:val="single" w:sz="4" w:space="0" w:color="auto"/>
              <w:right w:val="single" w:sz="4" w:space="0" w:color="auto"/>
            </w:tcBorders>
          </w:tcPr>
          <w:p w14:paraId="69FE01D8"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were fewer adverse events associated with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compared to PE</w:t>
            </w:r>
          </w:p>
        </w:tc>
        <w:tc>
          <w:tcPr>
            <w:tcW w:w="606" w:type="pct"/>
            <w:tcBorders>
              <w:top w:val="single" w:sz="4" w:space="0" w:color="auto"/>
              <w:left w:val="single" w:sz="4" w:space="0" w:color="auto"/>
              <w:bottom w:val="single" w:sz="4" w:space="0" w:color="auto"/>
              <w:right w:val="single" w:sz="4" w:space="0" w:color="auto"/>
            </w:tcBorders>
          </w:tcPr>
          <w:p w14:paraId="5099AE55"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32C1DE2D" w14:textId="77777777" w:rsidR="00BA6645" w:rsidRPr="00C36B85" w:rsidRDefault="00BA6645" w:rsidP="00BA6645">
            <w:pPr>
              <w:spacing w:before="40" w:after="40"/>
              <w:jc w:val="both"/>
              <w:rPr>
                <w:rFonts w:ascii="Arial Narrow" w:hAnsi="Arial Narrow" w:cs="Calibri"/>
                <w:sz w:val="18"/>
                <w:szCs w:val="18"/>
                <w:lang w:eastAsia="en-US"/>
              </w:rPr>
            </w:pPr>
            <w:r w:rsidRPr="00C36B85">
              <w:rPr>
                <w:rFonts w:ascii="Arial Narrow" w:hAnsi="Arial Narrow" w:cs="Calibri"/>
                <w:sz w:val="18"/>
                <w:szCs w:val="18"/>
              </w:rPr>
              <w:t>Moderate quality</w:t>
            </w:r>
          </w:p>
        </w:tc>
        <w:tc>
          <w:tcPr>
            <w:tcW w:w="1869" w:type="pct"/>
            <w:tcBorders>
              <w:top w:val="single" w:sz="4" w:space="0" w:color="auto"/>
              <w:left w:val="single" w:sz="4" w:space="0" w:color="auto"/>
              <w:bottom w:val="single" w:sz="4" w:space="0" w:color="auto"/>
              <w:right w:val="single" w:sz="4" w:space="0" w:color="auto"/>
            </w:tcBorders>
          </w:tcPr>
          <w:p w14:paraId="52754262" w14:textId="77777777" w:rsidR="00BA6645" w:rsidRPr="00C36B85" w:rsidRDefault="00BA6645" w:rsidP="00BA6645">
            <w:pPr>
              <w:spacing w:before="40" w:after="40"/>
              <w:rPr>
                <w:rFonts w:ascii="Arial Narrow" w:hAnsi="Arial Narrow" w:cs="Tahoma"/>
                <w:sz w:val="18"/>
                <w:szCs w:val="18"/>
                <w:lang w:eastAsia="en-US"/>
              </w:rPr>
            </w:pPr>
            <w:proofErr w:type="gramStart"/>
            <w:r w:rsidRPr="00C36B85">
              <w:rPr>
                <w:rFonts w:ascii="Arial Narrow" w:hAnsi="Arial Narrow" w:cs="Tahoma"/>
                <w:sz w:val="18"/>
                <w:szCs w:val="18"/>
                <w:lang w:eastAsia="en-US"/>
              </w:rPr>
              <w:t xml:space="preserve">There were fewer AEs overall occurring in patients who received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compared to PE.</w:t>
            </w:r>
            <w:proofErr w:type="gramEnd"/>
            <w:r w:rsidRPr="00C36B85">
              <w:rPr>
                <w:rFonts w:ascii="Arial Narrow" w:hAnsi="Arial Narrow" w:cs="Tahoma"/>
                <w:sz w:val="18"/>
                <w:szCs w:val="18"/>
                <w:lang w:eastAsia="en-US"/>
              </w:rPr>
              <w:t xml:space="preserve"> This result was consistent across studies. Selection bias </w:t>
            </w:r>
            <w:proofErr w:type="gramStart"/>
            <w:r w:rsidRPr="00C36B85">
              <w:rPr>
                <w:rFonts w:ascii="Arial Narrow" w:hAnsi="Arial Narrow" w:cs="Tahoma"/>
                <w:sz w:val="18"/>
                <w:szCs w:val="18"/>
                <w:lang w:eastAsia="en-US"/>
              </w:rPr>
              <w:t>could not be ruled out</w:t>
            </w:r>
            <w:proofErr w:type="gramEnd"/>
            <w:r w:rsidRPr="00C36B85">
              <w:rPr>
                <w:rFonts w:ascii="Arial Narrow" w:hAnsi="Arial Narrow" w:cs="Tahoma"/>
                <w:sz w:val="18"/>
                <w:szCs w:val="18"/>
                <w:lang w:eastAsia="en-US"/>
              </w:rPr>
              <w:t xml:space="preserve"> in the cohort studies, and this may reduce the effect, but benefit is still likely.</w:t>
            </w:r>
          </w:p>
        </w:tc>
      </w:tr>
      <w:tr w:rsidR="00BA6645" w:rsidRPr="00C36B85" w14:paraId="454E7DF8" w14:textId="77777777" w:rsidTr="000528B8">
        <w:tc>
          <w:tcPr>
            <w:tcW w:w="5000" w:type="pct"/>
            <w:gridSpan w:val="5"/>
            <w:tcBorders>
              <w:top w:val="single" w:sz="4" w:space="0" w:color="auto"/>
              <w:left w:val="single" w:sz="4" w:space="0" w:color="auto"/>
              <w:bottom w:val="single" w:sz="4" w:space="0" w:color="auto"/>
              <w:right w:val="single" w:sz="4" w:space="0" w:color="auto"/>
            </w:tcBorders>
          </w:tcPr>
          <w:p w14:paraId="1802FA71" w14:textId="77777777" w:rsidR="00BA6645" w:rsidRPr="00C36B85" w:rsidRDefault="00BA6645" w:rsidP="00BA6645">
            <w:pPr>
              <w:spacing w:before="40" w:after="40"/>
              <w:rPr>
                <w:rFonts w:ascii="Arial Narrow" w:hAnsi="Arial Narrow" w:cs="Tahoma"/>
                <w:b/>
                <w:sz w:val="18"/>
                <w:szCs w:val="18"/>
                <w:lang w:eastAsia="en-US"/>
              </w:rPr>
            </w:pPr>
            <w:r w:rsidRPr="00C36B85">
              <w:rPr>
                <w:rFonts w:ascii="Arial Narrow" w:hAnsi="Arial Narrow" w:cs="Tahoma"/>
                <w:b/>
                <w:sz w:val="18"/>
                <w:szCs w:val="18"/>
                <w:lang w:eastAsia="en-US"/>
              </w:rPr>
              <w:t>Effectiveness</w:t>
            </w:r>
          </w:p>
        </w:tc>
      </w:tr>
      <w:tr w:rsidR="00BA6645" w:rsidRPr="00C36B85" w14:paraId="3F2F7563" w14:textId="77777777" w:rsidTr="000528B8">
        <w:tc>
          <w:tcPr>
            <w:tcW w:w="859" w:type="pct"/>
            <w:tcBorders>
              <w:top w:val="single" w:sz="4" w:space="0" w:color="auto"/>
              <w:left w:val="single" w:sz="4" w:space="0" w:color="auto"/>
              <w:bottom w:val="single" w:sz="4" w:space="0" w:color="auto"/>
              <w:right w:val="single" w:sz="4" w:space="0" w:color="auto"/>
            </w:tcBorders>
          </w:tcPr>
          <w:p w14:paraId="6F43606B" w14:textId="77777777" w:rsidR="00BA6645" w:rsidRPr="00C36B85" w:rsidRDefault="00BA6645" w:rsidP="00BA6645">
            <w:pPr>
              <w:spacing w:before="40" w:after="40"/>
              <w:rPr>
                <w:rFonts w:ascii="Arial Narrow" w:hAnsi="Arial Narrow" w:cs="Arial"/>
                <w:sz w:val="18"/>
                <w:szCs w:val="18"/>
              </w:rPr>
            </w:pPr>
            <w:r w:rsidRPr="00C36B85">
              <w:rPr>
                <w:rFonts w:ascii="Arial Narrow" w:hAnsi="Arial Narrow" w:cs="Arial"/>
                <w:sz w:val="18"/>
                <w:szCs w:val="18"/>
              </w:rPr>
              <w:t>Mortality</w:t>
            </w:r>
          </w:p>
          <w:p w14:paraId="06D6D419"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Arial"/>
                <w:sz w:val="18"/>
                <w:szCs w:val="18"/>
              </w:rPr>
              <w:t>(% patients)</w:t>
            </w:r>
          </w:p>
        </w:tc>
        <w:tc>
          <w:tcPr>
            <w:tcW w:w="656" w:type="pct"/>
            <w:tcBorders>
              <w:top w:val="single" w:sz="4" w:space="0" w:color="auto"/>
              <w:left w:val="single" w:sz="4" w:space="0" w:color="auto"/>
              <w:bottom w:val="single" w:sz="4" w:space="0" w:color="auto"/>
              <w:right w:val="single" w:sz="4" w:space="0" w:color="auto"/>
            </w:tcBorders>
          </w:tcPr>
          <w:p w14:paraId="7A9373DB"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n=773</w:t>
            </w:r>
          </w:p>
          <w:p w14:paraId="05D0A248"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k=3 Ret </w:t>
            </w:r>
            <w:proofErr w:type="spellStart"/>
            <w:r w:rsidRPr="00C36B85">
              <w:rPr>
                <w:rFonts w:ascii="Arial Narrow" w:hAnsi="Arial Narrow" w:cs="Tahoma"/>
                <w:sz w:val="18"/>
                <w:szCs w:val="18"/>
                <w:lang w:eastAsia="en-US"/>
              </w:rPr>
              <w:t>CoH</w:t>
            </w:r>
            <w:proofErr w:type="spellEnd"/>
          </w:p>
        </w:tc>
        <w:tc>
          <w:tcPr>
            <w:tcW w:w="1010" w:type="pct"/>
            <w:tcBorders>
              <w:top w:val="single" w:sz="4" w:space="0" w:color="auto"/>
              <w:left w:val="single" w:sz="4" w:space="0" w:color="auto"/>
              <w:bottom w:val="single" w:sz="4" w:space="0" w:color="auto"/>
              <w:right w:val="single" w:sz="4" w:space="0" w:color="auto"/>
            </w:tcBorders>
          </w:tcPr>
          <w:p w14:paraId="2FEE523D"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between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and PE</w:t>
            </w:r>
          </w:p>
        </w:tc>
        <w:tc>
          <w:tcPr>
            <w:tcW w:w="606" w:type="pct"/>
            <w:tcBorders>
              <w:top w:val="single" w:sz="4" w:space="0" w:color="auto"/>
              <w:left w:val="single" w:sz="4" w:space="0" w:color="auto"/>
              <w:bottom w:val="single" w:sz="4" w:space="0" w:color="auto"/>
              <w:right w:val="single" w:sz="4" w:space="0" w:color="auto"/>
            </w:tcBorders>
          </w:tcPr>
          <w:p w14:paraId="64D5BCD5"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76BA2CF0" w14:textId="77777777" w:rsidR="00BA6645" w:rsidRPr="00C36B85" w:rsidRDefault="00BA6645" w:rsidP="00BA6645">
            <w:pPr>
              <w:spacing w:before="40" w:after="40"/>
              <w:jc w:val="both"/>
              <w:rPr>
                <w:rFonts w:ascii="Arial Narrow" w:hAnsi="Arial Narrow" w:cs="Calibri"/>
                <w:sz w:val="18"/>
                <w:szCs w:val="18"/>
                <w:lang w:eastAsia="en-US"/>
              </w:rPr>
            </w:pPr>
            <w:r w:rsidRPr="00C36B85">
              <w:rPr>
                <w:rFonts w:ascii="Arial Narrow" w:hAnsi="Arial Narrow" w:cs="Calibri"/>
                <w:sz w:val="18"/>
                <w:szCs w:val="18"/>
              </w:rPr>
              <w:t>Low quality</w:t>
            </w:r>
          </w:p>
        </w:tc>
        <w:tc>
          <w:tcPr>
            <w:tcW w:w="1869" w:type="pct"/>
            <w:tcBorders>
              <w:top w:val="single" w:sz="4" w:space="0" w:color="auto"/>
              <w:left w:val="single" w:sz="4" w:space="0" w:color="auto"/>
              <w:bottom w:val="single" w:sz="4" w:space="0" w:color="auto"/>
              <w:right w:val="single" w:sz="4" w:space="0" w:color="auto"/>
            </w:tcBorders>
          </w:tcPr>
          <w:p w14:paraId="5F5AF32A"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were fewer deaths occurring in patients who received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compared to PE, but suspicion of selection bias in one large cohort study prevents this result from being reliable.</w:t>
            </w:r>
          </w:p>
        </w:tc>
      </w:tr>
      <w:tr w:rsidR="00BA6645" w:rsidRPr="00C36B85" w14:paraId="0B475555" w14:textId="77777777" w:rsidTr="000528B8">
        <w:tc>
          <w:tcPr>
            <w:tcW w:w="859" w:type="pct"/>
            <w:tcBorders>
              <w:top w:val="single" w:sz="4" w:space="0" w:color="auto"/>
              <w:left w:val="single" w:sz="4" w:space="0" w:color="auto"/>
              <w:bottom w:val="single" w:sz="4" w:space="0" w:color="auto"/>
              <w:right w:val="single" w:sz="4" w:space="0" w:color="auto"/>
            </w:tcBorders>
          </w:tcPr>
          <w:p w14:paraId="1AB73CB8"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Arial"/>
                <w:sz w:val="18"/>
                <w:szCs w:val="18"/>
              </w:rPr>
              <w:t xml:space="preserve">Infection rate </w:t>
            </w:r>
            <w:r w:rsidRPr="00C36B85">
              <w:rPr>
                <w:rFonts w:ascii="Arial Narrow" w:hAnsi="Arial Narrow" w:cs="Arial"/>
                <w:sz w:val="18"/>
                <w:szCs w:val="18"/>
              </w:rPr>
              <w:br/>
              <w:t>(% patients with an event)</w:t>
            </w:r>
          </w:p>
        </w:tc>
        <w:tc>
          <w:tcPr>
            <w:tcW w:w="656" w:type="pct"/>
            <w:tcBorders>
              <w:top w:val="single" w:sz="4" w:space="0" w:color="auto"/>
              <w:left w:val="single" w:sz="4" w:space="0" w:color="auto"/>
              <w:bottom w:val="single" w:sz="4" w:space="0" w:color="auto"/>
              <w:right w:val="single" w:sz="4" w:space="0" w:color="auto"/>
            </w:tcBorders>
          </w:tcPr>
          <w:p w14:paraId="02A12BF3"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n=778</w:t>
            </w:r>
          </w:p>
          <w:p w14:paraId="7C1FB93A"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k=3 Ret </w:t>
            </w:r>
            <w:proofErr w:type="spellStart"/>
            <w:r w:rsidRPr="00C36B85">
              <w:rPr>
                <w:rFonts w:ascii="Arial Narrow" w:hAnsi="Arial Narrow" w:cs="Tahoma"/>
                <w:sz w:val="18"/>
                <w:szCs w:val="18"/>
                <w:lang w:eastAsia="en-US"/>
              </w:rPr>
              <w:t>CoH</w:t>
            </w:r>
            <w:proofErr w:type="spellEnd"/>
          </w:p>
        </w:tc>
        <w:tc>
          <w:tcPr>
            <w:tcW w:w="1010" w:type="pct"/>
            <w:tcBorders>
              <w:top w:val="single" w:sz="4" w:space="0" w:color="auto"/>
              <w:left w:val="single" w:sz="4" w:space="0" w:color="auto"/>
              <w:bottom w:val="single" w:sz="4" w:space="0" w:color="auto"/>
              <w:right w:val="single" w:sz="4" w:space="0" w:color="auto"/>
            </w:tcBorders>
          </w:tcPr>
          <w:p w14:paraId="6811EFDD"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between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and PE</w:t>
            </w:r>
          </w:p>
        </w:tc>
        <w:tc>
          <w:tcPr>
            <w:tcW w:w="606" w:type="pct"/>
            <w:tcBorders>
              <w:top w:val="single" w:sz="4" w:space="0" w:color="auto"/>
              <w:left w:val="single" w:sz="4" w:space="0" w:color="auto"/>
              <w:bottom w:val="single" w:sz="4" w:space="0" w:color="auto"/>
              <w:right w:val="single" w:sz="4" w:space="0" w:color="auto"/>
            </w:tcBorders>
          </w:tcPr>
          <w:p w14:paraId="132BE38E"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15C57224" w14:textId="77777777" w:rsidR="00BA6645" w:rsidRPr="00C36B85" w:rsidRDefault="00BA6645" w:rsidP="00BA6645">
            <w:pPr>
              <w:spacing w:before="40" w:after="40"/>
              <w:jc w:val="both"/>
              <w:rPr>
                <w:rFonts w:ascii="Arial Narrow" w:hAnsi="Arial Narrow" w:cs="Calibri"/>
                <w:color w:val="00B050"/>
                <w:sz w:val="18"/>
                <w:szCs w:val="18"/>
              </w:rPr>
            </w:pPr>
            <w:r w:rsidRPr="00C36B85">
              <w:rPr>
                <w:rFonts w:ascii="Arial Narrow" w:hAnsi="Arial Narrow" w:cs="Calibri"/>
                <w:sz w:val="18"/>
                <w:szCs w:val="18"/>
              </w:rPr>
              <w:t>Low quality</w:t>
            </w:r>
          </w:p>
        </w:tc>
        <w:tc>
          <w:tcPr>
            <w:tcW w:w="1869" w:type="pct"/>
            <w:tcBorders>
              <w:top w:val="single" w:sz="4" w:space="0" w:color="auto"/>
              <w:left w:val="single" w:sz="4" w:space="0" w:color="auto"/>
              <w:bottom w:val="single" w:sz="4" w:space="0" w:color="auto"/>
              <w:right w:val="single" w:sz="4" w:space="0" w:color="auto"/>
            </w:tcBorders>
          </w:tcPr>
          <w:p w14:paraId="52B8815B"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were fewer infections overall occurring in patients who received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compared to PE. Suspicion of selection bias in one large cohort study, and inconsistent reporting of infections prevents this result from being reliable. </w:t>
            </w:r>
          </w:p>
        </w:tc>
      </w:tr>
      <w:tr w:rsidR="00BA6645" w:rsidRPr="00C36B85" w14:paraId="06979C69" w14:textId="77777777" w:rsidTr="000528B8">
        <w:tc>
          <w:tcPr>
            <w:tcW w:w="859" w:type="pct"/>
            <w:tcBorders>
              <w:top w:val="single" w:sz="4" w:space="0" w:color="auto"/>
              <w:left w:val="single" w:sz="4" w:space="0" w:color="auto"/>
              <w:bottom w:val="single" w:sz="4" w:space="0" w:color="auto"/>
              <w:right w:val="single" w:sz="4" w:space="0" w:color="auto"/>
            </w:tcBorders>
          </w:tcPr>
          <w:p w14:paraId="4AA1461D"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Arial"/>
                <w:sz w:val="18"/>
                <w:szCs w:val="18"/>
              </w:rPr>
              <w:t>Change in MMS (change in score at 15 days from baseline)</w:t>
            </w:r>
          </w:p>
        </w:tc>
        <w:tc>
          <w:tcPr>
            <w:tcW w:w="656" w:type="pct"/>
            <w:tcBorders>
              <w:top w:val="single" w:sz="4" w:space="0" w:color="auto"/>
              <w:left w:val="single" w:sz="4" w:space="0" w:color="auto"/>
              <w:bottom w:val="single" w:sz="4" w:space="0" w:color="auto"/>
              <w:right w:val="single" w:sz="4" w:space="0" w:color="auto"/>
            </w:tcBorders>
          </w:tcPr>
          <w:p w14:paraId="280BB522" w14:textId="77777777" w:rsidR="00BA6645" w:rsidRPr="00C36B85" w:rsidRDefault="00BA6645" w:rsidP="00BA6645">
            <w:pPr>
              <w:spacing w:before="40" w:after="40"/>
              <w:rPr>
                <w:rFonts w:ascii="Arial Narrow" w:hAnsi="Arial Narrow" w:cs="Arial"/>
                <w:sz w:val="18"/>
                <w:szCs w:val="18"/>
              </w:rPr>
            </w:pPr>
            <w:r w:rsidRPr="00C36B85">
              <w:rPr>
                <w:rFonts w:ascii="Arial Narrow" w:hAnsi="Arial Narrow" w:cs="Arial"/>
                <w:sz w:val="18"/>
                <w:szCs w:val="18"/>
              </w:rPr>
              <w:t>n=87</w:t>
            </w:r>
          </w:p>
          <w:p w14:paraId="643090B9"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Arial"/>
                <w:sz w:val="18"/>
                <w:szCs w:val="18"/>
              </w:rPr>
              <w:t>k=1 RCT</w:t>
            </w:r>
          </w:p>
        </w:tc>
        <w:tc>
          <w:tcPr>
            <w:tcW w:w="1010" w:type="pct"/>
            <w:tcBorders>
              <w:top w:val="single" w:sz="4" w:space="0" w:color="auto"/>
              <w:left w:val="single" w:sz="4" w:space="0" w:color="auto"/>
              <w:bottom w:val="single" w:sz="4" w:space="0" w:color="auto"/>
              <w:right w:val="single" w:sz="4" w:space="0" w:color="auto"/>
            </w:tcBorders>
          </w:tcPr>
          <w:p w14:paraId="362CEBF7"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between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and PE</w:t>
            </w:r>
          </w:p>
        </w:tc>
        <w:tc>
          <w:tcPr>
            <w:tcW w:w="606" w:type="pct"/>
            <w:tcBorders>
              <w:top w:val="single" w:sz="4" w:space="0" w:color="auto"/>
              <w:left w:val="single" w:sz="4" w:space="0" w:color="auto"/>
              <w:bottom w:val="single" w:sz="4" w:space="0" w:color="auto"/>
              <w:right w:val="single" w:sz="4" w:space="0" w:color="auto"/>
            </w:tcBorders>
          </w:tcPr>
          <w:p w14:paraId="746525A3"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6761E648" w14:textId="77777777" w:rsidR="00BA6645" w:rsidRPr="00C36B85" w:rsidRDefault="00BA6645" w:rsidP="00BA6645">
            <w:pPr>
              <w:spacing w:before="40" w:after="40"/>
              <w:jc w:val="both"/>
              <w:rPr>
                <w:rFonts w:ascii="Arial Narrow" w:hAnsi="Arial Narrow" w:cs="Calibri"/>
                <w:sz w:val="18"/>
                <w:szCs w:val="18"/>
                <w:lang w:eastAsia="en-US"/>
              </w:rPr>
            </w:pPr>
            <w:r w:rsidRPr="00C36B85">
              <w:rPr>
                <w:rFonts w:ascii="Arial Narrow" w:hAnsi="Arial Narrow" w:cs="Calibri"/>
                <w:sz w:val="18"/>
                <w:szCs w:val="18"/>
              </w:rPr>
              <w:t>Moderate quality</w:t>
            </w:r>
          </w:p>
        </w:tc>
        <w:tc>
          <w:tcPr>
            <w:tcW w:w="1869" w:type="pct"/>
            <w:tcBorders>
              <w:top w:val="single" w:sz="4" w:space="0" w:color="auto"/>
              <w:left w:val="single" w:sz="4" w:space="0" w:color="auto"/>
              <w:bottom w:val="single" w:sz="4" w:space="0" w:color="auto"/>
              <w:right w:val="single" w:sz="4" w:space="0" w:color="auto"/>
            </w:tcBorders>
          </w:tcPr>
          <w:p w14:paraId="31CC52F7"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benefit for patients receiving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over those who received PE found by change in MMS at 15 days.</w:t>
            </w:r>
          </w:p>
        </w:tc>
      </w:tr>
      <w:tr w:rsidR="00BA6645" w:rsidRPr="00C36B85" w14:paraId="2A9046CD" w14:textId="77777777" w:rsidTr="000528B8">
        <w:tc>
          <w:tcPr>
            <w:tcW w:w="5000" w:type="pct"/>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5810FC"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GRADE Working Group grades of evidence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Arial Narrow" w:hAnsi="Arial Narrow" w:cs="Cambria Math"/>
                <w:color w:val="00B050"/>
                <w:sz w:val="18"/>
                <w:szCs w:val="18"/>
              </w:rPr>
              <w:t xml:space="preserve"> </w:t>
            </w:r>
            <w:r w:rsidRPr="00C36B85">
              <w:rPr>
                <w:rFonts w:ascii="Arial Narrow" w:hAnsi="Arial Narrow" w:cs="Tahoma"/>
                <w:b/>
                <w:bCs/>
                <w:sz w:val="18"/>
                <w:szCs w:val="18"/>
                <w:lang w:eastAsia="en-US"/>
              </w:rPr>
              <w:t>High quality:</w:t>
            </w:r>
            <w:r w:rsidRPr="00C36B85">
              <w:rPr>
                <w:rFonts w:ascii="Arial Narrow" w:hAnsi="Arial Narrow" w:cs="Tahoma"/>
                <w:sz w:val="18"/>
                <w:szCs w:val="18"/>
                <w:lang w:eastAsia="en-US"/>
              </w:rPr>
              <w:t xml:space="preserve"> Further research is very unlikely to change our confidence in the estimate of effect. </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Moderate quality:</w:t>
            </w:r>
            <w:r w:rsidRPr="00C36B85">
              <w:rPr>
                <w:rFonts w:ascii="Arial Narrow" w:hAnsi="Arial Narrow" w:cs="Tahoma"/>
                <w:sz w:val="18"/>
                <w:szCs w:val="18"/>
                <w:lang w:eastAsia="en-US"/>
              </w:rPr>
              <w:t xml:space="preserve"> Further research is likely to have an important impact on our confidence in the estimate of effect and may change the estimate.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Low quality:</w:t>
            </w:r>
            <w:r w:rsidRPr="00C36B85">
              <w:rPr>
                <w:rFonts w:ascii="Arial Narrow" w:hAnsi="Arial Narrow" w:cs="Tahoma"/>
                <w:sz w:val="18"/>
                <w:szCs w:val="18"/>
                <w:lang w:eastAsia="en-US"/>
              </w:rPr>
              <w:t xml:space="preserve"> Further research is very likely to have an important impact on our confidence in the estimate of effect and is likely to change the estimate.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Very low quality:</w:t>
            </w:r>
            <w:r w:rsidRPr="00C36B85">
              <w:rPr>
                <w:rFonts w:ascii="Arial Narrow" w:hAnsi="Arial Narrow" w:cs="Tahoma"/>
                <w:sz w:val="18"/>
                <w:szCs w:val="18"/>
                <w:lang w:eastAsia="en-US"/>
              </w:rPr>
              <w:t xml:space="preserve"> We are very uncertain about the estimate.</w:t>
            </w:r>
          </w:p>
        </w:tc>
      </w:tr>
    </w:tbl>
    <w:p w14:paraId="7BF8E33D" w14:textId="77777777" w:rsidR="00BA6645" w:rsidRPr="00C36B85" w:rsidRDefault="00BA6645" w:rsidP="00BA6645">
      <w:pPr>
        <w:widowControl w:val="0"/>
        <w:spacing w:before="40" w:after="240"/>
        <w:contextualSpacing/>
        <w:jc w:val="both"/>
        <w:rPr>
          <w:rFonts w:ascii="Arial Narrow" w:hAnsi="Arial Narrow" w:cs="Arial"/>
          <w:snapToGrid w:val="0"/>
          <w:sz w:val="18"/>
          <w:lang w:eastAsia="en-US"/>
        </w:rPr>
      </w:pPr>
      <w:r w:rsidRPr="00C36B85">
        <w:rPr>
          <w:rFonts w:ascii="Arial Narrow" w:hAnsi="Arial Narrow" w:cs="Arial"/>
          <w:snapToGrid w:val="0"/>
          <w:sz w:val="18"/>
          <w:lang w:eastAsia="en-US"/>
        </w:rPr>
        <w:t xml:space="preserve">AE = adverse event; </w:t>
      </w:r>
      <w:proofErr w:type="spellStart"/>
      <w:r w:rsidRPr="00C36B85">
        <w:rPr>
          <w:rFonts w:ascii="Arial Narrow" w:hAnsi="Arial Narrow" w:cs="Arial"/>
          <w:snapToGrid w:val="0"/>
          <w:sz w:val="18"/>
          <w:lang w:eastAsia="en-US"/>
        </w:rPr>
        <w:t>IVIg</w:t>
      </w:r>
      <w:proofErr w:type="spellEnd"/>
      <w:r w:rsidRPr="00C36B85">
        <w:rPr>
          <w:rFonts w:ascii="Arial Narrow" w:hAnsi="Arial Narrow" w:cs="Arial"/>
          <w:snapToGrid w:val="0"/>
          <w:sz w:val="18"/>
          <w:lang w:eastAsia="en-US"/>
        </w:rPr>
        <w:t xml:space="preserve"> = intravenous immunoglobulin therapy; MG = myasthenia gravis; MMS = myasthenia muscle score; NA = not applicable; PE = plasma exchange therapy; Ret </w:t>
      </w:r>
      <w:proofErr w:type="spellStart"/>
      <w:r w:rsidRPr="00C36B85">
        <w:rPr>
          <w:rFonts w:ascii="Arial Narrow" w:hAnsi="Arial Narrow" w:cs="Arial"/>
          <w:snapToGrid w:val="0"/>
          <w:sz w:val="18"/>
          <w:lang w:eastAsia="en-US"/>
        </w:rPr>
        <w:t>CoH</w:t>
      </w:r>
      <w:proofErr w:type="spellEnd"/>
      <w:r w:rsidRPr="00C36B85">
        <w:rPr>
          <w:rFonts w:ascii="Arial Narrow" w:hAnsi="Arial Narrow" w:cs="Arial"/>
          <w:snapToGrid w:val="0"/>
          <w:sz w:val="18"/>
          <w:lang w:eastAsia="en-US"/>
        </w:rPr>
        <w:t xml:space="preserve"> = retrospective cohort study; RCT = randomised controlled trial; </w:t>
      </w:r>
    </w:p>
    <w:p w14:paraId="16328C6B" w14:textId="77777777" w:rsidR="00BA6645" w:rsidRPr="00C36B85" w:rsidRDefault="00BA6645" w:rsidP="00BE75FD">
      <w:pPr>
        <w:spacing w:after="120" w:line="312" w:lineRule="auto"/>
        <w:rPr>
          <w:rFonts w:ascii="Arial Narrow" w:hAnsi="Arial Narrow" w:cs="Arial"/>
          <w:sz w:val="18"/>
          <w:szCs w:val="18"/>
        </w:rPr>
      </w:pPr>
      <w:r>
        <w:rPr>
          <w:rFonts w:ascii="Arial Narrow" w:hAnsi="Arial Narrow" w:cs="Arial"/>
          <w:sz w:val="18"/>
          <w:szCs w:val="18"/>
        </w:rPr>
        <w:t>Source: Contracted Assessment, Table 48</w:t>
      </w:r>
    </w:p>
    <w:p w14:paraId="2C419A4C" w14:textId="77777777" w:rsidR="00BA6645" w:rsidRPr="006B3038" w:rsidRDefault="00BA6645" w:rsidP="006B3038">
      <w:pPr>
        <w:rPr>
          <w:rFonts w:ascii="Arial Narrow" w:hAnsi="Arial Narrow"/>
          <w:b/>
          <w:sz w:val="20"/>
        </w:rPr>
      </w:pPr>
      <w:bookmarkStart w:id="17" w:name="_Ref12884169"/>
      <w:bookmarkStart w:id="18" w:name="_Toc23769536"/>
      <w:r w:rsidRPr="006B3038">
        <w:rPr>
          <w:rFonts w:ascii="Arial Narrow" w:hAnsi="Arial Narrow"/>
          <w:b/>
          <w:sz w:val="20"/>
        </w:rPr>
        <w:t>Table</w:t>
      </w:r>
      <w:bookmarkEnd w:id="17"/>
      <w:r w:rsidRPr="006B3038">
        <w:rPr>
          <w:rFonts w:ascii="Arial Narrow" w:hAnsi="Arial Narrow"/>
          <w:b/>
          <w:sz w:val="20"/>
        </w:rPr>
        <w:t xml:space="preserve"> 6 </w:t>
      </w:r>
      <w:r w:rsidRPr="006B3038">
        <w:rPr>
          <w:rFonts w:ascii="Arial Narrow" w:hAnsi="Arial Narrow"/>
          <w:b/>
          <w:sz w:val="20"/>
        </w:rPr>
        <w:tab/>
        <w:t xml:space="preserve">Balance of clinical benefits and harms of </w:t>
      </w:r>
      <w:proofErr w:type="spellStart"/>
      <w:r w:rsidRPr="006B3038">
        <w:rPr>
          <w:rFonts w:ascii="Arial Narrow" w:hAnsi="Arial Narrow"/>
          <w:b/>
          <w:sz w:val="20"/>
          <w:u w:val="single"/>
        </w:rPr>
        <w:t>IVIg</w:t>
      </w:r>
      <w:proofErr w:type="spellEnd"/>
      <w:r w:rsidRPr="006B3038">
        <w:rPr>
          <w:rFonts w:ascii="Arial Narrow" w:hAnsi="Arial Narrow"/>
          <w:b/>
          <w:sz w:val="20"/>
          <w:u w:val="single"/>
        </w:rPr>
        <w:t xml:space="preserve"> relative to PE</w:t>
      </w:r>
      <w:r w:rsidRPr="006B3038">
        <w:rPr>
          <w:rFonts w:ascii="Arial Narrow" w:hAnsi="Arial Narrow"/>
          <w:b/>
          <w:sz w:val="20"/>
        </w:rPr>
        <w:t xml:space="preserve"> in MG patients preparing for surgery (</w:t>
      </w:r>
      <w:r w:rsidRPr="006B3038">
        <w:rPr>
          <w:rFonts w:ascii="Arial Narrow" w:hAnsi="Arial Narrow"/>
          <w:b/>
          <w:i/>
          <w:sz w:val="20"/>
        </w:rPr>
        <w:t>Criteria V3</w:t>
      </w:r>
      <w:r w:rsidRPr="006B3038">
        <w:rPr>
          <w:rFonts w:ascii="Arial Narrow" w:hAnsi="Arial Narrow"/>
          <w:b/>
          <w:sz w:val="20"/>
        </w:rPr>
        <w:t xml:space="preserve"> Indication 2) as measured by the </w:t>
      </w:r>
      <w:r w:rsidRPr="006B3038">
        <w:rPr>
          <w:rFonts w:ascii="Arial Narrow" w:hAnsi="Arial Narrow"/>
          <w:b/>
          <w:sz w:val="20"/>
          <w:u w:val="single"/>
        </w:rPr>
        <w:t>critical</w:t>
      </w:r>
      <w:r w:rsidRPr="006B3038">
        <w:rPr>
          <w:rFonts w:ascii="Arial Narrow" w:hAnsi="Arial Narrow"/>
          <w:b/>
          <w:sz w:val="20"/>
        </w:rPr>
        <w:t xml:space="preserve"> patient relevant outcomes in the key studies</w:t>
      </w:r>
      <w:bookmarkEnd w:id="18"/>
      <w:r w:rsidRPr="006B3038">
        <w:rPr>
          <w:rFonts w:ascii="Arial Narrow" w:hAnsi="Arial Narrow"/>
          <w:b/>
          <w:sz w:val="20"/>
        </w:rPr>
        <w:t xml:space="preserve"> </w:t>
      </w:r>
    </w:p>
    <w:tbl>
      <w:tblPr>
        <w:tblW w:w="5000" w:type="pct"/>
        <w:tblLook w:val="04A0" w:firstRow="1" w:lastRow="0" w:firstColumn="1" w:lastColumn="0" w:noHBand="0" w:noVBand="1"/>
        <w:tblCaption w:val="Table 47 Balance of clinical benefits and harms of IVIg relative to PE in MG patients preparing for surgery (Criteria V3 Indication 2) as measured by the critical patient relevant outcomes in the key studies "/>
        <w:tblDescription w:val="Summary of the GRADE assessmentt of critical safety and effectiveness outcomes for patients receiving IVIg comapred to those receiving PE (Indication 2)"/>
      </w:tblPr>
      <w:tblGrid>
        <w:gridCol w:w="1190"/>
        <w:gridCol w:w="1374"/>
        <w:gridCol w:w="1648"/>
        <w:gridCol w:w="1190"/>
        <w:gridCol w:w="3614"/>
      </w:tblGrid>
      <w:tr w:rsidR="00BA6645" w:rsidRPr="00C36B85" w14:paraId="1B9D460D" w14:textId="77777777" w:rsidTr="000528B8">
        <w:trPr>
          <w:trHeight w:val="918"/>
          <w:tblHeader/>
        </w:trPr>
        <w:tc>
          <w:tcPr>
            <w:tcW w:w="660" w:type="pct"/>
            <w:tcBorders>
              <w:top w:val="single" w:sz="4" w:space="0" w:color="auto"/>
              <w:left w:val="single" w:sz="4" w:space="0" w:color="auto"/>
              <w:bottom w:val="single" w:sz="12" w:space="0" w:color="auto"/>
              <w:right w:val="single" w:sz="4" w:space="0" w:color="auto"/>
            </w:tcBorders>
            <w:shd w:val="clear" w:color="auto" w:fill="EEECE1"/>
          </w:tcPr>
          <w:p w14:paraId="6BC91CA4"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Outcome</w:t>
            </w:r>
          </w:p>
          <w:p w14:paraId="1D5CA0EA" w14:textId="77777777" w:rsidR="00BA6645" w:rsidRPr="00C36B85" w:rsidRDefault="00BA6645" w:rsidP="00BA6645">
            <w:pPr>
              <w:spacing w:before="40" w:after="40"/>
              <w:jc w:val="both"/>
              <w:rPr>
                <w:rFonts w:ascii="Arial Narrow" w:hAnsi="Arial Narrow" w:cs="Tahoma"/>
                <w:b/>
                <w:sz w:val="20"/>
                <w:lang w:eastAsia="en-US"/>
              </w:rPr>
            </w:pPr>
          </w:p>
        </w:tc>
        <w:tc>
          <w:tcPr>
            <w:tcW w:w="762" w:type="pct"/>
            <w:tcBorders>
              <w:top w:val="single" w:sz="4" w:space="0" w:color="auto"/>
              <w:bottom w:val="single" w:sz="12" w:space="0" w:color="auto"/>
              <w:right w:val="single" w:sz="4" w:space="0" w:color="auto"/>
            </w:tcBorders>
            <w:shd w:val="clear" w:color="auto" w:fill="EEECE1"/>
          </w:tcPr>
          <w:p w14:paraId="0595E2B0"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Participants</w:t>
            </w:r>
          </w:p>
          <w:p w14:paraId="62263DD2" w14:textId="77777777" w:rsidR="00BA6645" w:rsidRPr="00C36B85" w:rsidRDefault="00BA6645" w:rsidP="00BA6645">
            <w:pPr>
              <w:spacing w:before="40" w:after="40"/>
              <w:rPr>
                <w:rFonts w:ascii="Arial Narrow" w:hAnsi="Arial Narrow" w:cs="Tahoma"/>
                <w:b/>
                <w:sz w:val="20"/>
                <w:lang w:eastAsia="en-US"/>
              </w:rPr>
            </w:pPr>
            <w:r w:rsidRPr="00C36B85">
              <w:rPr>
                <w:rFonts w:ascii="Arial Narrow" w:hAnsi="Arial Narrow" w:cs="Tahoma"/>
                <w:b/>
                <w:sz w:val="20"/>
                <w:lang w:eastAsia="en-US"/>
              </w:rPr>
              <w:t>Studies</w:t>
            </w:r>
          </w:p>
        </w:tc>
        <w:tc>
          <w:tcPr>
            <w:tcW w:w="914" w:type="pct"/>
            <w:tcBorders>
              <w:top w:val="single" w:sz="4" w:space="0" w:color="auto"/>
              <w:left w:val="single" w:sz="4" w:space="0" w:color="auto"/>
              <w:bottom w:val="single" w:sz="12" w:space="0" w:color="auto"/>
              <w:right w:val="single" w:sz="4" w:space="0" w:color="auto"/>
            </w:tcBorders>
            <w:shd w:val="clear" w:color="auto" w:fill="EEECE1"/>
          </w:tcPr>
          <w:p w14:paraId="701E90DB"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Effect</w:t>
            </w:r>
          </w:p>
        </w:tc>
        <w:tc>
          <w:tcPr>
            <w:tcW w:w="660" w:type="pct"/>
            <w:tcBorders>
              <w:top w:val="single" w:sz="4" w:space="0" w:color="auto"/>
              <w:left w:val="single" w:sz="4" w:space="0" w:color="auto"/>
              <w:bottom w:val="single" w:sz="12" w:space="0" w:color="auto"/>
              <w:right w:val="single" w:sz="4" w:space="0" w:color="auto"/>
            </w:tcBorders>
            <w:shd w:val="clear" w:color="auto" w:fill="EEECE1"/>
          </w:tcPr>
          <w:p w14:paraId="5FA80D27" w14:textId="77777777" w:rsidR="00BA6645" w:rsidRPr="00C36B85" w:rsidRDefault="00BA6645" w:rsidP="00BA6645">
            <w:pPr>
              <w:spacing w:before="40" w:after="40"/>
              <w:rPr>
                <w:rFonts w:ascii="Arial Narrow" w:hAnsi="Arial Narrow" w:cs="Tahoma"/>
                <w:b/>
                <w:sz w:val="20"/>
                <w:lang w:eastAsia="en-US"/>
              </w:rPr>
            </w:pPr>
            <w:r w:rsidRPr="00C36B85">
              <w:rPr>
                <w:rFonts w:ascii="Arial Narrow" w:hAnsi="Arial Narrow" w:cs="Tahoma"/>
                <w:b/>
                <w:sz w:val="20"/>
                <w:lang w:eastAsia="en-US"/>
              </w:rPr>
              <w:t>GRADE</w:t>
            </w:r>
          </w:p>
        </w:tc>
        <w:tc>
          <w:tcPr>
            <w:tcW w:w="2004" w:type="pct"/>
            <w:tcBorders>
              <w:top w:val="single" w:sz="4" w:space="0" w:color="auto"/>
              <w:left w:val="single" w:sz="4" w:space="0" w:color="auto"/>
              <w:bottom w:val="single" w:sz="12" w:space="0" w:color="auto"/>
              <w:right w:val="single" w:sz="4" w:space="0" w:color="auto"/>
            </w:tcBorders>
            <w:shd w:val="clear" w:color="auto" w:fill="EEECE1"/>
          </w:tcPr>
          <w:p w14:paraId="4D0D8B13" w14:textId="77777777" w:rsidR="00BA6645" w:rsidRPr="00C36B85" w:rsidRDefault="00BA6645" w:rsidP="00BA6645">
            <w:pPr>
              <w:spacing w:before="40" w:after="40"/>
              <w:rPr>
                <w:rFonts w:ascii="Arial Narrow" w:hAnsi="Arial Narrow" w:cs="Tahoma"/>
                <w:b/>
                <w:sz w:val="20"/>
                <w:lang w:eastAsia="en-US"/>
              </w:rPr>
            </w:pPr>
            <w:r w:rsidRPr="00C36B85">
              <w:rPr>
                <w:rFonts w:ascii="Arial Narrow" w:hAnsi="Arial Narrow" w:cs="Tahoma"/>
                <w:b/>
                <w:sz w:val="20"/>
                <w:lang w:eastAsia="en-US"/>
              </w:rPr>
              <w:t>Comments</w:t>
            </w:r>
          </w:p>
        </w:tc>
      </w:tr>
      <w:tr w:rsidR="00BA6645" w:rsidRPr="00C36B85" w14:paraId="2145F96D" w14:textId="77777777" w:rsidTr="000528B8">
        <w:tc>
          <w:tcPr>
            <w:tcW w:w="5000" w:type="pct"/>
            <w:gridSpan w:val="5"/>
            <w:tcBorders>
              <w:top w:val="single" w:sz="12" w:space="0" w:color="auto"/>
              <w:left w:val="single" w:sz="4" w:space="0" w:color="auto"/>
              <w:bottom w:val="single" w:sz="4" w:space="0" w:color="auto"/>
              <w:right w:val="single" w:sz="4" w:space="0" w:color="auto"/>
            </w:tcBorders>
          </w:tcPr>
          <w:p w14:paraId="7B9514A5" w14:textId="77777777" w:rsidR="00BA6645" w:rsidRPr="00C36B85" w:rsidRDefault="00BA6645" w:rsidP="00BA6645">
            <w:pPr>
              <w:spacing w:before="40" w:after="40"/>
              <w:jc w:val="both"/>
              <w:rPr>
                <w:rFonts w:ascii="Arial Narrow" w:hAnsi="Arial Narrow" w:cs="Tahoma"/>
                <w:b/>
                <w:sz w:val="18"/>
                <w:szCs w:val="18"/>
                <w:lang w:eastAsia="en-US"/>
              </w:rPr>
            </w:pPr>
            <w:r w:rsidRPr="00C36B85">
              <w:rPr>
                <w:rFonts w:ascii="Arial Narrow" w:hAnsi="Arial Narrow" w:cs="Arial"/>
                <w:b/>
                <w:sz w:val="18"/>
                <w:szCs w:val="18"/>
              </w:rPr>
              <w:t>Safety</w:t>
            </w:r>
          </w:p>
        </w:tc>
      </w:tr>
      <w:tr w:rsidR="00BA6645" w:rsidRPr="00C36B85" w14:paraId="407F446E" w14:textId="77777777" w:rsidTr="000528B8">
        <w:tc>
          <w:tcPr>
            <w:tcW w:w="660" w:type="pct"/>
            <w:tcBorders>
              <w:top w:val="single" w:sz="4" w:space="0" w:color="auto"/>
              <w:left w:val="single" w:sz="4" w:space="0" w:color="auto"/>
              <w:bottom w:val="single" w:sz="6" w:space="0" w:color="auto"/>
              <w:right w:val="single" w:sz="4" w:space="0" w:color="auto"/>
            </w:tcBorders>
          </w:tcPr>
          <w:p w14:paraId="147E8B44"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Arial"/>
                <w:sz w:val="18"/>
                <w:szCs w:val="18"/>
              </w:rPr>
              <w:t xml:space="preserve">Adverse events </w:t>
            </w:r>
            <w:r w:rsidRPr="00C36B85">
              <w:rPr>
                <w:rFonts w:ascii="Arial Narrow" w:hAnsi="Arial Narrow" w:cs="Arial"/>
                <w:sz w:val="18"/>
                <w:szCs w:val="18"/>
              </w:rPr>
              <w:br/>
              <w:t>(% patients intubated)</w:t>
            </w:r>
          </w:p>
        </w:tc>
        <w:tc>
          <w:tcPr>
            <w:tcW w:w="762" w:type="pct"/>
            <w:tcBorders>
              <w:top w:val="single" w:sz="4" w:space="0" w:color="auto"/>
              <w:left w:val="single" w:sz="4" w:space="0" w:color="auto"/>
              <w:bottom w:val="single" w:sz="6" w:space="0" w:color="auto"/>
              <w:right w:val="single" w:sz="4" w:space="0" w:color="auto"/>
            </w:tcBorders>
          </w:tcPr>
          <w:p w14:paraId="55B159D0"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n=24</w:t>
            </w:r>
          </w:p>
          <w:p w14:paraId="0FCF5D8D"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k=1 RCT</w:t>
            </w:r>
          </w:p>
        </w:tc>
        <w:tc>
          <w:tcPr>
            <w:tcW w:w="914" w:type="pct"/>
            <w:tcBorders>
              <w:top w:val="single" w:sz="4" w:space="0" w:color="auto"/>
              <w:left w:val="single" w:sz="4" w:space="0" w:color="auto"/>
              <w:bottom w:val="single" w:sz="6" w:space="0" w:color="auto"/>
              <w:right w:val="single" w:sz="4" w:space="0" w:color="auto"/>
            </w:tcBorders>
          </w:tcPr>
          <w:p w14:paraId="2144ADA9"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No conclusion could be made</w:t>
            </w:r>
          </w:p>
        </w:tc>
        <w:tc>
          <w:tcPr>
            <w:tcW w:w="660" w:type="pct"/>
            <w:tcBorders>
              <w:top w:val="single" w:sz="4" w:space="0" w:color="auto"/>
              <w:left w:val="single" w:sz="4" w:space="0" w:color="auto"/>
              <w:bottom w:val="single" w:sz="6" w:space="0" w:color="auto"/>
              <w:right w:val="single" w:sz="4" w:space="0" w:color="auto"/>
            </w:tcBorders>
          </w:tcPr>
          <w:p w14:paraId="62C6F227"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0544A022"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Low quality</w:t>
            </w:r>
          </w:p>
        </w:tc>
        <w:tc>
          <w:tcPr>
            <w:tcW w:w="2004" w:type="pct"/>
            <w:tcBorders>
              <w:top w:val="single" w:sz="4" w:space="0" w:color="auto"/>
              <w:left w:val="single" w:sz="4" w:space="0" w:color="auto"/>
              <w:bottom w:val="single" w:sz="6" w:space="0" w:color="auto"/>
              <w:right w:val="single" w:sz="4" w:space="0" w:color="auto"/>
            </w:tcBorders>
          </w:tcPr>
          <w:p w14:paraId="34BFE349"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 xml:space="preserve">Overall there were fewer AEs occurring in patients who received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compared to PE, however the participant numbers in the RCT were so small that the study did not have power to make a strong conclusion.</w:t>
            </w:r>
          </w:p>
        </w:tc>
      </w:tr>
      <w:tr w:rsidR="00BA6645" w:rsidRPr="00C36B85" w14:paraId="25EABFA1" w14:textId="77777777" w:rsidTr="000528B8">
        <w:tc>
          <w:tcPr>
            <w:tcW w:w="5000" w:type="pct"/>
            <w:gridSpan w:val="5"/>
            <w:tcBorders>
              <w:top w:val="single" w:sz="6" w:space="0" w:color="auto"/>
              <w:left w:val="single" w:sz="4" w:space="0" w:color="auto"/>
              <w:bottom w:val="single" w:sz="4" w:space="0" w:color="auto"/>
              <w:right w:val="single" w:sz="4" w:space="0" w:color="auto"/>
            </w:tcBorders>
          </w:tcPr>
          <w:p w14:paraId="6D7112CA" w14:textId="77777777" w:rsidR="00BA6645" w:rsidRPr="00C36B85" w:rsidRDefault="00BA6645" w:rsidP="00BA6645">
            <w:pPr>
              <w:spacing w:before="40" w:after="40"/>
              <w:jc w:val="both"/>
              <w:rPr>
                <w:rFonts w:ascii="Arial Narrow" w:hAnsi="Arial Narrow" w:cs="Tahoma"/>
                <w:b/>
                <w:sz w:val="18"/>
                <w:szCs w:val="18"/>
                <w:lang w:eastAsia="en-US"/>
              </w:rPr>
            </w:pPr>
            <w:r w:rsidRPr="00C36B85">
              <w:rPr>
                <w:rFonts w:ascii="Arial Narrow" w:hAnsi="Arial Narrow" w:cs="Arial"/>
                <w:b/>
                <w:sz w:val="18"/>
                <w:szCs w:val="18"/>
              </w:rPr>
              <w:t>Effectiveness</w:t>
            </w:r>
          </w:p>
        </w:tc>
      </w:tr>
      <w:tr w:rsidR="00BA6645" w:rsidRPr="00C36B85" w14:paraId="31E1D2CF" w14:textId="77777777" w:rsidTr="000528B8">
        <w:tc>
          <w:tcPr>
            <w:tcW w:w="660" w:type="pct"/>
            <w:tcBorders>
              <w:top w:val="single" w:sz="4" w:space="0" w:color="auto"/>
              <w:left w:val="single" w:sz="4" w:space="0" w:color="auto"/>
              <w:bottom w:val="single" w:sz="12" w:space="0" w:color="auto"/>
              <w:right w:val="single" w:sz="4" w:space="0" w:color="auto"/>
            </w:tcBorders>
          </w:tcPr>
          <w:p w14:paraId="39C63ADC" w14:textId="77777777" w:rsidR="00BA6645" w:rsidRPr="00C36B85" w:rsidRDefault="00BA6645" w:rsidP="00BA6645">
            <w:pPr>
              <w:spacing w:before="40" w:after="40"/>
              <w:rPr>
                <w:rFonts w:ascii="Arial Narrow" w:hAnsi="Arial Narrow" w:cs="Arial"/>
                <w:sz w:val="18"/>
                <w:szCs w:val="18"/>
              </w:rPr>
            </w:pPr>
            <w:r w:rsidRPr="00C36B85">
              <w:rPr>
                <w:rFonts w:ascii="Arial Narrow" w:hAnsi="Arial Narrow" w:cs="Arial"/>
                <w:sz w:val="18"/>
                <w:szCs w:val="18"/>
              </w:rPr>
              <w:t>Effectiveness</w:t>
            </w:r>
          </w:p>
        </w:tc>
        <w:tc>
          <w:tcPr>
            <w:tcW w:w="762" w:type="pct"/>
            <w:tcBorders>
              <w:top w:val="single" w:sz="4" w:space="0" w:color="auto"/>
              <w:left w:val="single" w:sz="4" w:space="0" w:color="auto"/>
              <w:bottom w:val="single" w:sz="12" w:space="0" w:color="auto"/>
              <w:right w:val="single" w:sz="4" w:space="0" w:color="auto"/>
            </w:tcBorders>
          </w:tcPr>
          <w:p w14:paraId="04CCECAE"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w:t>
            </w:r>
          </w:p>
        </w:tc>
        <w:tc>
          <w:tcPr>
            <w:tcW w:w="914" w:type="pct"/>
            <w:tcBorders>
              <w:top w:val="single" w:sz="4" w:space="0" w:color="auto"/>
              <w:left w:val="single" w:sz="4" w:space="0" w:color="auto"/>
              <w:bottom w:val="single" w:sz="12" w:space="0" w:color="auto"/>
              <w:right w:val="single" w:sz="4" w:space="0" w:color="auto"/>
            </w:tcBorders>
          </w:tcPr>
          <w:p w14:paraId="44A0921F"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No conclusion could be made</w:t>
            </w:r>
          </w:p>
        </w:tc>
        <w:tc>
          <w:tcPr>
            <w:tcW w:w="660" w:type="pct"/>
            <w:tcBorders>
              <w:top w:val="single" w:sz="4" w:space="0" w:color="auto"/>
              <w:left w:val="single" w:sz="4" w:space="0" w:color="auto"/>
              <w:bottom w:val="single" w:sz="12" w:space="0" w:color="auto"/>
              <w:right w:val="single" w:sz="4" w:space="0" w:color="auto"/>
            </w:tcBorders>
          </w:tcPr>
          <w:p w14:paraId="5F1290F7" w14:textId="77777777" w:rsidR="00BA6645" w:rsidRPr="00C36B85" w:rsidRDefault="00BA6645" w:rsidP="00BA6645">
            <w:pPr>
              <w:spacing w:before="40" w:after="40"/>
              <w:jc w:val="both"/>
              <w:rPr>
                <w:rFonts w:ascii="Cambria Math" w:hAnsi="Cambria Math" w:cs="Cambria Math"/>
                <w:color w:val="00B050"/>
                <w:sz w:val="18"/>
                <w:szCs w:val="18"/>
              </w:rPr>
            </w:pPr>
            <w:r w:rsidRPr="00C36B85">
              <w:rPr>
                <w:rFonts w:ascii="Cambria Math" w:hAnsi="Cambria Math" w:cs="Cambria Math"/>
                <w:sz w:val="18"/>
                <w:szCs w:val="18"/>
              </w:rPr>
              <w:t>-</w:t>
            </w:r>
          </w:p>
        </w:tc>
        <w:tc>
          <w:tcPr>
            <w:tcW w:w="2004" w:type="pct"/>
            <w:tcBorders>
              <w:top w:val="single" w:sz="4" w:space="0" w:color="auto"/>
              <w:left w:val="single" w:sz="4" w:space="0" w:color="auto"/>
              <w:bottom w:val="single" w:sz="12" w:space="0" w:color="auto"/>
              <w:right w:val="single" w:sz="4" w:space="0" w:color="auto"/>
            </w:tcBorders>
          </w:tcPr>
          <w:p w14:paraId="66504E89"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 xml:space="preserve">The evidence for effectiveness was of too poor quality to make any conclusions about the effectiveness of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compared to PE</w:t>
            </w:r>
          </w:p>
        </w:tc>
      </w:tr>
      <w:tr w:rsidR="00BA6645" w:rsidRPr="00C36B85" w14:paraId="0BD808AC" w14:textId="77777777" w:rsidTr="000528B8">
        <w:tc>
          <w:tcPr>
            <w:tcW w:w="5000" w:type="pct"/>
            <w:gridSpan w:val="5"/>
            <w:tcBorders>
              <w:top w:val="single" w:sz="12"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611E66"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GRADE Working Group grades of evidence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Arial Narrow" w:hAnsi="Arial Narrow" w:cs="Cambria Math"/>
                <w:color w:val="00B050"/>
                <w:sz w:val="18"/>
                <w:szCs w:val="18"/>
              </w:rPr>
              <w:t xml:space="preserve"> </w:t>
            </w:r>
            <w:r w:rsidRPr="00C36B85">
              <w:rPr>
                <w:rFonts w:ascii="Arial Narrow" w:hAnsi="Arial Narrow" w:cs="Tahoma"/>
                <w:b/>
                <w:bCs/>
                <w:sz w:val="18"/>
                <w:szCs w:val="18"/>
                <w:lang w:eastAsia="en-US"/>
              </w:rPr>
              <w:t>High quality:</w:t>
            </w:r>
            <w:r w:rsidRPr="00C36B85">
              <w:rPr>
                <w:rFonts w:ascii="Arial Narrow" w:hAnsi="Arial Narrow" w:cs="Tahoma"/>
                <w:sz w:val="18"/>
                <w:szCs w:val="18"/>
                <w:lang w:eastAsia="en-US"/>
              </w:rPr>
              <w:t xml:space="preserve"> Further research is very unlikely to change our confidence in the estimate of effect. </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Moderate quality:</w:t>
            </w:r>
            <w:r w:rsidRPr="00C36B85">
              <w:rPr>
                <w:rFonts w:ascii="Arial Narrow" w:hAnsi="Arial Narrow" w:cs="Tahoma"/>
                <w:sz w:val="18"/>
                <w:szCs w:val="18"/>
                <w:lang w:eastAsia="en-US"/>
              </w:rPr>
              <w:t xml:space="preserve"> Further research is likely to have an important impact on our confidence in the estimate of effect and may change the estimate.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Low quality:</w:t>
            </w:r>
            <w:r w:rsidRPr="00C36B85">
              <w:rPr>
                <w:rFonts w:ascii="Arial Narrow" w:hAnsi="Arial Narrow" w:cs="Tahoma"/>
                <w:sz w:val="18"/>
                <w:szCs w:val="18"/>
                <w:lang w:eastAsia="en-US"/>
              </w:rPr>
              <w:t xml:space="preserve"> Further research is very likely to have an important impact on our confidence in the estimate of effect and is likely to change the estimate.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Very low quality:</w:t>
            </w:r>
            <w:r w:rsidRPr="00C36B85">
              <w:rPr>
                <w:rFonts w:ascii="Arial Narrow" w:hAnsi="Arial Narrow" w:cs="Tahoma"/>
                <w:sz w:val="18"/>
                <w:szCs w:val="18"/>
                <w:lang w:eastAsia="en-US"/>
              </w:rPr>
              <w:t xml:space="preserve"> We are very uncertain about the estimate.</w:t>
            </w:r>
          </w:p>
        </w:tc>
      </w:tr>
    </w:tbl>
    <w:p w14:paraId="79D16B3F" w14:textId="77777777" w:rsidR="00BA6645" w:rsidRDefault="00BA6645" w:rsidP="00BA6645">
      <w:pPr>
        <w:widowControl w:val="0"/>
        <w:spacing w:before="40" w:after="240"/>
        <w:contextualSpacing/>
        <w:jc w:val="both"/>
        <w:rPr>
          <w:rFonts w:ascii="Arial Narrow" w:hAnsi="Arial Narrow" w:cs="Arial"/>
          <w:snapToGrid w:val="0"/>
          <w:sz w:val="18"/>
          <w:lang w:eastAsia="en-US"/>
        </w:rPr>
      </w:pPr>
      <w:r w:rsidRPr="00C36B85">
        <w:rPr>
          <w:rFonts w:ascii="Arial Narrow" w:hAnsi="Arial Narrow" w:cs="Arial"/>
          <w:snapToGrid w:val="0"/>
          <w:sz w:val="18"/>
          <w:lang w:eastAsia="en-US"/>
        </w:rPr>
        <w:t xml:space="preserve">AE = adverse event; </w:t>
      </w:r>
      <w:proofErr w:type="spellStart"/>
      <w:r w:rsidRPr="00C36B85">
        <w:rPr>
          <w:rFonts w:ascii="Arial Narrow" w:hAnsi="Arial Narrow" w:cs="Arial"/>
          <w:snapToGrid w:val="0"/>
          <w:sz w:val="18"/>
          <w:lang w:eastAsia="en-US"/>
        </w:rPr>
        <w:t>IVIg</w:t>
      </w:r>
      <w:proofErr w:type="spellEnd"/>
      <w:r w:rsidRPr="00C36B85">
        <w:rPr>
          <w:rFonts w:ascii="Arial Narrow" w:hAnsi="Arial Narrow" w:cs="Arial"/>
          <w:snapToGrid w:val="0"/>
          <w:sz w:val="18"/>
          <w:lang w:eastAsia="en-US"/>
        </w:rPr>
        <w:t xml:space="preserve"> = intravenous immunoglobulin therapy; MG = myasthenia gravis; PE = plasma exchange therapy; RCT = randomised controlled trial; </w:t>
      </w:r>
    </w:p>
    <w:p w14:paraId="720C5C00" w14:textId="77777777" w:rsidR="00BA6645" w:rsidRPr="00C36B85" w:rsidRDefault="00BA6645" w:rsidP="00BA6645">
      <w:pPr>
        <w:widowControl w:val="0"/>
        <w:spacing w:before="40" w:after="240"/>
        <w:contextualSpacing/>
        <w:jc w:val="both"/>
        <w:rPr>
          <w:rFonts w:ascii="Arial Narrow" w:hAnsi="Arial Narrow" w:cs="Arial"/>
          <w:snapToGrid w:val="0"/>
          <w:sz w:val="18"/>
          <w:lang w:eastAsia="en-US"/>
        </w:rPr>
      </w:pPr>
      <w:r>
        <w:rPr>
          <w:rFonts w:ascii="Arial Narrow" w:hAnsi="Arial Narrow" w:cs="Arial"/>
          <w:snapToGrid w:val="0"/>
          <w:sz w:val="18"/>
          <w:lang w:eastAsia="en-US"/>
        </w:rPr>
        <w:t>Source: Contracted Assessment, Table 49</w:t>
      </w:r>
    </w:p>
    <w:p w14:paraId="2A8AEE5E" w14:textId="765E78C5" w:rsidR="00BA6645" w:rsidRPr="00C163D0" w:rsidRDefault="00BA6645" w:rsidP="00C163D0">
      <w:pPr>
        <w:rPr>
          <w:rFonts w:ascii="Arial Narrow" w:hAnsi="Arial Narrow"/>
          <w:b/>
          <w:sz w:val="20"/>
        </w:rPr>
      </w:pPr>
      <w:bookmarkStart w:id="19" w:name="_Ref13568066"/>
      <w:bookmarkStart w:id="20" w:name="_Toc23769537"/>
      <w:r w:rsidRPr="00C163D0">
        <w:rPr>
          <w:rFonts w:ascii="Arial Narrow" w:hAnsi="Arial Narrow"/>
          <w:b/>
          <w:sz w:val="20"/>
        </w:rPr>
        <w:lastRenderedPageBreak/>
        <w:t>Table</w:t>
      </w:r>
      <w:bookmarkEnd w:id="19"/>
      <w:r w:rsidRPr="00C163D0">
        <w:rPr>
          <w:rFonts w:ascii="Arial Narrow" w:hAnsi="Arial Narrow"/>
          <w:b/>
          <w:sz w:val="20"/>
        </w:rPr>
        <w:t xml:space="preserve"> 7 </w:t>
      </w:r>
      <w:r w:rsidRPr="00C163D0">
        <w:rPr>
          <w:rFonts w:ascii="Arial Narrow" w:hAnsi="Arial Narrow"/>
          <w:b/>
          <w:sz w:val="20"/>
        </w:rPr>
        <w:tab/>
        <w:t xml:space="preserve">Balance of clinical benefits and harms of </w:t>
      </w:r>
      <w:proofErr w:type="spellStart"/>
      <w:r w:rsidRPr="00C163D0">
        <w:rPr>
          <w:rFonts w:ascii="Arial Narrow" w:hAnsi="Arial Narrow"/>
          <w:b/>
          <w:sz w:val="20"/>
          <w:u w:val="single"/>
        </w:rPr>
        <w:t>IVIg</w:t>
      </w:r>
      <w:proofErr w:type="spellEnd"/>
      <w:r w:rsidRPr="00C163D0">
        <w:rPr>
          <w:rFonts w:ascii="Arial Narrow" w:hAnsi="Arial Narrow"/>
          <w:b/>
          <w:sz w:val="20"/>
          <w:u w:val="single"/>
        </w:rPr>
        <w:t xml:space="preserve"> relative to comparators (therapeutics other than PE)</w:t>
      </w:r>
      <w:r w:rsidRPr="00C163D0">
        <w:rPr>
          <w:rFonts w:ascii="Arial Narrow" w:hAnsi="Arial Narrow"/>
          <w:b/>
          <w:sz w:val="20"/>
        </w:rPr>
        <w:t xml:space="preserve"> in MG patients changing maintenance therapy (</w:t>
      </w:r>
      <w:r w:rsidRPr="00C163D0">
        <w:rPr>
          <w:rFonts w:ascii="Arial Narrow" w:hAnsi="Arial Narrow"/>
          <w:b/>
          <w:i/>
          <w:sz w:val="20"/>
        </w:rPr>
        <w:t>Criteria V3</w:t>
      </w:r>
      <w:r w:rsidRPr="00C163D0">
        <w:rPr>
          <w:rFonts w:ascii="Arial Narrow" w:hAnsi="Arial Narrow"/>
          <w:b/>
          <w:sz w:val="20"/>
        </w:rPr>
        <w:t xml:space="preserve"> Indication 3) as measured by the </w:t>
      </w:r>
      <w:r w:rsidRPr="00C163D0">
        <w:rPr>
          <w:rFonts w:ascii="Arial Narrow" w:hAnsi="Arial Narrow"/>
          <w:b/>
          <w:sz w:val="20"/>
          <w:u w:val="single"/>
        </w:rPr>
        <w:t>critical</w:t>
      </w:r>
      <w:r w:rsidRPr="00C163D0">
        <w:rPr>
          <w:rFonts w:ascii="Arial Narrow" w:hAnsi="Arial Narrow"/>
          <w:b/>
          <w:sz w:val="20"/>
        </w:rPr>
        <w:t xml:space="preserve"> patient relevant outcomes in the key studies</w:t>
      </w:r>
      <w:bookmarkEnd w:id="20"/>
    </w:p>
    <w:tbl>
      <w:tblPr>
        <w:tblW w:w="4977" w:type="pct"/>
        <w:tblLook w:val="04A0" w:firstRow="1" w:lastRow="0" w:firstColumn="1" w:lastColumn="0" w:noHBand="0" w:noVBand="1"/>
        <w:tblCaption w:val="Table 48 Balance of clinical benefits and harms of IVIg relative to comparators (therapeutics other than PE) in MG patients changing maintenance therapy (Criteria V3 Indication 3) as measured by the critical patient relevant outcomes in the key studies"/>
        <w:tblDescription w:val="Summary of the GRADE assessment of critical safety and effectiveness outcomes for patients receiving IVIg compared to those receiving standard MG therapies (but not PE) (Indication 3)."/>
      </w:tblPr>
      <w:tblGrid>
        <w:gridCol w:w="1620"/>
        <w:gridCol w:w="1164"/>
        <w:gridCol w:w="1804"/>
        <w:gridCol w:w="933"/>
        <w:gridCol w:w="3454"/>
      </w:tblGrid>
      <w:tr w:rsidR="00BA6645" w:rsidRPr="00C36B85" w14:paraId="10399005" w14:textId="77777777" w:rsidTr="000528B8">
        <w:trPr>
          <w:trHeight w:val="541"/>
          <w:tblHeader/>
        </w:trPr>
        <w:tc>
          <w:tcPr>
            <w:tcW w:w="918" w:type="pct"/>
            <w:tcBorders>
              <w:top w:val="single" w:sz="4" w:space="0" w:color="auto"/>
              <w:left w:val="single" w:sz="4" w:space="0" w:color="auto"/>
              <w:right w:val="single" w:sz="4" w:space="0" w:color="auto"/>
            </w:tcBorders>
            <w:shd w:val="clear" w:color="auto" w:fill="EEECE1"/>
          </w:tcPr>
          <w:p w14:paraId="2EE747F1"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Outcome</w:t>
            </w:r>
          </w:p>
        </w:tc>
        <w:tc>
          <w:tcPr>
            <w:tcW w:w="664" w:type="pct"/>
            <w:tcBorders>
              <w:top w:val="single" w:sz="4" w:space="0" w:color="auto"/>
              <w:right w:val="single" w:sz="4" w:space="0" w:color="auto"/>
            </w:tcBorders>
            <w:shd w:val="clear" w:color="auto" w:fill="EEECE1"/>
          </w:tcPr>
          <w:p w14:paraId="79BFC070"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Participants</w:t>
            </w:r>
          </w:p>
          <w:p w14:paraId="4C468B5D" w14:textId="77777777" w:rsidR="00BA6645" w:rsidRPr="00C36B85" w:rsidRDefault="00BA6645" w:rsidP="00BA6645">
            <w:pPr>
              <w:spacing w:before="40" w:after="40"/>
              <w:rPr>
                <w:rFonts w:ascii="Arial Narrow" w:hAnsi="Arial Narrow" w:cs="Tahoma"/>
                <w:b/>
                <w:sz w:val="20"/>
                <w:lang w:eastAsia="en-US"/>
              </w:rPr>
            </w:pPr>
            <w:r w:rsidRPr="00C36B85">
              <w:rPr>
                <w:rFonts w:ascii="Arial Narrow" w:hAnsi="Arial Narrow" w:cs="Tahoma"/>
                <w:b/>
                <w:sz w:val="20"/>
                <w:lang w:eastAsia="en-US"/>
              </w:rPr>
              <w:t>Studies</w:t>
            </w:r>
          </w:p>
        </w:tc>
        <w:tc>
          <w:tcPr>
            <w:tcW w:w="1020" w:type="pct"/>
            <w:tcBorders>
              <w:top w:val="single" w:sz="4" w:space="0" w:color="auto"/>
              <w:left w:val="single" w:sz="4" w:space="0" w:color="auto"/>
              <w:right w:val="single" w:sz="4" w:space="0" w:color="auto"/>
            </w:tcBorders>
            <w:shd w:val="clear" w:color="auto" w:fill="EEECE1"/>
          </w:tcPr>
          <w:p w14:paraId="495D403B"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Effect</w:t>
            </w:r>
          </w:p>
        </w:tc>
        <w:tc>
          <w:tcPr>
            <w:tcW w:w="459" w:type="pct"/>
            <w:tcBorders>
              <w:top w:val="single" w:sz="4" w:space="0" w:color="auto"/>
              <w:left w:val="single" w:sz="4" w:space="0" w:color="auto"/>
              <w:bottom w:val="single" w:sz="4" w:space="0" w:color="auto"/>
              <w:right w:val="single" w:sz="4" w:space="0" w:color="auto"/>
            </w:tcBorders>
            <w:shd w:val="clear" w:color="auto" w:fill="EEECE1"/>
          </w:tcPr>
          <w:p w14:paraId="19760249"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GRADE</w:t>
            </w:r>
          </w:p>
        </w:tc>
        <w:tc>
          <w:tcPr>
            <w:tcW w:w="1939" w:type="pct"/>
            <w:tcBorders>
              <w:top w:val="single" w:sz="4" w:space="0" w:color="auto"/>
              <w:left w:val="single" w:sz="4" w:space="0" w:color="auto"/>
              <w:bottom w:val="single" w:sz="4" w:space="0" w:color="auto"/>
              <w:right w:val="single" w:sz="4" w:space="0" w:color="auto"/>
            </w:tcBorders>
            <w:shd w:val="clear" w:color="auto" w:fill="EEECE1"/>
          </w:tcPr>
          <w:p w14:paraId="5F425EBE"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Comments</w:t>
            </w:r>
          </w:p>
        </w:tc>
      </w:tr>
      <w:tr w:rsidR="00BA6645" w:rsidRPr="00C36B85" w14:paraId="1A106B9C" w14:textId="77777777" w:rsidTr="000528B8">
        <w:tc>
          <w:tcPr>
            <w:tcW w:w="5000" w:type="pct"/>
            <w:gridSpan w:val="5"/>
            <w:tcBorders>
              <w:top w:val="single" w:sz="12" w:space="0" w:color="auto"/>
              <w:left w:val="single" w:sz="4" w:space="0" w:color="auto"/>
              <w:bottom w:val="single" w:sz="4" w:space="0" w:color="auto"/>
              <w:right w:val="single" w:sz="4" w:space="0" w:color="auto"/>
            </w:tcBorders>
          </w:tcPr>
          <w:p w14:paraId="0B56C000" w14:textId="77777777" w:rsidR="00BA6645" w:rsidRPr="00C36B85" w:rsidRDefault="00BA6645" w:rsidP="00BA6645">
            <w:pPr>
              <w:spacing w:before="40" w:after="40"/>
              <w:rPr>
                <w:rFonts w:ascii="Arial Narrow" w:hAnsi="Arial Narrow" w:cs="Tahoma"/>
                <w:b/>
                <w:sz w:val="18"/>
                <w:szCs w:val="18"/>
                <w:lang w:eastAsia="en-US"/>
              </w:rPr>
            </w:pPr>
            <w:r w:rsidRPr="00C36B85">
              <w:rPr>
                <w:rFonts w:ascii="Arial Narrow" w:hAnsi="Arial Narrow" w:cs="Tahoma"/>
                <w:b/>
                <w:sz w:val="18"/>
                <w:szCs w:val="18"/>
                <w:lang w:eastAsia="en-US"/>
              </w:rPr>
              <w:t>Safety</w:t>
            </w:r>
          </w:p>
        </w:tc>
      </w:tr>
      <w:tr w:rsidR="00BA6645" w:rsidRPr="00C36B85" w14:paraId="05F0859D" w14:textId="77777777" w:rsidTr="000528B8">
        <w:tc>
          <w:tcPr>
            <w:tcW w:w="918" w:type="pct"/>
            <w:tcBorders>
              <w:top w:val="single" w:sz="4" w:space="0" w:color="auto"/>
              <w:left w:val="single" w:sz="4" w:space="0" w:color="auto"/>
              <w:bottom w:val="single" w:sz="4" w:space="0" w:color="auto"/>
              <w:right w:val="single" w:sz="4" w:space="0" w:color="auto"/>
            </w:tcBorders>
          </w:tcPr>
          <w:p w14:paraId="02FD0E93" w14:textId="77777777" w:rsidR="00BA6645" w:rsidRPr="00C36B85" w:rsidRDefault="00BA6645" w:rsidP="00BA6645">
            <w:pPr>
              <w:spacing w:before="40" w:after="40"/>
              <w:rPr>
                <w:rFonts w:ascii="Arial Narrow" w:hAnsi="Arial Narrow" w:cs="Arial"/>
                <w:sz w:val="18"/>
                <w:szCs w:val="18"/>
              </w:rPr>
            </w:pPr>
            <w:r w:rsidRPr="00C36B85">
              <w:rPr>
                <w:rFonts w:ascii="Arial Narrow" w:hAnsi="Arial Narrow" w:cs="Arial"/>
                <w:sz w:val="18"/>
                <w:szCs w:val="18"/>
              </w:rPr>
              <w:t>Adverse events (% patients with any event)</w:t>
            </w:r>
          </w:p>
          <w:p w14:paraId="4124DB25" w14:textId="77777777" w:rsidR="00BA6645" w:rsidRPr="00C36B85" w:rsidRDefault="00BA6645" w:rsidP="00BA6645">
            <w:pPr>
              <w:spacing w:before="40" w:after="40"/>
              <w:rPr>
                <w:rFonts w:ascii="Arial Narrow" w:hAnsi="Arial Narrow" w:cs="Tahoma"/>
                <w:sz w:val="18"/>
                <w:szCs w:val="18"/>
                <w:lang w:eastAsia="en-US"/>
              </w:rPr>
            </w:pPr>
            <w:proofErr w:type="spellStart"/>
            <w:r w:rsidRPr="00C36B85">
              <w:rPr>
                <w:rFonts w:ascii="Arial Narrow" w:hAnsi="Arial Narrow" w:cs="Arial"/>
                <w:sz w:val="18"/>
                <w:szCs w:val="18"/>
              </w:rPr>
              <w:t>IVIg</w:t>
            </w:r>
            <w:proofErr w:type="spellEnd"/>
            <w:r w:rsidRPr="00C36B85">
              <w:rPr>
                <w:rFonts w:ascii="Arial Narrow" w:hAnsi="Arial Narrow" w:cs="Arial"/>
                <w:sz w:val="18"/>
                <w:szCs w:val="18"/>
              </w:rPr>
              <w:t xml:space="preserve"> v placebo</w:t>
            </w:r>
            <w:r w:rsidRPr="00C36B85">
              <w:rPr>
                <w:rFonts w:ascii="Arial Narrow" w:hAnsi="Arial Narrow" w:cs="Tahoma"/>
                <w:sz w:val="18"/>
                <w:szCs w:val="18"/>
                <w:lang w:eastAsia="en-US"/>
              </w:rPr>
              <w:t xml:space="preserve"> </w:t>
            </w:r>
          </w:p>
        </w:tc>
        <w:tc>
          <w:tcPr>
            <w:tcW w:w="664" w:type="pct"/>
            <w:tcBorders>
              <w:top w:val="single" w:sz="4" w:space="0" w:color="auto"/>
              <w:left w:val="single" w:sz="4" w:space="0" w:color="auto"/>
              <w:bottom w:val="single" w:sz="4" w:space="0" w:color="auto"/>
              <w:right w:val="single" w:sz="4" w:space="0" w:color="auto"/>
            </w:tcBorders>
          </w:tcPr>
          <w:p w14:paraId="3DF7E7B2"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n=62</w:t>
            </w:r>
          </w:p>
          <w:p w14:paraId="6A806C8E" w14:textId="77777777" w:rsidR="00BA6645" w:rsidRPr="00C36B85" w:rsidRDefault="00BA6645" w:rsidP="00BA6645">
            <w:pPr>
              <w:spacing w:before="40" w:after="40"/>
              <w:jc w:val="both"/>
              <w:rPr>
                <w:rFonts w:ascii="Arial Narrow" w:hAnsi="Arial Narrow" w:cs="Tahoma"/>
                <w:sz w:val="18"/>
                <w:szCs w:val="18"/>
                <w:vertAlign w:val="superscript"/>
                <w:lang w:eastAsia="en-US"/>
              </w:rPr>
            </w:pPr>
            <w:r w:rsidRPr="00C36B85">
              <w:rPr>
                <w:rFonts w:ascii="Arial Narrow" w:hAnsi="Arial Narrow" w:cs="Tahoma"/>
                <w:sz w:val="18"/>
                <w:szCs w:val="18"/>
                <w:lang w:eastAsia="en-US"/>
              </w:rPr>
              <w:t>k=1 RCT</w:t>
            </w:r>
          </w:p>
        </w:tc>
        <w:tc>
          <w:tcPr>
            <w:tcW w:w="1020" w:type="pct"/>
            <w:tcBorders>
              <w:top w:val="single" w:sz="4" w:space="0" w:color="auto"/>
              <w:left w:val="single" w:sz="4" w:space="0" w:color="auto"/>
              <w:bottom w:val="single" w:sz="4" w:space="0" w:color="auto"/>
              <w:right w:val="single" w:sz="4" w:space="0" w:color="auto"/>
            </w:tcBorders>
          </w:tcPr>
          <w:p w14:paraId="5BD17C12"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No conclusions could be made</w:t>
            </w:r>
          </w:p>
        </w:tc>
        <w:tc>
          <w:tcPr>
            <w:tcW w:w="459" w:type="pct"/>
            <w:tcBorders>
              <w:top w:val="single" w:sz="4" w:space="0" w:color="auto"/>
              <w:left w:val="single" w:sz="4" w:space="0" w:color="auto"/>
              <w:bottom w:val="single" w:sz="4" w:space="0" w:color="auto"/>
              <w:right w:val="single" w:sz="4" w:space="0" w:color="auto"/>
            </w:tcBorders>
          </w:tcPr>
          <w:p w14:paraId="0E919B61"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03028DBE"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Low quality</w:t>
            </w:r>
          </w:p>
        </w:tc>
        <w:tc>
          <w:tcPr>
            <w:tcW w:w="1939" w:type="pct"/>
            <w:tcBorders>
              <w:top w:val="single" w:sz="4" w:space="0" w:color="auto"/>
              <w:left w:val="single" w:sz="4" w:space="0" w:color="auto"/>
              <w:bottom w:val="single" w:sz="4" w:space="0" w:color="auto"/>
              <w:right w:val="single" w:sz="4" w:space="0" w:color="auto"/>
            </w:tcBorders>
          </w:tcPr>
          <w:p w14:paraId="140459AA"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There was no difference in frequency of AEs detected between groups. Patients in both arms were on other maintenance therapies, the impact of which was not determined.</w:t>
            </w:r>
          </w:p>
        </w:tc>
      </w:tr>
      <w:tr w:rsidR="00BA6645" w:rsidRPr="00C36B85" w14:paraId="4C682F5C" w14:textId="77777777" w:rsidTr="000528B8">
        <w:tc>
          <w:tcPr>
            <w:tcW w:w="5000" w:type="pct"/>
            <w:gridSpan w:val="5"/>
            <w:tcBorders>
              <w:top w:val="single" w:sz="4" w:space="0" w:color="auto"/>
              <w:left w:val="single" w:sz="4" w:space="0" w:color="auto"/>
              <w:bottom w:val="single" w:sz="6" w:space="0" w:color="auto"/>
              <w:right w:val="single" w:sz="4" w:space="0" w:color="auto"/>
            </w:tcBorders>
          </w:tcPr>
          <w:p w14:paraId="77427AA6" w14:textId="77777777" w:rsidR="00BA6645" w:rsidRPr="00C36B85" w:rsidRDefault="00BA6645" w:rsidP="00BA6645">
            <w:pPr>
              <w:spacing w:before="40" w:after="40"/>
              <w:rPr>
                <w:rFonts w:ascii="Arial Narrow" w:hAnsi="Arial Narrow" w:cs="Tahoma"/>
                <w:b/>
                <w:sz w:val="18"/>
                <w:szCs w:val="18"/>
                <w:lang w:eastAsia="en-US"/>
              </w:rPr>
            </w:pPr>
            <w:r w:rsidRPr="00C36B85">
              <w:rPr>
                <w:rFonts w:ascii="Arial Narrow" w:hAnsi="Arial Narrow" w:cs="Tahoma"/>
                <w:b/>
                <w:sz w:val="18"/>
                <w:szCs w:val="18"/>
                <w:lang w:eastAsia="en-US"/>
              </w:rPr>
              <w:t>Effectiveness</w:t>
            </w:r>
          </w:p>
        </w:tc>
      </w:tr>
      <w:tr w:rsidR="00BA6645" w:rsidRPr="00C36B85" w14:paraId="105F87FC" w14:textId="77777777" w:rsidTr="000528B8">
        <w:tc>
          <w:tcPr>
            <w:tcW w:w="918" w:type="pct"/>
            <w:tcBorders>
              <w:top w:val="single" w:sz="4" w:space="0" w:color="auto"/>
              <w:left w:val="single" w:sz="4" w:space="0" w:color="auto"/>
              <w:bottom w:val="single" w:sz="6" w:space="0" w:color="auto"/>
              <w:right w:val="single" w:sz="4" w:space="0" w:color="auto"/>
            </w:tcBorders>
          </w:tcPr>
          <w:p w14:paraId="53EDBC67"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Mortality (% patients with event)</w:t>
            </w:r>
          </w:p>
          <w:p w14:paraId="6261AF68" w14:textId="77777777" w:rsidR="00BA6645" w:rsidRPr="00C36B85" w:rsidRDefault="00BA6645" w:rsidP="00BA6645">
            <w:pPr>
              <w:spacing w:before="40" w:after="40"/>
              <w:rPr>
                <w:rFonts w:ascii="Arial Narrow" w:hAnsi="Arial Narrow" w:cs="Arial"/>
                <w:sz w:val="18"/>
                <w:szCs w:val="18"/>
              </w:rPr>
            </w:pP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v placebo</w:t>
            </w:r>
          </w:p>
        </w:tc>
        <w:tc>
          <w:tcPr>
            <w:tcW w:w="664" w:type="pct"/>
            <w:tcBorders>
              <w:top w:val="single" w:sz="4" w:space="0" w:color="auto"/>
              <w:left w:val="single" w:sz="4" w:space="0" w:color="auto"/>
              <w:bottom w:val="single" w:sz="6" w:space="0" w:color="auto"/>
              <w:right w:val="single" w:sz="4" w:space="0" w:color="auto"/>
            </w:tcBorders>
          </w:tcPr>
          <w:p w14:paraId="58930983"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n=62</w:t>
            </w:r>
          </w:p>
          <w:p w14:paraId="1BE0D38A"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k=1 RCT</w:t>
            </w:r>
          </w:p>
        </w:tc>
        <w:tc>
          <w:tcPr>
            <w:tcW w:w="1020" w:type="pct"/>
            <w:tcBorders>
              <w:top w:val="single" w:sz="4" w:space="0" w:color="auto"/>
              <w:left w:val="single" w:sz="4" w:space="0" w:color="auto"/>
              <w:bottom w:val="single" w:sz="6" w:space="0" w:color="auto"/>
              <w:right w:val="single" w:sz="4" w:space="0" w:color="auto"/>
            </w:tcBorders>
          </w:tcPr>
          <w:p w14:paraId="1B200CA8"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No conclusions could be made</w:t>
            </w:r>
          </w:p>
        </w:tc>
        <w:tc>
          <w:tcPr>
            <w:tcW w:w="459" w:type="pct"/>
            <w:tcBorders>
              <w:top w:val="single" w:sz="4" w:space="0" w:color="auto"/>
              <w:left w:val="single" w:sz="4" w:space="0" w:color="auto"/>
              <w:bottom w:val="single" w:sz="6" w:space="0" w:color="auto"/>
              <w:right w:val="single" w:sz="4" w:space="0" w:color="auto"/>
            </w:tcBorders>
          </w:tcPr>
          <w:p w14:paraId="3792535C"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0394D175" w14:textId="77777777" w:rsidR="00BA6645" w:rsidRPr="00C36B85" w:rsidRDefault="00BA6645" w:rsidP="00BA6645">
            <w:pPr>
              <w:spacing w:before="40" w:after="40"/>
              <w:jc w:val="both"/>
              <w:rPr>
                <w:rFonts w:ascii="Cambria Math" w:hAnsi="Cambria Math" w:cs="Cambria Math"/>
                <w:color w:val="00B050"/>
                <w:sz w:val="18"/>
                <w:szCs w:val="18"/>
              </w:rPr>
            </w:pPr>
            <w:r w:rsidRPr="00C36B85">
              <w:rPr>
                <w:rFonts w:ascii="Arial Narrow" w:hAnsi="Arial Narrow" w:cs="Cambria Math"/>
                <w:sz w:val="18"/>
                <w:szCs w:val="18"/>
              </w:rPr>
              <w:t>Low quality</w:t>
            </w:r>
          </w:p>
        </w:tc>
        <w:tc>
          <w:tcPr>
            <w:tcW w:w="1939" w:type="pct"/>
            <w:tcBorders>
              <w:top w:val="single" w:sz="4" w:space="0" w:color="auto"/>
              <w:left w:val="single" w:sz="4" w:space="0" w:color="auto"/>
              <w:bottom w:val="single" w:sz="6" w:space="0" w:color="auto"/>
              <w:right w:val="single" w:sz="4" w:space="0" w:color="auto"/>
            </w:tcBorders>
          </w:tcPr>
          <w:p w14:paraId="7F343198"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There was no difference in frequency between groups. . Patients in both arms were on other maintenance therapies, the impact of which was not determined.</w:t>
            </w:r>
          </w:p>
        </w:tc>
      </w:tr>
      <w:tr w:rsidR="00BA6645" w:rsidRPr="00C36B85" w14:paraId="02643C4C" w14:textId="77777777" w:rsidTr="000528B8">
        <w:tc>
          <w:tcPr>
            <w:tcW w:w="918" w:type="pct"/>
            <w:tcBorders>
              <w:top w:val="single" w:sz="4" w:space="0" w:color="auto"/>
              <w:left w:val="single" w:sz="4" w:space="0" w:color="auto"/>
              <w:bottom w:val="single" w:sz="4" w:space="0" w:color="auto"/>
              <w:right w:val="single" w:sz="4" w:space="0" w:color="auto"/>
            </w:tcBorders>
          </w:tcPr>
          <w:p w14:paraId="3BF09A73"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Change in QMGS (change in score from baseline to day 28)</w:t>
            </w:r>
          </w:p>
          <w:p w14:paraId="186207B2" w14:textId="77777777" w:rsidR="00BA6645" w:rsidRPr="00C36B85" w:rsidRDefault="00BA6645" w:rsidP="00BA6645">
            <w:pPr>
              <w:spacing w:before="40" w:after="40"/>
              <w:rPr>
                <w:rFonts w:ascii="Arial Narrow" w:hAnsi="Arial Narrow" w:cs="Tahoma"/>
                <w:sz w:val="18"/>
                <w:szCs w:val="18"/>
                <w:lang w:eastAsia="en-US"/>
              </w:rPr>
            </w:pP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v placebo</w:t>
            </w:r>
          </w:p>
        </w:tc>
        <w:tc>
          <w:tcPr>
            <w:tcW w:w="664" w:type="pct"/>
            <w:tcBorders>
              <w:top w:val="single" w:sz="4" w:space="0" w:color="auto"/>
              <w:left w:val="single" w:sz="4" w:space="0" w:color="auto"/>
              <w:bottom w:val="single" w:sz="4" w:space="0" w:color="auto"/>
              <w:right w:val="single" w:sz="4" w:space="0" w:color="auto"/>
            </w:tcBorders>
          </w:tcPr>
          <w:p w14:paraId="03CDE9F2"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n=51</w:t>
            </w:r>
          </w:p>
          <w:p w14:paraId="0D9497D3"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k=1 RCT</w:t>
            </w:r>
          </w:p>
        </w:tc>
        <w:tc>
          <w:tcPr>
            <w:tcW w:w="1020" w:type="pct"/>
            <w:tcBorders>
              <w:top w:val="single" w:sz="4" w:space="0" w:color="auto"/>
              <w:left w:val="single" w:sz="4" w:space="0" w:color="auto"/>
              <w:bottom w:val="single" w:sz="4" w:space="0" w:color="auto"/>
              <w:right w:val="single" w:sz="4" w:space="0" w:color="auto"/>
            </w:tcBorders>
          </w:tcPr>
          <w:p w14:paraId="189121E4"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No conclusions could be made</w:t>
            </w:r>
          </w:p>
        </w:tc>
        <w:tc>
          <w:tcPr>
            <w:tcW w:w="459" w:type="pct"/>
            <w:tcBorders>
              <w:top w:val="single" w:sz="4" w:space="0" w:color="auto"/>
              <w:left w:val="single" w:sz="4" w:space="0" w:color="auto"/>
              <w:bottom w:val="single" w:sz="4" w:space="0" w:color="auto"/>
              <w:right w:val="single" w:sz="4" w:space="0" w:color="auto"/>
            </w:tcBorders>
          </w:tcPr>
          <w:p w14:paraId="12CDF010"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017F4D30"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Low quality</w:t>
            </w:r>
          </w:p>
        </w:tc>
        <w:tc>
          <w:tcPr>
            <w:tcW w:w="1939" w:type="pct"/>
            <w:tcBorders>
              <w:top w:val="single" w:sz="4" w:space="0" w:color="auto"/>
              <w:left w:val="single" w:sz="4" w:space="0" w:color="auto"/>
              <w:bottom w:val="single" w:sz="4" w:space="0" w:color="auto"/>
              <w:right w:val="single" w:sz="4" w:space="0" w:color="auto"/>
            </w:tcBorders>
          </w:tcPr>
          <w:p w14:paraId="0BC0E6D5"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 symptom improvement in the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group at 28 days was not statistically significant. At 14 days the difference was stronger (p = 0.03). Some patients in both arms were taking one or more standard therapies. This outcome may show an incremental benefit of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over standard therapies</w:t>
            </w:r>
          </w:p>
        </w:tc>
      </w:tr>
      <w:tr w:rsidR="00BA6645" w:rsidRPr="00C36B85" w14:paraId="698410BD" w14:textId="77777777" w:rsidTr="000528B8">
        <w:tc>
          <w:tcPr>
            <w:tcW w:w="918" w:type="pct"/>
            <w:tcBorders>
              <w:top w:val="single" w:sz="4" w:space="0" w:color="auto"/>
              <w:left w:val="single" w:sz="4" w:space="0" w:color="auto"/>
              <w:bottom w:val="single" w:sz="4" w:space="0" w:color="auto"/>
              <w:right w:val="single" w:sz="4" w:space="0" w:color="auto"/>
            </w:tcBorders>
          </w:tcPr>
          <w:p w14:paraId="5A69D017"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Change in absolute score in children (mean change from baseline)</w:t>
            </w:r>
          </w:p>
          <w:p w14:paraId="2860E574" w14:textId="77777777" w:rsidR="00BA6645" w:rsidRPr="00C36B85" w:rsidRDefault="00BA6645" w:rsidP="00BA6645">
            <w:pPr>
              <w:spacing w:before="40" w:after="40"/>
              <w:rPr>
                <w:rFonts w:ascii="Arial Narrow" w:hAnsi="Arial Narrow" w:cs="Tahoma"/>
                <w:sz w:val="18"/>
                <w:szCs w:val="18"/>
                <w:lang w:eastAsia="en-US"/>
              </w:rPr>
            </w:pP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 MPN v MPN alone</w:t>
            </w:r>
          </w:p>
        </w:tc>
        <w:tc>
          <w:tcPr>
            <w:tcW w:w="664" w:type="pct"/>
            <w:tcBorders>
              <w:top w:val="single" w:sz="4" w:space="0" w:color="auto"/>
              <w:left w:val="single" w:sz="4" w:space="0" w:color="auto"/>
              <w:bottom w:val="single" w:sz="4" w:space="0" w:color="auto"/>
              <w:right w:val="single" w:sz="4" w:space="0" w:color="auto"/>
            </w:tcBorders>
          </w:tcPr>
          <w:p w14:paraId="284F52D5"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n=70</w:t>
            </w:r>
          </w:p>
          <w:p w14:paraId="062977FE"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 xml:space="preserve">k=1 Ret </w:t>
            </w:r>
            <w:proofErr w:type="spellStart"/>
            <w:r w:rsidRPr="00C36B85">
              <w:rPr>
                <w:rFonts w:ascii="Arial Narrow" w:hAnsi="Arial Narrow" w:cs="Tahoma"/>
                <w:sz w:val="18"/>
                <w:szCs w:val="18"/>
                <w:lang w:eastAsia="en-US"/>
              </w:rPr>
              <w:t>CoH</w:t>
            </w:r>
            <w:proofErr w:type="spellEnd"/>
          </w:p>
        </w:tc>
        <w:tc>
          <w:tcPr>
            <w:tcW w:w="1020" w:type="pct"/>
            <w:tcBorders>
              <w:top w:val="single" w:sz="4" w:space="0" w:color="auto"/>
              <w:left w:val="single" w:sz="4" w:space="0" w:color="auto"/>
              <w:bottom w:val="single" w:sz="4" w:space="0" w:color="auto"/>
              <w:right w:val="single" w:sz="4" w:space="0" w:color="auto"/>
            </w:tcBorders>
          </w:tcPr>
          <w:p w14:paraId="7FED111A"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No conclusions could be made</w:t>
            </w:r>
          </w:p>
        </w:tc>
        <w:tc>
          <w:tcPr>
            <w:tcW w:w="459" w:type="pct"/>
            <w:tcBorders>
              <w:top w:val="single" w:sz="4" w:space="0" w:color="auto"/>
              <w:left w:val="single" w:sz="4" w:space="0" w:color="auto"/>
              <w:bottom w:val="single" w:sz="4" w:space="0" w:color="auto"/>
              <w:right w:val="single" w:sz="4" w:space="0" w:color="auto"/>
            </w:tcBorders>
          </w:tcPr>
          <w:p w14:paraId="44B61DBD"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199FA8EA"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Low quality</w:t>
            </w:r>
          </w:p>
        </w:tc>
        <w:tc>
          <w:tcPr>
            <w:tcW w:w="1939" w:type="pct"/>
            <w:tcBorders>
              <w:top w:val="single" w:sz="4" w:space="0" w:color="auto"/>
              <w:left w:val="single" w:sz="4" w:space="0" w:color="auto"/>
              <w:bottom w:val="single" w:sz="4" w:space="0" w:color="auto"/>
              <w:right w:val="single" w:sz="4" w:space="0" w:color="auto"/>
            </w:tcBorders>
          </w:tcPr>
          <w:p w14:paraId="1D1FD6E7"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Symptom improvement favoured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but may be unreliable due to poor study quality. Patients </w:t>
            </w:r>
            <w:proofErr w:type="gramStart"/>
            <w:r w:rsidRPr="00C36B85">
              <w:rPr>
                <w:rFonts w:ascii="Arial Narrow" w:hAnsi="Arial Narrow" w:cs="Tahoma"/>
                <w:sz w:val="18"/>
                <w:szCs w:val="18"/>
                <w:lang w:eastAsia="en-US"/>
              </w:rPr>
              <w:t>were also given</w:t>
            </w:r>
            <w:proofErr w:type="gramEnd"/>
            <w:r w:rsidRPr="00C36B85">
              <w:rPr>
                <w:rFonts w:ascii="Arial Narrow" w:hAnsi="Arial Narrow" w:cs="Tahoma"/>
                <w:sz w:val="18"/>
                <w:szCs w:val="18"/>
                <w:lang w:eastAsia="en-US"/>
              </w:rPr>
              <w:t xml:space="preserve"> other standard therapies over the course of the study. This outcome may show incremental benefit of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over high dose IV MPN.</w:t>
            </w:r>
          </w:p>
        </w:tc>
      </w:tr>
      <w:tr w:rsidR="00BA6645" w:rsidRPr="00C36B85" w14:paraId="6430A634" w14:textId="77777777" w:rsidTr="000528B8">
        <w:tc>
          <w:tcPr>
            <w:tcW w:w="5000" w:type="pct"/>
            <w:gridSpan w:val="5"/>
            <w:tcBorders>
              <w:top w:val="single" w:sz="12"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83250A"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GRADE Working Group grades of evidence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Arial Narrow" w:hAnsi="Arial Narrow" w:cs="Cambria Math"/>
                <w:color w:val="00B050"/>
                <w:sz w:val="18"/>
                <w:szCs w:val="18"/>
              </w:rPr>
              <w:t xml:space="preserve"> </w:t>
            </w:r>
            <w:r w:rsidRPr="00C36B85">
              <w:rPr>
                <w:rFonts w:ascii="Arial Narrow" w:hAnsi="Arial Narrow" w:cs="Tahoma"/>
                <w:b/>
                <w:bCs/>
                <w:sz w:val="18"/>
                <w:szCs w:val="18"/>
                <w:lang w:eastAsia="en-US"/>
              </w:rPr>
              <w:t>High quality:</w:t>
            </w:r>
            <w:r w:rsidRPr="00C36B85">
              <w:rPr>
                <w:rFonts w:ascii="Arial Narrow" w:hAnsi="Arial Narrow" w:cs="Tahoma"/>
                <w:sz w:val="18"/>
                <w:szCs w:val="18"/>
                <w:lang w:eastAsia="en-US"/>
              </w:rPr>
              <w:t xml:space="preserve"> Further research is very unlikely to change our confidence in the estimate of effect. </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Moderate quality:</w:t>
            </w:r>
            <w:r w:rsidRPr="00C36B85">
              <w:rPr>
                <w:rFonts w:ascii="Arial Narrow" w:hAnsi="Arial Narrow" w:cs="Tahoma"/>
                <w:sz w:val="18"/>
                <w:szCs w:val="18"/>
                <w:lang w:eastAsia="en-US"/>
              </w:rPr>
              <w:t xml:space="preserve"> Further research is likely to have an important impact on our confidence in the estimate of effect and may change the estimate.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Low quality:</w:t>
            </w:r>
            <w:r w:rsidRPr="00C36B85">
              <w:rPr>
                <w:rFonts w:ascii="Arial Narrow" w:hAnsi="Arial Narrow" w:cs="Tahoma"/>
                <w:sz w:val="18"/>
                <w:szCs w:val="18"/>
                <w:lang w:eastAsia="en-US"/>
              </w:rPr>
              <w:t xml:space="preserve"> Further research is very likely to have an important impact on our confidence in the estimate of effect and is likely to change the estimate.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Very low quality:</w:t>
            </w:r>
            <w:r w:rsidRPr="00C36B85">
              <w:rPr>
                <w:rFonts w:ascii="Arial Narrow" w:hAnsi="Arial Narrow" w:cs="Tahoma"/>
                <w:sz w:val="18"/>
                <w:szCs w:val="18"/>
                <w:lang w:eastAsia="en-US"/>
              </w:rPr>
              <w:t xml:space="preserve"> We are very uncertain about the estimate.</w:t>
            </w:r>
          </w:p>
        </w:tc>
      </w:tr>
    </w:tbl>
    <w:p w14:paraId="39651439" w14:textId="77777777" w:rsidR="00BA6645" w:rsidRDefault="00BA6645" w:rsidP="00BA6645">
      <w:pPr>
        <w:widowControl w:val="0"/>
        <w:spacing w:before="40" w:after="120"/>
        <w:jc w:val="both"/>
        <w:rPr>
          <w:rFonts w:ascii="Arial Narrow" w:hAnsi="Arial Narrow" w:cs="Arial"/>
          <w:snapToGrid w:val="0"/>
          <w:sz w:val="18"/>
          <w:lang w:eastAsia="en-US"/>
        </w:rPr>
      </w:pPr>
      <w:r w:rsidRPr="00C36B85">
        <w:rPr>
          <w:rFonts w:ascii="Arial Narrow" w:hAnsi="Arial Narrow" w:cs="Arial"/>
          <w:snapToGrid w:val="0"/>
          <w:sz w:val="18"/>
          <w:lang w:eastAsia="en-US"/>
        </w:rPr>
        <w:t xml:space="preserve">AE = adverse events; </w:t>
      </w:r>
      <w:proofErr w:type="spellStart"/>
      <w:r w:rsidRPr="00C36B85">
        <w:rPr>
          <w:rFonts w:ascii="Arial Narrow" w:hAnsi="Arial Narrow" w:cs="Arial"/>
          <w:snapToGrid w:val="0"/>
          <w:sz w:val="18"/>
          <w:lang w:eastAsia="en-US"/>
        </w:rPr>
        <w:t>IVIg</w:t>
      </w:r>
      <w:proofErr w:type="spellEnd"/>
      <w:r w:rsidRPr="00C36B85">
        <w:rPr>
          <w:rFonts w:ascii="Arial Narrow" w:hAnsi="Arial Narrow" w:cs="Arial"/>
          <w:snapToGrid w:val="0"/>
          <w:sz w:val="18"/>
          <w:lang w:eastAsia="en-US"/>
        </w:rPr>
        <w:t xml:space="preserve"> = intravenous immunoglobulin therapy; MG = myasthenia gravis; MPN = methylprednisolone therapy; PE = plasma exchange therapy; QMGS = quantitative myasthenia gravis score; Ret </w:t>
      </w:r>
      <w:proofErr w:type="spellStart"/>
      <w:r w:rsidRPr="00C36B85">
        <w:rPr>
          <w:rFonts w:ascii="Arial Narrow" w:hAnsi="Arial Narrow" w:cs="Arial"/>
          <w:snapToGrid w:val="0"/>
          <w:sz w:val="18"/>
          <w:lang w:eastAsia="en-US"/>
        </w:rPr>
        <w:t>CoH</w:t>
      </w:r>
      <w:proofErr w:type="spellEnd"/>
      <w:r w:rsidRPr="00C36B85">
        <w:rPr>
          <w:rFonts w:ascii="Arial Narrow" w:hAnsi="Arial Narrow" w:cs="Arial"/>
          <w:snapToGrid w:val="0"/>
          <w:sz w:val="18"/>
          <w:lang w:eastAsia="en-US"/>
        </w:rPr>
        <w:t xml:space="preserve"> = retrospective cohort study; RCT = randomised controlled trial; </w:t>
      </w:r>
    </w:p>
    <w:p w14:paraId="065260C0" w14:textId="5F9BD8C0" w:rsidR="00BE75FD" w:rsidRPr="00BE75FD" w:rsidRDefault="00BA6645" w:rsidP="00BE75FD">
      <w:pPr>
        <w:widowControl w:val="0"/>
        <w:spacing w:before="40" w:after="120"/>
        <w:jc w:val="both"/>
        <w:rPr>
          <w:rFonts w:ascii="Arial Narrow" w:hAnsi="Arial Narrow" w:cs="Arial"/>
          <w:snapToGrid w:val="0"/>
          <w:sz w:val="18"/>
          <w:lang w:eastAsia="en-US"/>
        </w:rPr>
      </w:pPr>
      <w:r>
        <w:rPr>
          <w:rFonts w:ascii="Arial Narrow" w:hAnsi="Arial Narrow" w:cs="Arial"/>
          <w:snapToGrid w:val="0"/>
          <w:sz w:val="18"/>
          <w:lang w:eastAsia="en-US"/>
        </w:rPr>
        <w:t>Source: Contracted Assessment, Table 50</w:t>
      </w:r>
      <w:bookmarkStart w:id="21" w:name="_Ref12884171"/>
      <w:bookmarkStart w:id="22" w:name="_Toc23769538"/>
      <w:r w:rsidR="00BE75FD">
        <w:br w:type="page"/>
      </w:r>
    </w:p>
    <w:p w14:paraId="69291BE3" w14:textId="7A14AD89" w:rsidR="00BA6645" w:rsidRPr="00C163D0" w:rsidRDefault="00BA6645" w:rsidP="00C163D0">
      <w:pPr>
        <w:rPr>
          <w:rFonts w:ascii="Arial Narrow" w:hAnsi="Arial Narrow"/>
          <w:b/>
          <w:sz w:val="20"/>
        </w:rPr>
      </w:pPr>
      <w:r w:rsidRPr="00C163D0">
        <w:rPr>
          <w:rFonts w:ascii="Arial Narrow" w:hAnsi="Arial Narrow"/>
          <w:b/>
          <w:sz w:val="20"/>
        </w:rPr>
        <w:lastRenderedPageBreak/>
        <w:t>Table</w:t>
      </w:r>
      <w:bookmarkEnd w:id="21"/>
      <w:r w:rsidRPr="00C163D0">
        <w:rPr>
          <w:rFonts w:ascii="Arial Narrow" w:hAnsi="Arial Narrow"/>
          <w:b/>
          <w:sz w:val="20"/>
        </w:rPr>
        <w:t xml:space="preserve"> 8 </w:t>
      </w:r>
      <w:r w:rsidRPr="00C163D0">
        <w:rPr>
          <w:rFonts w:ascii="Arial Narrow" w:hAnsi="Arial Narrow"/>
          <w:b/>
          <w:sz w:val="20"/>
        </w:rPr>
        <w:tab/>
        <w:t xml:space="preserve">Balance of clinical benefits and harms of </w:t>
      </w:r>
      <w:proofErr w:type="spellStart"/>
      <w:r w:rsidRPr="00C163D0">
        <w:rPr>
          <w:rFonts w:ascii="Arial Narrow" w:hAnsi="Arial Narrow"/>
          <w:b/>
          <w:sz w:val="20"/>
          <w:u w:val="single"/>
        </w:rPr>
        <w:t>IVIg</w:t>
      </w:r>
      <w:proofErr w:type="spellEnd"/>
      <w:r w:rsidRPr="00C163D0">
        <w:rPr>
          <w:rFonts w:ascii="Arial Narrow" w:hAnsi="Arial Narrow"/>
          <w:b/>
          <w:sz w:val="20"/>
          <w:u w:val="single"/>
        </w:rPr>
        <w:t xml:space="preserve"> relative to PE</w:t>
      </w:r>
      <w:r w:rsidRPr="00C163D0">
        <w:rPr>
          <w:rFonts w:ascii="Arial Narrow" w:hAnsi="Arial Narrow"/>
          <w:b/>
          <w:sz w:val="20"/>
        </w:rPr>
        <w:t xml:space="preserve"> in MG patients changing maintenance therapy (</w:t>
      </w:r>
      <w:r w:rsidRPr="00C163D0">
        <w:rPr>
          <w:rFonts w:ascii="Arial Narrow" w:hAnsi="Arial Narrow"/>
          <w:b/>
          <w:i/>
          <w:sz w:val="20"/>
        </w:rPr>
        <w:t>Criteria V3</w:t>
      </w:r>
      <w:r w:rsidRPr="00C163D0">
        <w:rPr>
          <w:rFonts w:ascii="Arial Narrow" w:hAnsi="Arial Narrow"/>
          <w:b/>
          <w:sz w:val="20"/>
        </w:rPr>
        <w:t xml:space="preserve"> Indication 3) as measured by the </w:t>
      </w:r>
      <w:r w:rsidRPr="00C163D0">
        <w:rPr>
          <w:rFonts w:ascii="Arial Narrow" w:hAnsi="Arial Narrow"/>
          <w:b/>
          <w:sz w:val="20"/>
          <w:u w:val="single"/>
        </w:rPr>
        <w:t>critical</w:t>
      </w:r>
      <w:r w:rsidRPr="00C163D0">
        <w:rPr>
          <w:rFonts w:ascii="Arial Narrow" w:hAnsi="Arial Narrow"/>
          <w:b/>
          <w:sz w:val="20"/>
        </w:rPr>
        <w:t xml:space="preserve"> patient relevant outcomes in the key studies</w:t>
      </w:r>
      <w:bookmarkEnd w:id="22"/>
    </w:p>
    <w:tbl>
      <w:tblPr>
        <w:tblW w:w="4977" w:type="pct"/>
        <w:tblLook w:val="04A0" w:firstRow="1" w:lastRow="0" w:firstColumn="1" w:lastColumn="0" w:noHBand="0" w:noVBand="1"/>
        <w:tblCaption w:val="Table 49 Balance of clinical benefits and harms of IVIg relative to PE in MG patients changing maintenance therapy (Criteria V3 Indication 3) as measured by the critical patient relevant outcomes in the key studies"/>
        <w:tblDescription w:val="Summary of the GRADE assessment of critical safety and effectiveness outcomes for patients receiving IVIg compared to those,receiving PE (Indication 3)."/>
      </w:tblPr>
      <w:tblGrid>
        <w:gridCol w:w="1551"/>
        <w:gridCol w:w="1188"/>
        <w:gridCol w:w="1918"/>
        <w:gridCol w:w="933"/>
        <w:gridCol w:w="3385"/>
      </w:tblGrid>
      <w:tr w:rsidR="00BA6645" w:rsidRPr="00C36B85" w14:paraId="3693C0B7" w14:textId="77777777" w:rsidTr="000528B8">
        <w:trPr>
          <w:trHeight w:val="639"/>
          <w:tblHeader/>
        </w:trPr>
        <w:tc>
          <w:tcPr>
            <w:tcW w:w="867" w:type="pct"/>
            <w:tcBorders>
              <w:top w:val="single" w:sz="4" w:space="0" w:color="auto"/>
              <w:left w:val="single" w:sz="4" w:space="0" w:color="auto"/>
              <w:bottom w:val="single" w:sz="12" w:space="0" w:color="auto"/>
              <w:right w:val="single" w:sz="4" w:space="0" w:color="auto"/>
            </w:tcBorders>
            <w:shd w:val="clear" w:color="auto" w:fill="EEECE1"/>
          </w:tcPr>
          <w:p w14:paraId="691FC44E"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Outcome</w:t>
            </w:r>
          </w:p>
        </w:tc>
        <w:tc>
          <w:tcPr>
            <w:tcW w:w="664" w:type="pct"/>
            <w:tcBorders>
              <w:top w:val="single" w:sz="4" w:space="0" w:color="auto"/>
              <w:bottom w:val="single" w:sz="12" w:space="0" w:color="auto"/>
              <w:right w:val="single" w:sz="4" w:space="0" w:color="auto"/>
            </w:tcBorders>
            <w:shd w:val="clear" w:color="auto" w:fill="EEECE1"/>
          </w:tcPr>
          <w:p w14:paraId="02BAD34F"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Participants</w:t>
            </w:r>
          </w:p>
          <w:p w14:paraId="5449318C"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Studies</w:t>
            </w:r>
          </w:p>
        </w:tc>
        <w:tc>
          <w:tcPr>
            <w:tcW w:w="1071" w:type="pct"/>
            <w:tcBorders>
              <w:top w:val="single" w:sz="4" w:space="0" w:color="auto"/>
              <w:left w:val="single" w:sz="4" w:space="0" w:color="auto"/>
              <w:bottom w:val="single" w:sz="12" w:space="0" w:color="auto"/>
              <w:right w:val="single" w:sz="4" w:space="0" w:color="auto"/>
            </w:tcBorders>
            <w:shd w:val="clear" w:color="auto" w:fill="EEECE1"/>
          </w:tcPr>
          <w:p w14:paraId="16FEBC61"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Effect</w:t>
            </w:r>
          </w:p>
        </w:tc>
        <w:tc>
          <w:tcPr>
            <w:tcW w:w="510" w:type="pct"/>
            <w:tcBorders>
              <w:top w:val="single" w:sz="4" w:space="0" w:color="auto"/>
              <w:left w:val="single" w:sz="4" w:space="0" w:color="auto"/>
              <w:bottom w:val="single" w:sz="12" w:space="0" w:color="auto"/>
              <w:right w:val="single" w:sz="4" w:space="0" w:color="auto"/>
            </w:tcBorders>
            <w:shd w:val="clear" w:color="auto" w:fill="EEECE1"/>
          </w:tcPr>
          <w:p w14:paraId="458D8AAA"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GRADE</w:t>
            </w:r>
          </w:p>
        </w:tc>
        <w:tc>
          <w:tcPr>
            <w:tcW w:w="1888" w:type="pct"/>
            <w:tcBorders>
              <w:top w:val="single" w:sz="4" w:space="0" w:color="auto"/>
              <w:left w:val="single" w:sz="4" w:space="0" w:color="auto"/>
              <w:bottom w:val="single" w:sz="12" w:space="0" w:color="auto"/>
              <w:right w:val="single" w:sz="4" w:space="0" w:color="auto"/>
            </w:tcBorders>
            <w:shd w:val="clear" w:color="auto" w:fill="EEECE1"/>
          </w:tcPr>
          <w:p w14:paraId="620D62CA" w14:textId="77777777" w:rsidR="00BA6645" w:rsidRPr="00C36B85" w:rsidRDefault="00BA6645" w:rsidP="00BA6645">
            <w:pPr>
              <w:spacing w:before="40" w:after="40"/>
              <w:jc w:val="both"/>
              <w:rPr>
                <w:rFonts w:ascii="Arial Narrow" w:hAnsi="Arial Narrow" w:cs="Tahoma"/>
                <w:b/>
                <w:sz w:val="20"/>
                <w:lang w:eastAsia="en-US"/>
              </w:rPr>
            </w:pPr>
            <w:r w:rsidRPr="00C36B85">
              <w:rPr>
                <w:rFonts w:ascii="Arial Narrow" w:hAnsi="Arial Narrow" w:cs="Tahoma"/>
                <w:b/>
                <w:sz w:val="20"/>
                <w:lang w:eastAsia="en-US"/>
              </w:rPr>
              <w:t>Comments</w:t>
            </w:r>
          </w:p>
        </w:tc>
      </w:tr>
      <w:tr w:rsidR="00BA6645" w:rsidRPr="00C36B85" w14:paraId="21986CB2" w14:textId="77777777" w:rsidTr="000528B8">
        <w:tc>
          <w:tcPr>
            <w:tcW w:w="5000" w:type="pct"/>
            <w:gridSpan w:val="5"/>
            <w:tcBorders>
              <w:top w:val="single" w:sz="12" w:space="0" w:color="auto"/>
              <w:left w:val="single" w:sz="4" w:space="0" w:color="auto"/>
              <w:bottom w:val="single" w:sz="4" w:space="0" w:color="auto"/>
              <w:right w:val="single" w:sz="4" w:space="0" w:color="auto"/>
            </w:tcBorders>
          </w:tcPr>
          <w:p w14:paraId="5D550472" w14:textId="77777777" w:rsidR="00BA6645" w:rsidRPr="00C36B85" w:rsidRDefault="00BA6645" w:rsidP="00BA6645">
            <w:pPr>
              <w:spacing w:before="40" w:after="40"/>
              <w:rPr>
                <w:rFonts w:ascii="Arial Narrow" w:hAnsi="Arial Narrow" w:cs="Tahoma"/>
                <w:b/>
                <w:sz w:val="18"/>
                <w:szCs w:val="18"/>
                <w:lang w:eastAsia="en-US"/>
              </w:rPr>
            </w:pPr>
            <w:r w:rsidRPr="00C36B85">
              <w:rPr>
                <w:rFonts w:ascii="Arial Narrow" w:hAnsi="Arial Narrow" w:cs="Tahoma"/>
                <w:b/>
                <w:sz w:val="18"/>
                <w:szCs w:val="18"/>
                <w:lang w:eastAsia="en-US"/>
              </w:rPr>
              <w:t>Safety</w:t>
            </w:r>
          </w:p>
        </w:tc>
      </w:tr>
      <w:tr w:rsidR="00BA6645" w:rsidRPr="00C36B85" w14:paraId="495865BC" w14:textId="77777777" w:rsidTr="000528B8">
        <w:tc>
          <w:tcPr>
            <w:tcW w:w="867" w:type="pct"/>
            <w:tcBorders>
              <w:top w:val="single" w:sz="4" w:space="0" w:color="auto"/>
              <w:left w:val="single" w:sz="4" w:space="0" w:color="auto"/>
              <w:bottom w:val="single" w:sz="6" w:space="0" w:color="auto"/>
              <w:right w:val="single" w:sz="4" w:space="0" w:color="auto"/>
            </w:tcBorders>
          </w:tcPr>
          <w:p w14:paraId="6F8EB5FD"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Arial"/>
                <w:sz w:val="18"/>
                <w:szCs w:val="18"/>
              </w:rPr>
              <w:t xml:space="preserve">Adverse events </w:t>
            </w:r>
            <w:r w:rsidRPr="00C36B85">
              <w:rPr>
                <w:rFonts w:ascii="Arial Narrow" w:hAnsi="Arial Narrow" w:cs="Arial"/>
                <w:sz w:val="18"/>
                <w:szCs w:val="18"/>
              </w:rPr>
              <w:br/>
              <w:t>(% patients with any event)</w:t>
            </w:r>
          </w:p>
        </w:tc>
        <w:tc>
          <w:tcPr>
            <w:tcW w:w="664" w:type="pct"/>
            <w:tcBorders>
              <w:top w:val="single" w:sz="4" w:space="0" w:color="auto"/>
              <w:left w:val="single" w:sz="4" w:space="0" w:color="auto"/>
              <w:bottom w:val="single" w:sz="6" w:space="0" w:color="auto"/>
              <w:right w:val="single" w:sz="4" w:space="0" w:color="auto"/>
            </w:tcBorders>
          </w:tcPr>
          <w:p w14:paraId="50E89622"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n=1,034</w:t>
            </w:r>
          </w:p>
          <w:p w14:paraId="05D46D7F"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 xml:space="preserve">k=3 RCTs, 1 Ret </w:t>
            </w:r>
            <w:proofErr w:type="spellStart"/>
            <w:r w:rsidRPr="00C36B85">
              <w:rPr>
                <w:rFonts w:ascii="Arial Narrow" w:hAnsi="Arial Narrow" w:cs="Tahoma"/>
                <w:sz w:val="18"/>
                <w:szCs w:val="18"/>
                <w:lang w:eastAsia="en-US"/>
              </w:rPr>
              <w:t>CoH</w:t>
            </w:r>
            <w:proofErr w:type="spellEnd"/>
          </w:p>
        </w:tc>
        <w:tc>
          <w:tcPr>
            <w:tcW w:w="1071" w:type="pct"/>
            <w:tcBorders>
              <w:top w:val="single" w:sz="4" w:space="0" w:color="auto"/>
              <w:left w:val="single" w:sz="4" w:space="0" w:color="auto"/>
              <w:bottom w:val="single" w:sz="6" w:space="0" w:color="auto"/>
              <w:right w:val="single" w:sz="4" w:space="0" w:color="auto"/>
            </w:tcBorders>
          </w:tcPr>
          <w:p w14:paraId="41795E21"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between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and PE</w:t>
            </w:r>
          </w:p>
        </w:tc>
        <w:tc>
          <w:tcPr>
            <w:tcW w:w="510" w:type="pct"/>
            <w:tcBorders>
              <w:top w:val="single" w:sz="4" w:space="0" w:color="auto"/>
              <w:left w:val="single" w:sz="4" w:space="0" w:color="auto"/>
              <w:bottom w:val="single" w:sz="6" w:space="0" w:color="auto"/>
              <w:right w:val="single" w:sz="4" w:space="0" w:color="auto"/>
            </w:tcBorders>
          </w:tcPr>
          <w:p w14:paraId="681CEC48"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38A16D42"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Moderate quality</w:t>
            </w:r>
          </w:p>
        </w:tc>
        <w:tc>
          <w:tcPr>
            <w:tcW w:w="1888" w:type="pct"/>
            <w:tcBorders>
              <w:top w:val="single" w:sz="4" w:space="0" w:color="auto"/>
              <w:left w:val="single" w:sz="4" w:space="0" w:color="auto"/>
              <w:bottom w:val="single" w:sz="6" w:space="0" w:color="auto"/>
              <w:right w:val="single" w:sz="4" w:space="0" w:color="auto"/>
            </w:tcBorders>
          </w:tcPr>
          <w:p w14:paraId="23E9546B"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in frequency of AEs detected between groups. This outcome may be impacted by selection bias in the cohort </w:t>
            </w:r>
            <w:proofErr w:type="gramStart"/>
            <w:r w:rsidRPr="00C36B85">
              <w:rPr>
                <w:rFonts w:ascii="Arial Narrow" w:hAnsi="Arial Narrow" w:cs="Tahoma"/>
                <w:sz w:val="18"/>
                <w:szCs w:val="18"/>
                <w:lang w:eastAsia="en-US"/>
              </w:rPr>
              <w:t>studies,</w:t>
            </w:r>
            <w:proofErr w:type="gramEnd"/>
            <w:r w:rsidRPr="00C36B85">
              <w:rPr>
                <w:rFonts w:ascii="Arial Narrow" w:hAnsi="Arial Narrow" w:cs="Tahoma"/>
                <w:sz w:val="18"/>
                <w:szCs w:val="18"/>
                <w:lang w:eastAsia="en-US"/>
              </w:rPr>
              <w:t xml:space="preserve"> however the results are consistent across all studies.</w:t>
            </w:r>
          </w:p>
        </w:tc>
      </w:tr>
      <w:tr w:rsidR="00BA6645" w:rsidRPr="00C36B85" w14:paraId="1621AB68" w14:textId="77777777" w:rsidTr="000528B8">
        <w:tc>
          <w:tcPr>
            <w:tcW w:w="867" w:type="pct"/>
            <w:tcBorders>
              <w:top w:val="single" w:sz="4" w:space="0" w:color="auto"/>
              <w:left w:val="single" w:sz="4" w:space="0" w:color="auto"/>
              <w:bottom w:val="single" w:sz="4" w:space="0" w:color="auto"/>
              <w:right w:val="single" w:sz="4" w:space="0" w:color="auto"/>
            </w:tcBorders>
          </w:tcPr>
          <w:p w14:paraId="5F43C778"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Arial"/>
                <w:sz w:val="18"/>
                <w:szCs w:val="18"/>
              </w:rPr>
              <w:t xml:space="preserve">Adverse events </w:t>
            </w:r>
            <w:r w:rsidRPr="00C36B85">
              <w:rPr>
                <w:rFonts w:ascii="Arial Narrow" w:hAnsi="Arial Narrow" w:cs="Arial"/>
                <w:sz w:val="18"/>
                <w:szCs w:val="18"/>
              </w:rPr>
              <w:br/>
              <w:t>(% children with pyrexia and rigors or central line sepsis)</w:t>
            </w:r>
          </w:p>
        </w:tc>
        <w:tc>
          <w:tcPr>
            <w:tcW w:w="664" w:type="pct"/>
            <w:tcBorders>
              <w:top w:val="single" w:sz="4" w:space="0" w:color="auto"/>
              <w:left w:val="single" w:sz="4" w:space="0" w:color="auto"/>
              <w:bottom w:val="single" w:sz="4" w:space="0" w:color="auto"/>
              <w:right w:val="single" w:sz="4" w:space="0" w:color="auto"/>
            </w:tcBorders>
          </w:tcPr>
          <w:p w14:paraId="46482F32"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n=17</w:t>
            </w:r>
          </w:p>
          <w:p w14:paraId="5A475A85"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 xml:space="preserve">k=1 Ret </w:t>
            </w:r>
            <w:proofErr w:type="spellStart"/>
            <w:r w:rsidRPr="00C36B85">
              <w:rPr>
                <w:rFonts w:ascii="Arial Narrow" w:hAnsi="Arial Narrow" w:cs="Tahoma"/>
                <w:sz w:val="18"/>
                <w:szCs w:val="18"/>
                <w:lang w:eastAsia="en-US"/>
              </w:rPr>
              <w:t>CoH</w:t>
            </w:r>
            <w:proofErr w:type="spellEnd"/>
          </w:p>
        </w:tc>
        <w:tc>
          <w:tcPr>
            <w:tcW w:w="1071" w:type="pct"/>
            <w:tcBorders>
              <w:top w:val="single" w:sz="4" w:space="0" w:color="auto"/>
              <w:left w:val="single" w:sz="4" w:space="0" w:color="auto"/>
              <w:bottom w:val="single" w:sz="4" w:space="0" w:color="auto"/>
              <w:right w:val="single" w:sz="4" w:space="0" w:color="auto"/>
            </w:tcBorders>
          </w:tcPr>
          <w:p w14:paraId="7E68737C"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No conclusions could be made</w:t>
            </w:r>
          </w:p>
        </w:tc>
        <w:tc>
          <w:tcPr>
            <w:tcW w:w="510" w:type="pct"/>
            <w:tcBorders>
              <w:top w:val="single" w:sz="4" w:space="0" w:color="auto"/>
              <w:left w:val="single" w:sz="4" w:space="0" w:color="auto"/>
              <w:bottom w:val="single" w:sz="4" w:space="0" w:color="auto"/>
              <w:right w:val="single" w:sz="4" w:space="0" w:color="auto"/>
            </w:tcBorders>
          </w:tcPr>
          <w:p w14:paraId="08234DB8"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4D692E16"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Very low quality</w:t>
            </w:r>
          </w:p>
        </w:tc>
        <w:tc>
          <w:tcPr>
            <w:tcW w:w="1888" w:type="pct"/>
            <w:tcBorders>
              <w:top w:val="single" w:sz="4" w:space="0" w:color="auto"/>
              <w:left w:val="single" w:sz="4" w:space="0" w:color="auto"/>
              <w:bottom w:val="single" w:sz="4" w:space="0" w:color="auto"/>
              <w:right w:val="single" w:sz="4" w:space="0" w:color="auto"/>
            </w:tcBorders>
          </w:tcPr>
          <w:p w14:paraId="5719DC34"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The frequency of AEs was lower in children given PE but the difference was not statistically significant. This result may be unreliable due to small participant numbers.</w:t>
            </w:r>
          </w:p>
        </w:tc>
      </w:tr>
      <w:tr w:rsidR="00BA6645" w:rsidRPr="00C36B85" w14:paraId="7A797FC5" w14:textId="77777777" w:rsidTr="000528B8">
        <w:tc>
          <w:tcPr>
            <w:tcW w:w="5000" w:type="pct"/>
            <w:gridSpan w:val="5"/>
            <w:tcBorders>
              <w:top w:val="single" w:sz="4" w:space="0" w:color="auto"/>
              <w:left w:val="single" w:sz="4" w:space="0" w:color="auto"/>
              <w:bottom w:val="single" w:sz="4" w:space="0" w:color="auto"/>
              <w:right w:val="single" w:sz="4" w:space="0" w:color="auto"/>
            </w:tcBorders>
          </w:tcPr>
          <w:p w14:paraId="24B97991" w14:textId="77777777" w:rsidR="00BA6645" w:rsidRPr="00C36B85" w:rsidRDefault="00BA6645" w:rsidP="00BA6645">
            <w:pPr>
              <w:spacing w:before="40" w:after="40"/>
              <w:rPr>
                <w:rFonts w:ascii="Arial Narrow" w:hAnsi="Arial Narrow" w:cs="Tahoma"/>
                <w:b/>
                <w:sz w:val="18"/>
                <w:szCs w:val="18"/>
                <w:lang w:eastAsia="en-US"/>
              </w:rPr>
            </w:pPr>
            <w:r w:rsidRPr="00C36B85">
              <w:rPr>
                <w:rFonts w:ascii="Arial Narrow" w:hAnsi="Arial Narrow" w:cs="Tahoma"/>
                <w:b/>
                <w:sz w:val="18"/>
                <w:szCs w:val="18"/>
                <w:lang w:eastAsia="en-US"/>
              </w:rPr>
              <w:t>Effectiveness</w:t>
            </w:r>
          </w:p>
        </w:tc>
      </w:tr>
      <w:tr w:rsidR="00BA6645" w:rsidRPr="00C36B85" w14:paraId="6C38EEB9" w14:textId="77777777" w:rsidTr="000528B8">
        <w:tc>
          <w:tcPr>
            <w:tcW w:w="867" w:type="pct"/>
            <w:tcBorders>
              <w:top w:val="single" w:sz="4" w:space="0" w:color="auto"/>
              <w:left w:val="single" w:sz="4" w:space="0" w:color="auto"/>
              <w:bottom w:val="single" w:sz="4" w:space="0" w:color="auto"/>
              <w:right w:val="single" w:sz="4" w:space="0" w:color="auto"/>
            </w:tcBorders>
          </w:tcPr>
          <w:p w14:paraId="2227AF71"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Infection rate </w:t>
            </w:r>
            <w:r w:rsidRPr="00C36B85">
              <w:rPr>
                <w:rFonts w:ascii="Arial Narrow" w:hAnsi="Arial Narrow" w:cs="Tahoma"/>
                <w:sz w:val="18"/>
                <w:szCs w:val="18"/>
                <w:lang w:eastAsia="en-US"/>
              </w:rPr>
              <w:br/>
              <w:t>(% patients with event)</w:t>
            </w:r>
          </w:p>
        </w:tc>
        <w:tc>
          <w:tcPr>
            <w:tcW w:w="664" w:type="pct"/>
            <w:tcBorders>
              <w:top w:val="single" w:sz="4" w:space="0" w:color="auto"/>
              <w:left w:val="single" w:sz="4" w:space="0" w:color="auto"/>
              <w:bottom w:val="single" w:sz="4" w:space="0" w:color="auto"/>
              <w:right w:val="single" w:sz="4" w:space="0" w:color="auto"/>
            </w:tcBorders>
          </w:tcPr>
          <w:p w14:paraId="678233BA"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n=920</w:t>
            </w:r>
          </w:p>
          <w:p w14:paraId="090750D3"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k=1 RCT, 1 Ret </w:t>
            </w:r>
            <w:proofErr w:type="spellStart"/>
            <w:r w:rsidRPr="00C36B85">
              <w:rPr>
                <w:rFonts w:ascii="Arial Narrow" w:hAnsi="Arial Narrow" w:cs="Tahoma"/>
                <w:sz w:val="18"/>
                <w:szCs w:val="18"/>
                <w:lang w:eastAsia="en-US"/>
              </w:rPr>
              <w:t>CoH</w:t>
            </w:r>
            <w:proofErr w:type="spellEnd"/>
          </w:p>
        </w:tc>
        <w:tc>
          <w:tcPr>
            <w:tcW w:w="1071" w:type="pct"/>
            <w:tcBorders>
              <w:top w:val="single" w:sz="4" w:space="0" w:color="auto"/>
              <w:left w:val="single" w:sz="4" w:space="0" w:color="auto"/>
              <w:bottom w:val="single" w:sz="4" w:space="0" w:color="auto"/>
              <w:right w:val="single" w:sz="4" w:space="0" w:color="auto"/>
            </w:tcBorders>
          </w:tcPr>
          <w:p w14:paraId="78B4517E"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between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and PE</w:t>
            </w:r>
          </w:p>
        </w:tc>
        <w:tc>
          <w:tcPr>
            <w:tcW w:w="510" w:type="pct"/>
            <w:tcBorders>
              <w:top w:val="single" w:sz="4" w:space="0" w:color="auto"/>
              <w:left w:val="single" w:sz="4" w:space="0" w:color="auto"/>
              <w:bottom w:val="single" w:sz="4" w:space="0" w:color="auto"/>
              <w:right w:val="single" w:sz="4" w:space="0" w:color="auto"/>
            </w:tcBorders>
          </w:tcPr>
          <w:p w14:paraId="38A73A5F"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02772210"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Low quality</w:t>
            </w:r>
          </w:p>
        </w:tc>
        <w:tc>
          <w:tcPr>
            <w:tcW w:w="1888" w:type="pct"/>
            <w:tcBorders>
              <w:top w:val="single" w:sz="4" w:space="0" w:color="auto"/>
              <w:left w:val="single" w:sz="4" w:space="0" w:color="auto"/>
              <w:bottom w:val="single" w:sz="4" w:space="0" w:color="auto"/>
              <w:right w:val="single" w:sz="4" w:space="0" w:color="auto"/>
            </w:tcBorders>
          </w:tcPr>
          <w:p w14:paraId="2F62613B"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in frequency of infections between groups. This outcome </w:t>
            </w:r>
            <w:proofErr w:type="gramStart"/>
            <w:r w:rsidRPr="00C36B85">
              <w:rPr>
                <w:rFonts w:ascii="Arial Narrow" w:hAnsi="Arial Narrow" w:cs="Tahoma"/>
                <w:sz w:val="18"/>
                <w:szCs w:val="18"/>
                <w:lang w:eastAsia="en-US"/>
              </w:rPr>
              <w:t>may be impacted</w:t>
            </w:r>
            <w:proofErr w:type="gramEnd"/>
            <w:r w:rsidRPr="00C36B85">
              <w:rPr>
                <w:rFonts w:ascii="Arial Narrow" w:hAnsi="Arial Narrow" w:cs="Tahoma"/>
                <w:sz w:val="18"/>
                <w:szCs w:val="18"/>
                <w:lang w:eastAsia="en-US"/>
              </w:rPr>
              <w:t xml:space="preserve"> by selection bias in the cohort study, and the RCT was underpowered for a strong conclusion.</w:t>
            </w:r>
          </w:p>
        </w:tc>
      </w:tr>
      <w:tr w:rsidR="00BA6645" w:rsidRPr="00C36B85" w14:paraId="6B9480FB" w14:textId="77777777" w:rsidTr="000528B8">
        <w:tc>
          <w:tcPr>
            <w:tcW w:w="867" w:type="pct"/>
            <w:tcBorders>
              <w:top w:val="single" w:sz="4" w:space="0" w:color="auto"/>
              <w:left w:val="single" w:sz="4" w:space="0" w:color="auto"/>
              <w:bottom w:val="single" w:sz="4" w:space="0" w:color="auto"/>
              <w:right w:val="single" w:sz="4" w:space="0" w:color="auto"/>
            </w:tcBorders>
          </w:tcPr>
          <w:p w14:paraId="5F2B1B54"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Change in QMGS (mean change in score from baseline to 14 days or % change from baseline)</w:t>
            </w:r>
          </w:p>
        </w:tc>
        <w:tc>
          <w:tcPr>
            <w:tcW w:w="664" w:type="pct"/>
            <w:tcBorders>
              <w:top w:val="single" w:sz="4" w:space="0" w:color="auto"/>
              <w:left w:val="single" w:sz="4" w:space="0" w:color="auto"/>
              <w:bottom w:val="single" w:sz="4" w:space="0" w:color="auto"/>
              <w:right w:val="single" w:sz="4" w:space="0" w:color="auto"/>
            </w:tcBorders>
          </w:tcPr>
          <w:p w14:paraId="13C4438E"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n=124</w:t>
            </w:r>
          </w:p>
          <w:p w14:paraId="6B60507C"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k=2 RCTs</w:t>
            </w:r>
          </w:p>
        </w:tc>
        <w:tc>
          <w:tcPr>
            <w:tcW w:w="1071" w:type="pct"/>
            <w:tcBorders>
              <w:top w:val="single" w:sz="4" w:space="0" w:color="auto"/>
              <w:left w:val="single" w:sz="4" w:space="0" w:color="auto"/>
              <w:bottom w:val="single" w:sz="4" w:space="0" w:color="auto"/>
              <w:right w:val="single" w:sz="4" w:space="0" w:color="auto"/>
            </w:tcBorders>
          </w:tcPr>
          <w:p w14:paraId="68FCA433"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between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and PE</w:t>
            </w:r>
          </w:p>
        </w:tc>
        <w:tc>
          <w:tcPr>
            <w:tcW w:w="510" w:type="pct"/>
            <w:tcBorders>
              <w:top w:val="single" w:sz="4" w:space="0" w:color="auto"/>
              <w:left w:val="single" w:sz="4" w:space="0" w:color="auto"/>
              <w:bottom w:val="single" w:sz="4" w:space="0" w:color="auto"/>
              <w:right w:val="single" w:sz="4" w:space="0" w:color="auto"/>
            </w:tcBorders>
          </w:tcPr>
          <w:p w14:paraId="3F341BCF"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4D1BA186"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Low quality</w:t>
            </w:r>
          </w:p>
        </w:tc>
        <w:tc>
          <w:tcPr>
            <w:tcW w:w="1888" w:type="pct"/>
            <w:tcBorders>
              <w:top w:val="single" w:sz="4" w:space="0" w:color="auto"/>
              <w:left w:val="single" w:sz="4" w:space="0" w:color="auto"/>
              <w:bottom w:val="single" w:sz="4" w:space="0" w:color="auto"/>
              <w:right w:val="single" w:sz="4" w:space="0" w:color="auto"/>
            </w:tcBorders>
          </w:tcPr>
          <w:p w14:paraId="38107CE7"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 RCTs both favoured PE with one trial finding clinically important improvements in both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and PE groups without a statistically significant difference between groups, and the other finding a statistically significantly greater improvement in the PE group compared to the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group, but it is not possible to tell if this is clinically significant. These results </w:t>
            </w:r>
            <w:proofErr w:type="gramStart"/>
            <w:r w:rsidRPr="00C36B85">
              <w:rPr>
                <w:rFonts w:ascii="Arial Narrow" w:hAnsi="Arial Narrow" w:cs="Tahoma"/>
                <w:sz w:val="18"/>
                <w:szCs w:val="18"/>
                <w:lang w:eastAsia="en-US"/>
              </w:rPr>
              <w:t>are based</w:t>
            </w:r>
            <w:proofErr w:type="gramEnd"/>
            <w:r w:rsidRPr="00C36B85">
              <w:rPr>
                <w:rFonts w:ascii="Arial Narrow" w:hAnsi="Arial Narrow" w:cs="Tahoma"/>
                <w:sz w:val="18"/>
                <w:szCs w:val="18"/>
                <w:lang w:eastAsia="en-US"/>
              </w:rPr>
              <w:t xml:space="preserve"> on small participant numbers. </w:t>
            </w:r>
          </w:p>
        </w:tc>
      </w:tr>
      <w:tr w:rsidR="00BA6645" w:rsidRPr="00C36B85" w14:paraId="27B6DB12" w14:textId="77777777" w:rsidTr="000528B8">
        <w:tc>
          <w:tcPr>
            <w:tcW w:w="867" w:type="pct"/>
            <w:tcBorders>
              <w:top w:val="single" w:sz="4" w:space="0" w:color="auto"/>
              <w:left w:val="single" w:sz="4" w:space="0" w:color="auto"/>
              <w:bottom w:val="single" w:sz="4" w:space="0" w:color="auto"/>
              <w:right w:val="single" w:sz="4" w:space="0" w:color="auto"/>
            </w:tcBorders>
          </w:tcPr>
          <w:p w14:paraId="3B251FEF"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Change in QMGS (mean change in score from baseline to 21 days)</w:t>
            </w:r>
          </w:p>
        </w:tc>
        <w:tc>
          <w:tcPr>
            <w:tcW w:w="664" w:type="pct"/>
            <w:tcBorders>
              <w:top w:val="single" w:sz="4" w:space="0" w:color="auto"/>
              <w:left w:val="single" w:sz="4" w:space="0" w:color="auto"/>
              <w:bottom w:val="single" w:sz="4" w:space="0" w:color="auto"/>
              <w:right w:val="single" w:sz="4" w:space="0" w:color="auto"/>
            </w:tcBorders>
          </w:tcPr>
          <w:p w14:paraId="1A46EC51"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n=84</w:t>
            </w:r>
          </w:p>
          <w:p w14:paraId="2DE4A6C2"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k=1 RCT</w:t>
            </w:r>
          </w:p>
        </w:tc>
        <w:tc>
          <w:tcPr>
            <w:tcW w:w="1071" w:type="pct"/>
            <w:tcBorders>
              <w:top w:val="single" w:sz="4" w:space="0" w:color="auto"/>
              <w:left w:val="single" w:sz="4" w:space="0" w:color="auto"/>
              <w:bottom w:val="single" w:sz="4" w:space="0" w:color="auto"/>
              <w:right w:val="single" w:sz="4" w:space="0" w:color="auto"/>
            </w:tcBorders>
          </w:tcPr>
          <w:p w14:paraId="37DE3752"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between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and PE</w:t>
            </w:r>
          </w:p>
        </w:tc>
        <w:tc>
          <w:tcPr>
            <w:tcW w:w="510" w:type="pct"/>
            <w:tcBorders>
              <w:top w:val="single" w:sz="4" w:space="0" w:color="auto"/>
              <w:left w:val="single" w:sz="4" w:space="0" w:color="auto"/>
              <w:bottom w:val="single" w:sz="4" w:space="0" w:color="auto"/>
              <w:right w:val="single" w:sz="4" w:space="0" w:color="auto"/>
            </w:tcBorders>
          </w:tcPr>
          <w:p w14:paraId="62FD0C45"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20CC97D9"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Moderate quality</w:t>
            </w:r>
          </w:p>
        </w:tc>
        <w:tc>
          <w:tcPr>
            <w:tcW w:w="1888" w:type="pct"/>
            <w:tcBorders>
              <w:top w:val="single" w:sz="4" w:space="0" w:color="auto"/>
              <w:left w:val="single" w:sz="4" w:space="0" w:color="auto"/>
              <w:bottom w:val="single" w:sz="4" w:space="0" w:color="auto"/>
              <w:right w:val="single" w:sz="4" w:space="0" w:color="auto"/>
            </w:tcBorders>
          </w:tcPr>
          <w:p w14:paraId="63EA1F12"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Symptom improvement favoured PE at 21 days but was not statistically significant. Results were from a single small RCT with low risk of bias.</w:t>
            </w:r>
          </w:p>
        </w:tc>
      </w:tr>
      <w:tr w:rsidR="00BA6645" w:rsidRPr="00C36B85" w14:paraId="575210E3" w14:textId="77777777" w:rsidTr="000528B8">
        <w:tc>
          <w:tcPr>
            <w:tcW w:w="867" w:type="pct"/>
            <w:tcBorders>
              <w:top w:val="single" w:sz="4" w:space="0" w:color="auto"/>
              <w:left w:val="single" w:sz="4" w:space="0" w:color="auto"/>
              <w:bottom w:val="single" w:sz="4" w:space="0" w:color="auto"/>
              <w:right w:val="single" w:sz="4" w:space="0" w:color="auto"/>
            </w:tcBorders>
          </w:tcPr>
          <w:p w14:paraId="2CFEF9BD"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Change in QMGS (mean change in score from baseline to 28 days)</w:t>
            </w:r>
          </w:p>
        </w:tc>
        <w:tc>
          <w:tcPr>
            <w:tcW w:w="664" w:type="pct"/>
            <w:tcBorders>
              <w:top w:val="single" w:sz="4" w:space="0" w:color="auto"/>
              <w:left w:val="single" w:sz="4" w:space="0" w:color="auto"/>
              <w:bottom w:val="single" w:sz="4" w:space="0" w:color="auto"/>
              <w:right w:val="single" w:sz="4" w:space="0" w:color="auto"/>
            </w:tcBorders>
          </w:tcPr>
          <w:p w14:paraId="4CBF83FA"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n=84</w:t>
            </w:r>
          </w:p>
          <w:p w14:paraId="6A36F020"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k=1 RCT</w:t>
            </w:r>
          </w:p>
        </w:tc>
        <w:tc>
          <w:tcPr>
            <w:tcW w:w="1071" w:type="pct"/>
            <w:tcBorders>
              <w:top w:val="single" w:sz="4" w:space="0" w:color="auto"/>
              <w:left w:val="single" w:sz="4" w:space="0" w:color="auto"/>
              <w:bottom w:val="single" w:sz="4" w:space="0" w:color="auto"/>
              <w:right w:val="single" w:sz="4" w:space="0" w:color="auto"/>
            </w:tcBorders>
          </w:tcPr>
          <w:p w14:paraId="58A6E174"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between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and PE</w:t>
            </w:r>
          </w:p>
        </w:tc>
        <w:tc>
          <w:tcPr>
            <w:tcW w:w="510" w:type="pct"/>
            <w:tcBorders>
              <w:top w:val="single" w:sz="4" w:space="0" w:color="auto"/>
              <w:left w:val="single" w:sz="4" w:space="0" w:color="auto"/>
              <w:bottom w:val="single" w:sz="4" w:space="0" w:color="auto"/>
              <w:right w:val="single" w:sz="4" w:space="0" w:color="auto"/>
            </w:tcBorders>
          </w:tcPr>
          <w:p w14:paraId="1523F337"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1F3630D1"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Moderate quality</w:t>
            </w:r>
          </w:p>
        </w:tc>
        <w:tc>
          <w:tcPr>
            <w:tcW w:w="1888" w:type="pct"/>
            <w:tcBorders>
              <w:top w:val="single" w:sz="4" w:space="0" w:color="auto"/>
              <w:left w:val="single" w:sz="4" w:space="0" w:color="auto"/>
              <w:bottom w:val="single" w:sz="4" w:space="0" w:color="auto"/>
              <w:right w:val="single" w:sz="4" w:space="0" w:color="auto"/>
            </w:tcBorders>
          </w:tcPr>
          <w:p w14:paraId="7CFB7F5D"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Symptom improvement favoured PE at 28 days but was not statistically significant. Results were from a single small RCT with low risk of bias.</w:t>
            </w:r>
          </w:p>
        </w:tc>
      </w:tr>
      <w:tr w:rsidR="00BA6645" w:rsidRPr="00C36B85" w14:paraId="175B4569" w14:textId="77777777" w:rsidTr="000528B8">
        <w:tc>
          <w:tcPr>
            <w:tcW w:w="867" w:type="pct"/>
            <w:tcBorders>
              <w:top w:val="single" w:sz="4" w:space="0" w:color="auto"/>
              <w:left w:val="single" w:sz="4" w:space="0" w:color="auto"/>
              <w:bottom w:val="single" w:sz="6" w:space="0" w:color="auto"/>
              <w:right w:val="single" w:sz="4" w:space="0" w:color="auto"/>
            </w:tcBorders>
          </w:tcPr>
          <w:p w14:paraId="025EC948"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Change in </w:t>
            </w:r>
            <w:proofErr w:type="spellStart"/>
            <w:r w:rsidRPr="00C36B85">
              <w:rPr>
                <w:rFonts w:ascii="Arial Narrow" w:hAnsi="Arial Narrow" w:cs="Tahoma"/>
                <w:sz w:val="18"/>
                <w:szCs w:val="18"/>
                <w:lang w:eastAsia="en-US"/>
              </w:rPr>
              <w:t>QoL</w:t>
            </w:r>
            <w:proofErr w:type="spellEnd"/>
            <w:r w:rsidRPr="00C36B85">
              <w:rPr>
                <w:rFonts w:ascii="Arial Narrow" w:hAnsi="Arial Narrow" w:cs="Tahoma"/>
                <w:sz w:val="18"/>
                <w:szCs w:val="18"/>
                <w:lang w:eastAsia="en-US"/>
              </w:rPr>
              <w:t xml:space="preserve"> (change in MG-QoL-60 from baseline to day 28)</w:t>
            </w:r>
          </w:p>
        </w:tc>
        <w:tc>
          <w:tcPr>
            <w:tcW w:w="664" w:type="pct"/>
            <w:tcBorders>
              <w:top w:val="single" w:sz="4" w:space="0" w:color="auto"/>
              <w:left w:val="single" w:sz="4" w:space="0" w:color="auto"/>
              <w:bottom w:val="single" w:sz="6" w:space="0" w:color="auto"/>
              <w:right w:val="single" w:sz="4" w:space="0" w:color="auto"/>
            </w:tcBorders>
          </w:tcPr>
          <w:p w14:paraId="095C8974"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n=62</w:t>
            </w:r>
          </w:p>
          <w:p w14:paraId="3E11E6C2"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k=1 RCT</w:t>
            </w:r>
          </w:p>
        </w:tc>
        <w:tc>
          <w:tcPr>
            <w:tcW w:w="1071" w:type="pct"/>
            <w:tcBorders>
              <w:top w:val="single" w:sz="4" w:space="0" w:color="auto"/>
              <w:left w:val="single" w:sz="4" w:space="0" w:color="auto"/>
              <w:bottom w:val="single" w:sz="6" w:space="0" w:color="auto"/>
              <w:right w:val="single" w:sz="4" w:space="0" w:color="auto"/>
            </w:tcBorders>
          </w:tcPr>
          <w:p w14:paraId="4FCE731D"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There was no difference between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and PE</w:t>
            </w:r>
          </w:p>
        </w:tc>
        <w:tc>
          <w:tcPr>
            <w:tcW w:w="510" w:type="pct"/>
            <w:tcBorders>
              <w:top w:val="single" w:sz="4" w:space="0" w:color="auto"/>
              <w:left w:val="single" w:sz="4" w:space="0" w:color="auto"/>
              <w:bottom w:val="single" w:sz="6" w:space="0" w:color="auto"/>
              <w:right w:val="single" w:sz="4" w:space="0" w:color="auto"/>
            </w:tcBorders>
          </w:tcPr>
          <w:p w14:paraId="3E22F780"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5E7DCCC7"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Moderate quality</w:t>
            </w:r>
          </w:p>
        </w:tc>
        <w:tc>
          <w:tcPr>
            <w:tcW w:w="1888" w:type="pct"/>
            <w:tcBorders>
              <w:top w:val="single" w:sz="4" w:space="0" w:color="auto"/>
              <w:left w:val="single" w:sz="4" w:space="0" w:color="auto"/>
              <w:bottom w:val="single" w:sz="6" w:space="0" w:color="auto"/>
              <w:right w:val="single" w:sz="4" w:space="0" w:color="auto"/>
            </w:tcBorders>
          </w:tcPr>
          <w:p w14:paraId="1B25E1FC"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 xml:space="preserve">Improvement in </w:t>
            </w:r>
            <w:proofErr w:type="spellStart"/>
            <w:r w:rsidRPr="00C36B85">
              <w:rPr>
                <w:rFonts w:ascii="Arial Narrow" w:hAnsi="Arial Narrow" w:cs="Tahoma"/>
                <w:sz w:val="18"/>
                <w:szCs w:val="18"/>
                <w:lang w:eastAsia="en-US"/>
              </w:rPr>
              <w:t>QoL</w:t>
            </w:r>
            <w:proofErr w:type="spellEnd"/>
            <w:r w:rsidRPr="00C36B85">
              <w:rPr>
                <w:rFonts w:ascii="Arial Narrow" w:hAnsi="Arial Narrow" w:cs="Tahoma"/>
                <w:sz w:val="18"/>
                <w:szCs w:val="18"/>
                <w:lang w:eastAsia="en-US"/>
              </w:rPr>
              <w:t xml:space="preserve"> favoured </w:t>
            </w:r>
            <w:proofErr w:type="spellStart"/>
            <w:r w:rsidRPr="00C36B85">
              <w:rPr>
                <w:rFonts w:ascii="Arial Narrow" w:hAnsi="Arial Narrow" w:cs="Tahoma"/>
                <w:sz w:val="18"/>
                <w:szCs w:val="18"/>
                <w:lang w:eastAsia="en-US"/>
              </w:rPr>
              <w:t>IVIg</w:t>
            </w:r>
            <w:proofErr w:type="spellEnd"/>
            <w:r w:rsidRPr="00C36B85">
              <w:rPr>
                <w:rFonts w:ascii="Arial Narrow" w:hAnsi="Arial Narrow" w:cs="Tahoma"/>
                <w:sz w:val="18"/>
                <w:szCs w:val="18"/>
                <w:lang w:eastAsia="en-US"/>
              </w:rPr>
              <w:t xml:space="preserve"> but there was no statistical difference between groups. Results were from a single RCT with low risk of bias.</w:t>
            </w:r>
          </w:p>
        </w:tc>
      </w:tr>
      <w:tr w:rsidR="00BA6645" w:rsidRPr="00C36B85" w14:paraId="532180F2" w14:textId="77777777" w:rsidTr="000528B8">
        <w:tc>
          <w:tcPr>
            <w:tcW w:w="867" w:type="pct"/>
            <w:tcBorders>
              <w:top w:val="single" w:sz="6" w:space="0" w:color="auto"/>
              <w:left w:val="single" w:sz="4" w:space="0" w:color="auto"/>
              <w:bottom w:val="single" w:sz="4" w:space="0" w:color="auto"/>
              <w:right w:val="single" w:sz="4" w:space="0" w:color="auto"/>
            </w:tcBorders>
          </w:tcPr>
          <w:p w14:paraId="23827DDA"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Response to treatment in children (% children who responded measured with non-standardised tools)</w:t>
            </w:r>
          </w:p>
        </w:tc>
        <w:tc>
          <w:tcPr>
            <w:tcW w:w="664" w:type="pct"/>
            <w:tcBorders>
              <w:top w:val="single" w:sz="6" w:space="0" w:color="auto"/>
              <w:left w:val="single" w:sz="4" w:space="0" w:color="auto"/>
              <w:bottom w:val="single" w:sz="4" w:space="0" w:color="auto"/>
              <w:right w:val="single" w:sz="4" w:space="0" w:color="auto"/>
            </w:tcBorders>
          </w:tcPr>
          <w:p w14:paraId="6022CA38"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n=17</w:t>
            </w:r>
          </w:p>
          <w:p w14:paraId="31B49EC3"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Tahoma"/>
                <w:sz w:val="18"/>
                <w:szCs w:val="18"/>
                <w:lang w:eastAsia="en-US"/>
              </w:rPr>
              <w:t xml:space="preserve">k=1 Ret </w:t>
            </w:r>
            <w:proofErr w:type="spellStart"/>
            <w:r w:rsidRPr="00C36B85">
              <w:rPr>
                <w:rFonts w:ascii="Arial Narrow" w:hAnsi="Arial Narrow" w:cs="Tahoma"/>
                <w:sz w:val="18"/>
                <w:szCs w:val="18"/>
                <w:lang w:eastAsia="en-US"/>
              </w:rPr>
              <w:t>CoH</w:t>
            </w:r>
            <w:proofErr w:type="spellEnd"/>
          </w:p>
        </w:tc>
        <w:tc>
          <w:tcPr>
            <w:tcW w:w="1071" w:type="pct"/>
            <w:tcBorders>
              <w:top w:val="single" w:sz="6" w:space="0" w:color="auto"/>
              <w:left w:val="single" w:sz="4" w:space="0" w:color="auto"/>
              <w:bottom w:val="single" w:sz="4" w:space="0" w:color="auto"/>
              <w:right w:val="single" w:sz="4" w:space="0" w:color="auto"/>
            </w:tcBorders>
          </w:tcPr>
          <w:p w14:paraId="793B5F33"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No conclusions could be made</w:t>
            </w:r>
          </w:p>
        </w:tc>
        <w:tc>
          <w:tcPr>
            <w:tcW w:w="510" w:type="pct"/>
            <w:tcBorders>
              <w:top w:val="single" w:sz="6" w:space="0" w:color="auto"/>
              <w:left w:val="single" w:sz="4" w:space="0" w:color="auto"/>
              <w:bottom w:val="single" w:sz="4" w:space="0" w:color="auto"/>
              <w:right w:val="single" w:sz="4" w:space="0" w:color="auto"/>
            </w:tcBorders>
          </w:tcPr>
          <w:p w14:paraId="75C028DA" w14:textId="77777777" w:rsidR="00BA6645" w:rsidRPr="00C36B85" w:rsidRDefault="00BA6645" w:rsidP="00BA6645">
            <w:pPr>
              <w:spacing w:before="40" w:after="40"/>
              <w:jc w:val="both"/>
              <w:rPr>
                <w:rFonts w:ascii="Cambria Math" w:hAnsi="Cambria Math" w:cs="Cambria Math"/>
                <w:color w:val="C00000"/>
                <w:sz w:val="18"/>
                <w:szCs w:val="18"/>
              </w:rPr>
            </w:pP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p>
          <w:p w14:paraId="67EC20D0" w14:textId="77777777" w:rsidR="00BA6645" w:rsidRPr="00C36B85" w:rsidRDefault="00BA6645" w:rsidP="00BA6645">
            <w:pPr>
              <w:spacing w:before="40" w:after="40"/>
              <w:jc w:val="both"/>
              <w:rPr>
                <w:rFonts w:ascii="Arial Narrow" w:hAnsi="Arial Narrow" w:cs="Tahoma"/>
                <w:sz w:val="18"/>
                <w:szCs w:val="18"/>
                <w:lang w:eastAsia="en-US"/>
              </w:rPr>
            </w:pPr>
            <w:r w:rsidRPr="00C36B85">
              <w:rPr>
                <w:rFonts w:ascii="Arial Narrow" w:hAnsi="Arial Narrow" w:cs="Cambria Math"/>
                <w:sz w:val="18"/>
                <w:szCs w:val="18"/>
              </w:rPr>
              <w:t>Very low quality</w:t>
            </w:r>
          </w:p>
        </w:tc>
        <w:tc>
          <w:tcPr>
            <w:tcW w:w="1888" w:type="pct"/>
            <w:tcBorders>
              <w:top w:val="single" w:sz="6" w:space="0" w:color="auto"/>
              <w:left w:val="single" w:sz="4" w:space="0" w:color="auto"/>
              <w:bottom w:val="single" w:sz="4" w:space="0" w:color="auto"/>
              <w:right w:val="single" w:sz="4" w:space="0" w:color="auto"/>
            </w:tcBorders>
          </w:tcPr>
          <w:p w14:paraId="68B3C1DF"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Response in children was better for those given PE. This result may be unreliable due to non-standardised tools and small participant numbers.</w:t>
            </w:r>
          </w:p>
        </w:tc>
      </w:tr>
      <w:tr w:rsidR="00BA6645" w:rsidRPr="00C36B85" w14:paraId="4813FBAA" w14:textId="77777777" w:rsidTr="000528B8">
        <w:tc>
          <w:tcPr>
            <w:tcW w:w="5000" w:type="pct"/>
            <w:gridSpan w:val="5"/>
            <w:tcBorders>
              <w:top w:val="single" w:sz="12"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75CA432" w14:textId="77777777" w:rsidR="00BA6645" w:rsidRPr="00C36B85" w:rsidRDefault="00BA6645" w:rsidP="00BA6645">
            <w:pPr>
              <w:spacing w:before="40" w:after="40"/>
              <w:rPr>
                <w:rFonts w:ascii="Arial Narrow" w:hAnsi="Arial Narrow" w:cs="Tahoma"/>
                <w:sz w:val="18"/>
                <w:szCs w:val="18"/>
                <w:lang w:eastAsia="en-US"/>
              </w:rPr>
            </w:pPr>
            <w:r w:rsidRPr="00C36B85">
              <w:rPr>
                <w:rFonts w:ascii="Arial Narrow" w:hAnsi="Arial Narrow" w:cs="Tahoma"/>
                <w:sz w:val="18"/>
                <w:szCs w:val="18"/>
                <w:lang w:eastAsia="en-US"/>
              </w:rPr>
              <w:t>GRADE Working Group grades of evidence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Arial Narrow" w:hAnsi="Arial Narrow" w:cs="Cambria Math"/>
                <w:color w:val="00B050"/>
                <w:sz w:val="18"/>
                <w:szCs w:val="18"/>
              </w:rPr>
              <w:t xml:space="preserve"> </w:t>
            </w:r>
            <w:r w:rsidRPr="00C36B85">
              <w:rPr>
                <w:rFonts w:ascii="Arial Narrow" w:hAnsi="Arial Narrow" w:cs="Tahoma"/>
                <w:b/>
                <w:bCs/>
                <w:sz w:val="18"/>
                <w:szCs w:val="18"/>
                <w:lang w:eastAsia="en-US"/>
              </w:rPr>
              <w:t>High quality:</w:t>
            </w:r>
            <w:r w:rsidRPr="00C36B85">
              <w:rPr>
                <w:rFonts w:ascii="Arial Narrow" w:hAnsi="Arial Narrow" w:cs="Tahoma"/>
                <w:sz w:val="18"/>
                <w:szCs w:val="18"/>
                <w:lang w:eastAsia="en-US"/>
              </w:rPr>
              <w:t xml:space="preserve"> Further research is very unlikely to change our confidence in the estimate of effect. </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Moderate quality:</w:t>
            </w:r>
            <w:r w:rsidRPr="00C36B85">
              <w:rPr>
                <w:rFonts w:ascii="Arial Narrow" w:hAnsi="Arial Narrow" w:cs="Tahoma"/>
                <w:sz w:val="18"/>
                <w:szCs w:val="18"/>
                <w:lang w:eastAsia="en-US"/>
              </w:rPr>
              <w:t xml:space="preserve"> Further research is likely to have an important impact on our confidence in the estimate of effect and may change the estimate.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Low quality:</w:t>
            </w:r>
            <w:r w:rsidRPr="00C36B85">
              <w:rPr>
                <w:rFonts w:ascii="Arial Narrow" w:hAnsi="Arial Narrow" w:cs="Tahoma"/>
                <w:sz w:val="18"/>
                <w:szCs w:val="18"/>
                <w:lang w:eastAsia="en-US"/>
              </w:rPr>
              <w:t xml:space="preserve"> Further research is very likely to have an important impact on our confidence in the estimate of effect and is likely to change the estimate.</w:t>
            </w:r>
            <w:r w:rsidRPr="00C36B85">
              <w:rPr>
                <w:rFonts w:ascii="Arial Narrow" w:hAnsi="Arial Narrow" w:cs="Tahoma"/>
                <w:sz w:val="18"/>
                <w:szCs w:val="18"/>
                <w:lang w:eastAsia="en-US"/>
              </w:rPr>
              <w:br/>
            </w:r>
            <w:r w:rsidRPr="00C36B85">
              <w:rPr>
                <w:rFonts w:ascii="Cambria Math" w:hAnsi="Cambria Math" w:cs="Cambria Math"/>
                <w:color w:val="00B050"/>
                <w:sz w:val="18"/>
                <w:szCs w:val="18"/>
              </w:rPr>
              <w:t>⊕</w:t>
            </w:r>
            <w:r w:rsidRPr="00C36B85">
              <w:rPr>
                <w:rFonts w:ascii="Cambria Math" w:hAnsi="Cambria Math" w:cs="Cambria Math"/>
                <w:color w:val="C00000"/>
                <w:sz w:val="18"/>
                <w:szCs w:val="18"/>
              </w:rPr>
              <w:t>⊝⊝⊝</w:t>
            </w:r>
            <w:r w:rsidRPr="00C36B85">
              <w:rPr>
                <w:rFonts w:ascii="Arial Narrow" w:hAnsi="Arial Narrow" w:cs="Cambria Math"/>
                <w:color w:val="C00000"/>
                <w:sz w:val="18"/>
                <w:szCs w:val="18"/>
              </w:rPr>
              <w:t xml:space="preserve"> </w:t>
            </w:r>
            <w:r w:rsidRPr="00C36B85">
              <w:rPr>
                <w:rFonts w:ascii="Arial Narrow" w:hAnsi="Arial Narrow" w:cs="Tahoma"/>
                <w:b/>
                <w:bCs/>
                <w:sz w:val="18"/>
                <w:szCs w:val="18"/>
                <w:lang w:eastAsia="en-US"/>
              </w:rPr>
              <w:t>Very low quality:</w:t>
            </w:r>
            <w:r w:rsidRPr="00C36B85">
              <w:rPr>
                <w:rFonts w:ascii="Arial Narrow" w:hAnsi="Arial Narrow" w:cs="Tahoma"/>
                <w:sz w:val="18"/>
                <w:szCs w:val="18"/>
                <w:lang w:eastAsia="en-US"/>
              </w:rPr>
              <w:t xml:space="preserve"> We are very uncertain about the estimate.</w:t>
            </w:r>
          </w:p>
        </w:tc>
      </w:tr>
    </w:tbl>
    <w:p w14:paraId="41AA7902" w14:textId="77777777" w:rsidR="00BA6645" w:rsidRDefault="00BA6645" w:rsidP="00BA6645">
      <w:pPr>
        <w:widowControl w:val="0"/>
        <w:spacing w:before="40" w:after="240"/>
        <w:contextualSpacing/>
        <w:jc w:val="both"/>
        <w:rPr>
          <w:rFonts w:ascii="Arial Narrow" w:hAnsi="Arial Narrow" w:cs="Arial"/>
          <w:snapToGrid w:val="0"/>
          <w:sz w:val="18"/>
          <w:lang w:eastAsia="en-US"/>
        </w:rPr>
      </w:pPr>
      <w:r w:rsidRPr="00C36B85">
        <w:rPr>
          <w:rFonts w:ascii="Arial Narrow" w:hAnsi="Arial Narrow" w:cs="Arial"/>
          <w:snapToGrid w:val="0"/>
          <w:sz w:val="18"/>
          <w:lang w:eastAsia="en-US"/>
        </w:rPr>
        <w:t xml:space="preserve">AE = adverse events; </w:t>
      </w:r>
      <w:proofErr w:type="spellStart"/>
      <w:r w:rsidRPr="00C36B85">
        <w:rPr>
          <w:rFonts w:ascii="Arial Narrow" w:hAnsi="Arial Narrow" w:cs="Arial"/>
          <w:snapToGrid w:val="0"/>
          <w:sz w:val="18"/>
          <w:lang w:eastAsia="en-US"/>
        </w:rPr>
        <w:t>IVIg</w:t>
      </w:r>
      <w:proofErr w:type="spellEnd"/>
      <w:r w:rsidRPr="00C36B85">
        <w:rPr>
          <w:rFonts w:ascii="Arial Narrow" w:hAnsi="Arial Narrow" w:cs="Arial"/>
          <w:snapToGrid w:val="0"/>
          <w:sz w:val="18"/>
          <w:lang w:eastAsia="en-US"/>
        </w:rPr>
        <w:t xml:space="preserve"> = intravenous immunoglobulin therapy; MG = myasthenia gravis; MG-QoL-60 = myasthenia gravis quality of life 60 questions; PE = plasma exchange therapy; QMGS = quantitative myasthenia gravis score; </w:t>
      </w:r>
      <w:proofErr w:type="spellStart"/>
      <w:r w:rsidRPr="00C36B85">
        <w:rPr>
          <w:rFonts w:ascii="Arial Narrow" w:hAnsi="Arial Narrow" w:cs="Arial"/>
          <w:snapToGrid w:val="0"/>
          <w:sz w:val="18"/>
          <w:lang w:eastAsia="en-US"/>
        </w:rPr>
        <w:t>QoL</w:t>
      </w:r>
      <w:proofErr w:type="spellEnd"/>
      <w:r w:rsidRPr="00C36B85">
        <w:rPr>
          <w:rFonts w:ascii="Arial Narrow" w:hAnsi="Arial Narrow" w:cs="Arial"/>
          <w:snapToGrid w:val="0"/>
          <w:sz w:val="18"/>
          <w:lang w:eastAsia="en-US"/>
        </w:rPr>
        <w:t xml:space="preserve"> = quality of life; Ret </w:t>
      </w:r>
      <w:proofErr w:type="spellStart"/>
      <w:r w:rsidRPr="00C36B85">
        <w:rPr>
          <w:rFonts w:ascii="Arial Narrow" w:hAnsi="Arial Narrow" w:cs="Arial"/>
          <w:snapToGrid w:val="0"/>
          <w:sz w:val="18"/>
          <w:lang w:eastAsia="en-US"/>
        </w:rPr>
        <w:t>CoH</w:t>
      </w:r>
      <w:proofErr w:type="spellEnd"/>
      <w:r w:rsidRPr="00C36B85">
        <w:rPr>
          <w:rFonts w:ascii="Arial Narrow" w:hAnsi="Arial Narrow" w:cs="Arial"/>
          <w:snapToGrid w:val="0"/>
          <w:sz w:val="18"/>
          <w:lang w:eastAsia="en-US"/>
        </w:rPr>
        <w:t xml:space="preserve"> = retrospective cohort study; RCT = randomised controlled trial</w:t>
      </w:r>
    </w:p>
    <w:p w14:paraId="11121A00" w14:textId="2045C633" w:rsidR="00BA6645" w:rsidRPr="000031DC" w:rsidRDefault="00BA6645" w:rsidP="000031DC">
      <w:pPr>
        <w:widowControl w:val="0"/>
        <w:spacing w:before="40" w:after="240"/>
        <w:contextualSpacing/>
        <w:jc w:val="both"/>
        <w:rPr>
          <w:rFonts w:ascii="Arial Narrow" w:hAnsi="Arial Narrow" w:cs="Arial"/>
          <w:snapToGrid w:val="0"/>
          <w:sz w:val="18"/>
          <w:lang w:eastAsia="en-US"/>
        </w:rPr>
      </w:pPr>
      <w:r>
        <w:rPr>
          <w:rFonts w:ascii="Arial Narrow" w:hAnsi="Arial Narrow" w:cs="Arial"/>
          <w:snapToGrid w:val="0"/>
          <w:sz w:val="18"/>
          <w:lang w:eastAsia="en-US"/>
        </w:rPr>
        <w:t>Source: Contracted Assessment, Table 51</w:t>
      </w:r>
    </w:p>
    <w:p w14:paraId="7E7C36A1" w14:textId="77777777" w:rsidR="00111108" w:rsidRPr="00F715D1" w:rsidRDefault="00111108" w:rsidP="00111108">
      <w:pPr>
        <w:pStyle w:val="Heading1"/>
      </w:pPr>
      <w:r w:rsidRPr="00F715D1">
        <w:lastRenderedPageBreak/>
        <w:t>Economic evaluation</w:t>
      </w:r>
    </w:p>
    <w:p w14:paraId="7E48CD60" w14:textId="77777777" w:rsidR="00BA6645" w:rsidRDefault="00BA6645" w:rsidP="00B20DE6">
      <w:r>
        <w:t xml:space="preserve">A decision algorithm (Table 9) </w:t>
      </w:r>
      <w:proofErr w:type="gramStart"/>
      <w:r>
        <w:t>was used</w:t>
      </w:r>
      <w:proofErr w:type="gramEnd"/>
      <w:r>
        <w:t xml:space="preserve"> to determine what type of economic analysis to undertake for each Indication. </w:t>
      </w:r>
    </w:p>
    <w:p w14:paraId="5AB5E55C" w14:textId="57A5CBDB" w:rsidR="00BA6645" w:rsidRDefault="00BA6645" w:rsidP="000031DC">
      <w:pPr>
        <w:spacing w:before="240"/>
      </w:pPr>
      <w:r>
        <w:t xml:space="preserve">For Indication 1, a full cost-utility analysis was undertaken; however, the data on safety differences </w:t>
      </w:r>
      <w:proofErr w:type="gramStart"/>
      <w:r>
        <w:t>is based</w:t>
      </w:r>
      <w:proofErr w:type="gramEnd"/>
      <w:r>
        <w:t xml:space="preserve"> on limited patient numbers with little clinical information and no long-term follow-up or quality of life information.</w:t>
      </w:r>
    </w:p>
    <w:p w14:paraId="49C8D29E" w14:textId="6A2A56C3" w:rsidR="00BA6645" w:rsidRDefault="00BA6645" w:rsidP="000031DC">
      <w:pPr>
        <w:spacing w:before="240" w:after="240"/>
      </w:pPr>
      <w:r>
        <w:t>For Indication 2, based on the decision algorithm, a cost analysis was undertaken.</w:t>
      </w:r>
    </w:p>
    <w:p w14:paraId="44BCB014" w14:textId="6714CED8" w:rsidR="00BA6645" w:rsidRDefault="00BA6645" w:rsidP="00B20DE6">
      <w:r w:rsidRPr="00E048C5">
        <w:t xml:space="preserve">For Indication 3, based on the decision algorithm, a cost-minimisation analysis </w:t>
      </w:r>
      <w:r>
        <w:t>(</w:t>
      </w:r>
      <w:proofErr w:type="spellStart"/>
      <w:r>
        <w:t>IVIg</w:t>
      </w:r>
      <w:proofErr w:type="spellEnd"/>
      <w:r>
        <w:t xml:space="preserve"> v PE) </w:t>
      </w:r>
      <w:proofErr w:type="gramStart"/>
      <w:r>
        <w:t>was considered</w:t>
      </w:r>
      <w:proofErr w:type="gramEnd"/>
      <w:r>
        <w:t xml:space="preserve"> appropriate</w:t>
      </w:r>
      <w:r w:rsidRPr="00E048C5">
        <w:t>. However at the request of the Ig Review Reference Group</w:t>
      </w:r>
      <w:r>
        <w:t xml:space="preserve"> and their advice that PE is less safe than Ig due to septicaemia associated with central line access,</w:t>
      </w:r>
      <w:r w:rsidRPr="00E048C5">
        <w:t xml:space="preserve"> an exploratory cost-utility analysis </w:t>
      </w:r>
      <w:proofErr w:type="gramStart"/>
      <w:r w:rsidRPr="00E048C5">
        <w:t>was conducted</w:t>
      </w:r>
      <w:proofErr w:type="gramEnd"/>
      <w:r w:rsidRPr="00E048C5">
        <w:t xml:space="preserve"> based on a reduced infection rate using </w:t>
      </w:r>
      <w:proofErr w:type="spellStart"/>
      <w:r w:rsidRPr="00E048C5">
        <w:t>IVIg</w:t>
      </w:r>
      <w:proofErr w:type="spellEnd"/>
      <w:r w:rsidRPr="00E048C5">
        <w:t xml:space="preserve"> compared to PE. </w:t>
      </w:r>
      <w:r>
        <w:t>However, the results of this analysis are highly uncertain, and c</w:t>
      </w:r>
      <w:r w:rsidRPr="00E048C5">
        <w:t xml:space="preserve">aution </w:t>
      </w:r>
      <w:proofErr w:type="gramStart"/>
      <w:r w:rsidRPr="00E048C5">
        <w:t>should be taken</w:t>
      </w:r>
      <w:proofErr w:type="gramEnd"/>
      <w:r w:rsidRPr="00E048C5">
        <w:t xml:space="preserve"> interpreting</w:t>
      </w:r>
      <w:r>
        <w:t xml:space="preserve"> them.</w:t>
      </w:r>
      <w:r w:rsidRPr="00035B20">
        <w:t xml:space="preserve"> </w:t>
      </w:r>
    </w:p>
    <w:p w14:paraId="627D6731" w14:textId="0BEA1EBB" w:rsidR="00BA6645" w:rsidRPr="00C163D0" w:rsidRDefault="00BA6645" w:rsidP="00C163D0">
      <w:pPr>
        <w:spacing w:before="240"/>
        <w:rPr>
          <w:rFonts w:ascii="Arial Narrow" w:hAnsi="Arial Narrow"/>
          <w:b/>
          <w:sz w:val="20"/>
        </w:rPr>
      </w:pPr>
      <w:bookmarkStart w:id="23" w:name="_Ref3291314"/>
      <w:bookmarkStart w:id="24" w:name="_Toc3883476"/>
      <w:bookmarkStart w:id="25" w:name="_Toc23769546"/>
      <w:r w:rsidRPr="00C163D0">
        <w:rPr>
          <w:rFonts w:ascii="Arial Narrow" w:hAnsi="Arial Narrow"/>
          <w:b/>
          <w:sz w:val="20"/>
        </w:rPr>
        <w:t>Table</w:t>
      </w:r>
      <w:bookmarkEnd w:id="23"/>
      <w:r w:rsidRPr="00C163D0">
        <w:rPr>
          <w:rFonts w:ascii="Arial Narrow" w:hAnsi="Arial Narrow"/>
          <w:b/>
          <w:sz w:val="20"/>
        </w:rPr>
        <w:t xml:space="preserve"> 9</w:t>
      </w:r>
      <w:r w:rsidRPr="00C163D0">
        <w:rPr>
          <w:rFonts w:ascii="Arial Narrow" w:hAnsi="Arial Narrow"/>
          <w:b/>
          <w:sz w:val="20"/>
        </w:rPr>
        <w:tab/>
        <w:t>Decision algorithm for undertaking an economic evaluation in the setting of the Ig Review.</w:t>
      </w:r>
      <w:bookmarkEnd w:id="24"/>
      <w:bookmarkEnd w:id="25"/>
      <w:r w:rsidRPr="00C163D0">
        <w:rPr>
          <w:rFonts w:ascii="Arial Narrow" w:hAnsi="Arial Narrow"/>
          <w:b/>
          <w:sz w:val="20"/>
        </w:rPr>
        <w:t>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1280"/>
        <w:gridCol w:w="1280"/>
        <w:gridCol w:w="1568"/>
        <w:gridCol w:w="1569"/>
        <w:gridCol w:w="1569"/>
      </w:tblGrid>
      <w:tr w:rsidR="00BA6645" w:rsidRPr="000E6659" w14:paraId="1BFEDDAD" w14:textId="77777777" w:rsidTr="00BA6645">
        <w:tc>
          <w:tcPr>
            <w:tcW w:w="1801" w:type="dxa"/>
            <w:vMerge w:val="restart"/>
            <w:shd w:val="clear" w:color="auto" w:fill="ACB9CA"/>
            <w:vAlign w:val="center"/>
          </w:tcPr>
          <w:p w14:paraId="7FECA900" w14:textId="77777777" w:rsidR="00BA6645" w:rsidRPr="000E6659" w:rsidRDefault="00BA6645" w:rsidP="00BA6645">
            <w:pPr>
              <w:keepNext/>
              <w:spacing w:before="40" w:after="40"/>
              <w:rPr>
                <w:rFonts w:ascii="Arial Narrow" w:hAnsi="Arial Narrow" w:cs="Tahoma"/>
                <w:b/>
                <w:sz w:val="20"/>
              </w:rPr>
            </w:pPr>
            <w:r w:rsidRPr="000E6659">
              <w:rPr>
                <w:rFonts w:ascii="Arial Narrow" w:hAnsi="Arial Narrow" w:cs="Tahoma"/>
                <w:b/>
                <w:sz w:val="20"/>
              </w:rPr>
              <w:t>Comparative safety of Ig</w:t>
            </w:r>
          </w:p>
        </w:tc>
        <w:tc>
          <w:tcPr>
            <w:tcW w:w="7266" w:type="dxa"/>
            <w:gridSpan w:val="5"/>
            <w:shd w:val="clear" w:color="auto" w:fill="ACB9CA"/>
          </w:tcPr>
          <w:p w14:paraId="351C5BEA" w14:textId="77777777" w:rsidR="00BA6645" w:rsidRPr="000E6659" w:rsidRDefault="00BA6645" w:rsidP="00BA6645">
            <w:pPr>
              <w:keepNext/>
              <w:spacing w:before="40" w:after="40"/>
              <w:rPr>
                <w:rFonts w:ascii="Arial Narrow" w:hAnsi="Arial Narrow" w:cs="Tahoma"/>
                <w:b/>
                <w:sz w:val="20"/>
              </w:rPr>
            </w:pPr>
            <w:r w:rsidRPr="000E6659">
              <w:rPr>
                <w:rFonts w:ascii="Arial Narrow" w:hAnsi="Arial Narrow" w:cs="Tahoma"/>
                <w:b/>
                <w:sz w:val="20"/>
              </w:rPr>
              <w:t>Comparative effectiveness of Ig</w:t>
            </w:r>
          </w:p>
        </w:tc>
      </w:tr>
      <w:tr w:rsidR="00BA6645" w:rsidRPr="000E6659" w14:paraId="05FC845D" w14:textId="77777777" w:rsidTr="00BA6645">
        <w:tc>
          <w:tcPr>
            <w:tcW w:w="1801" w:type="dxa"/>
            <w:vMerge/>
            <w:shd w:val="clear" w:color="auto" w:fill="ACB9CA"/>
          </w:tcPr>
          <w:p w14:paraId="1B8AFC22" w14:textId="77777777" w:rsidR="00BA6645" w:rsidRPr="000E6659" w:rsidRDefault="00BA6645" w:rsidP="00BA6645">
            <w:pPr>
              <w:widowControl w:val="0"/>
              <w:autoSpaceDE w:val="0"/>
              <w:autoSpaceDN w:val="0"/>
              <w:adjustRightInd w:val="0"/>
              <w:spacing w:after="60"/>
              <w:ind w:right="85"/>
              <w:rPr>
                <w:rFonts w:ascii="Calibri" w:eastAsia="Arial Narrow" w:hAnsi="Calibri" w:cs="Calibri"/>
                <w:b/>
                <w:bCs/>
                <w:sz w:val="20"/>
                <w:lang w:val="en-US" w:eastAsia="en-US"/>
              </w:rPr>
            </w:pPr>
          </w:p>
        </w:tc>
        <w:tc>
          <w:tcPr>
            <w:tcW w:w="2560" w:type="dxa"/>
            <w:gridSpan w:val="2"/>
            <w:shd w:val="clear" w:color="auto" w:fill="FFFFFF"/>
            <w:vAlign w:val="center"/>
          </w:tcPr>
          <w:p w14:paraId="3DF7665D"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Inferior</w:t>
            </w:r>
          </w:p>
        </w:tc>
        <w:tc>
          <w:tcPr>
            <w:tcW w:w="1568" w:type="dxa"/>
            <w:vMerge w:val="restart"/>
            <w:shd w:val="clear" w:color="auto" w:fill="FFFFFF"/>
          </w:tcPr>
          <w:p w14:paraId="571ED899"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Uncertain</w:t>
            </w:r>
          </w:p>
        </w:tc>
        <w:tc>
          <w:tcPr>
            <w:tcW w:w="1569" w:type="dxa"/>
            <w:vMerge w:val="restart"/>
            <w:shd w:val="clear" w:color="auto" w:fill="FFFFFF"/>
          </w:tcPr>
          <w:p w14:paraId="5568451D"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Non-inferior</w:t>
            </w:r>
          </w:p>
        </w:tc>
        <w:tc>
          <w:tcPr>
            <w:tcW w:w="1569" w:type="dxa"/>
            <w:vMerge w:val="restart"/>
            <w:shd w:val="clear" w:color="auto" w:fill="FFFFFF"/>
          </w:tcPr>
          <w:p w14:paraId="1C305A14"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Superior</w:t>
            </w:r>
          </w:p>
        </w:tc>
      </w:tr>
      <w:tr w:rsidR="00BA6645" w:rsidRPr="000E6659" w14:paraId="470498D7" w14:textId="77777777" w:rsidTr="00BA6645">
        <w:tc>
          <w:tcPr>
            <w:tcW w:w="1801" w:type="dxa"/>
            <w:vMerge/>
            <w:shd w:val="clear" w:color="auto" w:fill="ACB9CA"/>
          </w:tcPr>
          <w:p w14:paraId="436EA81F" w14:textId="77777777" w:rsidR="00BA6645" w:rsidRPr="000E6659" w:rsidRDefault="00BA6645" w:rsidP="00BA6645">
            <w:pPr>
              <w:widowControl w:val="0"/>
              <w:autoSpaceDE w:val="0"/>
              <w:autoSpaceDN w:val="0"/>
              <w:adjustRightInd w:val="0"/>
              <w:spacing w:after="60"/>
              <w:ind w:right="85"/>
              <w:rPr>
                <w:rFonts w:ascii="Calibri" w:eastAsia="Arial Narrow" w:hAnsi="Calibri" w:cs="Calibri"/>
                <w:b/>
                <w:bCs/>
                <w:sz w:val="20"/>
                <w:lang w:val="en-US" w:eastAsia="en-US"/>
              </w:rPr>
            </w:pPr>
          </w:p>
        </w:tc>
        <w:tc>
          <w:tcPr>
            <w:tcW w:w="1280" w:type="dxa"/>
            <w:shd w:val="clear" w:color="auto" w:fill="FFFFFF"/>
          </w:tcPr>
          <w:p w14:paraId="073479EB"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No active comparator</w:t>
            </w:r>
          </w:p>
        </w:tc>
        <w:tc>
          <w:tcPr>
            <w:tcW w:w="1280" w:type="dxa"/>
            <w:shd w:val="clear" w:color="auto" w:fill="FFFFFF"/>
          </w:tcPr>
          <w:p w14:paraId="0335D8E2"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Active comparator</w:t>
            </w:r>
          </w:p>
        </w:tc>
        <w:tc>
          <w:tcPr>
            <w:tcW w:w="1568" w:type="dxa"/>
            <w:vMerge/>
            <w:shd w:val="clear" w:color="auto" w:fill="auto"/>
          </w:tcPr>
          <w:p w14:paraId="43CE0588" w14:textId="77777777" w:rsidR="00BA6645" w:rsidRPr="000E6659" w:rsidRDefault="00BA6645" w:rsidP="00BA6645">
            <w:pPr>
              <w:widowControl w:val="0"/>
              <w:autoSpaceDE w:val="0"/>
              <w:autoSpaceDN w:val="0"/>
              <w:adjustRightInd w:val="0"/>
              <w:spacing w:after="60"/>
              <w:ind w:right="85"/>
              <w:rPr>
                <w:rFonts w:ascii="Calibri" w:eastAsia="Arial Narrow" w:hAnsi="Calibri" w:cs="Calibri"/>
                <w:b/>
                <w:bCs/>
                <w:sz w:val="20"/>
                <w:lang w:val="en-US" w:eastAsia="en-US"/>
              </w:rPr>
            </w:pPr>
          </w:p>
        </w:tc>
        <w:tc>
          <w:tcPr>
            <w:tcW w:w="1569" w:type="dxa"/>
            <w:vMerge/>
            <w:shd w:val="clear" w:color="auto" w:fill="auto"/>
          </w:tcPr>
          <w:p w14:paraId="51B70B6C" w14:textId="77777777" w:rsidR="00BA6645" w:rsidRPr="000E6659" w:rsidRDefault="00BA6645" w:rsidP="00BA6645">
            <w:pPr>
              <w:widowControl w:val="0"/>
              <w:autoSpaceDE w:val="0"/>
              <w:autoSpaceDN w:val="0"/>
              <w:adjustRightInd w:val="0"/>
              <w:spacing w:after="60"/>
              <w:ind w:right="85"/>
              <w:rPr>
                <w:rFonts w:ascii="Calibri" w:eastAsia="Arial Narrow" w:hAnsi="Calibri" w:cs="Calibri"/>
                <w:b/>
                <w:bCs/>
                <w:sz w:val="20"/>
                <w:lang w:val="en-US" w:eastAsia="en-US"/>
              </w:rPr>
            </w:pPr>
          </w:p>
        </w:tc>
        <w:tc>
          <w:tcPr>
            <w:tcW w:w="1569" w:type="dxa"/>
            <w:vMerge/>
            <w:shd w:val="clear" w:color="auto" w:fill="auto"/>
          </w:tcPr>
          <w:p w14:paraId="763E16FB" w14:textId="77777777" w:rsidR="00BA6645" w:rsidRPr="000E6659" w:rsidRDefault="00BA6645" w:rsidP="00BA6645">
            <w:pPr>
              <w:widowControl w:val="0"/>
              <w:autoSpaceDE w:val="0"/>
              <w:autoSpaceDN w:val="0"/>
              <w:adjustRightInd w:val="0"/>
              <w:spacing w:after="60"/>
              <w:ind w:right="85"/>
              <w:rPr>
                <w:rFonts w:ascii="Calibri" w:eastAsia="Arial Narrow" w:hAnsi="Calibri" w:cs="Calibri"/>
                <w:b/>
                <w:bCs/>
                <w:sz w:val="20"/>
                <w:lang w:val="en-US" w:eastAsia="en-US"/>
              </w:rPr>
            </w:pPr>
          </w:p>
        </w:tc>
      </w:tr>
      <w:tr w:rsidR="00BA6645" w:rsidRPr="000E6659" w14:paraId="28C7222B" w14:textId="77777777" w:rsidTr="00BA6645">
        <w:tc>
          <w:tcPr>
            <w:tcW w:w="1801" w:type="dxa"/>
            <w:shd w:val="clear" w:color="auto" w:fill="D9D9D9"/>
          </w:tcPr>
          <w:p w14:paraId="16683B1D" w14:textId="77777777" w:rsidR="00BA6645" w:rsidRPr="000E6659" w:rsidRDefault="00BA6645" w:rsidP="00BA6645">
            <w:pPr>
              <w:spacing w:before="40" w:after="40"/>
              <w:rPr>
                <w:rFonts w:ascii="Arial Narrow" w:hAnsi="Arial Narrow" w:cs="Tahoma"/>
                <w:sz w:val="20"/>
              </w:rPr>
            </w:pPr>
            <w:r w:rsidRPr="000E6659">
              <w:rPr>
                <w:rFonts w:ascii="Arial Narrow" w:hAnsi="Arial Narrow" w:cs="Tahoma"/>
                <w:sz w:val="20"/>
              </w:rPr>
              <w:t>Inferior</w:t>
            </w:r>
          </w:p>
        </w:tc>
        <w:tc>
          <w:tcPr>
            <w:tcW w:w="1280" w:type="dxa"/>
            <w:shd w:val="clear" w:color="auto" w:fill="D9D9D9"/>
          </w:tcPr>
          <w:p w14:paraId="37B07431"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x</w:t>
            </w:r>
          </w:p>
        </w:tc>
        <w:tc>
          <w:tcPr>
            <w:tcW w:w="1280" w:type="dxa"/>
            <w:shd w:val="clear" w:color="auto" w:fill="D9D9D9"/>
          </w:tcPr>
          <w:p w14:paraId="07665F89"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F</w:t>
            </w:r>
          </w:p>
        </w:tc>
        <w:tc>
          <w:tcPr>
            <w:tcW w:w="1568" w:type="dxa"/>
            <w:shd w:val="clear" w:color="auto" w:fill="D9D9D9"/>
          </w:tcPr>
          <w:p w14:paraId="7D6BB52D"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w:t>
            </w:r>
          </w:p>
        </w:tc>
        <w:tc>
          <w:tcPr>
            <w:tcW w:w="1569" w:type="dxa"/>
            <w:shd w:val="clear" w:color="auto" w:fill="D9D9D9"/>
          </w:tcPr>
          <w:p w14:paraId="28127835"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F</w:t>
            </w:r>
            <w:r w:rsidRPr="000E6659">
              <w:rPr>
                <w:rFonts w:ascii="Arial Narrow" w:hAnsi="Arial Narrow" w:cs="Tahoma"/>
                <w:sz w:val="20"/>
                <w:vertAlign w:val="superscript"/>
              </w:rPr>
              <w:t>b</w:t>
            </w:r>
          </w:p>
        </w:tc>
        <w:tc>
          <w:tcPr>
            <w:tcW w:w="1569" w:type="dxa"/>
            <w:shd w:val="clear" w:color="auto" w:fill="D9D9D9"/>
          </w:tcPr>
          <w:p w14:paraId="679A62A4"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F</w:t>
            </w:r>
            <w:r w:rsidRPr="000E6659">
              <w:rPr>
                <w:rFonts w:ascii="Arial Narrow" w:hAnsi="Arial Narrow" w:cs="Tahoma"/>
                <w:sz w:val="20"/>
                <w:vertAlign w:val="superscript"/>
              </w:rPr>
              <w:t>a</w:t>
            </w:r>
          </w:p>
        </w:tc>
      </w:tr>
      <w:tr w:rsidR="00BA6645" w:rsidRPr="000E6659" w14:paraId="302BA278" w14:textId="77777777" w:rsidTr="00BA6645">
        <w:tc>
          <w:tcPr>
            <w:tcW w:w="1801" w:type="dxa"/>
            <w:shd w:val="clear" w:color="auto" w:fill="FFFFFF"/>
          </w:tcPr>
          <w:p w14:paraId="7A76975F" w14:textId="77777777" w:rsidR="00BA6645" w:rsidRPr="000E6659" w:rsidRDefault="00BA6645" w:rsidP="00BA6645">
            <w:pPr>
              <w:spacing w:before="40" w:after="40"/>
              <w:rPr>
                <w:rFonts w:ascii="Arial Narrow" w:hAnsi="Arial Narrow" w:cs="Tahoma"/>
                <w:sz w:val="20"/>
              </w:rPr>
            </w:pPr>
            <w:r w:rsidRPr="000E6659">
              <w:rPr>
                <w:rFonts w:ascii="Arial Narrow" w:hAnsi="Arial Narrow" w:cs="Tahoma"/>
                <w:sz w:val="20"/>
              </w:rPr>
              <w:t>Uncertain</w:t>
            </w:r>
          </w:p>
        </w:tc>
        <w:tc>
          <w:tcPr>
            <w:tcW w:w="1280" w:type="dxa"/>
            <w:shd w:val="clear" w:color="auto" w:fill="FFFFFF"/>
          </w:tcPr>
          <w:p w14:paraId="329A09DA"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x</w:t>
            </w:r>
          </w:p>
        </w:tc>
        <w:tc>
          <w:tcPr>
            <w:tcW w:w="1280" w:type="dxa"/>
            <w:shd w:val="clear" w:color="auto" w:fill="FFFFFF"/>
          </w:tcPr>
          <w:p w14:paraId="5A78D13A"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F</w:t>
            </w:r>
            <w:r w:rsidRPr="000E6659">
              <w:rPr>
                <w:rFonts w:ascii="Arial Narrow" w:hAnsi="Arial Narrow" w:cs="Tahoma"/>
                <w:sz w:val="20"/>
                <w:vertAlign w:val="superscript"/>
              </w:rPr>
              <w:t>a</w:t>
            </w:r>
          </w:p>
        </w:tc>
        <w:tc>
          <w:tcPr>
            <w:tcW w:w="1568" w:type="dxa"/>
            <w:shd w:val="clear" w:color="auto" w:fill="FDE9D9"/>
          </w:tcPr>
          <w:p w14:paraId="67FF8086"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w:t>
            </w:r>
          </w:p>
        </w:tc>
        <w:tc>
          <w:tcPr>
            <w:tcW w:w="1569" w:type="dxa"/>
            <w:shd w:val="clear" w:color="auto" w:fill="FFFFFF"/>
          </w:tcPr>
          <w:p w14:paraId="4FF28871"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w:t>
            </w:r>
          </w:p>
        </w:tc>
        <w:tc>
          <w:tcPr>
            <w:tcW w:w="1569" w:type="dxa"/>
            <w:shd w:val="clear" w:color="auto" w:fill="FFFFFF"/>
          </w:tcPr>
          <w:p w14:paraId="2669493E"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F</w:t>
            </w:r>
            <w:r w:rsidRPr="000E6659">
              <w:rPr>
                <w:rFonts w:ascii="Arial Narrow" w:hAnsi="Arial Narrow" w:cs="Tahoma"/>
                <w:sz w:val="20"/>
                <w:vertAlign w:val="superscript"/>
              </w:rPr>
              <w:t>a</w:t>
            </w:r>
          </w:p>
        </w:tc>
      </w:tr>
      <w:tr w:rsidR="00BA6645" w:rsidRPr="000E6659" w14:paraId="60A6A01C" w14:textId="77777777" w:rsidTr="00BA6645">
        <w:tc>
          <w:tcPr>
            <w:tcW w:w="1801" w:type="dxa"/>
            <w:shd w:val="clear" w:color="auto" w:fill="D9D9D9"/>
          </w:tcPr>
          <w:p w14:paraId="1504B25C" w14:textId="77777777" w:rsidR="00BA6645" w:rsidRPr="000E6659" w:rsidRDefault="00BA6645" w:rsidP="00BA6645">
            <w:pPr>
              <w:spacing w:before="40" w:after="40"/>
              <w:rPr>
                <w:rFonts w:ascii="Arial Narrow" w:hAnsi="Arial Narrow" w:cs="Tahoma"/>
                <w:sz w:val="20"/>
              </w:rPr>
            </w:pPr>
            <w:r w:rsidRPr="000E6659">
              <w:rPr>
                <w:rFonts w:ascii="Arial Narrow" w:hAnsi="Arial Narrow" w:cs="Tahoma"/>
                <w:sz w:val="20"/>
              </w:rPr>
              <w:t>Non-inferior</w:t>
            </w:r>
          </w:p>
        </w:tc>
        <w:tc>
          <w:tcPr>
            <w:tcW w:w="1280" w:type="dxa"/>
            <w:shd w:val="clear" w:color="auto" w:fill="D9D9D9"/>
          </w:tcPr>
          <w:p w14:paraId="703B21F3"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x</w:t>
            </w:r>
            <w:r w:rsidRPr="000E6659">
              <w:rPr>
                <w:rFonts w:ascii="Arial Narrow" w:hAnsi="Arial Narrow" w:cs="Tahoma"/>
                <w:sz w:val="20"/>
                <w:vertAlign w:val="superscript"/>
              </w:rPr>
              <w:t>c</w:t>
            </w:r>
          </w:p>
        </w:tc>
        <w:tc>
          <w:tcPr>
            <w:tcW w:w="1280" w:type="dxa"/>
            <w:shd w:val="clear" w:color="auto" w:fill="D9D9D9"/>
          </w:tcPr>
          <w:p w14:paraId="27925FC4"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F</w:t>
            </w:r>
          </w:p>
        </w:tc>
        <w:tc>
          <w:tcPr>
            <w:tcW w:w="1568" w:type="dxa"/>
            <w:shd w:val="clear" w:color="auto" w:fill="D9D9D9"/>
          </w:tcPr>
          <w:p w14:paraId="357098AD"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w:t>
            </w:r>
          </w:p>
        </w:tc>
        <w:tc>
          <w:tcPr>
            <w:tcW w:w="1569" w:type="dxa"/>
            <w:shd w:val="clear" w:color="auto" w:fill="EAF1DD"/>
          </w:tcPr>
          <w:p w14:paraId="3B9E00B6"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w:t>
            </w:r>
          </w:p>
        </w:tc>
        <w:tc>
          <w:tcPr>
            <w:tcW w:w="1569" w:type="dxa"/>
            <w:shd w:val="clear" w:color="auto" w:fill="D9D9D9"/>
          </w:tcPr>
          <w:p w14:paraId="378E141E"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F</w:t>
            </w:r>
          </w:p>
        </w:tc>
      </w:tr>
      <w:tr w:rsidR="00BA6645" w:rsidRPr="000E6659" w14:paraId="147C7031" w14:textId="77777777" w:rsidTr="00BA6645">
        <w:tc>
          <w:tcPr>
            <w:tcW w:w="1801" w:type="dxa"/>
            <w:shd w:val="clear" w:color="auto" w:fill="FFFFFF"/>
          </w:tcPr>
          <w:p w14:paraId="73592A82" w14:textId="77777777" w:rsidR="00BA6645" w:rsidRPr="000E6659" w:rsidRDefault="00BA6645" w:rsidP="00BA6645">
            <w:pPr>
              <w:spacing w:before="40" w:after="40"/>
              <w:rPr>
                <w:rFonts w:ascii="Arial Narrow" w:hAnsi="Arial Narrow" w:cs="Tahoma"/>
                <w:sz w:val="20"/>
              </w:rPr>
            </w:pPr>
            <w:r w:rsidRPr="000E6659">
              <w:rPr>
                <w:rFonts w:ascii="Arial Narrow" w:hAnsi="Arial Narrow" w:cs="Tahoma"/>
                <w:sz w:val="20"/>
              </w:rPr>
              <w:t>Superior</w:t>
            </w:r>
          </w:p>
        </w:tc>
        <w:tc>
          <w:tcPr>
            <w:tcW w:w="1280" w:type="dxa"/>
            <w:shd w:val="clear" w:color="auto" w:fill="FFFFFF"/>
          </w:tcPr>
          <w:p w14:paraId="3EC0C359"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x</w:t>
            </w:r>
            <w:r w:rsidRPr="000E6659">
              <w:rPr>
                <w:rFonts w:ascii="Arial Narrow" w:hAnsi="Arial Narrow" w:cs="Tahoma"/>
                <w:sz w:val="20"/>
                <w:vertAlign w:val="superscript"/>
              </w:rPr>
              <w:t>c</w:t>
            </w:r>
          </w:p>
        </w:tc>
        <w:tc>
          <w:tcPr>
            <w:tcW w:w="1280" w:type="dxa"/>
            <w:shd w:val="clear" w:color="auto" w:fill="FFFFFF"/>
          </w:tcPr>
          <w:p w14:paraId="04130C92"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F</w:t>
            </w:r>
            <w:r w:rsidRPr="000E6659">
              <w:rPr>
                <w:rFonts w:ascii="Arial Narrow" w:hAnsi="Arial Narrow" w:cs="Tahoma"/>
                <w:sz w:val="20"/>
                <w:vertAlign w:val="superscript"/>
              </w:rPr>
              <w:t>a</w:t>
            </w:r>
          </w:p>
        </w:tc>
        <w:tc>
          <w:tcPr>
            <w:tcW w:w="1568" w:type="dxa"/>
            <w:shd w:val="clear" w:color="auto" w:fill="FFFFFF"/>
          </w:tcPr>
          <w:p w14:paraId="69D5EB58"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w:t>
            </w:r>
          </w:p>
        </w:tc>
        <w:tc>
          <w:tcPr>
            <w:tcW w:w="1569" w:type="dxa"/>
            <w:shd w:val="clear" w:color="auto" w:fill="DAEEF3"/>
          </w:tcPr>
          <w:p w14:paraId="4EB2728C"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F</w:t>
            </w:r>
            <w:r w:rsidRPr="000E6659">
              <w:rPr>
                <w:rFonts w:ascii="Arial Narrow" w:hAnsi="Arial Narrow" w:cs="Tahoma"/>
                <w:sz w:val="20"/>
                <w:vertAlign w:val="superscript"/>
              </w:rPr>
              <w:t>b</w:t>
            </w:r>
          </w:p>
        </w:tc>
        <w:tc>
          <w:tcPr>
            <w:tcW w:w="1569" w:type="dxa"/>
            <w:shd w:val="clear" w:color="auto" w:fill="FFFFFF"/>
          </w:tcPr>
          <w:p w14:paraId="2EE14E0F" w14:textId="77777777" w:rsidR="00BA6645" w:rsidRPr="000E6659" w:rsidRDefault="00BA6645" w:rsidP="00BA6645">
            <w:pPr>
              <w:spacing w:before="40" w:after="40"/>
              <w:jc w:val="center"/>
              <w:rPr>
                <w:rFonts w:ascii="Arial Narrow" w:hAnsi="Arial Narrow" w:cs="Tahoma"/>
                <w:sz w:val="20"/>
              </w:rPr>
            </w:pPr>
            <w:r w:rsidRPr="000E6659">
              <w:rPr>
                <w:rFonts w:ascii="Arial Narrow" w:hAnsi="Arial Narrow" w:cs="Tahoma"/>
                <w:sz w:val="20"/>
              </w:rPr>
              <w:t>F</w:t>
            </w:r>
          </w:p>
        </w:tc>
      </w:tr>
    </w:tbl>
    <w:p w14:paraId="04E8BA02" w14:textId="77777777" w:rsidR="00BA6645" w:rsidRPr="000E6659" w:rsidRDefault="00BA6645" w:rsidP="00BA6645">
      <w:pPr>
        <w:widowControl w:val="0"/>
        <w:spacing w:before="40" w:after="40"/>
        <w:jc w:val="both"/>
        <w:rPr>
          <w:rFonts w:ascii="Arial Narrow" w:hAnsi="Arial Narrow" w:cs="Arial"/>
          <w:snapToGrid w:val="0"/>
          <w:sz w:val="18"/>
          <w:lang w:eastAsia="en-US"/>
        </w:rPr>
      </w:pPr>
      <w:r w:rsidRPr="000E6659">
        <w:rPr>
          <w:rFonts w:ascii="Arial Narrow" w:hAnsi="Arial Narrow" w:cs="Arial"/>
          <w:snapToGrid w:val="0"/>
          <w:sz w:val="18"/>
          <w:lang w:eastAsia="en-US"/>
        </w:rPr>
        <w:t xml:space="preserve">x = health forgone (at cost). An economic evaluation </w:t>
      </w:r>
      <w:proofErr w:type="gramStart"/>
      <w:r w:rsidRPr="000E6659">
        <w:rPr>
          <w:rFonts w:ascii="Arial Narrow" w:hAnsi="Arial Narrow" w:cs="Arial"/>
          <w:snapToGrid w:val="0"/>
          <w:sz w:val="18"/>
          <w:lang w:eastAsia="en-US"/>
        </w:rPr>
        <w:t>is not warranted</w:t>
      </w:r>
      <w:proofErr w:type="gramEnd"/>
      <w:r w:rsidRPr="000E6659">
        <w:rPr>
          <w:rFonts w:ascii="Arial Narrow" w:hAnsi="Arial Narrow" w:cs="Arial"/>
          <w:snapToGrid w:val="0"/>
          <w:sz w:val="18"/>
          <w:lang w:eastAsia="en-US"/>
        </w:rPr>
        <w:t xml:space="preserve"> and continued use of Ig should not occur in this circumstance unless there are other supportive factors.</w:t>
      </w:r>
    </w:p>
    <w:p w14:paraId="6F3486A9" w14:textId="77777777" w:rsidR="00BA6645" w:rsidRPr="000E6659" w:rsidRDefault="00BA6645" w:rsidP="00BA6645">
      <w:pPr>
        <w:widowControl w:val="0"/>
        <w:spacing w:before="40" w:after="40"/>
        <w:jc w:val="both"/>
        <w:rPr>
          <w:rFonts w:ascii="Arial Narrow" w:hAnsi="Arial Narrow" w:cs="Arial"/>
          <w:snapToGrid w:val="0"/>
          <w:sz w:val="18"/>
          <w:lang w:eastAsia="en-US"/>
        </w:rPr>
      </w:pPr>
      <w:r w:rsidRPr="000E6659">
        <w:rPr>
          <w:rFonts w:ascii="Arial Narrow" w:hAnsi="Arial Narrow" w:cs="Arial"/>
          <w:snapToGrid w:val="0"/>
          <w:sz w:val="18"/>
          <w:lang w:eastAsia="en-US"/>
        </w:rPr>
        <w:t xml:space="preserve">F = undertake a full economic evaluation. These may take the form of cost-utility analyses (preferred if adequate data are available) or cost effectiveness analyses in terms of clinically relevant outcome(s). </w:t>
      </w:r>
    </w:p>
    <w:p w14:paraId="4D1EFA7A" w14:textId="77777777" w:rsidR="00BA6645" w:rsidRPr="000E6659" w:rsidRDefault="00BA6645" w:rsidP="00BA6645">
      <w:pPr>
        <w:widowControl w:val="0"/>
        <w:spacing w:before="40" w:after="40"/>
        <w:jc w:val="both"/>
        <w:rPr>
          <w:rFonts w:ascii="Arial Narrow" w:hAnsi="Arial Narrow" w:cs="Arial"/>
          <w:snapToGrid w:val="0"/>
          <w:sz w:val="18"/>
          <w:lang w:eastAsia="en-US"/>
        </w:rPr>
      </w:pPr>
      <w:r w:rsidRPr="000E6659">
        <w:rPr>
          <w:rFonts w:ascii="Arial Narrow" w:hAnsi="Arial Narrow" w:cs="Arial"/>
          <w:snapToGrid w:val="0"/>
          <w:sz w:val="18"/>
          <w:lang w:eastAsia="en-US"/>
        </w:rPr>
        <w:t xml:space="preserve">? = high levels of uncertainty will occur in an economic evaluation (if it is feasible to construct one). A cost analysis (partial economic evaluation) </w:t>
      </w:r>
      <w:proofErr w:type="gramStart"/>
      <w:r w:rsidRPr="000E6659">
        <w:rPr>
          <w:rFonts w:ascii="Arial Narrow" w:hAnsi="Arial Narrow" w:cs="Arial"/>
          <w:snapToGrid w:val="0"/>
          <w:sz w:val="18"/>
          <w:lang w:eastAsia="en-US"/>
        </w:rPr>
        <w:t>could be performed</w:t>
      </w:r>
      <w:proofErr w:type="gramEnd"/>
      <w:r w:rsidRPr="000E6659">
        <w:rPr>
          <w:rFonts w:ascii="Arial Narrow" w:hAnsi="Arial Narrow" w:cs="Arial"/>
          <w:snapToGrid w:val="0"/>
          <w:sz w:val="18"/>
          <w:lang w:eastAsia="en-US"/>
        </w:rPr>
        <w:t>.</w:t>
      </w:r>
    </w:p>
    <w:p w14:paraId="387C088A" w14:textId="77777777" w:rsidR="00BA6645" w:rsidRPr="000E6659" w:rsidRDefault="00BA6645" w:rsidP="00BA6645">
      <w:pPr>
        <w:widowControl w:val="0"/>
        <w:spacing w:before="40" w:after="40"/>
        <w:jc w:val="both"/>
        <w:rPr>
          <w:rFonts w:ascii="Arial Narrow" w:hAnsi="Arial Narrow" w:cs="Arial"/>
          <w:snapToGrid w:val="0"/>
          <w:sz w:val="18"/>
          <w:lang w:eastAsia="en-US"/>
        </w:rPr>
      </w:pPr>
      <w:r w:rsidRPr="000E6659">
        <w:rPr>
          <w:rFonts w:ascii="Arial Narrow" w:hAnsi="Arial Narrow" w:cs="Arial"/>
          <w:snapToGrid w:val="0"/>
          <w:sz w:val="18"/>
          <w:lang w:eastAsia="en-US"/>
        </w:rPr>
        <w:t xml:space="preserve">$ = cost minimisation analysis (partial economic evaluation that explicitly assumes no significant differences in health outcomes, associated with either effectiveness or safety, and analyses cost-differences only). </w:t>
      </w:r>
    </w:p>
    <w:p w14:paraId="09607765" w14:textId="77777777" w:rsidR="00BA6645" w:rsidRPr="000E6659" w:rsidRDefault="00BA6645" w:rsidP="00BA6645">
      <w:pPr>
        <w:widowControl w:val="0"/>
        <w:spacing w:before="40" w:after="40"/>
        <w:jc w:val="both"/>
        <w:rPr>
          <w:rFonts w:ascii="Arial Narrow" w:hAnsi="Arial Narrow" w:cs="Arial"/>
          <w:snapToGrid w:val="0"/>
          <w:sz w:val="18"/>
          <w:lang w:eastAsia="en-US"/>
        </w:rPr>
      </w:pPr>
      <w:r w:rsidRPr="000E6659">
        <w:rPr>
          <w:rFonts w:ascii="Arial Narrow" w:hAnsi="Arial Narrow" w:cs="Arial"/>
          <w:snapToGrid w:val="0"/>
          <w:sz w:val="18"/>
          <w:lang w:eastAsia="en-US"/>
        </w:rPr>
        <w:t xml:space="preserve">a where the conclusions with respect to effectiveness and safety are not congruent, then analyses identifying all relevant health consequences (i.e. effectiveness and safety outcomes in opposing directions of benefit) need to be presented. If a CUA </w:t>
      </w:r>
      <w:proofErr w:type="gramStart"/>
      <w:r w:rsidRPr="000E6659">
        <w:rPr>
          <w:rFonts w:ascii="Arial Narrow" w:hAnsi="Arial Narrow" w:cs="Arial"/>
          <w:snapToGrid w:val="0"/>
          <w:sz w:val="18"/>
          <w:lang w:eastAsia="en-US"/>
        </w:rPr>
        <w:t>is presented</w:t>
      </w:r>
      <w:proofErr w:type="gramEnd"/>
      <w:r w:rsidRPr="000E6659">
        <w:rPr>
          <w:rFonts w:ascii="Arial Narrow" w:hAnsi="Arial Narrow" w:cs="Arial"/>
          <w:snapToGrid w:val="0"/>
          <w:sz w:val="18"/>
          <w:lang w:eastAsia="en-US"/>
        </w:rPr>
        <w:t xml:space="preserve">, this should capture effectiveness and safety collectively. If a CUA is not possible, then a single CEA may not capture all health consequences adequately and so a CCA is likely to be required. Where possible, the CCA should be quantitative, but in the absence of adequate data, a minimum qualitative identification of consequences </w:t>
      </w:r>
      <w:proofErr w:type="gramStart"/>
      <w:r w:rsidRPr="000E6659">
        <w:rPr>
          <w:rFonts w:ascii="Arial Narrow" w:hAnsi="Arial Narrow" w:cs="Arial"/>
          <w:snapToGrid w:val="0"/>
          <w:sz w:val="18"/>
          <w:lang w:eastAsia="en-US"/>
        </w:rPr>
        <w:t>should be presented</w:t>
      </w:r>
      <w:proofErr w:type="gramEnd"/>
      <w:r w:rsidRPr="000E6659">
        <w:rPr>
          <w:rFonts w:ascii="Arial Narrow" w:hAnsi="Arial Narrow" w:cs="Arial"/>
          <w:snapToGrid w:val="0"/>
          <w:sz w:val="18"/>
          <w:lang w:eastAsia="en-US"/>
        </w:rPr>
        <w:t>.</w:t>
      </w:r>
    </w:p>
    <w:p w14:paraId="54D10853" w14:textId="77777777" w:rsidR="00BA6645" w:rsidRPr="000E6659" w:rsidRDefault="00BA6645" w:rsidP="00BA6645">
      <w:pPr>
        <w:widowControl w:val="0"/>
        <w:shd w:val="clear" w:color="auto" w:fill="FFFFFF"/>
        <w:spacing w:before="40" w:after="40"/>
        <w:jc w:val="both"/>
        <w:rPr>
          <w:rFonts w:ascii="Arial Narrow" w:hAnsi="Arial Narrow" w:cs="Arial"/>
          <w:snapToGrid w:val="0"/>
          <w:sz w:val="18"/>
          <w:lang w:eastAsia="en-US"/>
        </w:rPr>
      </w:pPr>
      <w:r w:rsidRPr="000E6659">
        <w:rPr>
          <w:rFonts w:ascii="Arial Narrow" w:hAnsi="Arial Narrow" w:cs="Arial"/>
          <w:snapToGrid w:val="0"/>
          <w:sz w:val="18"/>
          <w:lang w:eastAsia="en-US"/>
        </w:rPr>
        <w:t>b where effectiveness is assessed as non-inferior but safety differences exist, and in the absence of a CUA being possible, the outcomes component of the analysis should include a clinically relevant outcome which reflects the safety differences between Ig and the comparator.</w:t>
      </w:r>
    </w:p>
    <w:p w14:paraId="72393F8D" w14:textId="77777777" w:rsidR="00BA6645" w:rsidRPr="000E6659" w:rsidRDefault="00BA6645" w:rsidP="00BA6645">
      <w:pPr>
        <w:widowControl w:val="0"/>
        <w:spacing w:before="40" w:after="40"/>
        <w:jc w:val="both"/>
        <w:rPr>
          <w:rFonts w:ascii="Arial Narrow" w:hAnsi="Arial Narrow" w:cs="Arial"/>
          <w:snapToGrid w:val="0"/>
          <w:sz w:val="18"/>
          <w:lang w:eastAsia="en-US"/>
        </w:rPr>
      </w:pPr>
      <w:r w:rsidRPr="000E6659">
        <w:rPr>
          <w:rFonts w:ascii="Arial Narrow" w:hAnsi="Arial Narrow" w:cs="Arial"/>
          <w:snapToGrid w:val="0"/>
          <w:sz w:val="18"/>
          <w:lang w:eastAsia="en-US"/>
        </w:rPr>
        <w:t>c The small but unavoidable potential risks associated with administering a blood product means that a conclusion of non-inferior or superior Ig safety relative to no active comparator, should never arise.</w:t>
      </w:r>
    </w:p>
    <w:p w14:paraId="1947F78A" w14:textId="77777777" w:rsidR="00BA6645" w:rsidRPr="000E6659" w:rsidRDefault="00BA6645" w:rsidP="00BA6645">
      <w:pPr>
        <w:widowControl w:val="0"/>
        <w:spacing w:before="40" w:after="40"/>
        <w:jc w:val="both"/>
        <w:rPr>
          <w:rFonts w:ascii="Arial Narrow" w:hAnsi="Arial Narrow" w:cs="Arial"/>
          <w:snapToGrid w:val="0"/>
          <w:sz w:val="18"/>
          <w:lang w:eastAsia="en-US"/>
        </w:rPr>
      </w:pPr>
      <w:r w:rsidRPr="000E6659">
        <w:rPr>
          <w:rFonts w:ascii="Arial Narrow" w:hAnsi="Arial Narrow" w:cs="Arial"/>
          <w:snapToGrid w:val="0"/>
          <w:sz w:val="18"/>
          <w:lang w:eastAsia="en-US"/>
        </w:rPr>
        <w:t xml:space="preserve">Source: </w:t>
      </w:r>
      <w:r>
        <w:rPr>
          <w:rFonts w:ascii="Arial Narrow" w:hAnsi="Arial Narrow" w:cs="Arial"/>
          <w:snapToGrid w:val="0"/>
          <w:sz w:val="18"/>
          <w:lang w:eastAsia="en-US"/>
        </w:rPr>
        <w:t>Contracted Assessment, Table 59</w:t>
      </w:r>
    </w:p>
    <w:p w14:paraId="78F03196" w14:textId="77777777" w:rsidR="00BA6645" w:rsidRDefault="00BA6645" w:rsidP="00BA6645">
      <w:pPr>
        <w:widowControl w:val="0"/>
        <w:spacing w:before="40" w:after="40"/>
        <w:jc w:val="both"/>
        <w:rPr>
          <w:rFonts w:ascii="Arial Narrow" w:hAnsi="Arial Narrow" w:cs="Arial"/>
          <w:b/>
          <w:snapToGrid w:val="0"/>
          <w:sz w:val="18"/>
          <w:lang w:eastAsia="en-US"/>
        </w:rPr>
      </w:pPr>
      <w:r w:rsidRPr="000E6659">
        <w:rPr>
          <w:rFonts w:ascii="Arial Narrow" w:hAnsi="Arial Narrow" w:cs="Arial"/>
          <w:b/>
          <w:snapToGrid w:val="0"/>
          <w:sz w:val="18"/>
          <w:shd w:val="clear" w:color="auto" w:fill="DAEEF3"/>
          <w:lang w:eastAsia="en-US"/>
        </w:rPr>
        <w:t xml:space="preserve">Indication 1 </w:t>
      </w:r>
      <w:proofErr w:type="gramStart"/>
      <w:r w:rsidRPr="000E6659">
        <w:rPr>
          <w:rFonts w:ascii="Arial Narrow" w:hAnsi="Arial Narrow" w:cs="Arial"/>
          <w:b/>
          <w:snapToGrid w:val="0"/>
          <w:sz w:val="18"/>
          <w:shd w:val="clear" w:color="auto" w:fill="DAEEF3"/>
          <w:lang w:eastAsia="en-US"/>
        </w:rPr>
        <w:t>conclusion shaded</w:t>
      </w:r>
      <w:proofErr w:type="gramEnd"/>
      <w:r w:rsidRPr="000E6659">
        <w:rPr>
          <w:rFonts w:ascii="Arial Narrow" w:hAnsi="Arial Narrow" w:cs="Arial"/>
          <w:b/>
          <w:snapToGrid w:val="0"/>
          <w:sz w:val="18"/>
          <w:shd w:val="clear" w:color="auto" w:fill="DAEEF3"/>
          <w:lang w:eastAsia="en-US"/>
        </w:rPr>
        <w:t xml:space="preserve"> blue</w:t>
      </w:r>
      <w:r w:rsidRPr="000E6659">
        <w:rPr>
          <w:rFonts w:ascii="Arial Narrow" w:hAnsi="Arial Narrow" w:cs="Arial"/>
          <w:b/>
          <w:snapToGrid w:val="0"/>
          <w:sz w:val="18"/>
          <w:lang w:eastAsia="en-US"/>
        </w:rPr>
        <w:t xml:space="preserve">, </w:t>
      </w:r>
      <w:r w:rsidRPr="000E6659">
        <w:rPr>
          <w:rFonts w:ascii="Arial Narrow" w:hAnsi="Arial Narrow" w:cs="Arial"/>
          <w:b/>
          <w:snapToGrid w:val="0"/>
          <w:sz w:val="18"/>
          <w:shd w:val="clear" w:color="auto" w:fill="FDE9D9"/>
          <w:lang w:eastAsia="en-US"/>
        </w:rPr>
        <w:t>Indication 2 conclusion shaded orange</w:t>
      </w:r>
      <w:r w:rsidRPr="000E6659">
        <w:rPr>
          <w:rFonts w:ascii="Arial Narrow" w:hAnsi="Arial Narrow" w:cs="Arial"/>
          <w:b/>
          <w:snapToGrid w:val="0"/>
          <w:sz w:val="18"/>
          <w:lang w:eastAsia="en-US"/>
        </w:rPr>
        <w:t xml:space="preserve">, </w:t>
      </w:r>
      <w:r w:rsidRPr="000E6659">
        <w:rPr>
          <w:rFonts w:ascii="Arial Narrow" w:hAnsi="Arial Narrow" w:cs="Arial"/>
          <w:b/>
          <w:snapToGrid w:val="0"/>
          <w:sz w:val="18"/>
          <w:shd w:val="clear" w:color="auto" w:fill="EAF1DD"/>
          <w:lang w:eastAsia="en-US"/>
        </w:rPr>
        <w:t>Indication 3 conclusion vs PE shaded green</w:t>
      </w:r>
      <w:r w:rsidRPr="000E6659">
        <w:rPr>
          <w:rFonts w:ascii="Arial Narrow" w:hAnsi="Arial Narrow" w:cs="Arial"/>
          <w:b/>
          <w:snapToGrid w:val="0"/>
          <w:sz w:val="18"/>
          <w:lang w:eastAsia="en-US"/>
        </w:rPr>
        <w:t xml:space="preserve">; </w:t>
      </w:r>
      <w:r w:rsidRPr="000E6659">
        <w:rPr>
          <w:rFonts w:ascii="Arial Narrow" w:hAnsi="Arial Narrow" w:cs="Arial"/>
          <w:b/>
          <w:snapToGrid w:val="0"/>
          <w:sz w:val="18"/>
          <w:shd w:val="clear" w:color="auto" w:fill="FDE9D9"/>
          <w:lang w:eastAsia="en-US"/>
        </w:rPr>
        <w:t>vs surgery/pharmaceuticals shaded orange</w:t>
      </w:r>
      <w:r w:rsidRPr="000E6659">
        <w:rPr>
          <w:rFonts w:ascii="Arial Narrow" w:hAnsi="Arial Narrow" w:cs="Arial"/>
          <w:b/>
          <w:snapToGrid w:val="0"/>
          <w:sz w:val="18"/>
          <w:lang w:eastAsia="en-US"/>
        </w:rPr>
        <w:t>.</w:t>
      </w:r>
    </w:p>
    <w:p w14:paraId="31AB3A22" w14:textId="77777777" w:rsidR="00BA6645" w:rsidRPr="000E6659" w:rsidRDefault="00BA6645" w:rsidP="00BA6645">
      <w:pPr>
        <w:widowControl w:val="0"/>
        <w:spacing w:before="40" w:after="40"/>
        <w:jc w:val="both"/>
        <w:rPr>
          <w:rFonts w:ascii="Arial Narrow" w:hAnsi="Arial Narrow" w:cs="Arial"/>
          <w:b/>
          <w:snapToGrid w:val="0"/>
          <w:sz w:val="18"/>
          <w:lang w:eastAsia="en-US"/>
        </w:rPr>
      </w:pPr>
      <w:r>
        <w:rPr>
          <w:rFonts w:ascii="Arial Narrow" w:hAnsi="Arial Narrow" w:cs="Arial"/>
          <w:b/>
          <w:snapToGrid w:val="0"/>
          <w:sz w:val="18"/>
          <w:lang w:eastAsia="en-US"/>
        </w:rPr>
        <w:t>Source: Contracted Assessment, Table 59</w:t>
      </w:r>
    </w:p>
    <w:p w14:paraId="4949232A" w14:textId="3BC3C06B" w:rsidR="00BA6645" w:rsidRPr="00E048C5" w:rsidRDefault="00BA6645" w:rsidP="000031DC">
      <w:pPr>
        <w:spacing w:before="240"/>
        <w:jc w:val="both"/>
      </w:pPr>
      <w:r>
        <w:t>A summary of the key characteristic</w:t>
      </w:r>
      <w:r w:rsidR="00E62004">
        <w:t>s</w:t>
      </w:r>
      <w:r>
        <w:t xml:space="preserve"> of the economic analysis </w:t>
      </w:r>
      <w:proofErr w:type="gramStart"/>
      <w:r>
        <w:t>is presented</w:t>
      </w:r>
      <w:proofErr w:type="gramEnd"/>
      <w:r>
        <w:t xml:space="preserve"> in </w:t>
      </w:r>
      <w:r w:rsidRPr="00867F56">
        <w:t xml:space="preserve">Table </w:t>
      </w:r>
      <w:r>
        <w:t>10</w:t>
      </w:r>
      <w:r w:rsidR="00D0027F">
        <w:t>.</w:t>
      </w:r>
    </w:p>
    <w:p w14:paraId="15D6D129" w14:textId="77777777" w:rsidR="00BA6645" w:rsidRDefault="00BA6645" w:rsidP="00BA6645">
      <w:pPr>
        <w:tabs>
          <w:tab w:val="left" w:pos="720"/>
        </w:tabs>
        <w:ind w:left="360"/>
        <w:rPr>
          <w:szCs w:val="24"/>
        </w:rPr>
      </w:pPr>
    </w:p>
    <w:p w14:paraId="6D22CFA2" w14:textId="77777777" w:rsidR="00BA6645" w:rsidRPr="00C163D0" w:rsidRDefault="00BA6645" w:rsidP="00C163D0">
      <w:pPr>
        <w:keepNext/>
        <w:keepLines/>
        <w:rPr>
          <w:rFonts w:ascii="Arial Narrow" w:hAnsi="Arial Narrow"/>
          <w:b/>
          <w:sz w:val="20"/>
        </w:rPr>
      </w:pPr>
      <w:bookmarkStart w:id="26" w:name="_Ref379483368"/>
      <w:bookmarkStart w:id="27" w:name="_Ref394419656"/>
      <w:bookmarkStart w:id="28" w:name="_Toc23769488"/>
      <w:r w:rsidRPr="00C163D0">
        <w:rPr>
          <w:rFonts w:ascii="Arial Narrow" w:hAnsi="Arial Narrow"/>
          <w:b/>
          <w:sz w:val="20"/>
        </w:rPr>
        <w:lastRenderedPageBreak/>
        <w:t xml:space="preserve">Table </w:t>
      </w:r>
      <w:bookmarkEnd w:id="26"/>
      <w:r w:rsidRPr="00C163D0">
        <w:rPr>
          <w:rFonts w:ascii="Arial Narrow" w:hAnsi="Arial Narrow"/>
          <w:b/>
          <w:sz w:val="20"/>
        </w:rPr>
        <w:t>10</w:t>
      </w:r>
      <w:r w:rsidRPr="00C163D0">
        <w:rPr>
          <w:rFonts w:ascii="Arial Narrow" w:hAnsi="Arial Narrow"/>
          <w:b/>
          <w:sz w:val="20"/>
        </w:rPr>
        <w:tab/>
        <w:t>Summary of the economic evaluation</w:t>
      </w:r>
      <w:bookmarkEnd w:id="27"/>
      <w:r w:rsidRPr="00C163D0">
        <w:rPr>
          <w:rFonts w:ascii="Arial Narrow" w:hAnsi="Arial Narrow"/>
          <w:b/>
          <w:sz w:val="20"/>
        </w:rPr>
        <w:t>s</w:t>
      </w:r>
      <w:bookmarkEnd w:id="28"/>
      <w:r w:rsidRPr="00C163D0">
        <w:rPr>
          <w:rFonts w:ascii="Arial Narrow" w:hAnsi="Arial Narrow"/>
          <w:b/>
          <w:sz w:val="20"/>
        </w:rPr>
        <w:t xml:space="preserve"> </w:t>
      </w:r>
    </w:p>
    <w:tbl>
      <w:tblPr>
        <w:tblStyle w:val="TableGrid1"/>
        <w:tblW w:w="0" w:type="auto"/>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1700"/>
        <w:gridCol w:w="2692"/>
        <w:gridCol w:w="2185"/>
        <w:gridCol w:w="2439"/>
      </w:tblGrid>
      <w:tr w:rsidR="00BA6645" w:rsidRPr="007D1918" w14:paraId="41F0746D" w14:textId="77777777" w:rsidTr="00C163D0">
        <w:trPr>
          <w:cnfStyle w:val="100000000000" w:firstRow="1" w:lastRow="0" w:firstColumn="0" w:lastColumn="0" w:oddVBand="0" w:evenVBand="0" w:oddHBand="0" w:evenHBand="0" w:firstRowFirstColumn="0" w:firstRowLastColumn="0" w:lastRowFirstColumn="0" w:lastRowLastColumn="0"/>
          <w:trHeight w:val="20"/>
          <w:tblHeader/>
        </w:trPr>
        <w:tc>
          <w:tcPr>
            <w:tcW w:w="1701" w:type="dxa"/>
          </w:tcPr>
          <w:p w14:paraId="6B846D77" w14:textId="77777777" w:rsidR="00BA6645" w:rsidRPr="007D1918" w:rsidRDefault="00BA6645" w:rsidP="00C163D0">
            <w:pPr>
              <w:pStyle w:val="Tabletext"/>
              <w:keepNext/>
              <w:keepLines/>
              <w:rPr>
                <w:b/>
                <w:color w:val="000000" w:themeColor="text1"/>
              </w:rPr>
            </w:pPr>
          </w:p>
        </w:tc>
        <w:tc>
          <w:tcPr>
            <w:tcW w:w="2694" w:type="dxa"/>
          </w:tcPr>
          <w:p w14:paraId="5268528F" w14:textId="77777777" w:rsidR="00BA6645" w:rsidRPr="007D1918" w:rsidRDefault="00BA6645" w:rsidP="00C163D0">
            <w:pPr>
              <w:pStyle w:val="TableHeading"/>
              <w:keepLines/>
            </w:pPr>
            <w:r w:rsidRPr="007D1918">
              <w:t>Indication 1</w:t>
            </w:r>
          </w:p>
          <w:p w14:paraId="07341A2F" w14:textId="77777777" w:rsidR="00BA6645" w:rsidRPr="007D1918" w:rsidRDefault="00BA6645" w:rsidP="00C163D0">
            <w:pPr>
              <w:pStyle w:val="Tabletext"/>
              <w:keepNext/>
              <w:keepLines/>
            </w:pPr>
            <w:r w:rsidRPr="007D1918">
              <w:t>MG crisis</w:t>
            </w:r>
          </w:p>
        </w:tc>
        <w:tc>
          <w:tcPr>
            <w:tcW w:w="2186" w:type="dxa"/>
          </w:tcPr>
          <w:p w14:paraId="74DD3591" w14:textId="77777777" w:rsidR="00BA6645" w:rsidRPr="007D1918" w:rsidRDefault="00BA6645" w:rsidP="00C163D0">
            <w:pPr>
              <w:pStyle w:val="TableHeading"/>
              <w:keepLines/>
            </w:pPr>
            <w:r w:rsidRPr="007D1918">
              <w:t>Indication 2</w:t>
            </w:r>
          </w:p>
          <w:p w14:paraId="655CFA3A" w14:textId="77777777" w:rsidR="00BA6645" w:rsidRPr="007D1918" w:rsidRDefault="00BA6645" w:rsidP="00C163D0">
            <w:pPr>
              <w:pStyle w:val="Tabletext"/>
              <w:keepNext/>
              <w:keepLines/>
            </w:pPr>
            <w:r w:rsidRPr="007D1918">
              <w:t>MG patients pre-surgery</w:t>
            </w:r>
          </w:p>
        </w:tc>
        <w:tc>
          <w:tcPr>
            <w:tcW w:w="2440" w:type="dxa"/>
          </w:tcPr>
          <w:p w14:paraId="3AF87B55" w14:textId="77777777" w:rsidR="00BA6645" w:rsidRPr="007D1918" w:rsidRDefault="00BA6645" w:rsidP="00C163D0">
            <w:pPr>
              <w:pStyle w:val="TableHeading"/>
              <w:keepLines/>
            </w:pPr>
            <w:r w:rsidRPr="007D1918">
              <w:t>Indication 3</w:t>
            </w:r>
          </w:p>
          <w:p w14:paraId="69A033CF" w14:textId="77777777" w:rsidR="00BA6645" w:rsidRPr="007D1918" w:rsidRDefault="00BA6645" w:rsidP="00C163D0">
            <w:pPr>
              <w:pStyle w:val="Tabletext"/>
              <w:keepNext/>
              <w:keepLines/>
            </w:pPr>
            <w:r w:rsidRPr="007D1918">
              <w:t>Maintenance in refractory MG disease</w:t>
            </w:r>
          </w:p>
        </w:tc>
      </w:tr>
      <w:tr w:rsidR="00BA6645" w:rsidRPr="007D1918" w14:paraId="2557F260" w14:textId="77777777" w:rsidTr="00C163D0">
        <w:trPr>
          <w:trHeight w:val="20"/>
        </w:trPr>
        <w:tc>
          <w:tcPr>
            <w:tcW w:w="1701" w:type="dxa"/>
          </w:tcPr>
          <w:p w14:paraId="40AF4679" w14:textId="77777777" w:rsidR="00BA6645" w:rsidRPr="007D1918" w:rsidRDefault="00BA6645" w:rsidP="00C163D0">
            <w:pPr>
              <w:pStyle w:val="Tabletext"/>
              <w:keepNext/>
              <w:keepLines/>
              <w:rPr>
                <w:b/>
                <w:color w:val="000000" w:themeColor="text1"/>
              </w:rPr>
            </w:pPr>
            <w:r w:rsidRPr="007D1918">
              <w:rPr>
                <w:b/>
                <w:color w:val="000000" w:themeColor="text1"/>
              </w:rPr>
              <w:t>Perspective</w:t>
            </w:r>
          </w:p>
        </w:tc>
        <w:tc>
          <w:tcPr>
            <w:tcW w:w="2694" w:type="dxa"/>
          </w:tcPr>
          <w:p w14:paraId="1F2F77BC" w14:textId="77777777" w:rsidR="00BA6645" w:rsidRPr="007D1918" w:rsidRDefault="00BA6645" w:rsidP="00C163D0">
            <w:pPr>
              <w:pStyle w:val="Tabletext"/>
              <w:keepNext/>
              <w:keepLines/>
            </w:pPr>
            <w:r w:rsidRPr="007D1918">
              <w:t>Healthcare system</w:t>
            </w:r>
          </w:p>
        </w:tc>
        <w:tc>
          <w:tcPr>
            <w:tcW w:w="2186" w:type="dxa"/>
          </w:tcPr>
          <w:p w14:paraId="7B1130B9" w14:textId="77777777" w:rsidR="00BA6645" w:rsidRPr="007D1918" w:rsidRDefault="00BA6645" w:rsidP="00C163D0">
            <w:pPr>
              <w:pStyle w:val="Tabletext"/>
              <w:keepNext/>
              <w:keepLines/>
            </w:pPr>
            <w:r w:rsidRPr="007D1918">
              <w:t>Healthcare system</w:t>
            </w:r>
          </w:p>
        </w:tc>
        <w:tc>
          <w:tcPr>
            <w:tcW w:w="2440" w:type="dxa"/>
          </w:tcPr>
          <w:p w14:paraId="5D8729B5" w14:textId="77777777" w:rsidR="00BA6645" w:rsidRPr="007D1918" w:rsidRDefault="00BA6645" w:rsidP="00C163D0">
            <w:pPr>
              <w:pStyle w:val="Tabletext"/>
              <w:keepNext/>
              <w:keepLines/>
            </w:pPr>
            <w:r w:rsidRPr="007D1918">
              <w:t>Healthcare system</w:t>
            </w:r>
          </w:p>
        </w:tc>
      </w:tr>
      <w:tr w:rsidR="00BA6645" w:rsidRPr="007D1918" w14:paraId="03F1A707" w14:textId="77777777" w:rsidTr="00C163D0">
        <w:trPr>
          <w:trHeight w:val="20"/>
        </w:trPr>
        <w:tc>
          <w:tcPr>
            <w:tcW w:w="1701" w:type="dxa"/>
          </w:tcPr>
          <w:p w14:paraId="39FA1CC0" w14:textId="77777777" w:rsidR="00BA6645" w:rsidRPr="007D1918" w:rsidRDefault="00BA6645" w:rsidP="00BA6645">
            <w:pPr>
              <w:pStyle w:val="Tabletext"/>
              <w:rPr>
                <w:b/>
                <w:color w:val="000000" w:themeColor="text1"/>
              </w:rPr>
            </w:pPr>
            <w:r w:rsidRPr="007D1918">
              <w:rPr>
                <w:b/>
                <w:color w:val="000000" w:themeColor="text1"/>
              </w:rPr>
              <w:t>Comparator</w:t>
            </w:r>
          </w:p>
        </w:tc>
        <w:tc>
          <w:tcPr>
            <w:tcW w:w="2694" w:type="dxa"/>
          </w:tcPr>
          <w:p w14:paraId="4B2DBD5A" w14:textId="77777777" w:rsidR="00BA6645" w:rsidRPr="007D1918" w:rsidRDefault="00BA6645" w:rsidP="00BA6645">
            <w:pPr>
              <w:pStyle w:val="Tabletext"/>
            </w:pPr>
            <w:r w:rsidRPr="007D1918">
              <w:t>PE</w:t>
            </w:r>
          </w:p>
        </w:tc>
        <w:tc>
          <w:tcPr>
            <w:tcW w:w="2186" w:type="dxa"/>
          </w:tcPr>
          <w:p w14:paraId="34C60A1A" w14:textId="77777777" w:rsidR="00BA6645" w:rsidRPr="007D1918" w:rsidRDefault="00BA6645" w:rsidP="00BA6645">
            <w:pPr>
              <w:pStyle w:val="Tabletext"/>
            </w:pPr>
            <w:r w:rsidRPr="007D1918">
              <w:t>PE</w:t>
            </w:r>
          </w:p>
        </w:tc>
        <w:tc>
          <w:tcPr>
            <w:tcW w:w="2440" w:type="dxa"/>
          </w:tcPr>
          <w:p w14:paraId="2C7E4A35" w14:textId="77777777" w:rsidR="00BA6645" w:rsidRPr="007D1918" w:rsidRDefault="00BA6645" w:rsidP="00BA6645">
            <w:pPr>
              <w:pStyle w:val="Tabletext"/>
            </w:pPr>
            <w:r w:rsidRPr="007D1918">
              <w:t>Various pharmacological treatments (anticholinesterases, immunomodulation), surgery or PE</w:t>
            </w:r>
          </w:p>
        </w:tc>
      </w:tr>
      <w:tr w:rsidR="00BA6645" w:rsidRPr="007D1918" w14:paraId="41C7C541" w14:textId="77777777" w:rsidTr="00C163D0">
        <w:trPr>
          <w:trHeight w:val="20"/>
        </w:trPr>
        <w:tc>
          <w:tcPr>
            <w:tcW w:w="1701" w:type="dxa"/>
          </w:tcPr>
          <w:p w14:paraId="68A16DDD" w14:textId="77777777" w:rsidR="00BA6645" w:rsidRPr="007D1918" w:rsidRDefault="00BA6645" w:rsidP="00BA6645">
            <w:pPr>
              <w:pStyle w:val="Tabletext"/>
              <w:rPr>
                <w:b/>
                <w:color w:val="000000" w:themeColor="text1"/>
              </w:rPr>
            </w:pPr>
            <w:r w:rsidRPr="007D1918">
              <w:rPr>
                <w:b/>
                <w:color w:val="000000" w:themeColor="text1"/>
              </w:rPr>
              <w:t>Type of economic evaluation</w:t>
            </w:r>
          </w:p>
        </w:tc>
        <w:tc>
          <w:tcPr>
            <w:tcW w:w="2694" w:type="dxa"/>
          </w:tcPr>
          <w:p w14:paraId="1400AB94" w14:textId="77777777" w:rsidR="00BA6645" w:rsidRPr="007D1918" w:rsidRDefault="00BA6645" w:rsidP="00BA6645">
            <w:pPr>
              <w:pStyle w:val="Tabletext"/>
            </w:pPr>
            <w:r w:rsidRPr="007D1918">
              <w:t>Cost-utility analysis.</w:t>
            </w:r>
          </w:p>
          <w:p w14:paraId="78C2FCA4" w14:textId="77777777" w:rsidR="00BA6645" w:rsidRPr="007D1918" w:rsidRDefault="00BA6645" w:rsidP="00BA6645">
            <w:pPr>
              <w:pStyle w:val="Tabletext"/>
            </w:pPr>
            <w:r w:rsidRPr="007D1918">
              <w:t>Cost-consequences analysis</w:t>
            </w:r>
          </w:p>
        </w:tc>
        <w:tc>
          <w:tcPr>
            <w:tcW w:w="2186" w:type="dxa"/>
          </w:tcPr>
          <w:p w14:paraId="6B632267" w14:textId="77777777" w:rsidR="00BA6645" w:rsidRPr="007D1918" w:rsidRDefault="00BA6645" w:rsidP="00BA6645">
            <w:pPr>
              <w:pStyle w:val="Tabletext"/>
            </w:pPr>
            <w:r w:rsidRPr="007D1918">
              <w:t>Cost-analysis</w:t>
            </w:r>
          </w:p>
        </w:tc>
        <w:tc>
          <w:tcPr>
            <w:tcW w:w="2440" w:type="dxa"/>
          </w:tcPr>
          <w:p w14:paraId="552BA8F3" w14:textId="77777777" w:rsidR="00BA6645" w:rsidRPr="007D1918" w:rsidRDefault="00BA6645" w:rsidP="00BA6645">
            <w:pPr>
              <w:pStyle w:val="Tabletext"/>
            </w:pPr>
            <w:r w:rsidRPr="007D1918">
              <w:t>Individual non-comparative cost-analyses.</w:t>
            </w:r>
          </w:p>
          <w:p w14:paraId="06FD62E6" w14:textId="77777777" w:rsidR="00BA6645" w:rsidRPr="007D1918" w:rsidRDefault="00BA6645" w:rsidP="00BA6645">
            <w:pPr>
              <w:pStyle w:val="Tabletext"/>
            </w:pPr>
            <w:r w:rsidRPr="007D1918">
              <w:t xml:space="preserve">Exploratory cost-utility analysis </w:t>
            </w:r>
            <w:proofErr w:type="spellStart"/>
            <w:r w:rsidRPr="007D1918">
              <w:t>IVIg</w:t>
            </w:r>
            <w:proofErr w:type="spellEnd"/>
            <w:r w:rsidRPr="007D1918">
              <w:t xml:space="preserve"> vs PE.</w:t>
            </w:r>
          </w:p>
        </w:tc>
      </w:tr>
      <w:tr w:rsidR="00BA6645" w:rsidRPr="007D1918" w14:paraId="05187BE3" w14:textId="77777777" w:rsidTr="00C163D0">
        <w:trPr>
          <w:trHeight w:val="20"/>
        </w:trPr>
        <w:tc>
          <w:tcPr>
            <w:tcW w:w="1701" w:type="dxa"/>
          </w:tcPr>
          <w:p w14:paraId="27E73531" w14:textId="77777777" w:rsidR="00BA6645" w:rsidRPr="007D1918" w:rsidRDefault="00BA6645" w:rsidP="00BA6645">
            <w:pPr>
              <w:pStyle w:val="Tabletext"/>
              <w:rPr>
                <w:b/>
              </w:rPr>
            </w:pPr>
            <w:r w:rsidRPr="007D1918">
              <w:rPr>
                <w:b/>
              </w:rPr>
              <w:t>Sources of evidence</w:t>
            </w:r>
          </w:p>
        </w:tc>
        <w:tc>
          <w:tcPr>
            <w:tcW w:w="2694" w:type="dxa"/>
          </w:tcPr>
          <w:p w14:paraId="6BF065D3" w14:textId="77777777" w:rsidR="00BA6645" w:rsidRPr="007D1918" w:rsidRDefault="00BA6645" w:rsidP="00BA6645">
            <w:pPr>
              <w:pStyle w:val="Tabletext"/>
            </w:pPr>
            <w:proofErr w:type="spellStart"/>
            <w:r w:rsidRPr="007D1918">
              <w:t>Gajdos</w:t>
            </w:r>
            <w:proofErr w:type="spellEnd"/>
            <w:r w:rsidRPr="007D1918">
              <w:t xml:space="preserve"> 1997 is the basis of the clinical outcomes (single RCT detailed in </w:t>
            </w:r>
            <w:r w:rsidRPr="007D1918">
              <w:rPr>
                <w:i/>
              </w:rPr>
              <w:t>Section B</w:t>
            </w:r>
            <w:r w:rsidRPr="007D1918">
              <w:t>).</w:t>
            </w:r>
          </w:p>
          <w:p w14:paraId="007F455E" w14:textId="77777777" w:rsidR="00BA6645" w:rsidRPr="007D1918" w:rsidRDefault="00BA6645" w:rsidP="00BA6645">
            <w:pPr>
              <w:pStyle w:val="Tabletext"/>
            </w:pPr>
            <w:r w:rsidRPr="007D1918">
              <w:t>Additional references for utility values and to inform resource requirements (see C.4, D.4)</w:t>
            </w:r>
          </w:p>
        </w:tc>
        <w:tc>
          <w:tcPr>
            <w:tcW w:w="2186" w:type="dxa"/>
          </w:tcPr>
          <w:p w14:paraId="2D94E86A" w14:textId="77777777" w:rsidR="00BA6645" w:rsidRPr="007D1918" w:rsidRDefault="00D0027F" w:rsidP="00BA6645">
            <w:pPr>
              <w:pStyle w:val="Tabletext"/>
            </w:pPr>
            <w:hyperlink w:anchor="_ENREF_3" w:tooltip="Alipour-Faz, 2017 #30" w:history="1">
              <w:proofErr w:type="spellStart"/>
              <w:r w:rsidR="00BA6645" w:rsidRPr="007D1918">
                <w:t>Alipour-Faz</w:t>
              </w:r>
              <w:proofErr w:type="spellEnd"/>
              <w:r w:rsidR="00BA6645" w:rsidRPr="007D1918">
                <w:t xml:space="preserve"> et al. 2017</w:t>
              </w:r>
            </w:hyperlink>
            <w:r w:rsidR="00BA6645" w:rsidRPr="007D1918">
              <w:t xml:space="preserve"> is the basis of the clinical outcomes (single RCT identified in Systematic Review in </w:t>
            </w:r>
            <w:r w:rsidR="00BA6645" w:rsidRPr="007D1918">
              <w:rPr>
                <w:i/>
              </w:rPr>
              <w:t>Section B</w:t>
            </w:r>
            <w:r w:rsidR="00BA6645" w:rsidRPr="007D1918">
              <w:t>).</w:t>
            </w:r>
          </w:p>
        </w:tc>
        <w:tc>
          <w:tcPr>
            <w:tcW w:w="2440" w:type="dxa"/>
          </w:tcPr>
          <w:p w14:paraId="44A4E601" w14:textId="77777777" w:rsidR="00BA6645" w:rsidRPr="007D1918" w:rsidRDefault="00BA6645" w:rsidP="00BA6645">
            <w:pPr>
              <w:pStyle w:val="Tabletext"/>
            </w:pPr>
            <w:r w:rsidRPr="007D1918">
              <w:t xml:space="preserve">Various sources (no RCTs for most comparators in Systematic Review, </w:t>
            </w:r>
            <w:r w:rsidRPr="007D1918">
              <w:rPr>
                <w:i/>
              </w:rPr>
              <w:t>Section B</w:t>
            </w:r>
            <w:r w:rsidRPr="007D1918">
              <w:t>). Sources detailed in D.4</w:t>
            </w:r>
          </w:p>
        </w:tc>
      </w:tr>
      <w:tr w:rsidR="00BA6645" w:rsidRPr="007D1918" w14:paraId="06A8C704" w14:textId="77777777" w:rsidTr="00C163D0">
        <w:trPr>
          <w:trHeight w:val="20"/>
        </w:trPr>
        <w:tc>
          <w:tcPr>
            <w:tcW w:w="1701" w:type="dxa"/>
            <w:hideMark/>
          </w:tcPr>
          <w:p w14:paraId="17556239" w14:textId="77777777" w:rsidR="00BA6645" w:rsidRPr="007D1918" w:rsidRDefault="00BA6645" w:rsidP="00BA6645">
            <w:pPr>
              <w:pStyle w:val="Tabletext"/>
              <w:rPr>
                <w:b/>
              </w:rPr>
            </w:pPr>
            <w:r w:rsidRPr="007D1918">
              <w:rPr>
                <w:b/>
              </w:rPr>
              <w:t>Time horizon</w:t>
            </w:r>
          </w:p>
        </w:tc>
        <w:tc>
          <w:tcPr>
            <w:tcW w:w="2694" w:type="dxa"/>
            <w:hideMark/>
          </w:tcPr>
          <w:p w14:paraId="41A5E55F" w14:textId="77777777" w:rsidR="00BA6645" w:rsidRPr="007D1918" w:rsidRDefault="00BA6645" w:rsidP="00BA6645">
            <w:pPr>
              <w:pStyle w:val="Tabletext"/>
            </w:pPr>
            <w:r w:rsidRPr="007D1918">
              <w:t>Base case: 3 months</w:t>
            </w:r>
          </w:p>
          <w:p w14:paraId="145D3DFD" w14:textId="77777777" w:rsidR="00BA6645" w:rsidRPr="007D1918" w:rsidRDefault="00BA6645" w:rsidP="00BA6645">
            <w:pPr>
              <w:pStyle w:val="Tabletext"/>
            </w:pPr>
            <w:r w:rsidRPr="007D1918">
              <w:t>(Exploratory analysis including QALY loss due to fatal AE: 10 years)</w:t>
            </w:r>
          </w:p>
        </w:tc>
        <w:tc>
          <w:tcPr>
            <w:tcW w:w="2186" w:type="dxa"/>
          </w:tcPr>
          <w:p w14:paraId="581FC988" w14:textId="77777777" w:rsidR="00BA6645" w:rsidRPr="007D1918" w:rsidRDefault="00BA6645" w:rsidP="00BA6645">
            <w:pPr>
              <w:pStyle w:val="Tabletext"/>
            </w:pPr>
            <w:r w:rsidRPr="007D1918">
              <w:t>4 weeks</w:t>
            </w:r>
          </w:p>
        </w:tc>
        <w:tc>
          <w:tcPr>
            <w:tcW w:w="2440" w:type="dxa"/>
          </w:tcPr>
          <w:p w14:paraId="56835034" w14:textId="77777777" w:rsidR="00BA6645" w:rsidRPr="007D1918" w:rsidRDefault="00BA6645" w:rsidP="00BA6645">
            <w:pPr>
              <w:pStyle w:val="Tabletext"/>
            </w:pPr>
            <w:r w:rsidRPr="007D1918">
              <w:t>1 year to 10 years</w:t>
            </w:r>
          </w:p>
        </w:tc>
      </w:tr>
      <w:tr w:rsidR="00BA6645" w:rsidRPr="007D1918" w14:paraId="3FD65F4C" w14:textId="77777777" w:rsidTr="00C163D0">
        <w:trPr>
          <w:trHeight w:val="20"/>
        </w:trPr>
        <w:tc>
          <w:tcPr>
            <w:tcW w:w="1701" w:type="dxa"/>
            <w:hideMark/>
          </w:tcPr>
          <w:p w14:paraId="13E79C0E" w14:textId="77777777" w:rsidR="00BA6645" w:rsidRPr="007D1918" w:rsidRDefault="00BA6645" w:rsidP="00BA6645">
            <w:pPr>
              <w:pStyle w:val="Tabletext"/>
              <w:rPr>
                <w:b/>
              </w:rPr>
            </w:pPr>
            <w:r w:rsidRPr="007D1918">
              <w:rPr>
                <w:b/>
              </w:rPr>
              <w:t>Outcomes</w:t>
            </w:r>
          </w:p>
        </w:tc>
        <w:tc>
          <w:tcPr>
            <w:tcW w:w="2694" w:type="dxa"/>
          </w:tcPr>
          <w:p w14:paraId="375A7005" w14:textId="77777777" w:rsidR="00BA6645" w:rsidRPr="007D1918" w:rsidRDefault="00BA6645" w:rsidP="00BA6645">
            <w:pPr>
              <w:pStyle w:val="Tabletext"/>
            </w:pPr>
            <w:r w:rsidRPr="007D1918">
              <w:t>$ per QALY, $ per adverse event avoided</w:t>
            </w:r>
          </w:p>
        </w:tc>
        <w:tc>
          <w:tcPr>
            <w:tcW w:w="2186" w:type="dxa"/>
          </w:tcPr>
          <w:p w14:paraId="23884CBB" w14:textId="77777777" w:rsidR="00BA6645" w:rsidRPr="007D1918" w:rsidRDefault="00BA6645" w:rsidP="00BA6645">
            <w:pPr>
              <w:pStyle w:val="Tabletext"/>
            </w:pPr>
            <w:r w:rsidRPr="007D1918">
              <w:t>Cost difference</w:t>
            </w:r>
          </w:p>
        </w:tc>
        <w:tc>
          <w:tcPr>
            <w:tcW w:w="2440" w:type="dxa"/>
          </w:tcPr>
          <w:p w14:paraId="3EF45E67" w14:textId="77777777" w:rsidR="00BA6645" w:rsidRPr="007D1918" w:rsidRDefault="00BA6645" w:rsidP="00BA6645">
            <w:pPr>
              <w:pStyle w:val="Tabletext"/>
            </w:pPr>
            <w:r w:rsidRPr="007D1918">
              <w:t>Costs (including discounted costs)</w:t>
            </w:r>
          </w:p>
        </w:tc>
      </w:tr>
      <w:tr w:rsidR="00BA6645" w:rsidRPr="007D1918" w14:paraId="145BC20A" w14:textId="77777777" w:rsidTr="00C163D0">
        <w:trPr>
          <w:trHeight w:val="20"/>
        </w:trPr>
        <w:tc>
          <w:tcPr>
            <w:tcW w:w="1701" w:type="dxa"/>
            <w:hideMark/>
          </w:tcPr>
          <w:p w14:paraId="1E12C432" w14:textId="77777777" w:rsidR="00BA6645" w:rsidRPr="007D1918" w:rsidRDefault="00BA6645" w:rsidP="00BA6645">
            <w:pPr>
              <w:pStyle w:val="Tabletext"/>
              <w:rPr>
                <w:b/>
              </w:rPr>
            </w:pPr>
            <w:r w:rsidRPr="007D1918">
              <w:rPr>
                <w:b/>
              </w:rPr>
              <w:t>Methods used to generate results</w:t>
            </w:r>
          </w:p>
        </w:tc>
        <w:tc>
          <w:tcPr>
            <w:tcW w:w="2694" w:type="dxa"/>
          </w:tcPr>
          <w:p w14:paraId="50FD86FB" w14:textId="77777777" w:rsidR="00BA6645" w:rsidRPr="007D1918" w:rsidRDefault="00BA6645" w:rsidP="00BA6645">
            <w:pPr>
              <w:pStyle w:val="Tabletext"/>
            </w:pPr>
            <w:r w:rsidRPr="007D1918">
              <w:t xml:space="preserve">Trial-based analysis, with stepped analysis incorporating NBA </w:t>
            </w:r>
            <w:proofErr w:type="spellStart"/>
            <w:r w:rsidRPr="007D1918">
              <w:t>IVIg</w:t>
            </w:r>
            <w:proofErr w:type="spellEnd"/>
            <w:r w:rsidRPr="007D1918">
              <w:t xml:space="preserve"> usage data: cohort expected value analysis.</w:t>
            </w:r>
          </w:p>
        </w:tc>
        <w:tc>
          <w:tcPr>
            <w:tcW w:w="2186" w:type="dxa"/>
          </w:tcPr>
          <w:p w14:paraId="29303CB4" w14:textId="77777777" w:rsidR="00BA6645" w:rsidRPr="007D1918" w:rsidRDefault="00BA6645" w:rsidP="00BA6645">
            <w:pPr>
              <w:pStyle w:val="Tabletext"/>
            </w:pPr>
            <w:r w:rsidRPr="007D1918">
              <w:t xml:space="preserve">Trial-based analysis, with stepped analysis incorporating NBA </w:t>
            </w:r>
            <w:proofErr w:type="spellStart"/>
            <w:r w:rsidRPr="007D1918">
              <w:t>IVIg</w:t>
            </w:r>
            <w:proofErr w:type="spellEnd"/>
            <w:r w:rsidRPr="007D1918">
              <w:t xml:space="preserve"> usage data</w:t>
            </w:r>
          </w:p>
        </w:tc>
        <w:tc>
          <w:tcPr>
            <w:tcW w:w="2440" w:type="dxa"/>
          </w:tcPr>
          <w:p w14:paraId="3A957FFC" w14:textId="77777777" w:rsidR="00BA6645" w:rsidRPr="007D1918" w:rsidRDefault="00BA6645" w:rsidP="00BA6645">
            <w:pPr>
              <w:pStyle w:val="Tabletext"/>
            </w:pPr>
            <w:r w:rsidRPr="007D1918">
              <w:t>Expected value analysis</w:t>
            </w:r>
          </w:p>
        </w:tc>
      </w:tr>
      <w:tr w:rsidR="00BA6645" w:rsidRPr="007D1918" w14:paraId="36A99B9A" w14:textId="77777777" w:rsidTr="00C163D0">
        <w:trPr>
          <w:trHeight w:val="20"/>
        </w:trPr>
        <w:tc>
          <w:tcPr>
            <w:tcW w:w="1701" w:type="dxa"/>
            <w:hideMark/>
          </w:tcPr>
          <w:p w14:paraId="1F2FA4CB" w14:textId="77777777" w:rsidR="00BA6645" w:rsidRPr="007D1918" w:rsidRDefault="00BA6645" w:rsidP="00BA6645">
            <w:pPr>
              <w:pStyle w:val="Tabletext"/>
              <w:rPr>
                <w:b/>
              </w:rPr>
            </w:pPr>
            <w:r w:rsidRPr="007D1918">
              <w:rPr>
                <w:b/>
              </w:rPr>
              <w:t>Discount rate</w:t>
            </w:r>
          </w:p>
        </w:tc>
        <w:tc>
          <w:tcPr>
            <w:tcW w:w="2694" w:type="dxa"/>
          </w:tcPr>
          <w:p w14:paraId="01D1CB34" w14:textId="77777777" w:rsidR="00BA6645" w:rsidRPr="007D1918" w:rsidRDefault="00BA6645" w:rsidP="00BA6645">
            <w:pPr>
              <w:pStyle w:val="Tabletext"/>
            </w:pPr>
            <w:r w:rsidRPr="007D1918">
              <w:t>NA (5% pa to costs and outcomes in exploratory analysis)</w:t>
            </w:r>
          </w:p>
        </w:tc>
        <w:tc>
          <w:tcPr>
            <w:tcW w:w="2186" w:type="dxa"/>
          </w:tcPr>
          <w:p w14:paraId="686D39FE" w14:textId="77777777" w:rsidR="00BA6645" w:rsidRPr="007D1918" w:rsidRDefault="00BA6645" w:rsidP="00BA6645">
            <w:pPr>
              <w:pStyle w:val="Tabletext"/>
            </w:pPr>
            <w:r w:rsidRPr="007D1918">
              <w:t>NA</w:t>
            </w:r>
          </w:p>
        </w:tc>
        <w:tc>
          <w:tcPr>
            <w:tcW w:w="2440" w:type="dxa"/>
          </w:tcPr>
          <w:p w14:paraId="4156B6A4" w14:textId="77777777" w:rsidR="00BA6645" w:rsidRPr="007D1918" w:rsidRDefault="00BA6645" w:rsidP="00BA6645">
            <w:pPr>
              <w:pStyle w:val="Tabletext"/>
            </w:pPr>
            <w:r w:rsidRPr="007D1918">
              <w:t>5% pa to costs and outcomes</w:t>
            </w:r>
          </w:p>
        </w:tc>
      </w:tr>
      <w:tr w:rsidR="00BA6645" w:rsidRPr="007D1918" w14:paraId="7EB70EDA" w14:textId="77777777" w:rsidTr="00C163D0">
        <w:trPr>
          <w:trHeight w:val="20"/>
        </w:trPr>
        <w:tc>
          <w:tcPr>
            <w:tcW w:w="1701" w:type="dxa"/>
            <w:hideMark/>
          </w:tcPr>
          <w:p w14:paraId="23C33D9C" w14:textId="77777777" w:rsidR="00BA6645" w:rsidRPr="007D1918" w:rsidRDefault="00BA6645" w:rsidP="00BA6645">
            <w:pPr>
              <w:pStyle w:val="Tabletext"/>
              <w:rPr>
                <w:b/>
              </w:rPr>
            </w:pPr>
            <w:r w:rsidRPr="007D1918">
              <w:rPr>
                <w:b/>
              </w:rPr>
              <w:t>Software packages used</w:t>
            </w:r>
          </w:p>
        </w:tc>
        <w:tc>
          <w:tcPr>
            <w:tcW w:w="2694" w:type="dxa"/>
          </w:tcPr>
          <w:p w14:paraId="141F5B46" w14:textId="77777777" w:rsidR="00BA6645" w:rsidRPr="007D1918" w:rsidRDefault="00BA6645" w:rsidP="00BA6645">
            <w:pPr>
              <w:pStyle w:val="Tabletext"/>
            </w:pPr>
            <w:r w:rsidRPr="007D1918">
              <w:t>Excel</w:t>
            </w:r>
          </w:p>
        </w:tc>
        <w:tc>
          <w:tcPr>
            <w:tcW w:w="2186" w:type="dxa"/>
          </w:tcPr>
          <w:p w14:paraId="11FD387E" w14:textId="77777777" w:rsidR="00BA6645" w:rsidRPr="007D1918" w:rsidRDefault="00BA6645" w:rsidP="00BA6645">
            <w:pPr>
              <w:pStyle w:val="Tabletext"/>
            </w:pPr>
            <w:r w:rsidRPr="007D1918">
              <w:t>Excel</w:t>
            </w:r>
          </w:p>
        </w:tc>
        <w:tc>
          <w:tcPr>
            <w:tcW w:w="2440" w:type="dxa"/>
          </w:tcPr>
          <w:p w14:paraId="3A6CE5C2" w14:textId="77777777" w:rsidR="00BA6645" w:rsidRPr="007D1918" w:rsidRDefault="00BA6645" w:rsidP="00BA6645">
            <w:pPr>
              <w:pStyle w:val="Tabletext"/>
            </w:pPr>
            <w:r w:rsidRPr="007D1918">
              <w:t>Excel</w:t>
            </w:r>
          </w:p>
        </w:tc>
      </w:tr>
    </w:tbl>
    <w:p w14:paraId="4FC1B70F" w14:textId="77777777" w:rsidR="00BA6645" w:rsidRDefault="00BA6645" w:rsidP="00BA6645">
      <w:pPr>
        <w:pStyle w:val="Tablenotes0"/>
      </w:pPr>
      <w:proofErr w:type="spellStart"/>
      <w:r w:rsidRPr="007D1918">
        <w:t>IVIg</w:t>
      </w:r>
      <w:proofErr w:type="spellEnd"/>
      <w:r w:rsidRPr="007D1918">
        <w:t xml:space="preserve"> = intravenous immunoglobulin; MG = myasthenia gravis; NA = not applicable; NBA = National Blood Authority; PE = plasma exchange; QALY = quality adjusted life year; RCT = randomised controlled trial</w:t>
      </w:r>
    </w:p>
    <w:p w14:paraId="559889A6" w14:textId="77777777" w:rsidR="00BA6645" w:rsidRPr="007D1918" w:rsidRDefault="00BA6645" w:rsidP="00BA6645">
      <w:pPr>
        <w:pStyle w:val="Tablenotes0"/>
      </w:pPr>
      <w:r>
        <w:t>Source: Contracted Assessment, Table 1</w:t>
      </w:r>
    </w:p>
    <w:p w14:paraId="57E57EEB" w14:textId="37E0E70D" w:rsidR="00BA6645" w:rsidRDefault="00BA6645" w:rsidP="00BA6645">
      <w:pPr>
        <w:tabs>
          <w:tab w:val="left" w:pos="720"/>
        </w:tabs>
        <w:rPr>
          <w:szCs w:val="24"/>
        </w:rPr>
      </w:pPr>
      <w:r w:rsidRPr="006C1218">
        <w:rPr>
          <w:szCs w:val="24"/>
        </w:rPr>
        <w:t xml:space="preserve">The </w:t>
      </w:r>
      <w:r>
        <w:rPr>
          <w:szCs w:val="24"/>
        </w:rPr>
        <w:t xml:space="preserve">overall costs and incremental costs for </w:t>
      </w:r>
      <w:proofErr w:type="spellStart"/>
      <w:r>
        <w:rPr>
          <w:szCs w:val="24"/>
        </w:rPr>
        <w:t>IVIg</w:t>
      </w:r>
      <w:proofErr w:type="spellEnd"/>
      <w:r>
        <w:rPr>
          <w:szCs w:val="24"/>
        </w:rPr>
        <w:t xml:space="preserve"> and PE </w:t>
      </w:r>
      <w:proofErr w:type="gramStart"/>
      <w:r>
        <w:rPr>
          <w:szCs w:val="24"/>
        </w:rPr>
        <w:t>are presented</w:t>
      </w:r>
      <w:proofErr w:type="gramEnd"/>
      <w:r>
        <w:rPr>
          <w:szCs w:val="24"/>
        </w:rPr>
        <w:t xml:space="preserve"> below.</w:t>
      </w:r>
    </w:p>
    <w:p w14:paraId="12AB7441" w14:textId="11C7AC35" w:rsidR="00BA6645" w:rsidRDefault="00BA6645" w:rsidP="000031DC">
      <w:pPr>
        <w:tabs>
          <w:tab w:val="left" w:pos="720"/>
        </w:tabs>
        <w:spacing w:before="240"/>
        <w:rPr>
          <w:szCs w:val="24"/>
        </w:rPr>
      </w:pPr>
      <w:r>
        <w:rPr>
          <w:szCs w:val="24"/>
        </w:rPr>
        <w:t xml:space="preserve">The analysis for Indication 1 found that the cost per additional adverse event avoided was </w:t>
      </w:r>
      <w:r w:rsidRPr="00484981">
        <w:rPr>
          <w:szCs w:val="24"/>
        </w:rPr>
        <w:t>$53,324</w:t>
      </w:r>
      <w:r>
        <w:rPr>
          <w:szCs w:val="24"/>
        </w:rPr>
        <w:t>.</w:t>
      </w:r>
      <w:r w:rsidRPr="00484981">
        <w:rPr>
          <w:szCs w:val="24"/>
        </w:rPr>
        <w:t xml:space="preserve"> </w:t>
      </w:r>
      <w:r>
        <w:rPr>
          <w:szCs w:val="24"/>
        </w:rPr>
        <w:t>W</w:t>
      </w:r>
      <w:r w:rsidRPr="00487D90">
        <w:rPr>
          <w:szCs w:val="24"/>
        </w:rPr>
        <w:t xml:space="preserve">here the adverse event outcomes </w:t>
      </w:r>
      <w:proofErr w:type="gramStart"/>
      <w:r w:rsidRPr="00487D90">
        <w:rPr>
          <w:szCs w:val="24"/>
        </w:rPr>
        <w:t>are transformed</w:t>
      </w:r>
      <w:proofErr w:type="gramEnd"/>
      <w:r w:rsidRPr="00487D90">
        <w:rPr>
          <w:szCs w:val="24"/>
        </w:rPr>
        <w:t xml:space="preserve"> into utility decrements; the total difference in utility is small</w:t>
      </w:r>
      <w:r>
        <w:rPr>
          <w:szCs w:val="24"/>
        </w:rPr>
        <w:t>; thus,</w:t>
      </w:r>
      <w:r w:rsidRPr="00487D90">
        <w:rPr>
          <w:szCs w:val="24"/>
        </w:rPr>
        <w:t xml:space="preserve"> where only the direct </w:t>
      </w:r>
      <w:r w:rsidR="00701F3A">
        <w:rPr>
          <w:szCs w:val="24"/>
        </w:rPr>
        <w:t xml:space="preserve">trial </w:t>
      </w:r>
      <w:r w:rsidRPr="00487D90">
        <w:rPr>
          <w:szCs w:val="24"/>
        </w:rPr>
        <w:t>evidence is used to inform the economic analysis, the ICER is high, at approximately $7 million/QALY.</w:t>
      </w:r>
    </w:p>
    <w:p w14:paraId="3D250D8A" w14:textId="2AF2D0ED" w:rsidR="000528B8" w:rsidRDefault="00BA6645" w:rsidP="000031DC">
      <w:pPr>
        <w:tabs>
          <w:tab w:val="left" w:pos="720"/>
        </w:tabs>
        <w:spacing w:before="240"/>
        <w:rPr>
          <w:szCs w:val="24"/>
        </w:rPr>
      </w:pPr>
      <w:r>
        <w:rPr>
          <w:szCs w:val="24"/>
        </w:rPr>
        <w:t xml:space="preserve">The report presents </w:t>
      </w:r>
      <w:r w:rsidRPr="00484981">
        <w:rPr>
          <w:szCs w:val="24"/>
        </w:rPr>
        <w:t>modelling incorporating estimates of mortality and m</w:t>
      </w:r>
      <w:r>
        <w:rPr>
          <w:szCs w:val="24"/>
        </w:rPr>
        <w:t>orbidity associated with sepsis</w:t>
      </w:r>
      <w:r w:rsidRPr="00484981">
        <w:rPr>
          <w:szCs w:val="24"/>
        </w:rPr>
        <w:t xml:space="preserve"> based on external d</w:t>
      </w:r>
      <w:r>
        <w:rPr>
          <w:szCs w:val="24"/>
        </w:rPr>
        <w:t>ata, but t</w:t>
      </w:r>
      <w:r w:rsidRPr="00484981">
        <w:rPr>
          <w:szCs w:val="24"/>
        </w:rPr>
        <w:t>he accuracy and applicability</w:t>
      </w:r>
      <w:r>
        <w:rPr>
          <w:szCs w:val="24"/>
        </w:rPr>
        <w:t xml:space="preserve"> of this data is uncertain</w:t>
      </w:r>
      <w:r w:rsidRPr="00484981">
        <w:rPr>
          <w:szCs w:val="24"/>
        </w:rPr>
        <w:t xml:space="preserve">. </w:t>
      </w:r>
      <w:r w:rsidRPr="00103435">
        <w:rPr>
          <w:szCs w:val="24"/>
        </w:rPr>
        <w:t>The ICER and cost-effectiven</w:t>
      </w:r>
      <w:r w:rsidR="005E5BF2">
        <w:rPr>
          <w:szCs w:val="24"/>
        </w:rPr>
        <w:t>e</w:t>
      </w:r>
      <w:r w:rsidRPr="00103435">
        <w:rPr>
          <w:szCs w:val="24"/>
        </w:rPr>
        <w:t xml:space="preserve">ss of </w:t>
      </w:r>
      <w:proofErr w:type="spellStart"/>
      <w:r w:rsidRPr="00103435">
        <w:rPr>
          <w:szCs w:val="24"/>
        </w:rPr>
        <w:t>IVIg</w:t>
      </w:r>
      <w:proofErr w:type="spellEnd"/>
      <w:r w:rsidRPr="00103435">
        <w:rPr>
          <w:szCs w:val="24"/>
        </w:rPr>
        <w:t xml:space="preserve"> is heavily dependent on the assumption that PE is associated with sepsis, and this in turn has mortality and/or long-term morbidity implications</w:t>
      </w:r>
      <w:r>
        <w:rPr>
          <w:szCs w:val="24"/>
        </w:rPr>
        <w:t>.</w:t>
      </w:r>
      <w:r w:rsidRPr="00484981">
        <w:rPr>
          <w:szCs w:val="24"/>
        </w:rPr>
        <w:t xml:space="preserve"> Accepting the estimates of long-term morbidity and mortality associated with rare but serious PE adverse events drastically reduces the ICER to approximately $46 thousand/QALY.</w:t>
      </w:r>
    </w:p>
    <w:p w14:paraId="51854265" w14:textId="77777777" w:rsidR="00BA6645" w:rsidRPr="00C163D0" w:rsidRDefault="00BA6645" w:rsidP="00C163D0">
      <w:pPr>
        <w:keepNext/>
        <w:keepLines/>
        <w:rPr>
          <w:rFonts w:ascii="Arial Narrow" w:hAnsi="Arial Narrow"/>
          <w:b/>
          <w:sz w:val="20"/>
        </w:rPr>
      </w:pPr>
      <w:bookmarkStart w:id="29" w:name="_Toc23769489"/>
      <w:r w:rsidRPr="00C163D0">
        <w:rPr>
          <w:rFonts w:ascii="Arial Narrow" w:hAnsi="Arial Narrow"/>
          <w:b/>
          <w:sz w:val="20"/>
        </w:rPr>
        <w:lastRenderedPageBreak/>
        <w:t xml:space="preserve">Table 11 </w:t>
      </w:r>
      <w:r w:rsidRPr="00C163D0">
        <w:rPr>
          <w:rFonts w:ascii="Arial Narrow" w:hAnsi="Arial Narrow"/>
          <w:b/>
          <w:sz w:val="20"/>
        </w:rPr>
        <w:tab/>
        <w:t>Indication 1:</w:t>
      </w:r>
      <w:bookmarkEnd w:id="29"/>
      <w:r w:rsidRPr="00C163D0">
        <w:rPr>
          <w:rFonts w:ascii="Arial Narrow" w:hAnsi="Arial Narrow"/>
          <w:b/>
          <w:sz w:val="20"/>
        </w:rPr>
        <w:t xml:space="preserve"> Selected results from a stepped cost consequences</w:t>
      </w:r>
      <w:r w:rsidRPr="00C163D0" w:rsidDel="00F26A21">
        <w:rPr>
          <w:rFonts w:ascii="Arial Narrow" w:hAnsi="Arial Narrow"/>
          <w:b/>
          <w:sz w:val="20"/>
        </w:rPr>
        <w:t xml:space="preserve"> </w:t>
      </w:r>
      <w:r w:rsidRPr="00C163D0">
        <w:rPr>
          <w:rFonts w:ascii="Arial Narrow" w:hAnsi="Arial Narrow"/>
          <w:b/>
          <w:sz w:val="20"/>
        </w:rPr>
        <w:t>and cost utility analysis</w:t>
      </w:r>
    </w:p>
    <w:tbl>
      <w:tblPr>
        <w:tblStyle w:val="TableGrid2"/>
        <w:tblW w:w="8432" w:type="dxa"/>
        <w:tblInd w:w="108" w:type="dxa"/>
        <w:tblLayout w:type="fixed"/>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4043"/>
        <w:gridCol w:w="1347"/>
        <w:gridCol w:w="1348"/>
        <w:gridCol w:w="1694"/>
      </w:tblGrid>
      <w:tr w:rsidR="00BA6645" w:rsidRPr="006C1218" w14:paraId="756CD5EA" w14:textId="77777777" w:rsidTr="00BA6645">
        <w:trPr>
          <w:cnfStyle w:val="100000000000" w:firstRow="1" w:lastRow="0" w:firstColumn="0" w:lastColumn="0" w:oddVBand="0" w:evenVBand="0" w:oddHBand="0" w:evenHBand="0" w:firstRowFirstColumn="0" w:firstRowLastColumn="0" w:lastRowFirstColumn="0" w:lastRowLastColumn="0"/>
          <w:tblHeader/>
        </w:trPr>
        <w:tc>
          <w:tcPr>
            <w:tcW w:w="4043" w:type="dxa"/>
            <w:tcBorders>
              <w:bottom w:val="single" w:sz="4" w:space="0" w:color="auto"/>
            </w:tcBorders>
          </w:tcPr>
          <w:p w14:paraId="0050FFAD" w14:textId="77777777" w:rsidR="00BA6645" w:rsidRPr="006C1218" w:rsidRDefault="00BA6645" w:rsidP="00C163D0">
            <w:pPr>
              <w:keepNext/>
              <w:keepLines/>
              <w:spacing w:after="40"/>
              <w:jc w:val="both"/>
              <w:rPr>
                <w:rFonts w:cs="Tahoma"/>
                <w:b/>
              </w:rPr>
            </w:pPr>
          </w:p>
        </w:tc>
        <w:tc>
          <w:tcPr>
            <w:tcW w:w="1347" w:type="dxa"/>
            <w:tcBorders>
              <w:bottom w:val="single" w:sz="4" w:space="0" w:color="auto"/>
            </w:tcBorders>
          </w:tcPr>
          <w:p w14:paraId="3E6D414D" w14:textId="77777777" w:rsidR="00BA6645" w:rsidRPr="006C1218" w:rsidRDefault="00BA6645" w:rsidP="00C163D0">
            <w:pPr>
              <w:keepNext/>
              <w:keepLines/>
              <w:spacing w:after="40"/>
              <w:jc w:val="center"/>
              <w:rPr>
                <w:rFonts w:cs="Tahoma"/>
                <w:b/>
              </w:rPr>
            </w:pPr>
            <w:proofErr w:type="spellStart"/>
            <w:r w:rsidRPr="006C1218">
              <w:rPr>
                <w:rFonts w:cs="Tahoma"/>
                <w:b/>
              </w:rPr>
              <w:t>IVIg</w:t>
            </w:r>
            <w:proofErr w:type="spellEnd"/>
          </w:p>
        </w:tc>
        <w:tc>
          <w:tcPr>
            <w:tcW w:w="1348" w:type="dxa"/>
            <w:tcBorders>
              <w:bottom w:val="single" w:sz="4" w:space="0" w:color="auto"/>
            </w:tcBorders>
          </w:tcPr>
          <w:p w14:paraId="006EFC52" w14:textId="77777777" w:rsidR="00BA6645" w:rsidRPr="006C1218" w:rsidRDefault="00BA6645" w:rsidP="00C163D0">
            <w:pPr>
              <w:keepNext/>
              <w:keepLines/>
              <w:spacing w:after="40"/>
              <w:jc w:val="center"/>
              <w:rPr>
                <w:rFonts w:cs="Tahoma"/>
                <w:b/>
              </w:rPr>
            </w:pPr>
            <w:r w:rsidRPr="006C1218">
              <w:rPr>
                <w:rFonts w:cs="Tahoma"/>
                <w:b/>
              </w:rPr>
              <w:t>PE</w:t>
            </w:r>
          </w:p>
        </w:tc>
        <w:tc>
          <w:tcPr>
            <w:tcW w:w="1694" w:type="dxa"/>
            <w:tcBorders>
              <w:bottom w:val="single" w:sz="4" w:space="0" w:color="auto"/>
            </w:tcBorders>
          </w:tcPr>
          <w:p w14:paraId="3CD29361" w14:textId="77777777" w:rsidR="00BA6645" w:rsidRPr="006C1218" w:rsidRDefault="00BA6645" w:rsidP="00C163D0">
            <w:pPr>
              <w:keepNext/>
              <w:keepLines/>
              <w:spacing w:after="40"/>
              <w:jc w:val="center"/>
              <w:rPr>
                <w:rFonts w:cs="Tahoma"/>
                <w:b/>
              </w:rPr>
            </w:pPr>
            <w:r w:rsidRPr="006C1218">
              <w:rPr>
                <w:rFonts w:cs="Tahoma"/>
                <w:b/>
              </w:rPr>
              <w:t>Increment</w:t>
            </w:r>
          </w:p>
        </w:tc>
      </w:tr>
      <w:tr w:rsidR="00BA6645" w:rsidRPr="006C1218" w14:paraId="13892198" w14:textId="77777777" w:rsidTr="00BA6645">
        <w:trPr>
          <w:cnfStyle w:val="100000000000" w:firstRow="1" w:lastRow="0" w:firstColumn="0" w:lastColumn="0" w:oddVBand="0" w:evenVBand="0" w:oddHBand="0" w:evenHBand="0" w:firstRowFirstColumn="0" w:firstRowLastColumn="0" w:lastRowFirstColumn="0" w:lastRowLastColumn="0"/>
          <w:tblHeader/>
        </w:trPr>
        <w:tc>
          <w:tcPr>
            <w:tcW w:w="8432" w:type="dxa"/>
            <w:gridSpan w:val="4"/>
            <w:tcBorders>
              <w:bottom w:val="single" w:sz="4" w:space="0" w:color="auto"/>
            </w:tcBorders>
            <w:vAlign w:val="center"/>
          </w:tcPr>
          <w:p w14:paraId="6B5769F7" w14:textId="77777777" w:rsidR="00BA6645" w:rsidRPr="006C1218" w:rsidRDefault="00BA6645" w:rsidP="00C163D0">
            <w:pPr>
              <w:keepNext/>
              <w:keepLines/>
              <w:spacing w:after="40"/>
              <w:rPr>
                <w:rFonts w:cs="Tahoma"/>
                <w:b/>
              </w:rPr>
            </w:pPr>
            <w:r w:rsidRPr="006C1218">
              <w:rPr>
                <w:rFonts w:cs="Tahoma"/>
                <w:b/>
              </w:rPr>
              <w:t>Step 4: RCT evidence base adapted to Australian resource use patterns</w:t>
            </w:r>
          </w:p>
        </w:tc>
      </w:tr>
      <w:tr w:rsidR="00BA6645" w:rsidRPr="006C1218" w14:paraId="7E5678BF" w14:textId="77777777" w:rsidTr="00BA6645">
        <w:tc>
          <w:tcPr>
            <w:tcW w:w="4043" w:type="dxa"/>
          </w:tcPr>
          <w:p w14:paraId="0EDA7740" w14:textId="77777777" w:rsidR="00BA6645" w:rsidRPr="006C1218" w:rsidRDefault="00BA6645" w:rsidP="00BE75FD">
            <w:pPr>
              <w:keepNext/>
              <w:keepLines/>
              <w:spacing w:after="40"/>
              <w:jc w:val="both"/>
              <w:rPr>
                <w:rFonts w:cs="Tahoma"/>
              </w:rPr>
            </w:pPr>
            <w:r w:rsidRPr="006C1218">
              <w:rPr>
                <w:rFonts w:cs="Tahoma"/>
              </w:rPr>
              <w:t>Total Costs</w:t>
            </w:r>
          </w:p>
        </w:tc>
        <w:tc>
          <w:tcPr>
            <w:tcW w:w="1347" w:type="dxa"/>
            <w:tcBorders>
              <w:top w:val="single" w:sz="4" w:space="0" w:color="auto"/>
              <w:left w:val="nil"/>
              <w:bottom w:val="single" w:sz="4" w:space="0" w:color="auto"/>
              <w:right w:val="single" w:sz="4" w:space="0" w:color="auto"/>
            </w:tcBorders>
            <w:shd w:val="clear" w:color="auto" w:fill="auto"/>
            <w:vAlign w:val="bottom"/>
          </w:tcPr>
          <w:p w14:paraId="6E1D7A1C" w14:textId="77777777" w:rsidR="00BA6645" w:rsidRPr="006C1218" w:rsidRDefault="00BA6645" w:rsidP="00BE75FD">
            <w:pPr>
              <w:keepNext/>
              <w:keepLines/>
              <w:spacing w:after="40"/>
              <w:jc w:val="right"/>
              <w:rPr>
                <w:rFonts w:cs="Tahoma"/>
              </w:rPr>
            </w:pPr>
            <w:r w:rsidRPr="006C1218">
              <w:rPr>
                <w:rFonts w:cs="Tahoma"/>
              </w:rPr>
              <w:t>$58,895</w:t>
            </w:r>
          </w:p>
        </w:tc>
        <w:tc>
          <w:tcPr>
            <w:tcW w:w="1348" w:type="dxa"/>
            <w:tcBorders>
              <w:top w:val="nil"/>
              <w:left w:val="nil"/>
              <w:bottom w:val="nil"/>
              <w:right w:val="nil"/>
            </w:tcBorders>
            <w:shd w:val="clear" w:color="auto" w:fill="auto"/>
            <w:vAlign w:val="bottom"/>
          </w:tcPr>
          <w:p w14:paraId="7BE27649" w14:textId="77777777" w:rsidR="00BA6645" w:rsidRPr="006C1218" w:rsidRDefault="00BA6645" w:rsidP="00BE75FD">
            <w:pPr>
              <w:keepNext/>
              <w:keepLines/>
              <w:spacing w:after="40"/>
              <w:jc w:val="right"/>
              <w:rPr>
                <w:rFonts w:cs="Tahoma"/>
              </w:rPr>
            </w:pPr>
            <w:r w:rsidRPr="006C1218">
              <w:rPr>
                <w:rFonts w:cs="Tahoma"/>
              </w:rPr>
              <w:t>$50,998</w:t>
            </w:r>
          </w:p>
        </w:tc>
        <w:tc>
          <w:tcPr>
            <w:tcW w:w="1694" w:type="dxa"/>
            <w:tcBorders>
              <w:top w:val="nil"/>
              <w:left w:val="nil"/>
              <w:bottom w:val="nil"/>
              <w:right w:val="nil"/>
            </w:tcBorders>
            <w:shd w:val="clear" w:color="auto" w:fill="auto"/>
            <w:vAlign w:val="bottom"/>
          </w:tcPr>
          <w:p w14:paraId="39E0C0F0" w14:textId="77777777" w:rsidR="00BA6645" w:rsidRPr="006C1218" w:rsidRDefault="00BA6645" w:rsidP="00BE75FD">
            <w:pPr>
              <w:keepNext/>
              <w:keepLines/>
              <w:spacing w:after="40"/>
              <w:jc w:val="right"/>
              <w:rPr>
                <w:rFonts w:cs="Tahoma"/>
              </w:rPr>
            </w:pPr>
            <w:r w:rsidRPr="006C1218">
              <w:rPr>
                <w:rFonts w:cs="Tahoma"/>
              </w:rPr>
              <w:t>$7,898</w:t>
            </w:r>
          </w:p>
        </w:tc>
      </w:tr>
      <w:tr w:rsidR="00BA6645" w:rsidRPr="006C1218" w14:paraId="36F991F2" w14:textId="77777777" w:rsidTr="00BA6645">
        <w:tc>
          <w:tcPr>
            <w:tcW w:w="8432" w:type="dxa"/>
            <w:gridSpan w:val="4"/>
          </w:tcPr>
          <w:p w14:paraId="5663351E" w14:textId="77777777" w:rsidR="00BA6645" w:rsidRPr="006C1218" w:rsidRDefault="00BA6645" w:rsidP="00BA6645">
            <w:pPr>
              <w:keepNext/>
              <w:keepLines/>
              <w:spacing w:after="40"/>
              <w:rPr>
                <w:rFonts w:cs="Tahoma"/>
              </w:rPr>
            </w:pPr>
            <w:r w:rsidRPr="006C1218">
              <w:rPr>
                <w:rFonts w:cs="Tahoma"/>
              </w:rPr>
              <w:t>Health outcome (safety) consequences</w:t>
            </w:r>
          </w:p>
        </w:tc>
      </w:tr>
      <w:tr w:rsidR="00BA6645" w:rsidRPr="006C1218" w14:paraId="2140E6B6" w14:textId="77777777" w:rsidTr="00BA6645">
        <w:tc>
          <w:tcPr>
            <w:tcW w:w="4043" w:type="dxa"/>
          </w:tcPr>
          <w:p w14:paraId="1F60C6C9" w14:textId="77777777" w:rsidR="00BA6645" w:rsidRPr="006C1218" w:rsidRDefault="00BA6645" w:rsidP="00BA6645">
            <w:pPr>
              <w:keepNext/>
              <w:keepLines/>
              <w:spacing w:after="40"/>
              <w:ind w:left="204"/>
              <w:jc w:val="both"/>
              <w:rPr>
                <w:rFonts w:cs="Tahoma"/>
              </w:rPr>
            </w:pPr>
            <w:r w:rsidRPr="006C1218">
              <w:rPr>
                <w:rFonts w:cs="Tahoma"/>
              </w:rPr>
              <w:t xml:space="preserve">   Patients with adverse events</w:t>
            </w:r>
          </w:p>
        </w:tc>
        <w:tc>
          <w:tcPr>
            <w:tcW w:w="1347" w:type="dxa"/>
          </w:tcPr>
          <w:p w14:paraId="5EB6C6A3" w14:textId="77777777" w:rsidR="00BA6645" w:rsidRPr="006C1218" w:rsidRDefault="00BA6645" w:rsidP="00BA6645">
            <w:pPr>
              <w:keepNext/>
              <w:keepLines/>
              <w:spacing w:after="40"/>
              <w:jc w:val="center"/>
              <w:rPr>
                <w:rFonts w:cs="Tahoma"/>
              </w:rPr>
            </w:pPr>
            <w:r w:rsidRPr="006C1218">
              <w:rPr>
                <w:rFonts w:cs="Tahoma"/>
              </w:rPr>
              <w:t>2.2%</w:t>
            </w:r>
          </w:p>
        </w:tc>
        <w:tc>
          <w:tcPr>
            <w:tcW w:w="1348" w:type="dxa"/>
          </w:tcPr>
          <w:p w14:paraId="24EF4F35" w14:textId="77777777" w:rsidR="00BA6645" w:rsidRPr="006C1218" w:rsidRDefault="00BA6645" w:rsidP="00BA6645">
            <w:pPr>
              <w:keepNext/>
              <w:keepLines/>
              <w:spacing w:after="40"/>
              <w:jc w:val="center"/>
              <w:rPr>
                <w:rFonts w:cs="Tahoma"/>
              </w:rPr>
            </w:pPr>
            <w:r w:rsidRPr="006C1218">
              <w:rPr>
                <w:rFonts w:cs="Tahoma"/>
              </w:rPr>
              <w:t>19.5%</w:t>
            </w:r>
          </w:p>
        </w:tc>
        <w:tc>
          <w:tcPr>
            <w:tcW w:w="1694" w:type="dxa"/>
          </w:tcPr>
          <w:p w14:paraId="0BBE5EA0" w14:textId="77777777" w:rsidR="00BA6645" w:rsidRPr="006C1218" w:rsidRDefault="00BA6645" w:rsidP="00BA6645">
            <w:pPr>
              <w:keepNext/>
              <w:keepLines/>
              <w:spacing w:after="40"/>
              <w:jc w:val="center"/>
              <w:rPr>
                <w:rFonts w:cs="Tahoma"/>
              </w:rPr>
            </w:pPr>
            <w:r w:rsidRPr="006C1218">
              <w:rPr>
                <w:rFonts w:cs="Tahoma"/>
              </w:rPr>
              <w:t>-17.3%</w:t>
            </w:r>
          </w:p>
        </w:tc>
      </w:tr>
      <w:tr w:rsidR="00BA6645" w:rsidRPr="006C1218" w14:paraId="4C4D97B8" w14:textId="77777777" w:rsidTr="00BA6645">
        <w:tc>
          <w:tcPr>
            <w:tcW w:w="4043" w:type="dxa"/>
          </w:tcPr>
          <w:p w14:paraId="51DF8BA3" w14:textId="77777777" w:rsidR="00BA6645" w:rsidRPr="006C1218" w:rsidRDefault="00BA6645" w:rsidP="00BA6645">
            <w:pPr>
              <w:keepNext/>
              <w:keepLines/>
              <w:spacing w:after="40"/>
              <w:ind w:left="204"/>
              <w:jc w:val="both"/>
              <w:rPr>
                <w:rFonts w:cs="Tahoma"/>
              </w:rPr>
            </w:pPr>
            <w:r w:rsidRPr="006C1218">
              <w:rPr>
                <w:rFonts w:cs="Tahoma"/>
              </w:rPr>
              <w:t xml:space="preserve">   Patients with clinically significant adverse events</w:t>
            </w:r>
          </w:p>
        </w:tc>
        <w:tc>
          <w:tcPr>
            <w:tcW w:w="1347" w:type="dxa"/>
          </w:tcPr>
          <w:p w14:paraId="07FCDCE9" w14:textId="77777777" w:rsidR="00BA6645" w:rsidRPr="006C1218" w:rsidRDefault="00BA6645" w:rsidP="00BA6645">
            <w:pPr>
              <w:keepNext/>
              <w:keepLines/>
              <w:spacing w:after="40"/>
              <w:jc w:val="center"/>
              <w:rPr>
                <w:rFonts w:cs="Tahoma"/>
              </w:rPr>
            </w:pPr>
            <w:r w:rsidRPr="006C1218">
              <w:rPr>
                <w:rFonts w:cs="Tahoma"/>
              </w:rPr>
              <w:t>0%</w:t>
            </w:r>
          </w:p>
        </w:tc>
        <w:tc>
          <w:tcPr>
            <w:tcW w:w="1348" w:type="dxa"/>
          </w:tcPr>
          <w:p w14:paraId="0AB39151" w14:textId="77777777" w:rsidR="00BA6645" w:rsidRPr="006C1218" w:rsidRDefault="00BA6645" w:rsidP="00BA6645">
            <w:pPr>
              <w:keepNext/>
              <w:keepLines/>
              <w:spacing w:after="40"/>
              <w:jc w:val="center"/>
              <w:rPr>
                <w:rFonts w:cs="Tahoma"/>
              </w:rPr>
            </w:pPr>
            <w:r w:rsidRPr="006C1218">
              <w:rPr>
                <w:rFonts w:cs="Tahoma"/>
              </w:rPr>
              <w:t>4.9%</w:t>
            </w:r>
          </w:p>
        </w:tc>
        <w:tc>
          <w:tcPr>
            <w:tcW w:w="1694" w:type="dxa"/>
          </w:tcPr>
          <w:p w14:paraId="25DA8C85" w14:textId="77777777" w:rsidR="00BA6645" w:rsidRPr="006C1218" w:rsidRDefault="00BA6645" w:rsidP="00BA6645">
            <w:pPr>
              <w:keepNext/>
              <w:keepLines/>
              <w:spacing w:after="40"/>
              <w:jc w:val="center"/>
              <w:rPr>
                <w:rFonts w:cs="Tahoma"/>
              </w:rPr>
            </w:pPr>
            <w:r w:rsidRPr="006C1218">
              <w:rPr>
                <w:rFonts w:cs="Tahoma"/>
              </w:rPr>
              <w:t>-4.9%</w:t>
            </w:r>
          </w:p>
        </w:tc>
      </w:tr>
      <w:tr w:rsidR="00BA6645" w:rsidRPr="006C1218" w14:paraId="4EAAEB91" w14:textId="77777777" w:rsidTr="00BA6645">
        <w:tc>
          <w:tcPr>
            <w:tcW w:w="4043" w:type="dxa"/>
          </w:tcPr>
          <w:p w14:paraId="57C239AC" w14:textId="77777777" w:rsidR="00BA6645" w:rsidRPr="006C1218" w:rsidRDefault="00BA6645" w:rsidP="00BA6645">
            <w:pPr>
              <w:keepNext/>
              <w:keepLines/>
              <w:spacing w:after="40"/>
              <w:ind w:left="204"/>
              <w:jc w:val="both"/>
              <w:rPr>
                <w:rFonts w:cs="Tahoma"/>
              </w:rPr>
            </w:pPr>
            <w:r w:rsidRPr="006C1218">
              <w:rPr>
                <w:rFonts w:cs="Tahoma"/>
              </w:rPr>
              <w:t xml:space="preserve">   QALY decrement due to AEs </w:t>
            </w:r>
          </w:p>
        </w:tc>
        <w:tc>
          <w:tcPr>
            <w:tcW w:w="1347" w:type="dxa"/>
          </w:tcPr>
          <w:p w14:paraId="512B4E6E" w14:textId="77777777" w:rsidR="00BA6645" w:rsidRPr="006C1218" w:rsidRDefault="00BA6645" w:rsidP="00BA6645">
            <w:pPr>
              <w:keepNext/>
              <w:keepLines/>
              <w:spacing w:after="40"/>
              <w:jc w:val="center"/>
              <w:rPr>
                <w:rFonts w:cs="Tahoma"/>
              </w:rPr>
            </w:pPr>
          </w:p>
        </w:tc>
        <w:tc>
          <w:tcPr>
            <w:tcW w:w="1348" w:type="dxa"/>
          </w:tcPr>
          <w:p w14:paraId="056CAEBA" w14:textId="77777777" w:rsidR="00BA6645" w:rsidRPr="006C1218" w:rsidRDefault="00BA6645" w:rsidP="00BA6645">
            <w:pPr>
              <w:keepNext/>
              <w:keepLines/>
              <w:spacing w:after="40"/>
              <w:jc w:val="center"/>
              <w:rPr>
                <w:rFonts w:cs="Tahoma"/>
              </w:rPr>
            </w:pPr>
            <w:r w:rsidRPr="006C1218">
              <w:rPr>
                <w:rFonts w:cs="Tahoma"/>
              </w:rPr>
              <w:t>-0.001100</w:t>
            </w:r>
          </w:p>
        </w:tc>
        <w:tc>
          <w:tcPr>
            <w:tcW w:w="1694" w:type="dxa"/>
          </w:tcPr>
          <w:p w14:paraId="3577C41A" w14:textId="77777777" w:rsidR="00BA6645" w:rsidRPr="006C1218" w:rsidRDefault="00BA6645" w:rsidP="00BA6645">
            <w:pPr>
              <w:keepNext/>
              <w:keepLines/>
              <w:spacing w:after="40"/>
              <w:jc w:val="center"/>
              <w:rPr>
                <w:rFonts w:cs="Tahoma"/>
              </w:rPr>
            </w:pPr>
            <w:r w:rsidRPr="006C1218">
              <w:rPr>
                <w:rFonts w:cs="Tahoma"/>
              </w:rPr>
              <w:t>0.001100</w:t>
            </w:r>
          </w:p>
        </w:tc>
      </w:tr>
      <w:tr w:rsidR="00BA6645" w:rsidRPr="006C1218" w14:paraId="7FC1E038" w14:textId="77777777" w:rsidTr="00BA6645">
        <w:tc>
          <w:tcPr>
            <w:tcW w:w="4043" w:type="dxa"/>
          </w:tcPr>
          <w:p w14:paraId="0E1BF684" w14:textId="77777777" w:rsidR="00BA6645" w:rsidRPr="006C1218" w:rsidRDefault="00BA6645" w:rsidP="00BA6645">
            <w:pPr>
              <w:keepNext/>
              <w:keepLines/>
              <w:spacing w:after="40"/>
              <w:jc w:val="both"/>
              <w:rPr>
                <w:rFonts w:cs="Tahoma"/>
                <w:b/>
              </w:rPr>
            </w:pPr>
            <w:r w:rsidRPr="006C1218">
              <w:rPr>
                <w:rFonts w:cs="Tahoma"/>
                <w:b/>
              </w:rPr>
              <w:t>ICER ($/QALY)</w:t>
            </w:r>
          </w:p>
        </w:tc>
        <w:tc>
          <w:tcPr>
            <w:tcW w:w="1347" w:type="dxa"/>
          </w:tcPr>
          <w:p w14:paraId="61CCDB73" w14:textId="77777777" w:rsidR="00BA6645" w:rsidRPr="006C1218" w:rsidRDefault="00BA6645" w:rsidP="00BA6645">
            <w:pPr>
              <w:keepNext/>
              <w:keepLines/>
              <w:spacing w:after="40"/>
              <w:jc w:val="center"/>
              <w:rPr>
                <w:rFonts w:cs="Tahoma"/>
              </w:rPr>
            </w:pPr>
          </w:p>
        </w:tc>
        <w:tc>
          <w:tcPr>
            <w:tcW w:w="1348" w:type="dxa"/>
          </w:tcPr>
          <w:p w14:paraId="0B0BBF25" w14:textId="77777777" w:rsidR="00BA6645" w:rsidRPr="006C1218" w:rsidRDefault="00BA6645" w:rsidP="00BA6645">
            <w:pPr>
              <w:keepNext/>
              <w:keepLines/>
              <w:spacing w:after="40"/>
              <w:jc w:val="center"/>
              <w:rPr>
                <w:rFonts w:cs="Tahoma"/>
              </w:rPr>
            </w:pPr>
          </w:p>
        </w:tc>
        <w:tc>
          <w:tcPr>
            <w:tcW w:w="1694" w:type="dxa"/>
          </w:tcPr>
          <w:p w14:paraId="5CB0A54A" w14:textId="77777777" w:rsidR="00BA6645" w:rsidRPr="006C1218" w:rsidRDefault="00BA6645" w:rsidP="00BA6645">
            <w:pPr>
              <w:keepNext/>
              <w:keepLines/>
              <w:spacing w:after="40"/>
              <w:jc w:val="center"/>
              <w:rPr>
                <w:rFonts w:cs="Tahoma"/>
                <w:b/>
              </w:rPr>
            </w:pPr>
            <w:r w:rsidRPr="006C1218">
              <w:rPr>
                <w:rFonts w:cs="Tahoma"/>
                <w:b/>
              </w:rPr>
              <w:t>$7,177,933</w:t>
            </w:r>
          </w:p>
        </w:tc>
      </w:tr>
      <w:tr w:rsidR="00BA6645" w:rsidRPr="006C1218" w14:paraId="313B1677" w14:textId="77777777" w:rsidTr="00BA6645">
        <w:tc>
          <w:tcPr>
            <w:tcW w:w="8432" w:type="dxa"/>
            <w:gridSpan w:val="4"/>
            <w:tcBorders>
              <w:bottom w:val="single" w:sz="4" w:space="0" w:color="auto"/>
            </w:tcBorders>
            <w:vAlign w:val="center"/>
          </w:tcPr>
          <w:p w14:paraId="4BC3CA77" w14:textId="77777777" w:rsidR="00BA6645" w:rsidRPr="006C1218" w:rsidRDefault="00BA6645" w:rsidP="00BA6645">
            <w:pPr>
              <w:keepNext/>
              <w:keepLines/>
              <w:spacing w:after="40"/>
              <w:rPr>
                <w:rFonts w:cs="Tahoma"/>
                <w:b/>
              </w:rPr>
            </w:pPr>
            <w:r w:rsidRPr="006C1218">
              <w:rPr>
                <w:rFonts w:cs="Tahoma"/>
                <w:b/>
              </w:rPr>
              <w:t>Step 7: Modelling sepsis morbidity/mortality over 15 years</w:t>
            </w:r>
          </w:p>
        </w:tc>
      </w:tr>
      <w:tr w:rsidR="00BA6645" w:rsidRPr="006C1218" w14:paraId="5A92CBEE" w14:textId="77777777" w:rsidTr="00BA6645">
        <w:tc>
          <w:tcPr>
            <w:tcW w:w="4043" w:type="dxa"/>
          </w:tcPr>
          <w:p w14:paraId="42D9A7E6" w14:textId="77777777" w:rsidR="00BA6645" w:rsidRPr="006C1218" w:rsidRDefault="00BA6645" w:rsidP="00BA6645">
            <w:pPr>
              <w:keepNext/>
              <w:keepLines/>
              <w:spacing w:after="40"/>
              <w:jc w:val="both"/>
              <w:rPr>
                <w:rFonts w:cs="Tahoma"/>
              </w:rPr>
            </w:pPr>
            <w:r w:rsidRPr="006C1218">
              <w:rPr>
                <w:rFonts w:cs="Tahoma"/>
              </w:rPr>
              <w:t>Total Costs</w:t>
            </w:r>
          </w:p>
        </w:tc>
        <w:tc>
          <w:tcPr>
            <w:tcW w:w="1347" w:type="dxa"/>
            <w:tcBorders>
              <w:top w:val="single" w:sz="4" w:space="0" w:color="auto"/>
              <w:left w:val="nil"/>
              <w:bottom w:val="single" w:sz="4" w:space="0" w:color="auto"/>
              <w:right w:val="single" w:sz="4" w:space="0" w:color="auto"/>
            </w:tcBorders>
            <w:shd w:val="clear" w:color="auto" w:fill="auto"/>
            <w:vAlign w:val="bottom"/>
          </w:tcPr>
          <w:p w14:paraId="330B0623" w14:textId="77777777" w:rsidR="00BA6645" w:rsidRPr="006C1218" w:rsidRDefault="00BA6645" w:rsidP="00BA6645">
            <w:pPr>
              <w:keepNext/>
              <w:keepLines/>
              <w:spacing w:after="40"/>
              <w:jc w:val="right"/>
              <w:rPr>
                <w:rFonts w:cs="Tahoma"/>
              </w:rPr>
            </w:pPr>
            <w:r w:rsidRPr="006C1218">
              <w:rPr>
                <w:rFonts w:cs="Tahoma"/>
              </w:rPr>
              <w:t>$58,895</w:t>
            </w:r>
          </w:p>
        </w:tc>
        <w:tc>
          <w:tcPr>
            <w:tcW w:w="1348" w:type="dxa"/>
            <w:tcBorders>
              <w:top w:val="nil"/>
              <w:left w:val="nil"/>
              <w:bottom w:val="nil"/>
              <w:right w:val="nil"/>
            </w:tcBorders>
            <w:shd w:val="clear" w:color="auto" w:fill="auto"/>
            <w:vAlign w:val="bottom"/>
          </w:tcPr>
          <w:p w14:paraId="48F72F8D" w14:textId="77777777" w:rsidR="00BA6645" w:rsidRPr="006C1218" w:rsidRDefault="00BA6645" w:rsidP="00BA6645">
            <w:pPr>
              <w:keepNext/>
              <w:keepLines/>
              <w:spacing w:after="40"/>
              <w:jc w:val="right"/>
              <w:rPr>
                <w:rFonts w:cs="Tahoma"/>
              </w:rPr>
            </w:pPr>
            <w:r w:rsidRPr="006C1218">
              <w:rPr>
                <w:rFonts w:cs="Tahoma"/>
              </w:rPr>
              <w:t>$52,388</w:t>
            </w:r>
          </w:p>
        </w:tc>
        <w:tc>
          <w:tcPr>
            <w:tcW w:w="1694" w:type="dxa"/>
            <w:tcBorders>
              <w:top w:val="nil"/>
              <w:left w:val="nil"/>
              <w:bottom w:val="nil"/>
              <w:right w:val="nil"/>
            </w:tcBorders>
            <w:shd w:val="clear" w:color="auto" w:fill="auto"/>
            <w:vAlign w:val="bottom"/>
          </w:tcPr>
          <w:p w14:paraId="4DE80EF6" w14:textId="77777777" w:rsidR="00BA6645" w:rsidRPr="006C1218" w:rsidRDefault="00BA6645" w:rsidP="00BA6645">
            <w:pPr>
              <w:keepNext/>
              <w:keepLines/>
              <w:spacing w:after="40"/>
              <w:jc w:val="right"/>
              <w:rPr>
                <w:rFonts w:cs="Tahoma"/>
              </w:rPr>
            </w:pPr>
            <w:r w:rsidRPr="006C1218">
              <w:rPr>
                <w:rFonts w:cs="Tahoma"/>
              </w:rPr>
              <w:t>$6,558</w:t>
            </w:r>
          </w:p>
        </w:tc>
      </w:tr>
      <w:tr w:rsidR="00BA6645" w:rsidRPr="006C1218" w14:paraId="263269AA" w14:textId="77777777" w:rsidTr="00BA6645">
        <w:tc>
          <w:tcPr>
            <w:tcW w:w="4043" w:type="dxa"/>
          </w:tcPr>
          <w:p w14:paraId="4CA65E20" w14:textId="77777777" w:rsidR="00BA6645" w:rsidRPr="006C1218" w:rsidRDefault="00BA6645" w:rsidP="00BA6645">
            <w:pPr>
              <w:keepNext/>
              <w:keepLines/>
              <w:spacing w:after="40"/>
              <w:jc w:val="both"/>
              <w:rPr>
                <w:rFonts w:cs="Tahoma"/>
              </w:rPr>
            </w:pPr>
            <w:r w:rsidRPr="006C1218">
              <w:rPr>
                <w:rFonts w:cs="Tahoma"/>
              </w:rPr>
              <w:t xml:space="preserve">QALY decrement due to AEs </w:t>
            </w:r>
          </w:p>
        </w:tc>
        <w:tc>
          <w:tcPr>
            <w:tcW w:w="1347" w:type="dxa"/>
          </w:tcPr>
          <w:p w14:paraId="2575C459" w14:textId="77777777" w:rsidR="00BA6645" w:rsidRPr="006C1218" w:rsidRDefault="00BA6645" w:rsidP="00BA6645">
            <w:pPr>
              <w:keepNext/>
              <w:keepLines/>
              <w:spacing w:after="40"/>
              <w:jc w:val="center"/>
              <w:rPr>
                <w:rFonts w:cs="Tahoma"/>
              </w:rPr>
            </w:pPr>
          </w:p>
        </w:tc>
        <w:tc>
          <w:tcPr>
            <w:tcW w:w="1348" w:type="dxa"/>
          </w:tcPr>
          <w:p w14:paraId="31FA5230" w14:textId="77777777" w:rsidR="00BA6645" w:rsidRPr="006C1218" w:rsidRDefault="00BA6645" w:rsidP="00BA6645">
            <w:pPr>
              <w:keepNext/>
              <w:keepLines/>
              <w:spacing w:after="40"/>
              <w:jc w:val="center"/>
              <w:rPr>
                <w:rFonts w:cs="Tahoma"/>
              </w:rPr>
            </w:pPr>
            <w:r w:rsidRPr="006C1218">
              <w:rPr>
                <w:rFonts w:cs="Tahoma"/>
              </w:rPr>
              <w:t>-0.143261</w:t>
            </w:r>
          </w:p>
        </w:tc>
        <w:tc>
          <w:tcPr>
            <w:tcW w:w="1694" w:type="dxa"/>
          </w:tcPr>
          <w:p w14:paraId="6B2FDCB1" w14:textId="77777777" w:rsidR="00BA6645" w:rsidRPr="006C1218" w:rsidRDefault="00BA6645" w:rsidP="00BA6645">
            <w:pPr>
              <w:keepNext/>
              <w:keepLines/>
              <w:spacing w:after="40"/>
              <w:jc w:val="center"/>
              <w:rPr>
                <w:rFonts w:cs="Tahoma"/>
              </w:rPr>
            </w:pPr>
            <w:r w:rsidRPr="006C1218">
              <w:rPr>
                <w:rFonts w:cs="Tahoma"/>
              </w:rPr>
              <w:t>0.143261</w:t>
            </w:r>
          </w:p>
        </w:tc>
      </w:tr>
      <w:tr w:rsidR="00BA6645" w:rsidRPr="006C1218" w14:paraId="0252B2D8" w14:textId="77777777" w:rsidTr="00BA6645">
        <w:tc>
          <w:tcPr>
            <w:tcW w:w="4043" w:type="dxa"/>
          </w:tcPr>
          <w:p w14:paraId="770C5FDE" w14:textId="77777777" w:rsidR="00BA6645" w:rsidRPr="006C1218" w:rsidRDefault="00BA6645" w:rsidP="00BA6645">
            <w:pPr>
              <w:keepNext/>
              <w:keepLines/>
              <w:spacing w:after="40"/>
              <w:jc w:val="both"/>
              <w:rPr>
                <w:rFonts w:cs="Tahoma"/>
                <w:b/>
              </w:rPr>
            </w:pPr>
            <w:r w:rsidRPr="006C1218">
              <w:rPr>
                <w:rFonts w:cs="Tahoma"/>
                <w:b/>
              </w:rPr>
              <w:t>ICER ($/QALY)</w:t>
            </w:r>
          </w:p>
        </w:tc>
        <w:tc>
          <w:tcPr>
            <w:tcW w:w="1347" w:type="dxa"/>
          </w:tcPr>
          <w:p w14:paraId="30C6C1EF" w14:textId="77777777" w:rsidR="00BA6645" w:rsidRPr="006C1218" w:rsidRDefault="00BA6645" w:rsidP="00BA6645">
            <w:pPr>
              <w:keepNext/>
              <w:keepLines/>
              <w:spacing w:after="40"/>
              <w:jc w:val="center"/>
              <w:rPr>
                <w:rFonts w:cs="Tahoma"/>
              </w:rPr>
            </w:pPr>
          </w:p>
        </w:tc>
        <w:tc>
          <w:tcPr>
            <w:tcW w:w="1348" w:type="dxa"/>
          </w:tcPr>
          <w:p w14:paraId="540AB215" w14:textId="77777777" w:rsidR="00BA6645" w:rsidRPr="006C1218" w:rsidRDefault="00BA6645" w:rsidP="00BA6645">
            <w:pPr>
              <w:keepNext/>
              <w:keepLines/>
              <w:spacing w:after="40"/>
              <w:jc w:val="center"/>
              <w:rPr>
                <w:rFonts w:cs="Tahoma"/>
              </w:rPr>
            </w:pPr>
          </w:p>
        </w:tc>
        <w:tc>
          <w:tcPr>
            <w:tcW w:w="1694" w:type="dxa"/>
          </w:tcPr>
          <w:p w14:paraId="395EBBAD" w14:textId="77777777" w:rsidR="00BA6645" w:rsidRPr="006C1218" w:rsidRDefault="00BA6645" w:rsidP="00BA6645">
            <w:pPr>
              <w:keepNext/>
              <w:keepLines/>
              <w:spacing w:after="40"/>
              <w:jc w:val="center"/>
              <w:rPr>
                <w:rFonts w:cs="Tahoma"/>
                <w:b/>
              </w:rPr>
            </w:pPr>
            <w:r w:rsidRPr="006C1218">
              <w:rPr>
                <w:rFonts w:cs="Tahoma"/>
                <w:b/>
              </w:rPr>
              <w:t>$45,776</w:t>
            </w:r>
          </w:p>
        </w:tc>
      </w:tr>
    </w:tbl>
    <w:p w14:paraId="39A3B786" w14:textId="77777777" w:rsidR="00BA6645" w:rsidRDefault="00BA6645" w:rsidP="00BA6645">
      <w:pPr>
        <w:spacing w:after="360" w:line="259" w:lineRule="auto"/>
        <w:contextualSpacing/>
        <w:jc w:val="both"/>
        <w:rPr>
          <w:rFonts w:ascii="Arial Narrow" w:eastAsia="Calibri" w:hAnsi="Arial Narrow" w:cs="Arial"/>
          <w:sz w:val="18"/>
          <w:szCs w:val="22"/>
          <w:lang w:eastAsia="en-US"/>
        </w:rPr>
      </w:pPr>
      <w:r w:rsidRPr="006C1218">
        <w:rPr>
          <w:rFonts w:ascii="Arial Narrow" w:eastAsia="Calibri" w:hAnsi="Arial Narrow" w:cs="Arial"/>
          <w:sz w:val="18"/>
          <w:szCs w:val="22"/>
          <w:lang w:eastAsia="en-US"/>
        </w:rPr>
        <w:t xml:space="preserve">AE = adverse event; </w:t>
      </w:r>
      <w:proofErr w:type="spellStart"/>
      <w:r w:rsidRPr="006C1218">
        <w:rPr>
          <w:rFonts w:ascii="Arial Narrow" w:eastAsia="Calibri" w:hAnsi="Arial Narrow" w:cs="Arial"/>
          <w:sz w:val="18"/>
          <w:szCs w:val="22"/>
          <w:lang w:eastAsia="en-US"/>
        </w:rPr>
        <w:t>IVIg</w:t>
      </w:r>
      <w:proofErr w:type="spellEnd"/>
      <w:r w:rsidRPr="006C1218">
        <w:rPr>
          <w:rFonts w:ascii="Arial Narrow" w:eastAsia="Calibri" w:hAnsi="Arial Narrow" w:cs="Arial"/>
          <w:sz w:val="18"/>
          <w:szCs w:val="22"/>
          <w:lang w:eastAsia="en-US"/>
        </w:rPr>
        <w:t xml:space="preserve"> = intravenous immunoglobulin; FFP = fresh frozen plasma; PE = plasma exchange; QALY = quality adjusted life years; RCT = randomised controlled trial.</w:t>
      </w:r>
    </w:p>
    <w:p w14:paraId="58C46C38" w14:textId="77777777" w:rsidR="00BA6645" w:rsidRDefault="00BA6645" w:rsidP="000031DC">
      <w:pPr>
        <w:spacing w:after="240" w:line="259" w:lineRule="auto"/>
        <w:jc w:val="both"/>
        <w:rPr>
          <w:rFonts w:ascii="Arial Narrow" w:eastAsia="Calibri" w:hAnsi="Arial Narrow" w:cs="Arial"/>
          <w:sz w:val="18"/>
          <w:szCs w:val="22"/>
          <w:lang w:eastAsia="en-US"/>
        </w:rPr>
      </w:pPr>
      <w:r>
        <w:rPr>
          <w:rFonts w:ascii="Arial Narrow" w:eastAsia="Calibri" w:hAnsi="Arial Narrow" w:cs="Arial"/>
          <w:sz w:val="18"/>
          <w:szCs w:val="22"/>
          <w:lang w:eastAsia="en-US"/>
        </w:rPr>
        <w:t>Source: Contracted Assessment, Table 2</w:t>
      </w:r>
    </w:p>
    <w:p w14:paraId="6E3E76EE" w14:textId="0CB8AB8B" w:rsidR="00BA6645" w:rsidRPr="008A6688" w:rsidRDefault="00BA6645" w:rsidP="000031DC">
      <w:pPr>
        <w:spacing w:before="240"/>
      </w:pPr>
      <w:r w:rsidRPr="007D1918">
        <w:t xml:space="preserve">The overall costs and incremental costs for </w:t>
      </w:r>
      <w:proofErr w:type="spellStart"/>
      <w:r w:rsidRPr="007D1918">
        <w:t>IVIg</w:t>
      </w:r>
      <w:proofErr w:type="spellEnd"/>
      <w:r w:rsidRPr="007D1918">
        <w:t xml:space="preserve"> and PE in the Indication 2 analysis, using the base case assumptions, </w:t>
      </w:r>
      <w:proofErr w:type="gramStart"/>
      <w:r w:rsidRPr="007D1918">
        <w:t>are shown</w:t>
      </w:r>
      <w:proofErr w:type="gramEnd"/>
      <w:r w:rsidRPr="007D1918">
        <w:t xml:space="preserve"> </w:t>
      </w:r>
      <w:r>
        <w:t>below</w:t>
      </w:r>
      <w:r w:rsidRPr="007D1918">
        <w:t>.</w:t>
      </w:r>
      <w:r>
        <w:t xml:space="preserve"> T</w:t>
      </w:r>
      <w:r w:rsidRPr="007D1918">
        <w:t xml:space="preserve">he cost analysis suggests PE may be marginally less expensive than </w:t>
      </w:r>
      <w:proofErr w:type="spellStart"/>
      <w:r w:rsidRPr="007D1918">
        <w:t>IVIg</w:t>
      </w:r>
      <w:proofErr w:type="spellEnd"/>
      <w:r w:rsidRPr="007D1918">
        <w:t xml:space="preserve"> for </w:t>
      </w:r>
      <w:r>
        <w:t>this group of patients</w:t>
      </w:r>
      <w:r w:rsidRPr="007D1918">
        <w:t>; however, the difference is small in the context of the surgery cost.</w:t>
      </w:r>
    </w:p>
    <w:p w14:paraId="6D6585D0" w14:textId="77777777" w:rsidR="00BA6645" w:rsidRPr="00C163D0" w:rsidRDefault="00BA6645" w:rsidP="00C163D0">
      <w:pPr>
        <w:spacing w:before="240"/>
        <w:rPr>
          <w:rFonts w:ascii="Arial Narrow" w:hAnsi="Arial Narrow"/>
          <w:b/>
          <w:sz w:val="20"/>
        </w:rPr>
      </w:pPr>
      <w:bookmarkStart w:id="30" w:name="_Ref14438038"/>
      <w:bookmarkStart w:id="31" w:name="_Toc23769490"/>
      <w:r w:rsidRPr="00C163D0">
        <w:rPr>
          <w:rFonts w:ascii="Arial Narrow" w:hAnsi="Arial Narrow"/>
          <w:b/>
          <w:sz w:val="20"/>
        </w:rPr>
        <w:t xml:space="preserve">Table </w:t>
      </w:r>
      <w:bookmarkEnd w:id="30"/>
      <w:r w:rsidRPr="00C163D0">
        <w:rPr>
          <w:rFonts w:ascii="Arial Narrow" w:hAnsi="Arial Narrow"/>
          <w:b/>
          <w:sz w:val="20"/>
        </w:rPr>
        <w:t xml:space="preserve">12 </w:t>
      </w:r>
      <w:r w:rsidRPr="00C163D0">
        <w:rPr>
          <w:rFonts w:ascii="Arial Narrow" w:hAnsi="Arial Narrow"/>
          <w:b/>
          <w:sz w:val="20"/>
        </w:rPr>
        <w:tab/>
        <w:t>Indication 2: Cost-minimisation analysis</w:t>
      </w:r>
      <w:bookmarkEnd w:id="31"/>
    </w:p>
    <w:tbl>
      <w:tblPr>
        <w:tblStyle w:val="TableGrid2"/>
        <w:tblW w:w="8392" w:type="dxa"/>
        <w:tblInd w:w="108" w:type="dxa"/>
        <w:tblLayout w:type="fixed"/>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4282"/>
        <w:gridCol w:w="1417"/>
        <w:gridCol w:w="1418"/>
        <w:gridCol w:w="1275"/>
      </w:tblGrid>
      <w:tr w:rsidR="00BA6645" w:rsidRPr="007D1918" w14:paraId="7B49F567" w14:textId="77777777" w:rsidTr="00BA6645">
        <w:trPr>
          <w:cnfStyle w:val="100000000000" w:firstRow="1" w:lastRow="0" w:firstColumn="0" w:lastColumn="0" w:oddVBand="0" w:evenVBand="0" w:oddHBand="0" w:evenHBand="0" w:firstRowFirstColumn="0" w:firstRowLastColumn="0" w:lastRowFirstColumn="0" w:lastRowLastColumn="0"/>
          <w:tblHeader/>
        </w:trPr>
        <w:tc>
          <w:tcPr>
            <w:tcW w:w="4282" w:type="dxa"/>
            <w:tcBorders>
              <w:bottom w:val="single" w:sz="4" w:space="0" w:color="auto"/>
            </w:tcBorders>
          </w:tcPr>
          <w:p w14:paraId="6ACB786B" w14:textId="77777777" w:rsidR="00BA6645" w:rsidRPr="007D1918" w:rsidRDefault="00BA6645" w:rsidP="00BA6645">
            <w:pPr>
              <w:keepNext/>
              <w:spacing w:after="40"/>
              <w:jc w:val="both"/>
              <w:rPr>
                <w:b/>
              </w:rPr>
            </w:pPr>
          </w:p>
        </w:tc>
        <w:tc>
          <w:tcPr>
            <w:tcW w:w="1417" w:type="dxa"/>
            <w:tcBorders>
              <w:bottom w:val="single" w:sz="4" w:space="0" w:color="auto"/>
            </w:tcBorders>
          </w:tcPr>
          <w:p w14:paraId="1AD78474" w14:textId="77777777" w:rsidR="00BA6645" w:rsidRPr="007D1918" w:rsidRDefault="00BA6645" w:rsidP="00BA6645">
            <w:pPr>
              <w:keepNext/>
              <w:spacing w:after="40"/>
              <w:jc w:val="center"/>
              <w:rPr>
                <w:b/>
              </w:rPr>
            </w:pPr>
            <w:proofErr w:type="spellStart"/>
            <w:r w:rsidRPr="007D1918">
              <w:rPr>
                <w:b/>
              </w:rPr>
              <w:t>IVIg</w:t>
            </w:r>
            <w:proofErr w:type="spellEnd"/>
          </w:p>
        </w:tc>
        <w:tc>
          <w:tcPr>
            <w:tcW w:w="1418" w:type="dxa"/>
            <w:tcBorders>
              <w:bottom w:val="single" w:sz="4" w:space="0" w:color="auto"/>
            </w:tcBorders>
          </w:tcPr>
          <w:p w14:paraId="5901190D" w14:textId="77777777" w:rsidR="00BA6645" w:rsidRPr="007D1918" w:rsidRDefault="00BA6645" w:rsidP="00BA6645">
            <w:pPr>
              <w:keepNext/>
              <w:spacing w:after="40"/>
              <w:jc w:val="center"/>
              <w:rPr>
                <w:b/>
              </w:rPr>
            </w:pPr>
            <w:r w:rsidRPr="007D1918">
              <w:rPr>
                <w:b/>
              </w:rPr>
              <w:t>PE</w:t>
            </w:r>
          </w:p>
        </w:tc>
        <w:tc>
          <w:tcPr>
            <w:tcW w:w="1275" w:type="dxa"/>
            <w:vMerge w:val="restart"/>
            <w:tcBorders>
              <w:bottom w:val="single" w:sz="4" w:space="0" w:color="auto"/>
            </w:tcBorders>
          </w:tcPr>
          <w:p w14:paraId="1A2AE96F" w14:textId="77777777" w:rsidR="00BA6645" w:rsidRPr="007D1918" w:rsidRDefault="00BA6645" w:rsidP="00BA6645">
            <w:pPr>
              <w:keepNext/>
              <w:spacing w:after="40"/>
              <w:jc w:val="both"/>
              <w:rPr>
                <w:b/>
              </w:rPr>
            </w:pPr>
            <w:r w:rsidRPr="007D1918">
              <w:rPr>
                <w:b/>
              </w:rPr>
              <w:t>Incremental cost</w:t>
            </w:r>
          </w:p>
        </w:tc>
      </w:tr>
      <w:tr w:rsidR="00BA6645" w:rsidRPr="007D1918" w14:paraId="03338003" w14:textId="77777777" w:rsidTr="00BA6645">
        <w:trPr>
          <w:cnfStyle w:val="100000000000" w:firstRow="1" w:lastRow="0" w:firstColumn="0" w:lastColumn="0" w:oddVBand="0" w:evenVBand="0" w:oddHBand="0" w:evenHBand="0" w:firstRowFirstColumn="0" w:firstRowLastColumn="0" w:lastRowFirstColumn="0" w:lastRowLastColumn="0"/>
          <w:tblHeader/>
        </w:trPr>
        <w:tc>
          <w:tcPr>
            <w:tcW w:w="4282" w:type="dxa"/>
            <w:tcBorders>
              <w:bottom w:val="single" w:sz="4" w:space="0" w:color="auto"/>
            </w:tcBorders>
          </w:tcPr>
          <w:p w14:paraId="5F586574" w14:textId="77777777" w:rsidR="00BA6645" w:rsidRPr="007D1918" w:rsidRDefault="00BA6645" w:rsidP="00BA6645">
            <w:pPr>
              <w:keepNext/>
              <w:spacing w:after="40"/>
              <w:jc w:val="both"/>
              <w:rPr>
                <w:b/>
              </w:rPr>
            </w:pPr>
            <w:r w:rsidRPr="007D1918">
              <w:rPr>
                <w:b/>
              </w:rPr>
              <w:t>Resources (disaggregated)</w:t>
            </w:r>
          </w:p>
        </w:tc>
        <w:tc>
          <w:tcPr>
            <w:tcW w:w="1417" w:type="dxa"/>
            <w:tcBorders>
              <w:bottom w:val="single" w:sz="4" w:space="0" w:color="auto"/>
            </w:tcBorders>
          </w:tcPr>
          <w:p w14:paraId="5D3908DA" w14:textId="77777777" w:rsidR="00BA6645" w:rsidRPr="007D1918" w:rsidRDefault="00BA6645" w:rsidP="00BA6645">
            <w:pPr>
              <w:keepNext/>
              <w:spacing w:after="40"/>
              <w:jc w:val="both"/>
            </w:pPr>
            <w:r w:rsidRPr="007D1918">
              <w:t>Total Cost</w:t>
            </w:r>
          </w:p>
        </w:tc>
        <w:tc>
          <w:tcPr>
            <w:tcW w:w="1418" w:type="dxa"/>
            <w:tcBorders>
              <w:bottom w:val="single" w:sz="4" w:space="0" w:color="auto"/>
            </w:tcBorders>
          </w:tcPr>
          <w:p w14:paraId="70157ABE" w14:textId="77777777" w:rsidR="00BA6645" w:rsidRPr="007D1918" w:rsidRDefault="00BA6645" w:rsidP="00BA6645">
            <w:pPr>
              <w:keepNext/>
              <w:spacing w:after="40"/>
              <w:jc w:val="both"/>
              <w:rPr>
                <w:b/>
              </w:rPr>
            </w:pPr>
            <w:r w:rsidRPr="007D1918">
              <w:t>Total Cost</w:t>
            </w:r>
          </w:p>
        </w:tc>
        <w:tc>
          <w:tcPr>
            <w:tcW w:w="1275" w:type="dxa"/>
            <w:vMerge/>
            <w:tcBorders>
              <w:bottom w:val="single" w:sz="4" w:space="0" w:color="auto"/>
            </w:tcBorders>
          </w:tcPr>
          <w:p w14:paraId="0312CC47" w14:textId="77777777" w:rsidR="00BA6645" w:rsidRPr="007D1918" w:rsidRDefault="00BA6645" w:rsidP="00BA6645">
            <w:pPr>
              <w:keepNext/>
              <w:spacing w:after="40"/>
              <w:jc w:val="both"/>
              <w:rPr>
                <w:b/>
              </w:rPr>
            </w:pPr>
          </w:p>
        </w:tc>
      </w:tr>
      <w:tr w:rsidR="00BA6645" w:rsidRPr="007D1918" w14:paraId="0614FB5D" w14:textId="77777777" w:rsidTr="00BA6645">
        <w:tc>
          <w:tcPr>
            <w:tcW w:w="4282" w:type="dxa"/>
          </w:tcPr>
          <w:p w14:paraId="69C299C1" w14:textId="77777777" w:rsidR="00BA6645" w:rsidRPr="007D1918" w:rsidRDefault="00BA6645" w:rsidP="00BA6645">
            <w:pPr>
              <w:spacing w:after="40"/>
              <w:ind w:left="346" w:hanging="141"/>
              <w:jc w:val="both"/>
            </w:pPr>
            <w:proofErr w:type="spellStart"/>
            <w:r w:rsidRPr="007D1918">
              <w:t>IVIg</w:t>
            </w:r>
            <w:proofErr w:type="spellEnd"/>
            <w:r w:rsidRPr="007D1918">
              <w:t xml:space="preserve"> product (156g)</w:t>
            </w:r>
          </w:p>
        </w:tc>
        <w:tc>
          <w:tcPr>
            <w:tcW w:w="1417" w:type="dxa"/>
            <w:tcBorders>
              <w:top w:val="single" w:sz="4" w:space="0" w:color="auto"/>
              <w:bottom w:val="single" w:sz="4" w:space="0" w:color="auto"/>
            </w:tcBorders>
          </w:tcPr>
          <w:p w14:paraId="69916775" w14:textId="77777777" w:rsidR="00BA6645" w:rsidRPr="007D1918" w:rsidRDefault="00BA6645" w:rsidP="00BA6645">
            <w:pPr>
              <w:spacing w:after="40"/>
              <w:jc w:val="right"/>
            </w:pPr>
            <w:r w:rsidRPr="007D1918">
              <w:t>$9,424</w:t>
            </w:r>
          </w:p>
        </w:tc>
        <w:tc>
          <w:tcPr>
            <w:tcW w:w="1418" w:type="dxa"/>
            <w:tcBorders>
              <w:top w:val="single" w:sz="4" w:space="0" w:color="auto"/>
              <w:bottom w:val="single" w:sz="4" w:space="0" w:color="auto"/>
            </w:tcBorders>
          </w:tcPr>
          <w:p w14:paraId="0A3AF0B6" w14:textId="77777777" w:rsidR="00BA6645" w:rsidRPr="007D1918" w:rsidRDefault="00BA6645" w:rsidP="00BA6645">
            <w:pPr>
              <w:spacing w:after="40"/>
              <w:jc w:val="right"/>
            </w:pPr>
            <w:r w:rsidRPr="007D1918">
              <w:t>$0</w:t>
            </w:r>
          </w:p>
        </w:tc>
        <w:tc>
          <w:tcPr>
            <w:tcW w:w="1275" w:type="dxa"/>
            <w:tcBorders>
              <w:top w:val="single" w:sz="4" w:space="0" w:color="auto"/>
              <w:left w:val="nil"/>
              <w:bottom w:val="single" w:sz="4" w:space="0" w:color="auto"/>
              <w:right w:val="single" w:sz="4" w:space="0" w:color="auto"/>
            </w:tcBorders>
            <w:shd w:val="clear" w:color="auto" w:fill="auto"/>
            <w:vAlign w:val="bottom"/>
          </w:tcPr>
          <w:p w14:paraId="12313D9A" w14:textId="77777777" w:rsidR="00BA6645" w:rsidRPr="007D1918" w:rsidRDefault="00BA6645" w:rsidP="00BA6645">
            <w:pPr>
              <w:spacing w:after="40"/>
              <w:jc w:val="right"/>
            </w:pPr>
            <w:r w:rsidRPr="007D1918">
              <w:t>$9,424</w:t>
            </w:r>
          </w:p>
        </w:tc>
      </w:tr>
      <w:tr w:rsidR="00BA6645" w:rsidRPr="007D1918" w14:paraId="6D514B2A" w14:textId="77777777" w:rsidTr="00BA6645">
        <w:tc>
          <w:tcPr>
            <w:tcW w:w="4282" w:type="dxa"/>
          </w:tcPr>
          <w:p w14:paraId="6DFBDE06" w14:textId="77777777" w:rsidR="00BA6645" w:rsidRPr="007D1918" w:rsidRDefault="00BA6645" w:rsidP="00BA6645">
            <w:pPr>
              <w:spacing w:after="40"/>
              <w:ind w:left="346" w:hanging="141"/>
              <w:jc w:val="both"/>
            </w:pPr>
            <w:r w:rsidRPr="007D1918">
              <w:t>PE replacement fluid (Albumin 4%)</w:t>
            </w:r>
          </w:p>
        </w:tc>
        <w:tc>
          <w:tcPr>
            <w:tcW w:w="1417" w:type="dxa"/>
            <w:tcBorders>
              <w:top w:val="single" w:sz="4" w:space="0" w:color="auto"/>
              <w:bottom w:val="single" w:sz="4" w:space="0" w:color="auto"/>
            </w:tcBorders>
          </w:tcPr>
          <w:p w14:paraId="728171B4" w14:textId="77777777" w:rsidR="00BA6645" w:rsidRPr="007D1918" w:rsidRDefault="00BA6645" w:rsidP="00BA6645">
            <w:pPr>
              <w:spacing w:after="40"/>
              <w:jc w:val="right"/>
            </w:pPr>
            <w:r w:rsidRPr="007D1918">
              <w:t>$0</w:t>
            </w:r>
          </w:p>
        </w:tc>
        <w:tc>
          <w:tcPr>
            <w:tcW w:w="1418" w:type="dxa"/>
            <w:tcBorders>
              <w:top w:val="single" w:sz="4" w:space="0" w:color="auto"/>
              <w:bottom w:val="single" w:sz="4" w:space="0" w:color="auto"/>
            </w:tcBorders>
          </w:tcPr>
          <w:p w14:paraId="6AF40B63" w14:textId="77777777" w:rsidR="00BA6645" w:rsidRPr="007D1918" w:rsidRDefault="00BA6645" w:rsidP="00BA6645">
            <w:pPr>
              <w:spacing w:after="40"/>
              <w:jc w:val="right"/>
            </w:pPr>
            <w:r w:rsidRPr="007D1918">
              <w:t>$685</w:t>
            </w:r>
          </w:p>
        </w:tc>
        <w:tc>
          <w:tcPr>
            <w:tcW w:w="1275" w:type="dxa"/>
            <w:tcBorders>
              <w:top w:val="single" w:sz="4" w:space="0" w:color="auto"/>
              <w:left w:val="nil"/>
              <w:bottom w:val="single" w:sz="4" w:space="0" w:color="auto"/>
              <w:right w:val="single" w:sz="4" w:space="0" w:color="auto"/>
            </w:tcBorders>
            <w:shd w:val="clear" w:color="auto" w:fill="auto"/>
            <w:vAlign w:val="bottom"/>
          </w:tcPr>
          <w:p w14:paraId="2F65BEB1" w14:textId="77777777" w:rsidR="00BA6645" w:rsidRPr="007D1918" w:rsidRDefault="00BA6645" w:rsidP="00BA6645">
            <w:pPr>
              <w:spacing w:after="40"/>
              <w:jc w:val="right"/>
            </w:pPr>
            <w:r w:rsidRPr="007D1918">
              <w:t>-$685</w:t>
            </w:r>
          </w:p>
        </w:tc>
      </w:tr>
      <w:tr w:rsidR="00BA6645" w:rsidRPr="007D1918" w14:paraId="1FFC7E6C" w14:textId="77777777" w:rsidTr="00BA6645">
        <w:tc>
          <w:tcPr>
            <w:tcW w:w="4282" w:type="dxa"/>
          </w:tcPr>
          <w:p w14:paraId="62BD734E" w14:textId="77777777" w:rsidR="00BA6645" w:rsidRPr="007D1918" w:rsidRDefault="00BA6645" w:rsidP="00BA6645">
            <w:pPr>
              <w:spacing w:after="40"/>
              <w:ind w:left="346" w:hanging="141"/>
              <w:jc w:val="both"/>
            </w:pPr>
            <w:r w:rsidRPr="007D1918">
              <w:t xml:space="preserve">All outpatient </w:t>
            </w:r>
            <w:proofErr w:type="spellStart"/>
            <w:r w:rsidRPr="007D1918">
              <w:t>Tx</w:t>
            </w:r>
            <w:proofErr w:type="spellEnd"/>
            <w:r w:rsidRPr="007D1918">
              <w:t xml:space="preserve"> administration costs (pre-admission)</w:t>
            </w:r>
          </w:p>
        </w:tc>
        <w:tc>
          <w:tcPr>
            <w:tcW w:w="1417" w:type="dxa"/>
            <w:tcBorders>
              <w:top w:val="single" w:sz="4" w:space="0" w:color="auto"/>
              <w:bottom w:val="single" w:sz="4" w:space="0" w:color="auto"/>
            </w:tcBorders>
          </w:tcPr>
          <w:p w14:paraId="18FD6AA7" w14:textId="77777777" w:rsidR="00BA6645" w:rsidRPr="007D1918" w:rsidRDefault="00BA6645" w:rsidP="00BA6645">
            <w:pPr>
              <w:spacing w:after="40"/>
              <w:jc w:val="right"/>
            </w:pPr>
            <w:r w:rsidRPr="007D1918">
              <w:t>$922</w:t>
            </w:r>
          </w:p>
        </w:tc>
        <w:tc>
          <w:tcPr>
            <w:tcW w:w="1418" w:type="dxa"/>
            <w:tcBorders>
              <w:top w:val="single" w:sz="4" w:space="0" w:color="auto"/>
              <w:bottom w:val="single" w:sz="4" w:space="0" w:color="auto"/>
            </w:tcBorders>
          </w:tcPr>
          <w:p w14:paraId="4CF1510C" w14:textId="77777777" w:rsidR="00BA6645" w:rsidRPr="007D1918" w:rsidRDefault="00BA6645" w:rsidP="00BA6645">
            <w:pPr>
              <w:spacing w:after="40"/>
              <w:jc w:val="right"/>
            </w:pPr>
            <w:r w:rsidRPr="007D1918">
              <w:t>$7,231</w:t>
            </w:r>
          </w:p>
        </w:tc>
        <w:tc>
          <w:tcPr>
            <w:tcW w:w="1275" w:type="dxa"/>
            <w:tcBorders>
              <w:top w:val="single" w:sz="4" w:space="0" w:color="auto"/>
              <w:left w:val="nil"/>
              <w:bottom w:val="single" w:sz="4" w:space="0" w:color="auto"/>
              <w:right w:val="single" w:sz="4" w:space="0" w:color="auto"/>
            </w:tcBorders>
            <w:shd w:val="clear" w:color="auto" w:fill="auto"/>
            <w:vAlign w:val="bottom"/>
          </w:tcPr>
          <w:p w14:paraId="60BF2508" w14:textId="77777777" w:rsidR="00BA6645" w:rsidRPr="007D1918" w:rsidRDefault="00BA6645" w:rsidP="00BA6645">
            <w:pPr>
              <w:spacing w:after="40"/>
              <w:jc w:val="right"/>
            </w:pPr>
            <w:r w:rsidRPr="007D1918">
              <w:t>-$6,309</w:t>
            </w:r>
          </w:p>
        </w:tc>
      </w:tr>
      <w:tr w:rsidR="00BA6645" w:rsidRPr="007D1918" w14:paraId="68DEFCFC" w14:textId="77777777" w:rsidTr="00BA6645">
        <w:tc>
          <w:tcPr>
            <w:tcW w:w="4282" w:type="dxa"/>
          </w:tcPr>
          <w:p w14:paraId="348AB8E5" w14:textId="77777777" w:rsidR="00BA6645" w:rsidRPr="007D1918" w:rsidRDefault="00BA6645" w:rsidP="00BA6645">
            <w:pPr>
              <w:spacing w:after="40"/>
              <w:ind w:left="346" w:hanging="141"/>
              <w:jc w:val="both"/>
            </w:pPr>
            <w:proofErr w:type="spellStart"/>
            <w:r w:rsidRPr="007D1918">
              <w:t>Thymectomy</w:t>
            </w:r>
            <w:proofErr w:type="spellEnd"/>
            <w:r w:rsidRPr="007D1918">
              <w:t xml:space="preserve"> Operating Theatre </w:t>
            </w:r>
          </w:p>
        </w:tc>
        <w:tc>
          <w:tcPr>
            <w:tcW w:w="1417" w:type="dxa"/>
            <w:tcBorders>
              <w:top w:val="single" w:sz="4" w:space="0" w:color="auto"/>
              <w:bottom w:val="single" w:sz="4" w:space="0" w:color="auto"/>
            </w:tcBorders>
          </w:tcPr>
          <w:p w14:paraId="48E403DB" w14:textId="77777777" w:rsidR="00BA6645" w:rsidRPr="007D1918" w:rsidRDefault="00BA6645" w:rsidP="00BA6645">
            <w:pPr>
              <w:spacing w:after="40"/>
              <w:jc w:val="right"/>
            </w:pPr>
            <w:r w:rsidRPr="007D1918">
              <w:t>$9,393</w:t>
            </w:r>
          </w:p>
        </w:tc>
        <w:tc>
          <w:tcPr>
            <w:tcW w:w="1418" w:type="dxa"/>
            <w:tcBorders>
              <w:top w:val="single" w:sz="4" w:space="0" w:color="auto"/>
              <w:bottom w:val="single" w:sz="4" w:space="0" w:color="auto"/>
            </w:tcBorders>
          </w:tcPr>
          <w:p w14:paraId="6E74BA27" w14:textId="77777777" w:rsidR="00BA6645" w:rsidRPr="007D1918" w:rsidRDefault="00BA6645" w:rsidP="00BA6645">
            <w:pPr>
              <w:spacing w:after="40"/>
              <w:jc w:val="right"/>
            </w:pPr>
            <w:r w:rsidRPr="007D1918">
              <w:t>$11,317</w:t>
            </w:r>
          </w:p>
        </w:tc>
        <w:tc>
          <w:tcPr>
            <w:tcW w:w="1275" w:type="dxa"/>
            <w:tcBorders>
              <w:top w:val="single" w:sz="4" w:space="0" w:color="auto"/>
              <w:left w:val="nil"/>
              <w:bottom w:val="single" w:sz="4" w:space="0" w:color="auto"/>
              <w:right w:val="single" w:sz="4" w:space="0" w:color="auto"/>
            </w:tcBorders>
            <w:shd w:val="clear" w:color="auto" w:fill="auto"/>
            <w:vAlign w:val="bottom"/>
          </w:tcPr>
          <w:p w14:paraId="0F1662F5" w14:textId="77777777" w:rsidR="00BA6645" w:rsidRPr="007D1918" w:rsidRDefault="00BA6645" w:rsidP="00BA6645">
            <w:pPr>
              <w:spacing w:after="40"/>
              <w:jc w:val="right"/>
            </w:pPr>
            <w:r w:rsidRPr="007D1918">
              <w:t>-$1,924</w:t>
            </w:r>
          </w:p>
        </w:tc>
      </w:tr>
      <w:tr w:rsidR="00BA6645" w:rsidRPr="007D1918" w14:paraId="39C54C3B" w14:textId="77777777" w:rsidTr="00BA6645">
        <w:tc>
          <w:tcPr>
            <w:tcW w:w="4282" w:type="dxa"/>
          </w:tcPr>
          <w:p w14:paraId="4D9C414A" w14:textId="77777777" w:rsidR="00BA6645" w:rsidRPr="007D1918" w:rsidRDefault="00BA6645" w:rsidP="00BA6645">
            <w:pPr>
              <w:spacing w:after="40"/>
              <w:ind w:left="346" w:hanging="141"/>
              <w:jc w:val="both"/>
            </w:pPr>
            <w:r w:rsidRPr="007D1918">
              <w:t>Other hospitalisation (for surgery) costs</w:t>
            </w:r>
          </w:p>
        </w:tc>
        <w:tc>
          <w:tcPr>
            <w:tcW w:w="1417" w:type="dxa"/>
            <w:tcBorders>
              <w:top w:val="single" w:sz="4" w:space="0" w:color="auto"/>
              <w:bottom w:val="single" w:sz="4" w:space="0" w:color="auto"/>
            </w:tcBorders>
          </w:tcPr>
          <w:p w14:paraId="7E818361" w14:textId="77777777" w:rsidR="00BA6645" w:rsidRPr="007D1918" w:rsidRDefault="00BA6645" w:rsidP="00BA6645">
            <w:pPr>
              <w:spacing w:after="40"/>
              <w:jc w:val="right"/>
            </w:pPr>
            <w:r w:rsidRPr="007D1918">
              <w:t>$27,518</w:t>
            </w:r>
          </w:p>
        </w:tc>
        <w:tc>
          <w:tcPr>
            <w:tcW w:w="1418" w:type="dxa"/>
            <w:tcBorders>
              <w:top w:val="single" w:sz="4" w:space="0" w:color="auto"/>
              <w:bottom w:val="single" w:sz="4" w:space="0" w:color="auto"/>
            </w:tcBorders>
          </w:tcPr>
          <w:p w14:paraId="499A15BA" w14:textId="77777777" w:rsidR="00BA6645" w:rsidRPr="007D1918" w:rsidRDefault="00BA6645" w:rsidP="00BA6645">
            <w:pPr>
              <w:spacing w:after="40"/>
              <w:jc w:val="right"/>
            </w:pPr>
            <w:r w:rsidRPr="007D1918">
              <w:t>$27,518</w:t>
            </w:r>
          </w:p>
        </w:tc>
        <w:tc>
          <w:tcPr>
            <w:tcW w:w="1275" w:type="dxa"/>
            <w:tcBorders>
              <w:top w:val="single" w:sz="4" w:space="0" w:color="auto"/>
              <w:left w:val="nil"/>
              <w:bottom w:val="single" w:sz="4" w:space="0" w:color="auto"/>
              <w:right w:val="single" w:sz="4" w:space="0" w:color="auto"/>
            </w:tcBorders>
            <w:shd w:val="clear" w:color="auto" w:fill="auto"/>
            <w:vAlign w:val="bottom"/>
          </w:tcPr>
          <w:p w14:paraId="37405338" w14:textId="77777777" w:rsidR="00BA6645" w:rsidRPr="007D1918" w:rsidRDefault="00BA6645" w:rsidP="00BA6645">
            <w:pPr>
              <w:spacing w:after="40"/>
              <w:jc w:val="right"/>
            </w:pPr>
            <w:r w:rsidRPr="007D1918">
              <w:t>$0</w:t>
            </w:r>
          </w:p>
        </w:tc>
      </w:tr>
      <w:tr w:rsidR="00BA6645" w:rsidRPr="007D1918" w14:paraId="57561DD2" w14:textId="77777777" w:rsidTr="00BA6645">
        <w:tc>
          <w:tcPr>
            <w:tcW w:w="4282" w:type="dxa"/>
            <w:tcBorders>
              <w:top w:val="single" w:sz="4" w:space="0" w:color="auto"/>
              <w:bottom w:val="single" w:sz="4" w:space="0" w:color="auto"/>
              <w:right w:val="single" w:sz="4" w:space="0" w:color="auto"/>
            </w:tcBorders>
          </w:tcPr>
          <w:p w14:paraId="610A58CF" w14:textId="77777777" w:rsidR="00BA6645" w:rsidRPr="007D1918" w:rsidRDefault="00BA6645" w:rsidP="00BA6645">
            <w:pPr>
              <w:spacing w:after="40"/>
              <w:rPr>
                <w:b/>
              </w:rPr>
            </w:pPr>
            <w:r w:rsidRPr="007D1918">
              <w:rPr>
                <w:b/>
              </w:rPr>
              <w:t xml:space="preserve">Total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4FDF42F" w14:textId="77777777" w:rsidR="00BA6645" w:rsidRPr="007D1918" w:rsidRDefault="00BA6645" w:rsidP="00BA6645">
            <w:pPr>
              <w:spacing w:after="40"/>
              <w:jc w:val="right"/>
              <w:rPr>
                <w:b/>
              </w:rPr>
            </w:pPr>
            <w:r w:rsidRPr="007D1918">
              <w:rPr>
                <w:b/>
              </w:rPr>
              <w:t>$47,257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D8D99FE" w14:textId="77777777" w:rsidR="00BA6645" w:rsidRPr="007D1918" w:rsidRDefault="00BA6645" w:rsidP="00BA6645">
            <w:pPr>
              <w:spacing w:after="40"/>
              <w:jc w:val="right"/>
              <w:rPr>
                <w:b/>
              </w:rPr>
            </w:pPr>
            <w:r w:rsidRPr="007D1918">
              <w:rPr>
                <w:b/>
              </w:rPr>
              <w:t>$46,751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C59AD32" w14:textId="77777777" w:rsidR="00BA6645" w:rsidRPr="007D1918" w:rsidRDefault="00BA6645" w:rsidP="00BA6645">
            <w:pPr>
              <w:spacing w:after="40"/>
              <w:jc w:val="right"/>
              <w:rPr>
                <w:b/>
              </w:rPr>
            </w:pPr>
            <w:r w:rsidRPr="007D1918">
              <w:rPr>
                <w:b/>
              </w:rPr>
              <w:t>$506</w:t>
            </w:r>
          </w:p>
        </w:tc>
      </w:tr>
    </w:tbl>
    <w:p w14:paraId="1DC2E625" w14:textId="77777777" w:rsidR="00BA6645" w:rsidRDefault="00BA6645" w:rsidP="00BA6645">
      <w:pPr>
        <w:pStyle w:val="Tablenotes0"/>
        <w:spacing w:after="360"/>
      </w:pPr>
      <w:proofErr w:type="spellStart"/>
      <w:r w:rsidRPr="007D1918">
        <w:t>IVIg</w:t>
      </w:r>
      <w:proofErr w:type="spellEnd"/>
      <w:r w:rsidRPr="007D1918">
        <w:t xml:space="preserve"> = intravenous immunoglobulin; FFP = fresh frozen plasma; PE = plasma exchange</w:t>
      </w:r>
    </w:p>
    <w:p w14:paraId="5903DFA6" w14:textId="77777777" w:rsidR="00BA6645" w:rsidRDefault="00BA6645" w:rsidP="000031DC">
      <w:pPr>
        <w:pStyle w:val="Tablenotes0"/>
        <w:contextualSpacing w:val="0"/>
      </w:pPr>
      <w:r>
        <w:t>Source: Contracted Assessment, Table 3</w:t>
      </w:r>
    </w:p>
    <w:p w14:paraId="3332590D" w14:textId="726C59BC" w:rsidR="00BA6645" w:rsidRDefault="00BA6645" w:rsidP="000031DC">
      <w:pPr>
        <w:pStyle w:val="Tablenotes0"/>
        <w:spacing w:before="240" w:after="0"/>
        <w:jc w:val="left"/>
        <w:rPr>
          <w:rFonts w:ascii="Times New Roman" w:hAnsi="Times New Roman" w:cs="Times New Roman"/>
          <w:sz w:val="24"/>
          <w:szCs w:val="24"/>
        </w:rPr>
      </w:pPr>
      <w:r w:rsidRPr="008A6688">
        <w:rPr>
          <w:rFonts w:ascii="Times New Roman" w:hAnsi="Times New Roman" w:cs="Times New Roman"/>
          <w:sz w:val="24"/>
          <w:szCs w:val="24"/>
        </w:rPr>
        <w:t xml:space="preserve">The </w:t>
      </w:r>
      <w:r w:rsidR="005E5BF2">
        <w:rPr>
          <w:rFonts w:ascii="Times New Roman" w:hAnsi="Times New Roman" w:cs="Times New Roman"/>
          <w:sz w:val="24"/>
          <w:szCs w:val="24"/>
        </w:rPr>
        <w:t>cost analysis</w:t>
      </w:r>
      <w:r w:rsidRPr="008A6688">
        <w:rPr>
          <w:rFonts w:ascii="Times New Roman" w:hAnsi="Times New Roman" w:cs="Times New Roman"/>
          <w:sz w:val="24"/>
          <w:szCs w:val="24"/>
        </w:rPr>
        <w:t xml:space="preserve"> for </w:t>
      </w:r>
      <w:proofErr w:type="spellStart"/>
      <w:r w:rsidRPr="008A6688">
        <w:rPr>
          <w:rFonts w:ascii="Times New Roman" w:hAnsi="Times New Roman" w:cs="Times New Roman"/>
          <w:sz w:val="24"/>
          <w:szCs w:val="24"/>
        </w:rPr>
        <w:t>IVIg</w:t>
      </w:r>
      <w:proofErr w:type="spellEnd"/>
      <w:r w:rsidRPr="008A6688">
        <w:rPr>
          <w:rFonts w:ascii="Times New Roman" w:hAnsi="Times New Roman" w:cs="Times New Roman"/>
          <w:sz w:val="24"/>
          <w:szCs w:val="24"/>
        </w:rPr>
        <w:t xml:space="preserve"> and PE in Indication 3, using the bas</w:t>
      </w:r>
      <w:r>
        <w:rPr>
          <w:rFonts w:ascii="Times New Roman" w:hAnsi="Times New Roman" w:cs="Times New Roman"/>
          <w:sz w:val="24"/>
          <w:szCs w:val="24"/>
        </w:rPr>
        <w:t xml:space="preserve">e case assumptions, </w:t>
      </w:r>
      <w:proofErr w:type="gramStart"/>
      <w:r>
        <w:rPr>
          <w:rFonts w:ascii="Times New Roman" w:hAnsi="Times New Roman" w:cs="Times New Roman"/>
          <w:sz w:val="24"/>
          <w:szCs w:val="24"/>
        </w:rPr>
        <w:t>are shown</w:t>
      </w:r>
      <w:proofErr w:type="gramEnd"/>
      <w:r>
        <w:rPr>
          <w:rFonts w:ascii="Times New Roman" w:hAnsi="Times New Roman" w:cs="Times New Roman"/>
          <w:sz w:val="24"/>
          <w:szCs w:val="24"/>
        </w:rPr>
        <w:t xml:space="preserve"> below.</w:t>
      </w:r>
    </w:p>
    <w:p w14:paraId="67D379CD" w14:textId="256C70AB" w:rsidR="00BA6645" w:rsidRPr="00C163D0" w:rsidRDefault="00BA6645" w:rsidP="00C163D0">
      <w:pPr>
        <w:spacing w:before="240"/>
        <w:rPr>
          <w:rFonts w:ascii="Arial Narrow" w:hAnsi="Arial Narrow"/>
          <w:b/>
          <w:sz w:val="20"/>
        </w:rPr>
      </w:pPr>
      <w:bookmarkStart w:id="32" w:name="_Ref14438056"/>
      <w:bookmarkStart w:id="33" w:name="_Toc23769491"/>
      <w:r w:rsidRPr="00C163D0">
        <w:rPr>
          <w:rFonts w:ascii="Arial Narrow" w:hAnsi="Arial Narrow"/>
          <w:b/>
          <w:sz w:val="20"/>
        </w:rPr>
        <w:t xml:space="preserve">Table </w:t>
      </w:r>
      <w:bookmarkEnd w:id="32"/>
      <w:r w:rsidRPr="00C163D0">
        <w:rPr>
          <w:rFonts w:ascii="Arial Narrow" w:hAnsi="Arial Narrow"/>
          <w:b/>
          <w:sz w:val="20"/>
        </w:rPr>
        <w:t>13</w:t>
      </w:r>
      <w:r w:rsidR="006E0F91" w:rsidRPr="00C163D0">
        <w:rPr>
          <w:rFonts w:ascii="Arial Narrow" w:hAnsi="Arial Narrow"/>
          <w:b/>
          <w:sz w:val="20"/>
        </w:rPr>
        <w:tab/>
      </w:r>
      <w:r w:rsidRPr="00C163D0">
        <w:rPr>
          <w:rFonts w:ascii="Arial Narrow" w:hAnsi="Arial Narrow"/>
          <w:b/>
          <w:sz w:val="20"/>
        </w:rPr>
        <w:t>Indication 3: Cost analysis over varying time horizons, discounted at 5% pa</w:t>
      </w:r>
      <w:bookmarkEnd w:id="33"/>
    </w:p>
    <w:tbl>
      <w:tblPr>
        <w:tblStyle w:val="TableGrid2"/>
        <w:tblW w:w="8818" w:type="dxa"/>
        <w:tblInd w:w="108" w:type="dxa"/>
        <w:tblLayout w:type="fixed"/>
        <w:tblLook w:val="04A0" w:firstRow="1" w:lastRow="0" w:firstColumn="1" w:lastColumn="0" w:noHBand="0" w:noVBand="1"/>
        <w:tblCaption w:val="Table XX"/>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4140"/>
        <w:gridCol w:w="1559"/>
        <w:gridCol w:w="1559"/>
        <w:gridCol w:w="1560"/>
      </w:tblGrid>
      <w:tr w:rsidR="00BA6645" w:rsidRPr="007D1918" w14:paraId="394B6076" w14:textId="77777777" w:rsidTr="00BA6645">
        <w:trPr>
          <w:cnfStyle w:val="100000000000" w:firstRow="1" w:lastRow="0" w:firstColumn="0" w:lastColumn="0" w:oddVBand="0" w:evenVBand="0" w:oddHBand="0" w:evenHBand="0" w:firstRowFirstColumn="0" w:firstRowLastColumn="0" w:lastRowFirstColumn="0" w:lastRowLastColumn="0"/>
          <w:tblHeader/>
        </w:trPr>
        <w:tc>
          <w:tcPr>
            <w:tcW w:w="4140" w:type="dxa"/>
            <w:tcBorders>
              <w:bottom w:val="single" w:sz="4" w:space="0" w:color="auto"/>
            </w:tcBorders>
          </w:tcPr>
          <w:p w14:paraId="36F4952D" w14:textId="77777777" w:rsidR="00BA6645" w:rsidRPr="007D1918" w:rsidRDefault="00BA6645" w:rsidP="00BA6645">
            <w:pPr>
              <w:keepNext/>
              <w:spacing w:after="40"/>
              <w:jc w:val="both"/>
              <w:rPr>
                <w:b/>
              </w:rPr>
            </w:pPr>
          </w:p>
        </w:tc>
        <w:tc>
          <w:tcPr>
            <w:tcW w:w="4678" w:type="dxa"/>
            <w:gridSpan w:val="3"/>
            <w:tcBorders>
              <w:bottom w:val="single" w:sz="4" w:space="0" w:color="auto"/>
            </w:tcBorders>
          </w:tcPr>
          <w:p w14:paraId="600BA1CF" w14:textId="77777777" w:rsidR="00BA6645" w:rsidRPr="007D1918" w:rsidRDefault="00BA6645" w:rsidP="00BA6645">
            <w:pPr>
              <w:keepNext/>
              <w:spacing w:after="40"/>
              <w:jc w:val="both"/>
              <w:rPr>
                <w:b/>
              </w:rPr>
            </w:pPr>
            <w:r w:rsidRPr="007D1918">
              <w:rPr>
                <w:b/>
              </w:rPr>
              <w:t>Total discounted costs over varying time horizons</w:t>
            </w:r>
          </w:p>
        </w:tc>
      </w:tr>
      <w:tr w:rsidR="00BA6645" w:rsidRPr="007D1918" w14:paraId="0814EDE5" w14:textId="77777777" w:rsidTr="00BA6645">
        <w:trPr>
          <w:cnfStyle w:val="100000000000" w:firstRow="1" w:lastRow="0" w:firstColumn="0" w:lastColumn="0" w:oddVBand="0" w:evenVBand="0" w:oddHBand="0" w:evenHBand="0" w:firstRowFirstColumn="0" w:firstRowLastColumn="0" w:lastRowFirstColumn="0" w:lastRowLastColumn="0"/>
          <w:tblHeader/>
        </w:trPr>
        <w:tc>
          <w:tcPr>
            <w:tcW w:w="4140" w:type="dxa"/>
            <w:tcBorders>
              <w:bottom w:val="single" w:sz="4" w:space="0" w:color="auto"/>
            </w:tcBorders>
          </w:tcPr>
          <w:p w14:paraId="1BC055AD" w14:textId="77777777" w:rsidR="00BA6645" w:rsidRPr="007D1918" w:rsidRDefault="00BA6645" w:rsidP="00BA6645">
            <w:pPr>
              <w:keepNext/>
              <w:spacing w:after="40"/>
              <w:jc w:val="both"/>
              <w:rPr>
                <w:b/>
              </w:rPr>
            </w:pPr>
          </w:p>
        </w:tc>
        <w:tc>
          <w:tcPr>
            <w:tcW w:w="1559" w:type="dxa"/>
            <w:tcBorders>
              <w:bottom w:val="single" w:sz="4" w:space="0" w:color="auto"/>
            </w:tcBorders>
          </w:tcPr>
          <w:p w14:paraId="3CA39A46" w14:textId="77777777" w:rsidR="00BA6645" w:rsidRPr="007D1918" w:rsidRDefault="00BA6645" w:rsidP="00BA6645">
            <w:pPr>
              <w:keepNext/>
              <w:spacing w:after="40"/>
              <w:jc w:val="center"/>
              <w:rPr>
                <w:b/>
              </w:rPr>
            </w:pPr>
            <w:r w:rsidRPr="007D1918">
              <w:rPr>
                <w:b/>
              </w:rPr>
              <w:t>1 year</w:t>
            </w:r>
          </w:p>
        </w:tc>
        <w:tc>
          <w:tcPr>
            <w:tcW w:w="1559" w:type="dxa"/>
            <w:tcBorders>
              <w:bottom w:val="single" w:sz="4" w:space="0" w:color="auto"/>
            </w:tcBorders>
          </w:tcPr>
          <w:p w14:paraId="6B6253C2" w14:textId="77777777" w:rsidR="00BA6645" w:rsidRPr="007D1918" w:rsidRDefault="00BA6645" w:rsidP="00BA6645">
            <w:pPr>
              <w:keepNext/>
              <w:spacing w:after="40"/>
              <w:jc w:val="center"/>
              <w:rPr>
                <w:b/>
              </w:rPr>
            </w:pPr>
            <w:r w:rsidRPr="007D1918">
              <w:rPr>
                <w:b/>
              </w:rPr>
              <w:t>5 years</w:t>
            </w:r>
          </w:p>
        </w:tc>
        <w:tc>
          <w:tcPr>
            <w:tcW w:w="1560" w:type="dxa"/>
            <w:tcBorders>
              <w:bottom w:val="single" w:sz="4" w:space="0" w:color="auto"/>
            </w:tcBorders>
          </w:tcPr>
          <w:p w14:paraId="36341BA2" w14:textId="77777777" w:rsidR="00BA6645" w:rsidRPr="007D1918" w:rsidRDefault="00BA6645" w:rsidP="00BA6645">
            <w:pPr>
              <w:keepNext/>
              <w:spacing w:after="40"/>
              <w:jc w:val="center"/>
              <w:rPr>
                <w:b/>
              </w:rPr>
            </w:pPr>
            <w:r w:rsidRPr="007D1918">
              <w:rPr>
                <w:b/>
              </w:rPr>
              <w:t>10 years</w:t>
            </w:r>
          </w:p>
        </w:tc>
      </w:tr>
      <w:tr w:rsidR="00BA6645" w:rsidRPr="007D1918" w14:paraId="4A7B921D" w14:textId="77777777" w:rsidTr="00BA6645">
        <w:tc>
          <w:tcPr>
            <w:tcW w:w="4140" w:type="dxa"/>
          </w:tcPr>
          <w:p w14:paraId="25F72E14" w14:textId="77777777" w:rsidR="00BA6645" w:rsidRPr="007D1918" w:rsidRDefault="00BA6645" w:rsidP="00BA6645">
            <w:pPr>
              <w:spacing w:after="40"/>
              <w:jc w:val="both"/>
              <w:rPr>
                <w:b/>
              </w:rPr>
            </w:pPr>
            <w:proofErr w:type="spellStart"/>
            <w:r w:rsidRPr="007D1918">
              <w:rPr>
                <w:b/>
              </w:rPr>
              <w:t>IVIg</w:t>
            </w:r>
            <w:proofErr w:type="spellEnd"/>
          </w:p>
        </w:tc>
        <w:tc>
          <w:tcPr>
            <w:tcW w:w="1559" w:type="dxa"/>
            <w:shd w:val="clear" w:color="auto" w:fill="auto"/>
          </w:tcPr>
          <w:p w14:paraId="16AF7E79" w14:textId="77777777" w:rsidR="00BA6645" w:rsidRPr="007D1918" w:rsidRDefault="00BA6645" w:rsidP="00BA6645">
            <w:pPr>
              <w:spacing w:after="40"/>
              <w:jc w:val="right"/>
            </w:pPr>
          </w:p>
        </w:tc>
        <w:tc>
          <w:tcPr>
            <w:tcW w:w="1559" w:type="dxa"/>
            <w:shd w:val="clear" w:color="auto" w:fill="auto"/>
          </w:tcPr>
          <w:p w14:paraId="6593AD30" w14:textId="77777777" w:rsidR="00BA6645" w:rsidRPr="007D1918" w:rsidRDefault="00BA6645" w:rsidP="00BA6645">
            <w:pPr>
              <w:spacing w:after="40"/>
              <w:jc w:val="right"/>
            </w:pPr>
          </w:p>
        </w:tc>
        <w:tc>
          <w:tcPr>
            <w:tcW w:w="1560" w:type="dxa"/>
            <w:shd w:val="clear" w:color="auto" w:fill="auto"/>
          </w:tcPr>
          <w:p w14:paraId="6D680458" w14:textId="77777777" w:rsidR="00BA6645" w:rsidRPr="007D1918" w:rsidRDefault="00BA6645" w:rsidP="00BA6645">
            <w:pPr>
              <w:spacing w:after="40"/>
              <w:jc w:val="right"/>
            </w:pPr>
          </w:p>
        </w:tc>
      </w:tr>
      <w:tr w:rsidR="00BA6645" w:rsidRPr="007D1918" w14:paraId="4701302C" w14:textId="77777777" w:rsidTr="00BA6645">
        <w:tc>
          <w:tcPr>
            <w:tcW w:w="4140" w:type="dxa"/>
            <w:tcBorders>
              <w:bottom w:val="single" w:sz="4" w:space="0" w:color="auto"/>
            </w:tcBorders>
          </w:tcPr>
          <w:p w14:paraId="01A13CFA" w14:textId="77777777" w:rsidR="00BA6645" w:rsidRPr="007D1918" w:rsidRDefault="00BA6645" w:rsidP="00BA6645">
            <w:pPr>
              <w:spacing w:after="40"/>
              <w:ind w:left="205"/>
              <w:jc w:val="both"/>
            </w:pPr>
            <w:r w:rsidRPr="007D1918">
              <w:t>NBA data derived average annual dose</w:t>
            </w:r>
          </w:p>
        </w:tc>
        <w:tc>
          <w:tcPr>
            <w:tcW w:w="1559" w:type="dxa"/>
            <w:tcBorders>
              <w:bottom w:val="single" w:sz="4" w:space="0" w:color="auto"/>
            </w:tcBorders>
            <w:shd w:val="clear" w:color="auto" w:fill="auto"/>
          </w:tcPr>
          <w:p w14:paraId="21ACFF84" w14:textId="77777777" w:rsidR="00BA6645" w:rsidRPr="007D1918" w:rsidRDefault="00BA6645" w:rsidP="00BA6645">
            <w:pPr>
              <w:spacing w:after="40"/>
              <w:jc w:val="right"/>
            </w:pPr>
            <w:r w:rsidRPr="007D1918">
              <w:t>$34,516</w:t>
            </w:r>
          </w:p>
        </w:tc>
        <w:tc>
          <w:tcPr>
            <w:tcW w:w="1559" w:type="dxa"/>
            <w:tcBorders>
              <w:bottom w:val="single" w:sz="4" w:space="0" w:color="auto"/>
            </w:tcBorders>
            <w:shd w:val="clear" w:color="auto" w:fill="auto"/>
          </w:tcPr>
          <w:p w14:paraId="04D32361" w14:textId="77777777" w:rsidR="00BA6645" w:rsidRPr="007D1918" w:rsidRDefault="00BA6645" w:rsidP="00BA6645">
            <w:pPr>
              <w:tabs>
                <w:tab w:val="center" w:pos="671"/>
                <w:tab w:val="right" w:pos="1343"/>
              </w:tabs>
              <w:spacing w:after="40"/>
              <w:jc w:val="right"/>
            </w:pPr>
            <w:r w:rsidRPr="007D1918">
              <w:t>$156,164</w:t>
            </w:r>
          </w:p>
        </w:tc>
        <w:tc>
          <w:tcPr>
            <w:tcW w:w="1560" w:type="dxa"/>
            <w:tcBorders>
              <w:bottom w:val="single" w:sz="4" w:space="0" w:color="auto"/>
            </w:tcBorders>
            <w:shd w:val="clear" w:color="auto" w:fill="auto"/>
          </w:tcPr>
          <w:p w14:paraId="3300F69A" w14:textId="77777777" w:rsidR="00BA6645" w:rsidRPr="007D1918" w:rsidRDefault="00BA6645" w:rsidP="00BA6645">
            <w:pPr>
              <w:spacing w:after="40"/>
              <w:jc w:val="right"/>
            </w:pPr>
            <w:r w:rsidRPr="007D1918">
              <w:t>$277,001</w:t>
            </w:r>
          </w:p>
        </w:tc>
      </w:tr>
      <w:tr w:rsidR="00BA6645" w:rsidRPr="007D1918" w14:paraId="1FFB42F7" w14:textId="77777777" w:rsidTr="00BA6645">
        <w:tc>
          <w:tcPr>
            <w:tcW w:w="4140" w:type="dxa"/>
          </w:tcPr>
          <w:p w14:paraId="13A1EF5A" w14:textId="77777777" w:rsidR="00BA6645" w:rsidRPr="007D1918" w:rsidRDefault="00BA6645" w:rsidP="00BA6645">
            <w:pPr>
              <w:spacing w:after="40"/>
              <w:jc w:val="both"/>
              <w:rPr>
                <w:b/>
              </w:rPr>
            </w:pPr>
            <w:r w:rsidRPr="007D1918">
              <w:rPr>
                <w:b/>
              </w:rPr>
              <w:t>PE</w:t>
            </w:r>
          </w:p>
        </w:tc>
        <w:tc>
          <w:tcPr>
            <w:tcW w:w="1559" w:type="dxa"/>
            <w:shd w:val="clear" w:color="auto" w:fill="auto"/>
          </w:tcPr>
          <w:p w14:paraId="466805F1" w14:textId="77777777" w:rsidR="00BA6645" w:rsidRPr="007D1918" w:rsidRDefault="00BA6645" w:rsidP="00BA6645">
            <w:pPr>
              <w:spacing w:after="40"/>
              <w:jc w:val="right"/>
            </w:pPr>
          </w:p>
        </w:tc>
        <w:tc>
          <w:tcPr>
            <w:tcW w:w="1559" w:type="dxa"/>
            <w:shd w:val="clear" w:color="auto" w:fill="auto"/>
          </w:tcPr>
          <w:p w14:paraId="1FB8DBE0" w14:textId="77777777" w:rsidR="00BA6645" w:rsidRPr="007D1918" w:rsidRDefault="00BA6645" w:rsidP="00BA6645">
            <w:pPr>
              <w:spacing w:after="40"/>
              <w:jc w:val="right"/>
            </w:pPr>
          </w:p>
        </w:tc>
        <w:tc>
          <w:tcPr>
            <w:tcW w:w="1560" w:type="dxa"/>
            <w:shd w:val="clear" w:color="auto" w:fill="auto"/>
          </w:tcPr>
          <w:p w14:paraId="11D7D461" w14:textId="77777777" w:rsidR="00BA6645" w:rsidRPr="007D1918" w:rsidRDefault="00BA6645" w:rsidP="00BA6645">
            <w:pPr>
              <w:spacing w:after="40"/>
              <w:jc w:val="right"/>
            </w:pPr>
          </w:p>
        </w:tc>
      </w:tr>
      <w:tr w:rsidR="00BA6645" w:rsidRPr="007D1918" w14:paraId="6BDB199D" w14:textId="77777777" w:rsidTr="00BA6645">
        <w:tc>
          <w:tcPr>
            <w:tcW w:w="4140" w:type="dxa"/>
            <w:tcBorders>
              <w:bottom w:val="single" w:sz="4" w:space="0" w:color="auto"/>
            </w:tcBorders>
          </w:tcPr>
          <w:p w14:paraId="0544BA47" w14:textId="77777777" w:rsidR="00BA6645" w:rsidRPr="007D1918" w:rsidRDefault="00BA6645" w:rsidP="00BA6645">
            <w:pPr>
              <w:spacing w:after="40"/>
              <w:ind w:firstLine="205"/>
              <w:jc w:val="both"/>
            </w:pPr>
            <w:r w:rsidRPr="007D1918">
              <w:t>low intensity (every 4 weeks)</w:t>
            </w:r>
          </w:p>
        </w:tc>
        <w:tc>
          <w:tcPr>
            <w:tcW w:w="1559" w:type="dxa"/>
            <w:tcBorders>
              <w:bottom w:val="single" w:sz="4" w:space="0" w:color="auto"/>
            </w:tcBorders>
            <w:shd w:val="clear" w:color="auto" w:fill="auto"/>
          </w:tcPr>
          <w:p w14:paraId="38AAE047" w14:textId="77777777" w:rsidR="00BA6645" w:rsidRPr="007D1918" w:rsidRDefault="00BA6645" w:rsidP="00BA6645">
            <w:pPr>
              <w:spacing w:after="40"/>
              <w:jc w:val="right"/>
            </w:pPr>
            <w:r w:rsidRPr="007D1918">
              <w:t>$33,362</w:t>
            </w:r>
          </w:p>
        </w:tc>
        <w:tc>
          <w:tcPr>
            <w:tcW w:w="1559" w:type="dxa"/>
            <w:tcBorders>
              <w:bottom w:val="single" w:sz="4" w:space="0" w:color="auto"/>
            </w:tcBorders>
            <w:shd w:val="clear" w:color="auto" w:fill="auto"/>
          </w:tcPr>
          <w:p w14:paraId="0E6ADD43" w14:textId="77777777" w:rsidR="00BA6645" w:rsidRPr="007D1918" w:rsidRDefault="00BA6645" w:rsidP="00BA6645">
            <w:pPr>
              <w:spacing w:after="40"/>
              <w:jc w:val="right"/>
            </w:pPr>
            <w:r w:rsidRPr="007D1918">
              <w:t>$120,554</w:t>
            </w:r>
          </w:p>
        </w:tc>
        <w:tc>
          <w:tcPr>
            <w:tcW w:w="1560" w:type="dxa"/>
            <w:tcBorders>
              <w:bottom w:val="single" w:sz="4" w:space="0" w:color="auto"/>
            </w:tcBorders>
            <w:shd w:val="clear" w:color="auto" w:fill="auto"/>
          </w:tcPr>
          <w:p w14:paraId="34B7022C" w14:textId="77777777" w:rsidR="00BA6645" w:rsidRPr="007D1918" w:rsidRDefault="00BA6645" w:rsidP="00BA6645">
            <w:pPr>
              <w:spacing w:after="40"/>
              <w:jc w:val="right"/>
            </w:pPr>
            <w:r w:rsidRPr="007D1918">
              <w:t>$207,165</w:t>
            </w:r>
          </w:p>
        </w:tc>
      </w:tr>
      <w:tr w:rsidR="00BA6645" w:rsidRPr="007D1918" w14:paraId="521D0906" w14:textId="77777777" w:rsidTr="00BA6645">
        <w:tc>
          <w:tcPr>
            <w:tcW w:w="4140" w:type="dxa"/>
          </w:tcPr>
          <w:p w14:paraId="4F728EC0" w14:textId="77777777" w:rsidR="00BA6645" w:rsidRPr="007D1918" w:rsidRDefault="00BA6645" w:rsidP="00BA6645">
            <w:pPr>
              <w:spacing w:after="40"/>
              <w:ind w:firstLine="205"/>
              <w:jc w:val="both"/>
            </w:pPr>
            <w:r w:rsidRPr="007D1918">
              <w:t>high intensity (every 1 week)</w:t>
            </w:r>
          </w:p>
        </w:tc>
        <w:tc>
          <w:tcPr>
            <w:tcW w:w="1559" w:type="dxa"/>
            <w:shd w:val="clear" w:color="auto" w:fill="auto"/>
          </w:tcPr>
          <w:p w14:paraId="78DB392F" w14:textId="77777777" w:rsidR="00BA6645" w:rsidRPr="007D1918" w:rsidRDefault="00BA6645" w:rsidP="00BA6645">
            <w:pPr>
              <w:spacing w:after="40"/>
              <w:jc w:val="right"/>
            </w:pPr>
            <w:r w:rsidRPr="007D1918">
              <w:t>$100,219</w:t>
            </w:r>
          </w:p>
        </w:tc>
        <w:tc>
          <w:tcPr>
            <w:tcW w:w="1559" w:type="dxa"/>
            <w:shd w:val="clear" w:color="auto" w:fill="auto"/>
          </w:tcPr>
          <w:p w14:paraId="0D2DAD53" w14:textId="77777777" w:rsidR="00BA6645" w:rsidRPr="007D1918" w:rsidRDefault="00BA6645" w:rsidP="00BA6645">
            <w:pPr>
              <w:spacing w:after="40"/>
              <w:jc w:val="right"/>
            </w:pPr>
            <w:r w:rsidRPr="007D1918">
              <w:t>$442,675</w:t>
            </w:r>
          </w:p>
        </w:tc>
        <w:tc>
          <w:tcPr>
            <w:tcW w:w="1560" w:type="dxa"/>
            <w:shd w:val="clear" w:color="auto" w:fill="auto"/>
          </w:tcPr>
          <w:p w14:paraId="2C5EF656" w14:textId="77777777" w:rsidR="00BA6645" w:rsidRPr="007D1918" w:rsidRDefault="00BA6645" w:rsidP="00BA6645">
            <w:pPr>
              <w:spacing w:after="40"/>
              <w:jc w:val="right"/>
            </w:pPr>
            <w:r w:rsidRPr="007D1918">
              <w:t>$782,848</w:t>
            </w:r>
          </w:p>
        </w:tc>
      </w:tr>
      <w:tr w:rsidR="00BA6645" w:rsidRPr="007D1918" w14:paraId="573276FE" w14:textId="77777777" w:rsidTr="00BA6645">
        <w:tc>
          <w:tcPr>
            <w:tcW w:w="4140" w:type="dxa"/>
          </w:tcPr>
          <w:p w14:paraId="3EF00578" w14:textId="77777777" w:rsidR="00BA6645" w:rsidRPr="007D1918" w:rsidRDefault="00BA6645" w:rsidP="00BA6645">
            <w:pPr>
              <w:spacing w:after="40"/>
              <w:jc w:val="both"/>
              <w:rPr>
                <w:b/>
              </w:rPr>
            </w:pPr>
            <w:r w:rsidRPr="007D1918">
              <w:rPr>
                <w:b/>
              </w:rPr>
              <w:t xml:space="preserve">Cost Difference </w:t>
            </w:r>
            <w:proofErr w:type="spellStart"/>
            <w:r w:rsidRPr="007D1918">
              <w:rPr>
                <w:b/>
              </w:rPr>
              <w:t>IVIg</w:t>
            </w:r>
            <w:proofErr w:type="spellEnd"/>
            <w:r w:rsidRPr="007D1918">
              <w:rPr>
                <w:b/>
              </w:rPr>
              <w:t xml:space="preserve"> vs PE</w:t>
            </w:r>
          </w:p>
        </w:tc>
        <w:tc>
          <w:tcPr>
            <w:tcW w:w="1559" w:type="dxa"/>
            <w:shd w:val="clear" w:color="auto" w:fill="auto"/>
          </w:tcPr>
          <w:p w14:paraId="190EA1B7" w14:textId="77777777" w:rsidR="00BA6645" w:rsidRPr="007D1918" w:rsidRDefault="00BA6645" w:rsidP="00BA6645">
            <w:pPr>
              <w:spacing w:after="40"/>
              <w:jc w:val="right"/>
            </w:pPr>
          </w:p>
        </w:tc>
        <w:tc>
          <w:tcPr>
            <w:tcW w:w="1559" w:type="dxa"/>
            <w:shd w:val="clear" w:color="auto" w:fill="auto"/>
          </w:tcPr>
          <w:p w14:paraId="615EAA24" w14:textId="77777777" w:rsidR="00BA6645" w:rsidRPr="007D1918" w:rsidRDefault="00BA6645" w:rsidP="00BA6645">
            <w:pPr>
              <w:spacing w:after="40"/>
              <w:jc w:val="right"/>
            </w:pPr>
          </w:p>
        </w:tc>
        <w:tc>
          <w:tcPr>
            <w:tcW w:w="1560" w:type="dxa"/>
            <w:shd w:val="clear" w:color="auto" w:fill="auto"/>
          </w:tcPr>
          <w:p w14:paraId="07B21DEB" w14:textId="77777777" w:rsidR="00BA6645" w:rsidRPr="007D1918" w:rsidRDefault="00BA6645" w:rsidP="00BA6645">
            <w:pPr>
              <w:spacing w:after="40"/>
              <w:jc w:val="right"/>
            </w:pPr>
          </w:p>
        </w:tc>
      </w:tr>
      <w:tr w:rsidR="00BA6645" w:rsidRPr="007D1918" w14:paraId="5B698AF8" w14:textId="77777777" w:rsidTr="00BA6645">
        <w:tc>
          <w:tcPr>
            <w:tcW w:w="4140" w:type="dxa"/>
            <w:tcBorders>
              <w:bottom w:val="single" w:sz="4" w:space="0" w:color="auto"/>
            </w:tcBorders>
          </w:tcPr>
          <w:p w14:paraId="460BD812" w14:textId="77777777" w:rsidR="00BA6645" w:rsidRPr="007D1918" w:rsidRDefault="00BA6645" w:rsidP="00BA6645">
            <w:pPr>
              <w:pStyle w:val="Tabletext"/>
              <w:ind w:firstLine="205"/>
            </w:pPr>
            <w:proofErr w:type="spellStart"/>
            <w:r w:rsidRPr="007D1918">
              <w:t>IVIg</w:t>
            </w:r>
            <w:proofErr w:type="spellEnd"/>
            <w:r w:rsidRPr="007D1918">
              <w:t xml:space="preserve"> base case – low intensity PE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6D16A9" w14:textId="77777777" w:rsidR="00BA6645" w:rsidRPr="007D1918" w:rsidRDefault="00BA6645" w:rsidP="00BA6645">
            <w:pPr>
              <w:spacing w:after="40"/>
              <w:jc w:val="right"/>
            </w:pPr>
            <w:r w:rsidRPr="007D1918">
              <w:t>$1,154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0B2F5B" w14:textId="77777777" w:rsidR="00BA6645" w:rsidRPr="007D1918" w:rsidRDefault="00BA6645" w:rsidP="00BA6645">
            <w:pPr>
              <w:spacing w:after="40"/>
              <w:jc w:val="right"/>
            </w:pPr>
            <w:r w:rsidRPr="007D1918">
              <w:t>$35,610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324875A" w14:textId="77777777" w:rsidR="00BA6645" w:rsidRPr="007D1918" w:rsidRDefault="00BA6645" w:rsidP="00BA6645">
            <w:pPr>
              <w:spacing w:after="40"/>
              <w:jc w:val="right"/>
            </w:pPr>
            <w:r w:rsidRPr="007D1918">
              <w:t>$69,836</w:t>
            </w:r>
          </w:p>
        </w:tc>
      </w:tr>
      <w:tr w:rsidR="00BA6645" w:rsidRPr="007D1918" w14:paraId="371D37E1" w14:textId="77777777" w:rsidTr="00BA6645">
        <w:tc>
          <w:tcPr>
            <w:tcW w:w="4140" w:type="dxa"/>
            <w:tcBorders>
              <w:top w:val="single" w:sz="4" w:space="0" w:color="auto"/>
              <w:left w:val="single" w:sz="4" w:space="0" w:color="auto"/>
              <w:bottom w:val="single" w:sz="4" w:space="0" w:color="auto"/>
              <w:right w:val="single" w:sz="4" w:space="0" w:color="auto"/>
            </w:tcBorders>
          </w:tcPr>
          <w:p w14:paraId="7B052EEC" w14:textId="77777777" w:rsidR="00BA6645" w:rsidRPr="007D1918" w:rsidRDefault="00BA6645" w:rsidP="00BA6645">
            <w:pPr>
              <w:pStyle w:val="Tabletext"/>
              <w:ind w:firstLine="205"/>
            </w:pPr>
            <w:proofErr w:type="spellStart"/>
            <w:r w:rsidRPr="007D1918">
              <w:t>IVIg</w:t>
            </w:r>
            <w:proofErr w:type="spellEnd"/>
            <w:r w:rsidRPr="007D1918">
              <w:t xml:space="preserve"> base case – high intensity PE</w:t>
            </w:r>
          </w:p>
        </w:tc>
        <w:tc>
          <w:tcPr>
            <w:tcW w:w="155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E603FB" w14:textId="77777777" w:rsidR="00BA6645" w:rsidRPr="007D1918" w:rsidRDefault="00BA6645" w:rsidP="00BA6645">
            <w:pPr>
              <w:spacing w:after="40"/>
              <w:jc w:val="right"/>
            </w:pPr>
            <w:r w:rsidRPr="007D1918">
              <w:t>-$65,703</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336B8E" w14:textId="77777777" w:rsidR="00BA6645" w:rsidRPr="007D1918" w:rsidRDefault="00BA6645" w:rsidP="00BA6645">
            <w:pPr>
              <w:spacing w:after="40"/>
              <w:jc w:val="right"/>
            </w:pPr>
            <w:r w:rsidRPr="007D1918">
              <w:t>-$286,511</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20957" w14:textId="77777777" w:rsidR="00BA6645" w:rsidRPr="007D1918" w:rsidRDefault="00BA6645" w:rsidP="00BA6645">
            <w:pPr>
              <w:spacing w:after="40"/>
              <w:jc w:val="right"/>
            </w:pPr>
            <w:r w:rsidRPr="007D1918">
              <w:t>-$505,847</w:t>
            </w:r>
          </w:p>
        </w:tc>
      </w:tr>
    </w:tbl>
    <w:p w14:paraId="464CADDC" w14:textId="09B13246" w:rsidR="00BA6645" w:rsidRPr="006C1218" w:rsidRDefault="00BA6645" w:rsidP="00BA6645">
      <w:pPr>
        <w:pStyle w:val="Tablenotes0"/>
      </w:pPr>
      <w:proofErr w:type="spellStart"/>
      <w:r w:rsidRPr="007D1918">
        <w:t>IVIg</w:t>
      </w:r>
      <w:proofErr w:type="spellEnd"/>
      <w:r w:rsidRPr="007D1918">
        <w:t xml:space="preserve"> = intravenous immunoglobulin; PE = plasma exchange; NBA = National Blood Authority</w:t>
      </w:r>
      <w:r w:rsidR="00937C39">
        <w:t xml:space="preserve"> </w:t>
      </w:r>
      <w:r>
        <w:t>Source: Contracted Assessment, Table 4</w:t>
      </w:r>
    </w:p>
    <w:p w14:paraId="06B69FAD" w14:textId="77777777" w:rsidR="00BA6645" w:rsidRDefault="00BA6645" w:rsidP="00BA6645">
      <w:pPr>
        <w:tabs>
          <w:tab w:val="left" w:pos="720"/>
          <w:tab w:val="left" w:pos="1140"/>
        </w:tabs>
      </w:pPr>
      <w:r w:rsidRPr="007D1918">
        <w:lastRenderedPageBreak/>
        <w:t xml:space="preserve">Exploratory analysis of ICERs allowing for a sepsis cost and QALY decrement yielded ICERs ranging between ‘dominant’ (in all cases where the comparison is vs high intensity PE or low dose </w:t>
      </w:r>
      <w:proofErr w:type="spellStart"/>
      <w:r w:rsidRPr="007D1918">
        <w:t>IVIg</w:t>
      </w:r>
      <w:proofErr w:type="spellEnd"/>
      <w:r w:rsidRPr="007D1918">
        <w:t xml:space="preserve"> is compared to low dose PE), through to $18 million per QALY</w:t>
      </w:r>
      <w:r>
        <w:t>.</w:t>
      </w:r>
      <w:r w:rsidRPr="008A6688">
        <w:t xml:space="preserve"> </w:t>
      </w:r>
      <w:r>
        <w:t xml:space="preserve">This </w:t>
      </w:r>
      <w:r w:rsidRPr="008A6688">
        <w:t>demonstrates the high sensitivity to relative treatment costs given outcome differences are minimal, and the overall uncertainty in the comparison.</w:t>
      </w:r>
    </w:p>
    <w:p w14:paraId="27185FA7" w14:textId="77777777" w:rsidR="00111108" w:rsidRPr="00F715D1" w:rsidRDefault="00111108" w:rsidP="00111108">
      <w:pPr>
        <w:pStyle w:val="Heading1"/>
      </w:pPr>
      <w:r w:rsidRPr="00F715D1">
        <w:t>Financial/budgetary impacts</w:t>
      </w:r>
    </w:p>
    <w:p w14:paraId="6D1A5F29" w14:textId="77777777" w:rsidR="00BA6645" w:rsidRDefault="00BA6645" w:rsidP="00B20DE6">
      <w:r w:rsidRPr="008B734F">
        <w:t xml:space="preserve">A market-based approach </w:t>
      </w:r>
      <w:proofErr w:type="gramStart"/>
      <w:r w:rsidRPr="008B734F">
        <w:t>was used</w:t>
      </w:r>
      <w:proofErr w:type="gramEnd"/>
      <w:r w:rsidRPr="008B734F">
        <w:t xml:space="preserve"> to estimate the financial implications of Ig in MG, based on current utilisation of Ig products in Australian patients with MG. The base case financial estimates assume a constant cost per gram of Ig of $60.41 over the projected period (2020-2024).</w:t>
      </w:r>
    </w:p>
    <w:p w14:paraId="470DAA49" w14:textId="00838BFD" w:rsidR="00BA6645" w:rsidRDefault="00BA6645" w:rsidP="000031DC">
      <w:pPr>
        <w:spacing w:before="240" w:after="240"/>
      </w:pPr>
      <w:r w:rsidRPr="008B734F">
        <w:t xml:space="preserve">The financial implications associated with funding Ig for MG are summarised in Table </w:t>
      </w:r>
      <w:r>
        <w:t>14</w:t>
      </w:r>
      <w:r w:rsidRPr="008B734F">
        <w:t>.</w:t>
      </w:r>
    </w:p>
    <w:p w14:paraId="31B80E6E" w14:textId="290FB343" w:rsidR="00BA6645" w:rsidRPr="00C163D0" w:rsidRDefault="00BA6645" w:rsidP="00C163D0">
      <w:pPr>
        <w:rPr>
          <w:rFonts w:ascii="Arial Narrow" w:hAnsi="Arial Narrow"/>
          <w:b/>
          <w:sz w:val="20"/>
        </w:rPr>
      </w:pPr>
      <w:bookmarkStart w:id="34" w:name="_Ref13664229"/>
      <w:bookmarkStart w:id="35" w:name="_Toc15561996"/>
      <w:bookmarkStart w:id="36" w:name="_Toc23769584"/>
      <w:r w:rsidRPr="00C163D0">
        <w:rPr>
          <w:rFonts w:ascii="Arial Narrow" w:hAnsi="Arial Narrow"/>
          <w:b/>
          <w:sz w:val="20"/>
        </w:rPr>
        <w:t xml:space="preserve">Table </w:t>
      </w:r>
      <w:bookmarkEnd w:id="34"/>
      <w:r w:rsidRPr="00C163D0">
        <w:rPr>
          <w:rFonts w:ascii="Arial Narrow" w:hAnsi="Arial Narrow"/>
          <w:b/>
          <w:sz w:val="20"/>
        </w:rPr>
        <w:t>14</w:t>
      </w:r>
      <w:r w:rsidRPr="00C163D0">
        <w:rPr>
          <w:rFonts w:ascii="Arial Narrow" w:hAnsi="Arial Narrow"/>
          <w:b/>
          <w:sz w:val="20"/>
        </w:rPr>
        <w:tab/>
        <w:t>Net financial implications to government associated with Ig for MG</w:t>
      </w:r>
      <w:bookmarkEnd w:id="35"/>
      <w:bookmarkEnd w:id="36"/>
    </w:p>
    <w:tbl>
      <w:tblPr>
        <w:tblStyle w:val="TableGrid1"/>
        <w:tblW w:w="5000" w:type="pct"/>
        <w:tblLayout w:type="fixed"/>
        <w:tblLook w:val="04A0" w:firstRow="1" w:lastRow="0" w:firstColumn="1" w:lastColumn="0" w:noHBand="0" w:noVBand="1"/>
        <w:tblCaption w:val="Net financial implications to government associated with Ig for acquired hypogammaglobulinaemia"/>
      </w:tblPr>
      <w:tblGrid>
        <w:gridCol w:w="3259"/>
        <w:gridCol w:w="1152"/>
        <w:gridCol w:w="1152"/>
        <w:gridCol w:w="1152"/>
        <w:gridCol w:w="1152"/>
        <w:gridCol w:w="1149"/>
      </w:tblGrid>
      <w:tr w:rsidR="00BA6645" w:rsidRPr="007D1918" w14:paraId="5D4862AC" w14:textId="77777777" w:rsidTr="00BA6645">
        <w:trPr>
          <w:cnfStyle w:val="100000000000" w:firstRow="1" w:lastRow="0" w:firstColumn="0" w:lastColumn="0" w:oddVBand="0" w:evenVBand="0" w:oddHBand="0" w:evenHBand="0" w:firstRowFirstColumn="0" w:firstRowLastColumn="0" w:lastRowFirstColumn="0" w:lastRowLastColumn="0"/>
          <w:trHeight w:val="300"/>
          <w:tblHeader/>
        </w:trPr>
        <w:tc>
          <w:tcPr>
            <w:tcW w:w="1807" w:type="pct"/>
            <w:tcBorders>
              <w:bottom w:val="single" w:sz="4" w:space="0" w:color="auto"/>
            </w:tcBorders>
            <w:noWrap/>
          </w:tcPr>
          <w:p w14:paraId="7D0E63DB" w14:textId="77777777" w:rsidR="00BA6645" w:rsidRPr="007D1918" w:rsidRDefault="00BA6645" w:rsidP="00BA6645">
            <w:pPr>
              <w:pStyle w:val="TableHeading"/>
              <w:jc w:val="center"/>
            </w:pPr>
          </w:p>
        </w:tc>
        <w:tc>
          <w:tcPr>
            <w:tcW w:w="639" w:type="pct"/>
            <w:tcBorders>
              <w:bottom w:val="single" w:sz="4" w:space="0" w:color="auto"/>
            </w:tcBorders>
            <w:noWrap/>
          </w:tcPr>
          <w:p w14:paraId="2C19B6DB" w14:textId="77777777" w:rsidR="00BA6645" w:rsidRPr="007D1918" w:rsidRDefault="00BA6645" w:rsidP="00BA6645">
            <w:pPr>
              <w:pStyle w:val="TableHeading"/>
              <w:jc w:val="center"/>
            </w:pPr>
            <w:r w:rsidRPr="007D1918">
              <w:t>2019-20</w:t>
            </w:r>
          </w:p>
        </w:tc>
        <w:tc>
          <w:tcPr>
            <w:tcW w:w="639" w:type="pct"/>
            <w:tcBorders>
              <w:bottom w:val="single" w:sz="4" w:space="0" w:color="auto"/>
            </w:tcBorders>
            <w:noWrap/>
          </w:tcPr>
          <w:p w14:paraId="7188B16B" w14:textId="77777777" w:rsidR="00BA6645" w:rsidRPr="007D1918" w:rsidRDefault="00BA6645" w:rsidP="00BA6645">
            <w:pPr>
              <w:pStyle w:val="TableHeading"/>
              <w:jc w:val="center"/>
            </w:pPr>
            <w:r w:rsidRPr="007D1918">
              <w:t>2020-21</w:t>
            </w:r>
          </w:p>
        </w:tc>
        <w:tc>
          <w:tcPr>
            <w:tcW w:w="639" w:type="pct"/>
            <w:tcBorders>
              <w:bottom w:val="single" w:sz="4" w:space="0" w:color="auto"/>
            </w:tcBorders>
            <w:noWrap/>
          </w:tcPr>
          <w:p w14:paraId="240B491D" w14:textId="77777777" w:rsidR="00BA6645" w:rsidRPr="007D1918" w:rsidRDefault="00BA6645" w:rsidP="00BA6645">
            <w:pPr>
              <w:pStyle w:val="TableHeading"/>
              <w:jc w:val="center"/>
              <w:rPr>
                <w:rFonts w:ascii="Times New Roman" w:hAnsi="Times New Roman" w:cs="Times New Roman"/>
              </w:rPr>
            </w:pPr>
            <w:r w:rsidRPr="007D1918">
              <w:t>2021-22</w:t>
            </w:r>
          </w:p>
        </w:tc>
        <w:tc>
          <w:tcPr>
            <w:tcW w:w="639" w:type="pct"/>
            <w:tcBorders>
              <w:bottom w:val="single" w:sz="4" w:space="0" w:color="auto"/>
            </w:tcBorders>
            <w:noWrap/>
          </w:tcPr>
          <w:p w14:paraId="60009F19" w14:textId="77777777" w:rsidR="00BA6645" w:rsidRPr="007D1918" w:rsidRDefault="00BA6645" w:rsidP="00BA6645">
            <w:pPr>
              <w:pStyle w:val="TableHeading"/>
              <w:jc w:val="center"/>
              <w:rPr>
                <w:rFonts w:ascii="Times New Roman" w:hAnsi="Times New Roman" w:cs="Times New Roman"/>
              </w:rPr>
            </w:pPr>
            <w:r w:rsidRPr="007D1918">
              <w:t>2022-23</w:t>
            </w:r>
          </w:p>
        </w:tc>
        <w:tc>
          <w:tcPr>
            <w:tcW w:w="637" w:type="pct"/>
            <w:tcBorders>
              <w:bottom w:val="single" w:sz="4" w:space="0" w:color="auto"/>
            </w:tcBorders>
            <w:noWrap/>
          </w:tcPr>
          <w:p w14:paraId="12E45974" w14:textId="77777777" w:rsidR="00BA6645" w:rsidRPr="007D1918" w:rsidRDefault="00BA6645" w:rsidP="00BA6645">
            <w:pPr>
              <w:pStyle w:val="TableHeading"/>
              <w:jc w:val="center"/>
              <w:rPr>
                <w:rFonts w:ascii="Times New Roman" w:hAnsi="Times New Roman" w:cs="Times New Roman"/>
              </w:rPr>
            </w:pPr>
            <w:r w:rsidRPr="007D1918">
              <w:t>2023-24</w:t>
            </w:r>
          </w:p>
        </w:tc>
      </w:tr>
      <w:tr w:rsidR="00BA6645" w:rsidRPr="007D1918" w14:paraId="20BB10F5" w14:textId="77777777" w:rsidTr="00BA6645">
        <w:trPr>
          <w:trHeight w:val="300"/>
        </w:trPr>
        <w:tc>
          <w:tcPr>
            <w:tcW w:w="1807" w:type="pct"/>
            <w:tcBorders>
              <w:top w:val="single" w:sz="4" w:space="0" w:color="auto"/>
              <w:bottom w:val="single" w:sz="4" w:space="0" w:color="auto"/>
              <w:right w:val="single" w:sz="4" w:space="0" w:color="auto"/>
            </w:tcBorders>
            <w:noWrap/>
          </w:tcPr>
          <w:p w14:paraId="3CFE4EC8" w14:textId="77777777" w:rsidR="00BA6645" w:rsidRPr="007D1918" w:rsidRDefault="00BA6645" w:rsidP="00BA6645">
            <w:pPr>
              <w:pStyle w:val="TableHeading"/>
              <w:rPr>
                <w:b w:val="0"/>
              </w:rPr>
            </w:pPr>
            <w:bookmarkStart w:id="37" w:name="_Hlk13665069"/>
            <w:r w:rsidRPr="007D1918">
              <w:rPr>
                <w:b w:val="0"/>
              </w:rPr>
              <w:t>Total cost of Ig</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11086" w14:textId="77777777" w:rsidR="00BA6645" w:rsidRPr="007D1918" w:rsidRDefault="00BA6645" w:rsidP="00BA6645">
            <w:pPr>
              <w:pStyle w:val="Tabletext"/>
            </w:pPr>
            <w:r w:rsidRPr="007D1918">
              <w:t>$36,181,120</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838B32" w14:textId="77777777" w:rsidR="00BA6645" w:rsidRPr="007D1918" w:rsidRDefault="00BA6645" w:rsidP="00BA6645">
            <w:pPr>
              <w:pStyle w:val="Tabletext"/>
            </w:pPr>
            <w:r w:rsidRPr="007D1918">
              <w:t>$39,060,321</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7FBE95" w14:textId="77777777" w:rsidR="00BA6645" w:rsidRPr="007D1918" w:rsidRDefault="00BA6645" w:rsidP="00BA6645">
            <w:pPr>
              <w:pStyle w:val="Tabletext"/>
            </w:pPr>
            <w:r w:rsidRPr="007D1918">
              <w:t>$41,939,401</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BF1434" w14:textId="77777777" w:rsidR="00BA6645" w:rsidRPr="007D1918" w:rsidRDefault="00BA6645" w:rsidP="00BA6645">
            <w:pPr>
              <w:pStyle w:val="Tabletext"/>
            </w:pPr>
            <w:r w:rsidRPr="007D1918">
              <w:t>$44,818,602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76B999" w14:textId="77777777" w:rsidR="00BA6645" w:rsidRPr="007D1918" w:rsidRDefault="00BA6645" w:rsidP="00BA6645">
            <w:pPr>
              <w:pStyle w:val="Tabletext"/>
            </w:pPr>
            <w:r w:rsidRPr="007D1918">
              <w:t>$47,697,742</w:t>
            </w:r>
          </w:p>
        </w:tc>
      </w:tr>
      <w:tr w:rsidR="00BA6645" w:rsidRPr="007D1918" w14:paraId="2FD5BA9D" w14:textId="77777777" w:rsidTr="00BA6645">
        <w:trPr>
          <w:trHeight w:val="300"/>
        </w:trPr>
        <w:tc>
          <w:tcPr>
            <w:tcW w:w="1807" w:type="pct"/>
            <w:tcBorders>
              <w:top w:val="single" w:sz="4" w:space="0" w:color="auto"/>
              <w:bottom w:val="single" w:sz="4" w:space="0" w:color="auto"/>
              <w:right w:val="single" w:sz="4" w:space="0" w:color="auto"/>
            </w:tcBorders>
            <w:noWrap/>
          </w:tcPr>
          <w:p w14:paraId="43864079" w14:textId="77777777" w:rsidR="00BA6645" w:rsidRPr="007D1918" w:rsidRDefault="00BA6645" w:rsidP="00BA6645">
            <w:pPr>
              <w:pStyle w:val="TableHeading"/>
              <w:rPr>
                <w:b w:val="0"/>
              </w:rPr>
            </w:pPr>
            <w:r w:rsidRPr="007D1918">
              <w:rPr>
                <w:b w:val="0"/>
              </w:rPr>
              <w:t>Cost of Ig to the Commonwealth</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644803" w14:textId="77777777" w:rsidR="00BA6645" w:rsidRPr="007D1918" w:rsidRDefault="00BA6645" w:rsidP="00BA6645">
            <w:pPr>
              <w:pStyle w:val="Tabletext"/>
            </w:pPr>
            <w:r w:rsidRPr="007D1918">
              <w:t>$22,794,105</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B5DB3" w14:textId="77777777" w:rsidR="00BA6645" w:rsidRPr="007D1918" w:rsidRDefault="00BA6645" w:rsidP="00BA6645">
            <w:pPr>
              <w:pStyle w:val="Tabletext"/>
            </w:pPr>
            <w:r w:rsidRPr="007D1918">
              <w:t>$24,608,002</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6883A" w14:textId="77777777" w:rsidR="00BA6645" w:rsidRPr="007D1918" w:rsidRDefault="00BA6645" w:rsidP="00BA6645">
            <w:pPr>
              <w:pStyle w:val="Tabletext"/>
            </w:pPr>
            <w:r w:rsidRPr="007D1918">
              <w:t>$26,421,823</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94D7A2" w14:textId="77777777" w:rsidR="00BA6645" w:rsidRPr="007D1918" w:rsidRDefault="00BA6645" w:rsidP="00BA6645">
            <w:pPr>
              <w:pStyle w:val="Tabletext"/>
            </w:pPr>
            <w:r w:rsidRPr="007D1918">
              <w:t>$28,235,719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15565" w14:textId="77777777" w:rsidR="00BA6645" w:rsidRPr="007D1918" w:rsidRDefault="00BA6645" w:rsidP="00BA6645">
            <w:pPr>
              <w:pStyle w:val="Tabletext"/>
            </w:pPr>
            <w:r w:rsidRPr="007D1918">
              <w:t>$30,049,578</w:t>
            </w:r>
          </w:p>
        </w:tc>
      </w:tr>
      <w:tr w:rsidR="00BA6645" w:rsidRPr="007D1918" w14:paraId="35E82BCD" w14:textId="77777777" w:rsidTr="00BA6645">
        <w:trPr>
          <w:trHeight w:val="300"/>
        </w:trPr>
        <w:tc>
          <w:tcPr>
            <w:tcW w:w="1807" w:type="pct"/>
            <w:tcBorders>
              <w:top w:val="single" w:sz="4" w:space="0" w:color="auto"/>
              <w:bottom w:val="single" w:sz="4" w:space="0" w:color="auto"/>
              <w:right w:val="single" w:sz="4" w:space="0" w:color="auto"/>
            </w:tcBorders>
            <w:noWrap/>
          </w:tcPr>
          <w:p w14:paraId="3564F858" w14:textId="77777777" w:rsidR="00BA6645" w:rsidRPr="007D1918" w:rsidRDefault="00BA6645" w:rsidP="00BA6645">
            <w:pPr>
              <w:pStyle w:val="TableHeading"/>
              <w:keepNext w:val="0"/>
              <w:rPr>
                <w:b w:val="0"/>
              </w:rPr>
            </w:pPr>
            <w:r w:rsidRPr="007D1918">
              <w:rPr>
                <w:b w:val="0"/>
              </w:rPr>
              <w:t>Cost of Ig to the States</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8239A" w14:textId="77777777" w:rsidR="00BA6645" w:rsidRPr="007D1918" w:rsidRDefault="00BA6645" w:rsidP="00BA6645">
            <w:pPr>
              <w:pStyle w:val="Tabletext"/>
            </w:pPr>
            <w:r w:rsidRPr="007D1918">
              <w:t>$13,387,014</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9AD0C4" w14:textId="77777777" w:rsidR="00BA6645" w:rsidRPr="007D1918" w:rsidRDefault="00BA6645" w:rsidP="00BA6645">
            <w:pPr>
              <w:pStyle w:val="Tabletext"/>
            </w:pPr>
            <w:r w:rsidRPr="007D1918">
              <w:t>$14,452,319</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47D8ED" w14:textId="77777777" w:rsidR="00BA6645" w:rsidRPr="007D1918" w:rsidRDefault="00BA6645" w:rsidP="00BA6645">
            <w:pPr>
              <w:pStyle w:val="Tabletext"/>
            </w:pPr>
            <w:r w:rsidRPr="007D1918">
              <w:t>$15,517,578</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9E141" w14:textId="77777777" w:rsidR="00BA6645" w:rsidRPr="007D1918" w:rsidRDefault="00BA6645" w:rsidP="00BA6645">
            <w:pPr>
              <w:pStyle w:val="Tabletext"/>
            </w:pPr>
            <w:r w:rsidRPr="007D1918">
              <w:t>$16,582,883</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233654" w14:textId="77777777" w:rsidR="00BA6645" w:rsidRPr="007D1918" w:rsidRDefault="00BA6645" w:rsidP="00BA6645">
            <w:pPr>
              <w:pStyle w:val="Tabletext"/>
            </w:pPr>
            <w:r w:rsidRPr="007D1918">
              <w:t>$17,648,165</w:t>
            </w:r>
          </w:p>
        </w:tc>
      </w:tr>
      <w:tr w:rsidR="00BA6645" w:rsidRPr="007D1918" w14:paraId="5DF7E6A6" w14:textId="77777777" w:rsidTr="00BA6645">
        <w:trPr>
          <w:trHeight w:val="300"/>
        </w:trPr>
        <w:tc>
          <w:tcPr>
            <w:tcW w:w="1807" w:type="pct"/>
            <w:tcBorders>
              <w:bottom w:val="single" w:sz="4" w:space="0" w:color="auto"/>
            </w:tcBorders>
            <w:noWrap/>
          </w:tcPr>
          <w:p w14:paraId="26E537E8" w14:textId="77777777" w:rsidR="00BA6645" w:rsidRPr="007D1918" w:rsidRDefault="00BA6645" w:rsidP="00BA6645">
            <w:pPr>
              <w:pStyle w:val="TableHeading"/>
              <w:rPr>
                <w:b w:val="0"/>
              </w:rPr>
            </w:pPr>
            <w:r w:rsidRPr="007D1918">
              <w:rPr>
                <w:b w:val="0"/>
              </w:rPr>
              <w:t>Additional cost to states (administration)</w:t>
            </w:r>
          </w:p>
        </w:tc>
        <w:tc>
          <w:tcPr>
            <w:tcW w:w="63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9E905B" w14:textId="77777777" w:rsidR="00BA6645" w:rsidRPr="007D1918" w:rsidRDefault="00BA6645" w:rsidP="00BA6645">
            <w:pPr>
              <w:pStyle w:val="Tablecontents"/>
            </w:pPr>
            <w:r w:rsidRPr="007D1918">
              <w:t>$5,338,380</w:t>
            </w:r>
          </w:p>
        </w:tc>
        <w:tc>
          <w:tcPr>
            <w:tcW w:w="639" w:type="pct"/>
            <w:tcBorders>
              <w:top w:val="single" w:sz="4" w:space="0" w:color="auto"/>
              <w:left w:val="nil"/>
              <w:bottom w:val="single" w:sz="4" w:space="0" w:color="auto"/>
              <w:right w:val="single" w:sz="4" w:space="0" w:color="auto"/>
            </w:tcBorders>
            <w:shd w:val="clear" w:color="auto" w:fill="FFFFFF" w:themeFill="background1"/>
            <w:noWrap/>
            <w:vAlign w:val="center"/>
          </w:tcPr>
          <w:p w14:paraId="5814BB10" w14:textId="77777777" w:rsidR="00BA6645" w:rsidRPr="007D1918" w:rsidRDefault="00BA6645" w:rsidP="00BA6645">
            <w:pPr>
              <w:pStyle w:val="Tablecontents"/>
            </w:pPr>
            <w:r w:rsidRPr="007D1918">
              <w:t>$5,756,046</w:t>
            </w:r>
          </w:p>
        </w:tc>
        <w:tc>
          <w:tcPr>
            <w:tcW w:w="639" w:type="pct"/>
            <w:tcBorders>
              <w:top w:val="single" w:sz="4" w:space="0" w:color="auto"/>
              <w:left w:val="nil"/>
              <w:bottom w:val="single" w:sz="4" w:space="0" w:color="auto"/>
              <w:right w:val="single" w:sz="4" w:space="0" w:color="auto"/>
            </w:tcBorders>
            <w:shd w:val="clear" w:color="auto" w:fill="FFFFFF" w:themeFill="background1"/>
            <w:noWrap/>
            <w:vAlign w:val="center"/>
          </w:tcPr>
          <w:p w14:paraId="2E594402" w14:textId="77777777" w:rsidR="00BA6645" w:rsidRPr="007D1918" w:rsidRDefault="00BA6645" w:rsidP="00BA6645">
            <w:pPr>
              <w:pStyle w:val="Tablecontents"/>
            </w:pPr>
            <w:r w:rsidRPr="007D1918">
              <w:t>$6,179,705</w:t>
            </w:r>
          </w:p>
        </w:tc>
        <w:tc>
          <w:tcPr>
            <w:tcW w:w="639" w:type="pct"/>
            <w:tcBorders>
              <w:top w:val="single" w:sz="4" w:space="0" w:color="auto"/>
              <w:left w:val="nil"/>
              <w:bottom w:val="single" w:sz="4" w:space="0" w:color="auto"/>
              <w:right w:val="single" w:sz="4" w:space="0" w:color="auto"/>
            </w:tcBorders>
            <w:shd w:val="clear" w:color="auto" w:fill="FFFFFF" w:themeFill="background1"/>
            <w:noWrap/>
            <w:vAlign w:val="center"/>
          </w:tcPr>
          <w:p w14:paraId="3192C97C" w14:textId="77777777" w:rsidR="00BA6645" w:rsidRPr="007D1918" w:rsidRDefault="00BA6645" w:rsidP="00BA6645">
            <w:pPr>
              <w:pStyle w:val="Tablecontents"/>
            </w:pPr>
            <w:r w:rsidRPr="007D1918">
              <w:t>$6,598,293</w:t>
            </w:r>
          </w:p>
        </w:tc>
        <w:tc>
          <w:tcPr>
            <w:tcW w:w="637" w:type="pct"/>
            <w:tcBorders>
              <w:top w:val="single" w:sz="4" w:space="0" w:color="auto"/>
              <w:left w:val="nil"/>
              <w:bottom w:val="single" w:sz="4" w:space="0" w:color="auto"/>
              <w:right w:val="single" w:sz="4" w:space="0" w:color="auto"/>
            </w:tcBorders>
            <w:shd w:val="clear" w:color="auto" w:fill="FFFFFF" w:themeFill="background1"/>
            <w:noWrap/>
            <w:vAlign w:val="center"/>
          </w:tcPr>
          <w:p w14:paraId="67485BD5" w14:textId="77777777" w:rsidR="00BA6645" w:rsidRPr="007D1918" w:rsidRDefault="00BA6645" w:rsidP="00BA6645">
            <w:pPr>
              <w:pStyle w:val="Tablecontents"/>
            </w:pPr>
            <w:r w:rsidRPr="007D1918">
              <w:t>$7,021,952</w:t>
            </w:r>
          </w:p>
        </w:tc>
      </w:tr>
      <w:tr w:rsidR="00BA6645" w:rsidRPr="007D1918" w14:paraId="33B11361" w14:textId="77777777" w:rsidTr="00BA6645">
        <w:trPr>
          <w:trHeight w:val="300"/>
        </w:trPr>
        <w:tc>
          <w:tcPr>
            <w:tcW w:w="1807" w:type="pct"/>
            <w:tcBorders>
              <w:top w:val="single" w:sz="4" w:space="0" w:color="auto"/>
              <w:bottom w:val="single" w:sz="4" w:space="0" w:color="auto"/>
              <w:right w:val="single" w:sz="4" w:space="0" w:color="auto"/>
            </w:tcBorders>
            <w:noWrap/>
          </w:tcPr>
          <w:p w14:paraId="0A585A34" w14:textId="77777777" w:rsidR="00BA6645" w:rsidRPr="007D1918" w:rsidRDefault="00BA6645" w:rsidP="00BA6645">
            <w:pPr>
              <w:pStyle w:val="TableHeading"/>
              <w:rPr>
                <w:b w:val="0"/>
              </w:rPr>
            </w:pPr>
            <w:r w:rsidRPr="007D1918">
              <w:rPr>
                <w:b w:val="0"/>
              </w:rPr>
              <w:t>Total cost offsets due to a reduction in PE</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A8945F1" w14:textId="77777777" w:rsidR="00BA6645" w:rsidRPr="007D1918" w:rsidRDefault="00BA6645" w:rsidP="00BA6645">
            <w:pPr>
              <w:pStyle w:val="Tablecontents"/>
              <w:jc w:val="right"/>
            </w:pPr>
            <w:r w:rsidRPr="007D1918">
              <w:t>$781,695</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F4D3292" w14:textId="77777777" w:rsidR="00BA6645" w:rsidRPr="007D1918" w:rsidRDefault="00BA6645" w:rsidP="00BA6645">
            <w:pPr>
              <w:pStyle w:val="Tablecontents"/>
              <w:jc w:val="right"/>
            </w:pPr>
            <w:r w:rsidRPr="007D1918">
              <w:t>$836,982</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F9A0D57" w14:textId="77777777" w:rsidR="00BA6645" w:rsidRPr="007D1918" w:rsidRDefault="00BA6645" w:rsidP="00BA6645">
            <w:pPr>
              <w:pStyle w:val="Tablecontents"/>
              <w:jc w:val="right"/>
            </w:pPr>
            <w:r w:rsidRPr="007D1918">
              <w:t>$897,993</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3FE97A6" w14:textId="77777777" w:rsidR="00BA6645" w:rsidRPr="007D1918" w:rsidRDefault="00BA6645" w:rsidP="00BA6645">
            <w:pPr>
              <w:pStyle w:val="Tablecontents"/>
              <w:jc w:val="right"/>
            </w:pPr>
            <w:r w:rsidRPr="007D1918">
              <w:t>$961,196</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0C9B5D" w14:textId="77777777" w:rsidR="00BA6645" w:rsidRPr="007D1918" w:rsidRDefault="00BA6645" w:rsidP="00BA6645">
            <w:pPr>
              <w:pStyle w:val="Tablecontents"/>
              <w:jc w:val="right"/>
            </w:pPr>
            <w:r w:rsidRPr="007D1918">
              <w:t>$1,024,399</w:t>
            </w:r>
          </w:p>
        </w:tc>
      </w:tr>
      <w:tr w:rsidR="00BA6645" w:rsidRPr="007D1918" w14:paraId="66384658" w14:textId="77777777" w:rsidTr="00BA6645">
        <w:trPr>
          <w:trHeight w:val="300"/>
        </w:trPr>
        <w:tc>
          <w:tcPr>
            <w:tcW w:w="1807" w:type="pct"/>
            <w:tcBorders>
              <w:top w:val="single" w:sz="4" w:space="0" w:color="auto"/>
              <w:bottom w:val="single" w:sz="4" w:space="0" w:color="auto"/>
              <w:right w:val="single" w:sz="4" w:space="0" w:color="auto"/>
            </w:tcBorders>
            <w:noWrap/>
          </w:tcPr>
          <w:p w14:paraId="2B414CDA" w14:textId="77777777" w:rsidR="00BA6645" w:rsidRPr="007D1918" w:rsidRDefault="00BA6645" w:rsidP="00BA6645">
            <w:pPr>
              <w:pStyle w:val="TableHeading"/>
              <w:rPr>
                <w:b w:val="0"/>
              </w:rPr>
            </w:pPr>
            <w:r w:rsidRPr="007D1918">
              <w:rPr>
                <w:b w:val="0"/>
              </w:rPr>
              <w:t>Offsets to the Commonwealth</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2E0E28" w14:textId="77777777" w:rsidR="00BA6645" w:rsidRPr="007D1918" w:rsidRDefault="00BA6645" w:rsidP="00BA6645">
            <w:pPr>
              <w:pStyle w:val="Tablecontents"/>
              <w:jc w:val="right"/>
            </w:pPr>
            <w:r w:rsidRPr="007D1918">
              <w:t>$323,921</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E1C889" w14:textId="77777777" w:rsidR="00BA6645" w:rsidRPr="007D1918" w:rsidRDefault="00BA6645" w:rsidP="00BA6645">
            <w:pPr>
              <w:pStyle w:val="Tablecontents"/>
              <w:jc w:val="right"/>
            </w:pPr>
            <w:r w:rsidRPr="007D1918">
              <w:t>$349,642</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6E57F" w14:textId="77777777" w:rsidR="00BA6645" w:rsidRPr="007D1918" w:rsidRDefault="00BA6645" w:rsidP="00BA6645">
            <w:pPr>
              <w:pStyle w:val="Tablecontents"/>
              <w:jc w:val="right"/>
            </w:pPr>
            <w:r w:rsidRPr="007D1918">
              <w:t>$374,413</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2F0CAE" w14:textId="77777777" w:rsidR="00BA6645" w:rsidRPr="007D1918" w:rsidRDefault="00BA6645" w:rsidP="00BA6645">
            <w:pPr>
              <w:pStyle w:val="Tablecontents"/>
              <w:jc w:val="right"/>
            </w:pPr>
            <w:r w:rsidRPr="007D1918">
              <w:t>$400,565</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065D5B" w14:textId="77777777" w:rsidR="00BA6645" w:rsidRPr="007D1918" w:rsidRDefault="00BA6645" w:rsidP="00BA6645">
            <w:pPr>
              <w:pStyle w:val="Tablecontents"/>
              <w:jc w:val="right"/>
            </w:pPr>
            <w:r w:rsidRPr="007D1918">
              <w:t>$426,717</w:t>
            </w:r>
          </w:p>
        </w:tc>
      </w:tr>
      <w:tr w:rsidR="00BA6645" w:rsidRPr="007D1918" w14:paraId="257DF0E3" w14:textId="77777777" w:rsidTr="00BA6645">
        <w:trPr>
          <w:trHeight w:val="300"/>
        </w:trPr>
        <w:tc>
          <w:tcPr>
            <w:tcW w:w="1807" w:type="pct"/>
            <w:tcBorders>
              <w:top w:val="single" w:sz="4" w:space="0" w:color="auto"/>
              <w:bottom w:val="single" w:sz="4" w:space="0" w:color="auto"/>
              <w:right w:val="single" w:sz="4" w:space="0" w:color="auto"/>
            </w:tcBorders>
            <w:noWrap/>
          </w:tcPr>
          <w:p w14:paraId="17EF9974" w14:textId="77777777" w:rsidR="00BA6645" w:rsidRPr="007D1918" w:rsidRDefault="00BA6645" w:rsidP="00BA6645">
            <w:pPr>
              <w:pStyle w:val="TableHeading"/>
              <w:keepNext w:val="0"/>
              <w:rPr>
                <w:b w:val="0"/>
              </w:rPr>
            </w:pPr>
            <w:r w:rsidRPr="007D1918">
              <w:rPr>
                <w:b w:val="0"/>
              </w:rPr>
              <w:t>Offsets to the States</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DEB7CD" w14:textId="77777777" w:rsidR="00BA6645" w:rsidRPr="007D1918" w:rsidRDefault="00BA6645" w:rsidP="00BA6645">
            <w:pPr>
              <w:pStyle w:val="Tablecontents"/>
              <w:jc w:val="right"/>
            </w:pPr>
            <w:r w:rsidRPr="007D1918">
              <w:t>$457,774</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3E2A4F" w14:textId="77777777" w:rsidR="00BA6645" w:rsidRPr="007D1918" w:rsidRDefault="00BA6645" w:rsidP="00BA6645">
            <w:pPr>
              <w:pStyle w:val="Tablecontents"/>
              <w:jc w:val="right"/>
            </w:pPr>
            <w:r w:rsidRPr="007D1918">
              <w:t>$487,341</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E9F5B0" w14:textId="77777777" w:rsidR="00BA6645" w:rsidRPr="007D1918" w:rsidRDefault="00BA6645" w:rsidP="00BA6645">
            <w:pPr>
              <w:pStyle w:val="Tablecontents"/>
              <w:jc w:val="right"/>
            </w:pPr>
            <w:r w:rsidRPr="007D1918">
              <w:t>$523,581</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D83245F" w14:textId="77777777" w:rsidR="00BA6645" w:rsidRPr="007D1918" w:rsidRDefault="00BA6645" w:rsidP="00BA6645">
            <w:pPr>
              <w:pStyle w:val="Tablecontents"/>
              <w:jc w:val="right"/>
            </w:pPr>
            <w:r w:rsidRPr="007D1918">
              <w:t>$560,632</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173CA2" w14:textId="77777777" w:rsidR="00BA6645" w:rsidRPr="007D1918" w:rsidRDefault="00BA6645" w:rsidP="00BA6645">
            <w:pPr>
              <w:pStyle w:val="Tablecontents"/>
              <w:jc w:val="right"/>
            </w:pPr>
            <w:r w:rsidRPr="007D1918">
              <w:t>$597,683</w:t>
            </w:r>
          </w:p>
        </w:tc>
      </w:tr>
      <w:bookmarkEnd w:id="37"/>
      <w:tr w:rsidR="00BA6645" w:rsidRPr="007D1918" w14:paraId="6CDDE1FC" w14:textId="77777777" w:rsidTr="00BA6645">
        <w:trPr>
          <w:trHeight w:val="300"/>
        </w:trPr>
        <w:tc>
          <w:tcPr>
            <w:tcW w:w="1807" w:type="pct"/>
            <w:tcBorders>
              <w:top w:val="single" w:sz="4" w:space="0" w:color="auto"/>
              <w:bottom w:val="single" w:sz="4" w:space="0" w:color="auto"/>
              <w:right w:val="single" w:sz="4" w:space="0" w:color="auto"/>
            </w:tcBorders>
            <w:noWrap/>
          </w:tcPr>
          <w:p w14:paraId="6B8F0CBA" w14:textId="77777777" w:rsidR="00BA6645" w:rsidRPr="007D1918" w:rsidRDefault="00BA6645" w:rsidP="00BA6645">
            <w:pPr>
              <w:pStyle w:val="TableHeading"/>
            </w:pPr>
            <w:r w:rsidRPr="007D1918">
              <w:t>Net cost</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E83AB9" w14:textId="77777777" w:rsidR="00BA6645" w:rsidRPr="007D1918" w:rsidRDefault="00BA6645" w:rsidP="00BA6645">
            <w:pPr>
              <w:pStyle w:val="Tablecontents"/>
              <w:jc w:val="right"/>
              <w:rPr>
                <w:b/>
              </w:rPr>
            </w:pPr>
            <w:r w:rsidRPr="007D1918">
              <w:rPr>
                <w:b/>
              </w:rPr>
              <w:t>$40,737,805</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1AE7E" w14:textId="77777777" w:rsidR="00BA6645" w:rsidRPr="007D1918" w:rsidRDefault="00BA6645" w:rsidP="00BA6645">
            <w:pPr>
              <w:pStyle w:val="Tablecontents"/>
              <w:jc w:val="right"/>
              <w:rPr>
                <w:b/>
              </w:rPr>
            </w:pPr>
            <w:r w:rsidRPr="007D1918">
              <w:rPr>
                <w:b/>
              </w:rPr>
              <w:t>$43,979,384</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2FBEBC" w14:textId="77777777" w:rsidR="00BA6645" w:rsidRPr="007D1918" w:rsidRDefault="00BA6645" w:rsidP="00BA6645">
            <w:pPr>
              <w:pStyle w:val="Tablecontents"/>
              <w:jc w:val="right"/>
              <w:rPr>
                <w:b/>
              </w:rPr>
            </w:pPr>
            <w:r w:rsidRPr="007D1918">
              <w:rPr>
                <w:b/>
              </w:rPr>
              <w:t>$47,221,113</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B51D85" w14:textId="77777777" w:rsidR="00BA6645" w:rsidRPr="007D1918" w:rsidRDefault="00BA6645" w:rsidP="00BA6645">
            <w:pPr>
              <w:pStyle w:val="Tablecontents"/>
              <w:jc w:val="right"/>
              <w:rPr>
                <w:b/>
              </w:rPr>
            </w:pPr>
            <w:r w:rsidRPr="007D1918">
              <w:rPr>
                <w:b/>
              </w:rPr>
              <w:t>$50,455,699</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3A4E63" w14:textId="77777777" w:rsidR="00BA6645" w:rsidRPr="007D1918" w:rsidRDefault="00BA6645" w:rsidP="00BA6645">
            <w:pPr>
              <w:pStyle w:val="Tablecontents"/>
              <w:jc w:val="right"/>
              <w:rPr>
                <w:b/>
              </w:rPr>
            </w:pPr>
            <w:r w:rsidRPr="007D1918">
              <w:rPr>
                <w:b/>
              </w:rPr>
              <w:t>$53,695,295</w:t>
            </w:r>
          </w:p>
        </w:tc>
      </w:tr>
      <w:tr w:rsidR="00BA6645" w:rsidRPr="007D1918" w14:paraId="09AC5811" w14:textId="77777777" w:rsidTr="00BA6645">
        <w:trPr>
          <w:trHeight w:val="300"/>
        </w:trPr>
        <w:tc>
          <w:tcPr>
            <w:tcW w:w="1807" w:type="pct"/>
            <w:tcBorders>
              <w:top w:val="single" w:sz="4" w:space="0" w:color="auto"/>
              <w:bottom w:val="single" w:sz="4" w:space="0" w:color="auto"/>
              <w:right w:val="single" w:sz="4" w:space="0" w:color="auto"/>
            </w:tcBorders>
            <w:noWrap/>
          </w:tcPr>
          <w:p w14:paraId="17337F54" w14:textId="77777777" w:rsidR="00BA6645" w:rsidRPr="007D1918" w:rsidRDefault="00BA6645" w:rsidP="00BA6645">
            <w:pPr>
              <w:pStyle w:val="TableHeading"/>
              <w:rPr>
                <w:b w:val="0"/>
              </w:rPr>
            </w:pPr>
            <w:r w:rsidRPr="007D1918">
              <w:rPr>
                <w:b w:val="0"/>
              </w:rPr>
              <w:t>Net cost to the Commonwealth</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A879E1" w14:textId="77777777" w:rsidR="00BA6645" w:rsidRPr="007D1918" w:rsidRDefault="00BA6645" w:rsidP="00BA6645">
            <w:pPr>
              <w:pStyle w:val="Tablecontents"/>
              <w:jc w:val="right"/>
            </w:pPr>
            <w:r w:rsidRPr="007D1918">
              <w:t>$22,470,184</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5887B4" w14:textId="77777777" w:rsidR="00BA6645" w:rsidRPr="007D1918" w:rsidRDefault="00BA6645" w:rsidP="00BA6645">
            <w:pPr>
              <w:pStyle w:val="Tablecontents"/>
              <w:jc w:val="right"/>
            </w:pPr>
            <w:r w:rsidRPr="007D1918">
              <w:t>$24,258,360</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5ACB7F" w14:textId="77777777" w:rsidR="00BA6645" w:rsidRPr="007D1918" w:rsidRDefault="00BA6645" w:rsidP="00BA6645">
            <w:pPr>
              <w:pStyle w:val="Tablecontents"/>
              <w:jc w:val="right"/>
            </w:pPr>
            <w:r w:rsidRPr="007D1918">
              <w:t>$26,047,410</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3DAF70" w14:textId="77777777" w:rsidR="00BA6645" w:rsidRPr="007D1918" w:rsidRDefault="00BA6645" w:rsidP="00BA6645">
            <w:pPr>
              <w:pStyle w:val="Tablecontents"/>
              <w:jc w:val="right"/>
            </w:pPr>
            <w:r w:rsidRPr="007D1918">
              <w:t>$27,835,154</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802F89" w14:textId="77777777" w:rsidR="00BA6645" w:rsidRPr="007D1918" w:rsidRDefault="00BA6645" w:rsidP="00BA6645">
            <w:pPr>
              <w:pStyle w:val="Tablecontents"/>
              <w:jc w:val="right"/>
            </w:pPr>
            <w:r w:rsidRPr="007D1918">
              <w:t>$29,622,861</w:t>
            </w:r>
          </w:p>
        </w:tc>
      </w:tr>
      <w:tr w:rsidR="00BA6645" w:rsidRPr="007D1918" w14:paraId="70BD867F" w14:textId="77777777" w:rsidTr="00BA6645">
        <w:trPr>
          <w:trHeight w:val="300"/>
        </w:trPr>
        <w:tc>
          <w:tcPr>
            <w:tcW w:w="1807" w:type="pct"/>
            <w:tcBorders>
              <w:top w:val="single" w:sz="4" w:space="0" w:color="auto"/>
              <w:bottom w:val="single" w:sz="4" w:space="0" w:color="auto"/>
              <w:right w:val="single" w:sz="4" w:space="0" w:color="auto"/>
            </w:tcBorders>
            <w:noWrap/>
          </w:tcPr>
          <w:p w14:paraId="33BB279E" w14:textId="77777777" w:rsidR="00BA6645" w:rsidRPr="007D1918" w:rsidRDefault="00BA6645" w:rsidP="00BA6645">
            <w:pPr>
              <w:pStyle w:val="TableHeading"/>
              <w:keepNext w:val="0"/>
              <w:rPr>
                <w:b w:val="0"/>
              </w:rPr>
            </w:pPr>
            <w:r w:rsidRPr="007D1918">
              <w:rPr>
                <w:b w:val="0"/>
              </w:rPr>
              <w:t>Net cost to States</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EBAF04" w14:textId="77777777" w:rsidR="00BA6645" w:rsidRPr="007D1918" w:rsidRDefault="00BA6645" w:rsidP="00BA6645">
            <w:pPr>
              <w:pStyle w:val="Tablecontents"/>
              <w:jc w:val="right"/>
            </w:pPr>
            <w:r w:rsidRPr="007D1918">
              <w:t>$18,267,621</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60565" w14:textId="77777777" w:rsidR="00BA6645" w:rsidRPr="007D1918" w:rsidRDefault="00BA6645" w:rsidP="00BA6645">
            <w:pPr>
              <w:pStyle w:val="Tablecontents"/>
              <w:jc w:val="right"/>
            </w:pPr>
            <w:r w:rsidRPr="007D1918">
              <w:t>$19,721,024</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29BE79" w14:textId="77777777" w:rsidR="00BA6645" w:rsidRPr="007D1918" w:rsidRDefault="00BA6645" w:rsidP="00BA6645">
            <w:pPr>
              <w:pStyle w:val="Tablecontents"/>
              <w:jc w:val="right"/>
            </w:pPr>
            <w:r w:rsidRPr="007D1918">
              <w:t>$21,173,703</w:t>
            </w:r>
          </w:p>
        </w:tc>
        <w:tc>
          <w:tcPr>
            <w:tcW w:w="639"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7CE613" w14:textId="77777777" w:rsidR="00BA6645" w:rsidRPr="007D1918" w:rsidRDefault="00BA6645" w:rsidP="00BA6645">
            <w:pPr>
              <w:pStyle w:val="Tablecontents"/>
              <w:jc w:val="right"/>
            </w:pPr>
            <w:r w:rsidRPr="007D1918">
              <w:t>$22,620,544</w:t>
            </w:r>
          </w:p>
        </w:tc>
        <w:tc>
          <w:tcPr>
            <w:tcW w:w="6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9330A1" w14:textId="77777777" w:rsidR="00BA6645" w:rsidRPr="007D1918" w:rsidRDefault="00BA6645" w:rsidP="00BA6645">
            <w:pPr>
              <w:pStyle w:val="Tablecontents"/>
              <w:jc w:val="right"/>
            </w:pPr>
            <w:r w:rsidRPr="007D1918">
              <w:t>$24,072,434</w:t>
            </w:r>
          </w:p>
        </w:tc>
      </w:tr>
    </w:tbl>
    <w:p w14:paraId="31DDB9A3" w14:textId="77777777" w:rsidR="00BA6645" w:rsidRDefault="00BA6645" w:rsidP="00BA6645">
      <w:pPr>
        <w:pStyle w:val="Tablenotes0"/>
      </w:pPr>
      <w:r w:rsidRPr="007D1918">
        <w:t xml:space="preserve">Ig = </w:t>
      </w:r>
      <w:proofErr w:type="spellStart"/>
      <w:r w:rsidRPr="007D1918">
        <w:t>immunogolobulin</w:t>
      </w:r>
      <w:proofErr w:type="spellEnd"/>
      <w:r w:rsidRPr="007D1918">
        <w:t>; PE = plasma exchange</w:t>
      </w:r>
    </w:p>
    <w:p w14:paraId="222773AA" w14:textId="77777777" w:rsidR="00BA6645" w:rsidRPr="007D1918" w:rsidRDefault="00BA6645" w:rsidP="00BA6645">
      <w:pPr>
        <w:pStyle w:val="Tablenotes0"/>
      </w:pPr>
      <w:r>
        <w:t>Source: Contracted Assessment. Table 97</w:t>
      </w:r>
    </w:p>
    <w:p w14:paraId="14D61D28" w14:textId="2BD3D2C6" w:rsidR="00B20DE6" w:rsidRDefault="00BA6645" w:rsidP="00B20DE6">
      <w:pPr>
        <w:rPr>
          <w:szCs w:val="24"/>
        </w:rPr>
      </w:pPr>
      <w:r w:rsidRPr="006C1218">
        <w:rPr>
          <w:szCs w:val="24"/>
        </w:rPr>
        <w:t xml:space="preserve">These estimates do not include likely cost offsets associated with reduced comparator therapy use in Indication 3 </w:t>
      </w:r>
      <w:proofErr w:type="gramStart"/>
      <w:r w:rsidRPr="006C1218">
        <w:rPr>
          <w:szCs w:val="24"/>
        </w:rPr>
        <w:t>patients,</w:t>
      </w:r>
      <w:proofErr w:type="gramEnd"/>
      <w:r w:rsidRPr="006C1218">
        <w:rPr>
          <w:szCs w:val="24"/>
        </w:rPr>
        <w:t xml:space="preserve"> therefore these costs are li</w:t>
      </w:r>
      <w:r>
        <w:rPr>
          <w:szCs w:val="24"/>
        </w:rPr>
        <w:t>kely to overestimate net costs.</w:t>
      </w:r>
      <w:r w:rsidR="00B20DE6">
        <w:rPr>
          <w:szCs w:val="24"/>
        </w:rPr>
        <w:br w:type="page"/>
      </w:r>
    </w:p>
    <w:p w14:paraId="630EF61C" w14:textId="77777777" w:rsidR="00111108" w:rsidRDefault="00111108" w:rsidP="00111108">
      <w:pPr>
        <w:pStyle w:val="Heading1"/>
      </w:pPr>
      <w:r w:rsidRPr="00F715D1">
        <w:lastRenderedPageBreak/>
        <w:t>Key issues from ESC for MSAC</w:t>
      </w:r>
    </w:p>
    <w:p w14:paraId="5004812A" w14:textId="77777777" w:rsidR="000528B8" w:rsidRPr="00C163D0" w:rsidRDefault="000528B8" w:rsidP="00C163D0">
      <w:pPr>
        <w:rPr>
          <w:rFonts w:ascii="Arial Narrow" w:hAnsi="Arial Narrow"/>
          <w:b/>
          <w:sz w:val="20"/>
        </w:rPr>
      </w:pPr>
      <w:r w:rsidRPr="00C163D0">
        <w:rPr>
          <w:rFonts w:ascii="Arial Narrow" w:hAnsi="Arial Narrow"/>
          <w:b/>
          <w:sz w:val="20"/>
        </w:rPr>
        <w:t>Table 15</w:t>
      </w:r>
      <w:r w:rsidRPr="00C163D0">
        <w:rPr>
          <w:rFonts w:ascii="Arial Narrow" w:hAnsi="Arial Narrow"/>
          <w:b/>
          <w:sz w:val="20"/>
        </w:rPr>
        <w:tab/>
        <w:t>Summary of key issues from ESC to MSAC</w:t>
      </w:r>
    </w:p>
    <w:tbl>
      <w:tblPr>
        <w:tblStyle w:val="TableGrid"/>
        <w:tblW w:w="5000" w:type="pct"/>
        <w:tblLook w:val="04A0" w:firstRow="1" w:lastRow="0" w:firstColumn="1" w:lastColumn="0" w:noHBand="0" w:noVBand="1"/>
        <w:tblCaption w:val="Table 15 Summary of key issues from ESC to MSAC"/>
        <w:tblDescription w:val="ESC issues"/>
      </w:tblPr>
      <w:tblGrid>
        <w:gridCol w:w="4508"/>
        <w:gridCol w:w="4508"/>
      </w:tblGrid>
      <w:tr w:rsidR="00BA6645" w14:paraId="58AB7450" w14:textId="77777777" w:rsidTr="00325D65">
        <w:trPr>
          <w:trHeight w:val="523"/>
          <w:tblHeader/>
        </w:trPr>
        <w:tc>
          <w:tcPr>
            <w:tcW w:w="2500" w:type="pct"/>
            <w:vAlign w:val="center"/>
          </w:tcPr>
          <w:p w14:paraId="57DBFECD" w14:textId="77777777" w:rsidR="00BA6645" w:rsidRPr="00740F03" w:rsidRDefault="00BA6645" w:rsidP="00BA6645">
            <w:pPr>
              <w:tabs>
                <w:tab w:val="left" w:pos="2265"/>
                <w:tab w:val="left" w:pos="3420"/>
                <w:tab w:val="left" w:pos="4320"/>
              </w:tabs>
              <w:rPr>
                <w:b/>
                <w:szCs w:val="22"/>
              </w:rPr>
            </w:pPr>
            <w:r w:rsidRPr="00740F03">
              <w:rPr>
                <w:rFonts w:ascii="Arial Narrow" w:hAnsi="Arial Narrow"/>
                <w:b/>
                <w:szCs w:val="22"/>
              </w:rPr>
              <w:t>ESC key issue</w:t>
            </w:r>
          </w:p>
        </w:tc>
        <w:tc>
          <w:tcPr>
            <w:tcW w:w="2500" w:type="pct"/>
            <w:vAlign w:val="center"/>
          </w:tcPr>
          <w:p w14:paraId="2DCAD072" w14:textId="77777777" w:rsidR="00BA6645" w:rsidRPr="00740F03" w:rsidRDefault="00BA6645" w:rsidP="00BA6645">
            <w:pPr>
              <w:tabs>
                <w:tab w:val="left" w:pos="2265"/>
                <w:tab w:val="left" w:pos="3420"/>
                <w:tab w:val="left" w:pos="4320"/>
              </w:tabs>
              <w:rPr>
                <w:b/>
                <w:szCs w:val="22"/>
              </w:rPr>
            </w:pPr>
            <w:r w:rsidRPr="00740F03">
              <w:rPr>
                <w:rFonts w:ascii="Arial Narrow" w:hAnsi="Arial Narrow"/>
                <w:b/>
                <w:szCs w:val="22"/>
              </w:rPr>
              <w:t>ESC advice to MSAC</w:t>
            </w:r>
          </w:p>
        </w:tc>
      </w:tr>
      <w:tr w:rsidR="00BA6645" w14:paraId="16F1F51B" w14:textId="77777777" w:rsidTr="000528B8">
        <w:tc>
          <w:tcPr>
            <w:tcW w:w="2500" w:type="pct"/>
          </w:tcPr>
          <w:p w14:paraId="449A052B" w14:textId="77777777" w:rsidR="00BA6645" w:rsidRDefault="00BA6645" w:rsidP="00BA6645">
            <w:pPr>
              <w:tabs>
                <w:tab w:val="left" w:pos="2265"/>
                <w:tab w:val="left" w:pos="3420"/>
                <w:tab w:val="left" w:pos="4320"/>
              </w:tabs>
              <w:rPr>
                <w:rFonts w:ascii="Arial Narrow" w:hAnsi="Arial Narrow"/>
              </w:rPr>
            </w:pPr>
            <w:r>
              <w:rPr>
                <w:rFonts w:ascii="Arial Narrow" w:hAnsi="Arial Narrow"/>
              </w:rPr>
              <w:t xml:space="preserve">More information </w:t>
            </w:r>
            <w:proofErr w:type="gramStart"/>
            <w:r>
              <w:rPr>
                <w:rFonts w:ascii="Arial Narrow" w:hAnsi="Arial Narrow"/>
              </w:rPr>
              <w:t>is needed</w:t>
            </w:r>
            <w:proofErr w:type="gramEnd"/>
            <w:r>
              <w:rPr>
                <w:rFonts w:ascii="Arial Narrow" w:hAnsi="Arial Narrow"/>
              </w:rPr>
              <w:t xml:space="preserve"> on the type of data collected by </w:t>
            </w:r>
            <w:proofErr w:type="spellStart"/>
            <w:r>
              <w:rPr>
                <w:rFonts w:ascii="Arial Narrow" w:hAnsi="Arial Narrow"/>
              </w:rPr>
              <w:t>BloodSTAR</w:t>
            </w:r>
            <w:proofErr w:type="spellEnd"/>
            <w:r>
              <w:rPr>
                <w:rFonts w:ascii="Arial Narrow" w:hAnsi="Arial Narrow"/>
              </w:rPr>
              <w:t xml:space="preserve"> to determine whether patients qualify for Ig therapy under the indications for Myasthenia Gravis (MG).</w:t>
            </w:r>
          </w:p>
          <w:p w14:paraId="63C50FDF" w14:textId="77777777" w:rsidR="00BA6645" w:rsidRPr="00740F03" w:rsidRDefault="00BA6645" w:rsidP="00BA6645">
            <w:pPr>
              <w:tabs>
                <w:tab w:val="left" w:pos="2265"/>
                <w:tab w:val="left" w:pos="3420"/>
                <w:tab w:val="left" w:pos="4320"/>
              </w:tabs>
              <w:rPr>
                <w:rFonts w:ascii="Arial Narrow" w:hAnsi="Arial Narrow"/>
              </w:rPr>
            </w:pPr>
          </w:p>
        </w:tc>
        <w:tc>
          <w:tcPr>
            <w:tcW w:w="2500" w:type="pct"/>
          </w:tcPr>
          <w:p w14:paraId="19FEC245" w14:textId="687AF9A1" w:rsidR="00BA6645" w:rsidRDefault="00BA6645" w:rsidP="00BA6645">
            <w:pPr>
              <w:tabs>
                <w:tab w:val="left" w:pos="2265"/>
                <w:tab w:val="left" w:pos="3420"/>
                <w:tab w:val="left" w:pos="4320"/>
              </w:tabs>
              <w:rPr>
                <w:rFonts w:ascii="Arial Narrow" w:hAnsi="Arial Narrow"/>
              </w:rPr>
            </w:pPr>
            <w:r>
              <w:rPr>
                <w:rFonts w:ascii="Arial Narrow" w:hAnsi="Arial Narrow"/>
              </w:rPr>
              <w:t>To note tha</w:t>
            </w:r>
            <w:r w:rsidR="00203C79">
              <w:rPr>
                <w:rFonts w:ascii="Arial Narrow" w:hAnsi="Arial Narrow"/>
              </w:rPr>
              <w:t xml:space="preserve">t </w:t>
            </w:r>
            <w:r>
              <w:rPr>
                <w:rFonts w:ascii="Arial Narrow" w:hAnsi="Arial Narrow"/>
              </w:rPr>
              <w:t>indication 3 represents the largest proportion of Ig use in the MG population (estimated 90% of grams used) and this population is much more heterogeneous than the other two indications.</w:t>
            </w:r>
          </w:p>
          <w:p w14:paraId="1A7057D8" w14:textId="6BC2E680" w:rsidR="00BA6645" w:rsidRDefault="00BA6645" w:rsidP="000031DC">
            <w:pPr>
              <w:tabs>
                <w:tab w:val="left" w:pos="2265"/>
                <w:tab w:val="left" w:pos="3420"/>
                <w:tab w:val="left" w:pos="4320"/>
              </w:tabs>
              <w:spacing w:before="240"/>
              <w:rPr>
                <w:rFonts w:ascii="Arial Narrow" w:hAnsi="Arial Narrow"/>
              </w:rPr>
            </w:pPr>
            <w:r>
              <w:rPr>
                <w:rFonts w:ascii="Arial Narrow" w:hAnsi="Arial Narrow"/>
              </w:rPr>
              <w:t xml:space="preserve">ESC considered that although the V3 Criteria is quite specific for this indication, assessment of eligibility relies heavily on clinical judgement. More information </w:t>
            </w:r>
            <w:proofErr w:type="gramStart"/>
            <w:r>
              <w:rPr>
                <w:rFonts w:ascii="Arial Narrow" w:hAnsi="Arial Narrow"/>
              </w:rPr>
              <w:t>is needed</w:t>
            </w:r>
            <w:proofErr w:type="gramEnd"/>
            <w:r>
              <w:rPr>
                <w:rFonts w:ascii="Arial Narrow" w:hAnsi="Arial Narrow"/>
              </w:rPr>
              <w:t xml:space="preserve"> on the type of data collected to determine whether patients qualify for Ig treatment. In particular:</w:t>
            </w:r>
          </w:p>
          <w:p w14:paraId="62E6AF0A" w14:textId="77777777" w:rsidR="00BA6645" w:rsidRDefault="00BA6645" w:rsidP="00BA6645">
            <w:pPr>
              <w:pStyle w:val="ListParagraph"/>
              <w:numPr>
                <w:ilvl w:val="0"/>
                <w:numId w:val="5"/>
              </w:numPr>
              <w:tabs>
                <w:tab w:val="left" w:pos="2265"/>
                <w:tab w:val="left" w:pos="3420"/>
                <w:tab w:val="left" w:pos="4320"/>
              </w:tabs>
              <w:rPr>
                <w:rFonts w:ascii="Arial Narrow" w:hAnsi="Arial Narrow"/>
              </w:rPr>
            </w:pPr>
            <w:r>
              <w:rPr>
                <w:rFonts w:ascii="Arial Narrow" w:hAnsi="Arial Narrow"/>
              </w:rPr>
              <w:t>i</w:t>
            </w:r>
            <w:r w:rsidRPr="005858D9">
              <w:rPr>
                <w:rFonts w:ascii="Arial Narrow" w:hAnsi="Arial Narrow"/>
              </w:rPr>
              <w:t xml:space="preserve">nformation </w:t>
            </w:r>
            <w:r>
              <w:rPr>
                <w:rFonts w:ascii="Arial Narrow" w:hAnsi="Arial Narrow"/>
              </w:rPr>
              <w:t>collected when patients are reviewed leading to a decision to commence, continue or repeat Ig administration</w:t>
            </w:r>
          </w:p>
          <w:p w14:paraId="46D60DF7" w14:textId="77777777" w:rsidR="00BA6645" w:rsidRDefault="00BA6645" w:rsidP="00BA6645">
            <w:pPr>
              <w:pStyle w:val="ListParagraph"/>
              <w:numPr>
                <w:ilvl w:val="0"/>
                <w:numId w:val="5"/>
              </w:numPr>
              <w:tabs>
                <w:tab w:val="left" w:pos="2265"/>
                <w:tab w:val="left" w:pos="3420"/>
                <w:tab w:val="left" w:pos="4320"/>
              </w:tabs>
              <w:rPr>
                <w:rFonts w:ascii="Arial Narrow" w:hAnsi="Arial Narrow"/>
              </w:rPr>
            </w:pPr>
            <w:r>
              <w:rPr>
                <w:rFonts w:ascii="Arial Narrow" w:hAnsi="Arial Narrow"/>
              </w:rPr>
              <w:t>o</w:t>
            </w:r>
            <w:r w:rsidRPr="005858D9">
              <w:rPr>
                <w:rFonts w:ascii="Arial Narrow" w:hAnsi="Arial Narrow"/>
              </w:rPr>
              <w:t>ther therapies</w:t>
            </w:r>
            <w:r>
              <w:rPr>
                <w:rFonts w:ascii="Arial Narrow" w:hAnsi="Arial Narrow"/>
              </w:rPr>
              <w:t xml:space="preserve"> failed/contraindicated, and the order or administration</w:t>
            </w:r>
          </w:p>
          <w:p w14:paraId="3B9A7201" w14:textId="7AC1831A" w:rsidR="00BA6645" w:rsidRPr="000031DC" w:rsidRDefault="00BA6645" w:rsidP="00BA6645">
            <w:pPr>
              <w:pStyle w:val="ListParagraph"/>
              <w:numPr>
                <w:ilvl w:val="0"/>
                <w:numId w:val="5"/>
              </w:numPr>
              <w:tabs>
                <w:tab w:val="left" w:pos="2265"/>
                <w:tab w:val="left" w:pos="3420"/>
                <w:tab w:val="left" w:pos="4320"/>
              </w:tabs>
              <w:rPr>
                <w:rFonts w:ascii="Arial Narrow" w:hAnsi="Arial Narrow"/>
              </w:rPr>
            </w:pPr>
            <w:proofErr w:type="gramStart"/>
            <w:r>
              <w:rPr>
                <w:rFonts w:ascii="Arial Narrow" w:hAnsi="Arial Narrow"/>
              </w:rPr>
              <w:t>the</w:t>
            </w:r>
            <w:proofErr w:type="gramEnd"/>
            <w:r>
              <w:rPr>
                <w:rFonts w:ascii="Arial Narrow" w:hAnsi="Arial Narrow"/>
              </w:rPr>
              <w:t xml:space="preserve"> type/frequency of adverse events in this population.</w:t>
            </w:r>
          </w:p>
          <w:p w14:paraId="2F146C9A" w14:textId="77777777" w:rsidR="00BA6645" w:rsidRDefault="00BA6645" w:rsidP="000031DC">
            <w:pPr>
              <w:tabs>
                <w:tab w:val="left" w:pos="2265"/>
                <w:tab w:val="left" w:pos="3420"/>
                <w:tab w:val="left" w:pos="4320"/>
              </w:tabs>
              <w:spacing w:before="240"/>
              <w:rPr>
                <w:rFonts w:ascii="Arial Narrow" w:hAnsi="Arial Narrow"/>
              </w:rPr>
            </w:pPr>
            <w:r>
              <w:rPr>
                <w:rFonts w:ascii="Arial Narrow" w:hAnsi="Arial Narrow"/>
              </w:rPr>
              <w:t>ESC advised that utilisation data could be useful to inform compliance with the Criteria (what evidence is collected/provided).</w:t>
            </w:r>
          </w:p>
          <w:p w14:paraId="68DD9033" w14:textId="7355A078" w:rsidR="00BA6645" w:rsidRPr="007D343E" w:rsidRDefault="00BA6645" w:rsidP="000031DC">
            <w:pPr>
              <w:tabs>
                <w:tab w:val="left" w:pos="2265"/>
                <w:tab w:val="left" w:pos="3420"/>
                <w:tab w:val="left" w:pos="4320"/>
              </w:tabs>
              <w:spacing w:before="240"/>
              <w:rPr>
                <w:rFonts w:ascii="Arial Narrow" w:hAnsi="Arial Narrow"/>
              </w:rPr>
            </w:pPr>
            <w:r>
              <w:rPr>
                <w:rFonts w:ascii="Arial Narrow" w:hAnsi="Arial Narrow"/>
              </w:rPr>
              <w:t xml:space="preserve">ESC advised consideration of optimal methods to collect data on </w:t>
            </w:r>
            <w:proofErr w:type="spellStart"/>
            <w:r>
              <w:rPr>
                <w:rFonts w:ascii="Arial Narrow" w:hAnsi="Arial Narrow"/>
              </w:rPr>
              <w:t>QoL</w:t>
            </w:r>
            <w:proofErr w:type="spellEnd"/>
            <w:r>
              <w:rPr>
                <w:rFonts w:ascii="Arial Narrow" w:hAnsi="Arial Narrow"/>
              </w:rPr>
              <w:t xml:space="preserve"> changes associated with ongoing Ig use. </w:t>
            </w:r>
          </w:p>
        </w:tc>
      </w:tr>
      <w:tr w:rsidR="00BA6645" w14:paraId="7225DA5C" w14:textId="77777777" w:rsidTr="000528B8">
        <w:tc>
          <w:tcPr>
            <w:tcW w:w="2500" w:type="pct"/>
          </w:tcPr>
          <w:p w14:paraId="5B54DAF5" w14:textId="77777777" w:rsidR="00BA6645" w:rsidRPr="00740F03" w:rsidRDefault="00BA6645" w:rsidP="00BA6645">
            <w:pPr>
              <w:tabs>
                <w:tab w:val="left" w:pos="2265"/>
                <w:tab w:val="left" w:pos="3420"/>
                <w:tab w:val="left" w:pos="4320"/>
              </w:tabs>
              <w:rPr>
                <w:rFonts w:ascii="Arial Narrow" w:hAnsi="Arial Narrow"/>
              </w:rPr>
            </w:pPr>
            <w:r>
              <w:rPr>
                <w:rFonts w:ascii="Arial Narrow" w:hAnsi="Arial Narrow"/>
              </w:rPr>
              <w:t xml:space="preserve">More information </w:t>
            </w:r>
            <w:proofErr w:type="gramStart"/>
            <w:r>
              <w:rPr>
                <w:rFonts w:ascii="Arial Narrow" w:hAnsi="Arial Narrow"/>
              </w:rPr>
              <w:t>is needed</w:t>
            </w:r>
            <w:proofErr w:type="gramEnd"/>
            <w:r>
              <w:rPr>
                <w:rFonts w:ascii="Arial Narrow" w:hAnsi="Arial Narrow"/>
              </w:rPr>
              <w:t xml:space="preserve"> on the actual use of Ig in this population. This is most important for Indication 3, as there is little understanding of how many patients remain on treatment without a break.</w:t>
            </w:r>
          </w:p>
        </w:tc>
        <w:tc>
          <w:tcPr>
            <w:tcW w:w="2500" w:type="pct"/>
          </w:tcPr>
          <w:p w14:paraId="6160D426" w14:textId="77777777" w:rsidR="00BA6645" w:rsidRDefault="00BA6645" w:rsidP="00BA6645">
            <w:pPr>
              <w:tabs>
                <w:tab w:val="left" w:pos="2265"/>
                <w:tab w:val="left" w:pos="3420"/>
                <w:tab w:val="left" w:pos="4320"/>
              </w:tabs>
              <w:rPr>
                <w:rFonts w:ascii="Arial Narrow" w:hAnsi="Arial Narrow"/>
              </w:rPr>
            </w:pPr>
            <w:r>
              <w:rPr>
                <w:rFonts w:ascii="Arial Narrow" w:hAnsi="Arial Narrow"/>
              </w:rPr>
              <w:t>ESC noted that the DCAR estimated incremental cost-effectiveness ratio (ICER) is indicative only. If intravenous Ig (</w:t>
            </w:r>
            <w:proofErr w:type="spellStart"/>
            <w:r>
              <w:rPr>
                <w:rFonts w:ascii="Arial Narrow" w:hAnsi="Arial Narrow"/>
              </w:rPr>
              <w:t>IVIg</w:t>
            </w:r>
            <w:proofErr w:type="spellEnd"/>
            <w:r>
              <w:rPr>
                <w:rFonts w:ascii="Arial Narrow" w:hAnsi="Arial Narrow"/>
              </w:rPr>
              <w:t xml:space="preserve">) </w:t>
            </w:r>
            <w:proofErr w:type="gramStart"/>
            <w:r>
              <w:rPr>
                <w:rFonts w:ascii="Arial Narrow" w:hAnsi="Arial Narrow"/>
              </w:rPr>
              <w:t>is considered</w:t>
            </w:r>
            <w:proofErr w:type="gramEnd"/>
            <w:r>
              <w:rPr>
                <w:rFonts w:ascii="Arial Narrow" w:hAnsi="Arial Narrow"/>
              </w:rPr>
              <w:t xml:space="preserve"> effective, the costs are variable and depend on number of patients receiving Ig, duration of Ig use, and remission rates/treatment breaks. </w:t>
            </w:r>
          </w:p>
          <w:p w14:paraId="53588D36" w14:textId="1D57B712" w:rsidR="00BA6645" w:rsidRDefault="00BA6645" w:rsidP="000031DC">
            <w:pPr>
              <w:tabs>
                <w:tab w:val="left" w:pos="2265"/>
                <w:tab w:val="left" w:pos="3420"/>
                <w:tab w:val="left" w:pos="4320"/>
              </w:tabs>
              <w:spacing w:before="240"/>
              <w:rPr>
                <w:rFonts w:ascii="Arial Narrow" w:hAnsi="Arial Narrow"/>
              </w:rPr>
            </w:pPr>
            <w:r>
              <w:rPr>
                <w:rFonts w:ascii="Arial Narrow" w:hAnsi="Arial Narrow"/>
              </w:rPr>
              <w:t xml:space="preserve">ESC considered that current collection of data through </w:t>
            </w:r>
            <w:proofErr w:type="spellStart"/>
            <w:r>
              <w:rPr>
                <w:rFonts w:ascii="Arial Narrow" w:hAnsi="Arial Narrow"/>
              </w:rPr>
              <w:t>BloodSTAR</w:t>
            </w:r>
            <w:proofErr w:type="spellEnd"/>
            <w:r>
              <w:rPr>
                <w:rFonts w:ascii="Arial Narrow" w:hAnsi="Arial Narrow"/>
              </w:rPr>
              <w:t xml:space="preserve"> should continue, and include information on the amount of Ig used per patient, and on patterns of use, which would be important.</w:t>
            </w:r>
          </w:p>
          <w:p w14:paraId="10DA9F48" w14:textId="1B4D53DA" w:rsidR="00BA6645" w:rsidRDefault="00BA6645" w:rsidP="000031DC">
            <w:pPr>
              <w:tabs>
                <w:tab w:val="left" w:pos="2265"/>
                <w:tab w:val="left" w:pos="3420"/>
                <w:tab w:val="left" w:pos="4320"/>
              </w:tabs>
              <w:spacing w:before="240"/>
              <w:rPr>
                <w:rFonts w:ascii="Arial Narrow" w:hAnsi="Arial Narrow"/>
              </w:rPr>
            </w:pPr>
            <w:r>
              <w:rPr>
                <w:rFonts w:ascii="Arial Narrow" w:hAnsi="Arial Narrow"/>
              </w:rPr>
              <w:t>In particular, more information is required to inform if:</w:t>
            </w:r>
          </w:p>
          <w:p w14:paraId="2E1D565D" w14:textId="77777777" w:rsidR="00BA6645" w:rsidRDefault="00BA6645" w:rsidP="00BA6645">
            <w:pPr>
              <w:pStyle w:val="ListParagraph"/>
              <w:numPr>
                <w:ilvl w:val="0"/>
                <w:numId w:val="4"/>
              </w:numPr>
              <w:tabs>
                <w:tab w:val="left" w:pos="2265"/>
                <w:tab w:val="left" w:pos="3420"/>
                <w:tab w:val="left" w:pos="4320"/>
              </w:tabs>
              <w:rPr>
                <w:rFonts w:ascii="Arial Narrow" w:hAnsi="Arial Narrow"/>
              </w:rPr>
            </w:pPr>
            <w:r>
              <w:rPr>
                <w:rFonts w:ascii="Arial Narrow" w:hAnsi="Arial Narrow"/>
              </w:rPr>
              <w:t>clinical governance and provisions are sufficient</w:t>
            </w:r>
          </w:p>
          <w:p w14:paraId="3686F305" w14:textId="77777777" w:rsidR="00BA6645" w:rsidRPr="007D343E" w:rsidRDefault="00BA6645" w:rsidP="00BA6645">
            <w:pPr>
              <w:pStyle w:val="ListParagraph"/>
              <w:numPr>
                <w:ilvl w:val="0"/>
                <w:numId w:val="4"/>
              </w:numPr>
              <w:tabs>
                <w:tab w:val="left" w:pos="2265"/>
                <w:tab w:val="left" w:pos="3420"/>
                <w:tab w:val="left" w:pos="4320"/>
              </w:tabs>
              <w:rPr>
                <w:rFonts w:ascii="Arial Narrow" w:hAnsi="Arial Narrow"/>
              </w:rPr>
            </w:pPr>
            <w:proofErr w:type="gramStart"/>
            <w:r>
              <w:rPr>
                <w:rFonts w:ascii="Arial Narrow" w:hAnsi="Arial Narrow"/>
              </w:rPr>
              <w:t>current</w:t>
            </w:r>
            <w:proofErr w:type="gramEnd"/>
            <w:r>
              <w:rPr>
                <w:rFonts w:ascii="Arial Narrow" w:hAnsi="Arial Narrow"/>
              </w:rPr>
              <w:t xml:space="preserve"> guidelines are appropriate (e.g. dosing based on actual or ideal body weight).</w:t>
            </w:r>
          </w:p>
        </w:tc>
      </w:tr>
      <w:tr w:rsidR="00BA6645" w14:paraId="7AA2FCCC" w14:textId="77777777" w:rsidTr="000528B8">
        <w:tc>
          <w:tcPr>
            <w:tcW w:w="2500" w:type="pct"/>
          </w:tcPr>
          <w:p w14:paraId="3136E991" w14:textId="77777777" w:rsidR="00BA6645" w:rsidRPr="00740F03" w:rsidRDefault="00BA6645" w:rsidP="00BA6645">
            <w:pPr>
              <w:tabs>
                <w:tab w:val="left" w:pos="2265"/>
                <w:tab w:val="left" w:pos="3420"/>
                <w:tab w:val="left" w:pos="4320"/>
              </w:tabs>
              <w:rPr>
                <w:rFonts w:ascii="Arial Narrow" w:hAnsi="Arial Narrow"/>
              </w:rPr>
            </w:pPr>
            <w:r>
              <w:rPr>
                <w:rFonts w:ascii="Arial Narrow" w:hAnsi="Arial Narrow"/>
              </w:rPr>
              <w:t>Access to plasma exchange (PE) (the main comparator) is inequitable and not widely available outside major centres.</w:t>
            </w:r>
          </w:p>
        </w:tc>
        <w:tc>
          <w:tcPr>
            <w:tcW w:w="2500" w:type="pct"/>
          </w:tcPr>
          <w:p w14:paraId="1DE14D98" w14:textId="666AACA5" w:rsidR="00BA6645" w:rsidRDefault="00BA6645" w:rsidP="00BA6645">
            <w:pPr>
              <w:tabs>
                <w:tab w:val="left" w:pos="2265"/>
                <w:tab w:val="left" w:pos="3420"/>
                <w:tab w:val="left" w:pos="4320"/>
              </w:tabs>
              <w:rPr>
                <w:rFonts w:ascii="Arial Narrow" w:hAnsi="Arial Narrow"/>
              </w:rPr>
            </w:pPr>
            <w:r>
              <w:rPr>
                <w:rFonts w:ascii="Arial Narrow" w:hAnsi="Arial Narrow"/>
              </w:rPr>
              <w:t>ESC noted that equity of access to PE is an issue due to the delivery of this service in tertiary metropolitan centres.</w:t>
            </w:r>
            <w:r>
              <w:t xml:space="preserve"> </w:t>
            </w:r>
            <w:r>
              <w:rPr>
                <w:rFonts w:ascii="Arial Narrow" w:hAnsi="Arial Narrow"/>
              </w:rPr>
              <w:t>L</w:t>
            </w:r>
            <w:r w:rsidRPr="000823A8">
              <w:rPr>
                <w:rFonts w:ascii="Arial Narrow" w:hAnsi="Arial Narrow"/>
              </w:rPr>
              <w:t xml:space="preserve">imited access to PE </w:t>
            </w:r>
            <w:r>
              <w:rPr>
                <w:rFonts w:ascii="Arial Narrow" w:hAnsi="Arial Narrow"/>
              </w:rPr>
              <w:t>means that</w:t>
            </w:r>
            <w:r w:rsidRPr="000823A8">
              <w:rPr>
                <w:rFonts w:ascii="Arial Narrow" w:hAnsi="Arial Narrow"/>
              </w:rPr>
              <w:t xml:space="preserve"> restricting access to </w:t>
            </w:r>
            <w:proofErr w:type="spellStart"/>
            <w:r w:rsidRPr="000823A8">
              <w:rPr>
                <w:rFonts w:ascii="Arial Narrow" w:hAnsi="Arial Narrow"/>
              </w:rPr>
              <w:t>IVIg</w:t>
            </w:r>
            <w:proofErr w:type="spellEnd"/>
            <w:r w:rsidRPr="000823A8">
              <w:rPr>
                <w:rFonts w:ascii="Arial Narrow" w:hAnsi="Arial Narrow"/>
              </w:rPr>
              <w:t xml:space="preserve"> </w:t>
            </w:r>
            <w:r>
              <w:rPr>
                <w:rFonts w:ascii="Arial Narrow" w:hAnsi="Arial Narrow"/>
              </w:rPr>
              <w:t>for</w:t>
            </w:r>
            <w:r w:rsidRPr="000823A8">
              <w:rPr>
                <w:rFonts w:ascii="Arial Narrow" w:hAnsi="Arial Narrow"/>
              </w:rPr>
              <w:t xml:space="preserve"> patients with MG may cause </w:t>
            </w:r>
            <w:r>
              <w:rPr>
                <w:rFonts w:ascii="Arial Narrow" w:hAnsi="Arial Narrow"/>
              </w:rPr>
              <w:t xml:space="preserve">relative </w:t>
            </w:r>
            <w:r w:rsidRPr="000823A8">
              <w:rPr>
                <w:rFonts w:ascii="Arial Narrow" w:hAnsi="Arial Narrow"/>
              </w:rPr>
              <w:t>harm to patients</w:t>
            </w:r>
            <w:r w:rsidR="000031DC">
              <w:rPr>
                <w:rFonts w:ascii="Arial Narrow" w:hAnsi="Arial Narrow"/>
              </w:rPr>
              <w:t xml:space="preserve"> who do not have access to PE.</w:t>
            </w:r>
          </w:p>
          <w:p w14:paraId="676A78A3" w14:textId="77777777" w:rsidR="00BA6645" w:rsidRPr="00740F03" w:rsidRDefault="00BA6645" w:rsidP="00BA6645">
            <w:pPr>
              <w:tabs>
                <w:tab w:val="left" w:pos="2265"/>
                <w:tab w:val="left" w:pos="3420"/>
                <w:tab w:val="left" w:pos="4320"/>
              </w:tabs>
              <w:rPr>
                <w:rFonts w:ascii="Arial Narrow" w:hAnsi="Arial Narrow"/>
              </w:rPr>
            </w:pPr>
            <w:r>
              <w:rPr>
                <w:rFonts w:ascii="Arial Narrow" w:hAnsi="Arial Narrow"/>
                <w:szCs w:val="22"/>
              </w:rPr>
              <w:lastRenderedPageBreak/>
              <w:t xml:space="preserve">Data provided by a medical device company suggest that an additional 15,000 patients per year </w:t>
            </w:r>
            <w:proofErr w:type="gramStart"/>
            <w:r>
              <w:rPr>
                <w:rFonts w:ascii="Arial Narrow" w:hAnsi="Arial Narrow"/>
                <w:szCs w:val="22"/>
              </w:rPr>
              <w:t>could be treated</w:t>
            </w:r>
            <w:proofErr w:type="gramEnd"/>
            <w:r>
              <w:rPr>
                <w:rFonts w:ascii="Arial Narrow" w:hAnsi="Arial Narrow"/>
                <w:szCs w:val="22"/>
              </w:rPr>
              <w:t xml:space="preserve"> within the current PE capacity of Australian hospitals. However, there are competing needs of hospital bed capacity and staffing which impact the ability to increase PE delivery further.</w:t>
            </w:r>
          </w:p>
        </w:tc>
      </w:tr>
      <w:tr w:rsidR="00BA6645" w14:paraId="7558CF06" w14:textId="77777777" w:rsidTr="000528B8">
        <w:tc>
          <w:tcPr>
            <w:tcW w:w="2500" w:type="pct"/>
          </w:tcPr>
          <w:p w14:paraId="59C91A6A" w14:textId="77777777" w:rsidR="00BA6645" w:rsidRDefault="00BA6645" w:rsidP="00BA6645">
            <w:pPr>
              <w:tabs>
                <w:tab w:val="left" w:pos="2265"/>
                <w:tab w:val="left" w:pos="3420"/>
                <w:tab w:val="left" w:pos="4320"/>
              </w:tabs>
              <w:rPr>
                <w:rFonts w:ascii="Arial Narrow" w:hAnsi="Arial Narrow"/>
              </w:rPr>
            </w:pPr>
            <w:r>
              <w:rPr>
                <w:rFonts w:ascii="Arial Narrow" w:hAnsi="Arial Narrow"/>
              </w:rPr>
              <w:lastRenderedPageBreak/>
              <w:t xml:space="preserve">Given the lack of available evidence on the comparative safety and effectiveness of </w:t>
            </w:r>
            <w:proofErr w:type="spellStart"/>
            <w:r>
              <w:rPr>
                <w:rFonts w:ascii="Arial Narrow" w:hAnsi="Arial Narrow"/>
              </w:rPr>
              <w:t>IVIg</w:t>
            </w:r>
            <w:proofErr w:type="spellEnd"/>
            <w:r>
              <w:rPr>
                <w:rFonts w:ascii="Arial Narrow" w:hAnsi="Arial Narrow"/>
              </w:rPr>
              <w:t xml:space="preserve"> to other treatments, estimates on cost-effectiveness of </w:t>
            </w:r>
            <w:proofErr w:type="spellStart"/>
            <w:r>
              <w:rPr>
                <w:rFonts w:ascii="Arial Narrow" w:hAnsi="Arial Narrow"/>
              </w:rPr>
              <w:t>IVIg</w:t>
            </w:r>
            <w:proofErr w:type="spellEnd"/>
            <w:r>
              <w:rPr>
                <w:rFonts w:ascii="Arial Narrow" w:hAnsi="Arial Narrow"/>
              </w:rPr>
              <w:t xml:space="preserve"> were uncertain across the three indications.</w:t>
            </w:r>
          </w:p>
        </w:tc>
        <w:tc>
          <w:tcPr>
            <w:tcW w:w="2500" w:type="pct"/>
          </w:tcPr>
          <w:p w14:paraId="13073B8A" w14:textId="77777777" w:rsidR="00BA6645" w:rsidRDefault="00BA6645" w:rsidP="00BA6645">
            <w:pPr>
              <w:tabs>
                <w:tab w:val="left" w:pos="2265"/>
                <w:tab w:val="left" w:pos="3420"/>
                <w:tab w:val="left" w:pos="4320"/>
              </w:tabs>
              <w:rPr>
                <w:rFonts w:ascii="Arial Narrow" w:hAnsi="Arial Narrow"/>
              </w:rPr>
            </w:pPr>
            <w:r>
              <w:rPr>
                <w:rFonts w:ascii="Arial Narrow" w:hAnsi="Arial Narrow"/>
              </w:rPr>
              <w:t xml:space="preserve">ESC considered that access to Ig </w:t>
            </w:r>
            <w:proofErr w:type="gramStart"/>
            <w:r>
              <w:rPr>
                <w:rFonts w:ascii="Arial Narrow" w:hAnsi="Arial Narrow"/>
              </w:rPr>
              <w:t>should be maintained</w:t>
            </w:r>
            <w:proofErr w:type="gramEnd"/>
            <w:r>
              <w:rPr>
                <w:rFonts w:ascii="Arial Narrow" w:hAnsi="Arial Narrow"/>
              </w:rPr>
              <w:t xml:space="preserve"> for Indications 1 and 2, given the small populations and high clinical need. </w:t>
            </w:r>
          </w:p>
          <w:p w14:paraId="357F7283" w14:textId="3B998CE5" w:rsidR="00BA6645" w:rsidRDefault="00BA6645" w:rsidP="000031DC">
            <w:pPr>
              <w:tabs>
                <w:tab w:val="left" w:pos="2265"/>
                <w:tab w:val="left" w:pos="3420"/>
                <w:tab w:val="left" w:pos="4320"/>
              </w:tabs>
              <w:spacing w:before="240"/>
              <w:rPr>
                <w:rFonts w:ascii="Arial Narrow" w:hAnsi="Arial Narrow"/>
              </w:rPr>
            </w:pPr>
            <w:r>
              <w:rPr>
                <w:rFonts w:ascii="Arial Narrow" w:hAnsi="Arial Narrow"/>
              </w:rPr>
              <w:t>ESC advised for Indication 3 there</w:t>
            </w:r>
            <w:r w:rsidRPr="00CD4D4E">
              <w:rPr>
                <w:rFonts w:ascii="Arial Narrow" w:hAnsi="Arial Narrow"/>
              </w:rPr>
              <w:t xml:space="preserve"> was insufficient evidence to construct a reliable CUA, despite Indication 3 being responsible for the majority of Ig used to treat MG</w:t>
            </w:r>
            <w:r>
              <w:rPr>
                <w:rFonts w:ascii="Arial Narrow" w:hAnsi="Arial Narrow"/>
              </w:rPr>
              <w:t>. ICERs were</w:t>
            </w:r>
            <w:r w:rsidRPr="00046A77">
              <w:rPr>
                <w:rFonts w:ascii="Arial Narrow" w:hAnsi="Arial Narrow"/>
              </w:rPr>
              <w:t xml:space="preserve"> highly sensitive to the adverse event rates associated with PE and the frequency/dose of Ig and PE treatments.</w:t>
            </w:r>
          </w:p>
        </w:tc>
      </w:tr>
    </w:tbl>
    <w:p w14:paraId="20D73903" w14:textId="77777777" w:rsidR="00111108" w:rsidRDefault="00111108" w:rsidP="00B20DE6">
      <w:pPr>
        <w:spacing w:before="240" w:after="120"/>
        <w:rPr>
          <w:b/>
        </w:rPr>
      </w:pPr>
      <w:r w:rsidRPr="00F56D7F">
        <w:rPr>
          <w:b/>
        </w:rPr>
        <w:t>ESC discussion</w:t>
      </w:r>
    </w:p>
    <w:p w14:paraId="7BB2DA10" w14:textId="77777777" w:rsidR="00BA6645" w:rsidRDefault="00BA6645" w:rsidP="00BA6645">
      <w:pPr>
        <w:tabs>
          <w:tab w:val="left" w:pos="2265"/>
          <w:tab w:val="left" w:pos="3420"/>
          <w:tab w:val="left" w:pos="4320"/>
        </w:tabs>
        <w:rPr>
          <w:szCs w:val="24"/>
        </w:rPr>
      </w:pPr>
      <w:r>
        <w:rPr>
          <w:szCs w:val="24"/>
        </w:rPr>
        <w:t>Application 1566 requests MSAC advice on the supply of immunoglobulin (Ig) therapy under the national blood arrangements for the treatment of Myasthenia Gravis (MG). In line with the PICO confirmation, the DCAR reviews the evidence on safety and effectiveness of intravenous Ig (</w:t>
      </w:r>
      <w:proofErr w:type="spellStart"/>
      <w:r>
        <w:rPr>
          <w:szCs w:val="24"/>
        </w:rPr>
        <w:t>IVIg</w:t>
      </w:r>
      <w:proofErr w:type="spellEnd"/>
      <w:r>
        <w:rPr>
          <w:szCs w:val="24"/>
        </w:rPr>
        <w:t>) for MG</w:t>
      </w:r>
      <w:r w:rsidRPr="001D7929">
        <w:rPr>
          <w:color w:val="222222"/>
          <w:szCs w:val="24"/>
        </w:rPr>
        <w:t xml:space="preserve"> </w:t>
      </w:r>
      <w:r w:rsidRPr="005709B9">
        <w:rPr>
          <w:color w:val="222222"/>
          <w:szCs w:val="24"/>
        </w:rPr>
        <w:t xml:space="preserve">to ensure </w:t>
      </w:r>
      <w:r>
        <w:rPr>
          <w:color w:val="222222"/>
          <w:szCs w:val="24"/>
        </w:rPr>
        <w:t xml:space="preserve">Ig use under the national blood arrangements </w:t>
      </w:r>
      <w:proofErr w:type="gramStart"/>
      <w:r w:rsidRPr="005709B9">
        <w:rPr>
          <w:color w:val="222222"/>
          <w:szCs w:val="24"/>
        </w:rPr>
        <w:t>is based</w:t>
      </w:r>
      <w:proofErr w:type="gramEnd"/>
      <w:r w:rsidRPr="005709B9">
        <w:rPr>
          <w:color w:val="222222"/>
          <w:szCs w:val="24"/>
        </w:rPr>
        <w:t xml:space="preserve"> on stron</w:t>
      </w:r>
      <w:r>
        <w:rPr>
          <w:color w:val="222222"/>
          <w:szCs w:val="24"/>
        </w:rPr>
        <w:t>g evidence of clinical and cost-</w:t>
      </w:r>
      <w:r w:rsidRPr="005709B9">
        <w:rPr>
          <w:color w:val="222222"/>
          <w:szCs w:val="24"/>
        </w:rPr>
        <w:t>effectiveness</w:t>
      </w:r>
      <w:r>
        <w:rPr>
          <w:szCs w:val="24"/>
        </w:rPr>
        <w:t>.</w:t>
      </w:r>
    </w:p>
    <w:p w14:paraId="0A0BB910" w14:textId="737C5E5B" w:rsidR="00BA6645" w:rsidRDefault="00BA6645" w:rsidP="000031DC">
      <w:pPr>
        <w:tabs>
          <w:tab w:val="left" w:pos="2265"/>
          <w:tab w:val="left" w:pos="3420"/>
          <w:tab w:val="left" w:pos="4320"/>
        </w:tabs>
        <w:spacing w:before="240"/>
        <w:rPr>
          <w:szCs w:val="24"/>
        </w:rPr>
      </w:pPr>
      <w:r>
        <w:rPr>
          <w:szCs w:val="24"/>
        </w:rPr>
        <w:t xml:space="preserve">MG is an autoimmune disease characterised in the majority of patients (85%) by antibodies to acetylcholine receptors of the neuromuscular junction. Patients experience muscle weakness, which can include ptosis, double vision, proximal and respiratory muscle weakness, and difficulty swallowing. The natural history of MG is characterised by exacerbations and remissions; usually the remissions are temporary with an average duration of five years, although occasionally permanent remission can occur. </w:t>
      </w:r>
      <w:proofErr w:type="spellStart"/>
      <w:r>
        <w:rPr>
          <w:szCs w:val="24"/>
        </w:rPr>
        <w:t>IVIg</w:t>
      </w:r>
      <w:proofErr w:type="spellEnd"/>
      <w:r>
        <w:rPr>
          <w:szCs w:val="24"/>
        </w:rPr>
        <w:t xml:space="preserve"> </w:t>
      </w:r>
      <w:proofErr w:type="gramStart"/>
      <w:r>
        <w:rPr>
          <w:szCs w:val="24"/>
        </w:rPr>
        <w:t>is used</w:t>
      </w:r>
      <w:proofErr w:type="gramEnd"/>
      <w:r w:rsidRPr="0048648D">
        <w:rPr>
          <w:szCs w:val="24"/>
        </w:rPr>
        <w:t xml:space="preserve"> as an immunomodulation therapy</w:t>
      </w:r>
      <w:r>
        <w:rPr>
          <w:szCs w:val="24"/>
        </w:rPr>
        <w:t xml:space="preserve"> i</w:t>
      </w:r>
      <w:r w:rsidRPr="0048648D">
        <w:rPr>
          <w:szCs w:val="24"/>
        </w:rPr>
        <w:t>n patients with MG</w:t>
      </w:r>
      <w:r>
        <w:rPr>
          <w:szCs w:val="24"/>
        </w:rPr>
        <w:t>,</w:t>
      </w:r>
      <w:r w:rsidRPr="0048648D">
        <w:rPr>
          <w:szCs w:val="24"/>
        </w:rPr>
        <w:t xml:space="preserve"> although the exact mechanism </w:t>
      </w:r>
      <w:r>
        <w:rPr>
          <w:szCs w:val="24"/>
        </w:rPr>
        <w:t xml:space="preserve">of action </w:t>
      </w:r>
      <w:r w:rsidRPr="0048648D">
        <w:rPr>
          <w:szCs w:val="24"/>
        </w:rPr>
        <w:t>is unknown.</w:t>
      </w:r>
    </w:p>
    <w:p w14:paraId="3E4CE77B" w14:textId="20DB6ABD" w:rsidR="00BA6645" w:rsidRDefault="00BA6645" w:rsidP="000031DC">
      <w:pPr>
        <w:tabs>
          <w:tab w:val="left" w:pos="2265"/>
          <w:tab w:val="left" w:pos="3420"/>
          <w:tab w:val="left" w:pos="4320"/>
        </w:tabs>
        <w:spacing w:before="240"/>
        <w:rPr>
          <w:szCs w:val="24"/>
        </w:rPr>
      </w:pPr>
      <w:r>
        <w:t xml:space="preserve">The clinical criteria for subsidised access to </w:t>
      </w:r>
      <w:proofErr w:type="spellStart"/>
      <w:r>
        <w:t>IVIg</w:t>
      </w:r>
      <w:proofErr w:type="spellEnd"/>
      <w:r>
        <w:t xml:space="preserve"> for MG is set out under version 3 of the </w:t>
      </w:r>
      <w:r w:rsidRPr="006619E7">
        <w:rPr>
          <w:i/>
          <w:szCs w:val="24"/>
        </w:rPr>
        <w:t>Criteria for the clinical use of immunoglobulin in Australia</w:t>
      </w:r>
      <w:r w:rsidRPr="003C7185">
        <w:rPr>
          <w:rStyle w:val="FootnoteReference"/>
          <w:szCs w:val="24"/>
        </w:rPr>
        <w:footnoteReference w:id="9"/>
      </w:r>
      <w:r>
        <w:rPr>
          <w:i/>
          <w:szCs w:val="24"/>
        </w:rPr>
        <w:t xml:space="preserve"> </w:t>
      </w:r>
      <w:r w:rsidRPr="006619E7">
        <w:rPr>
          <w:szCs w:val="24"/>
        </w:rPr>
        <w:t>(the Criteria)</w:t>
      </w:r>
      <w:r>
        <w:t xml:space="preserve">. </w:t>
      </w:r>
      <w:r>
        <w:rPr>
          <w:szCs w:val="24"/>
        </w:rPr>
        <w:t xml:space="preserve">The three current indications under which patients with MG may be eligible for </w:t>
      </w:r>
      <w:proofErr w:type="spellStart"/>
      <w:r>
        <w:rPr>
          <w:szCs w:val="24"/>
        </w:rPr>
        <w:t>IVIg</w:t>
      </w:r>
      <w:proofErr w:type="spellEnd"/>
      <w:r>
        <w:rPr>
          <w:szCs w:val="24"/>
        </w:rPr>
        <w:t xml:space="preserve"> therapy according to Version 3 of the Criteria are:</w:t>
      </w:r>
    </w:p>
    <w:p w14:paraId="27591C99" w14:textId="77777777" w:rsidR="00BA6645" w:rsidRDefault="00BA6645" w:rsidP="00BA6645">
      <w:pPr>
        <w:pStyle w:val="ListParagraph"/>
        <w:numPr>
          <w:ilvl w:val="0"/>
          <w:numId w:val="6"/>
        </w:numPr>
        <w:tabs>
          <w:tab w:val="left" w:pos="2265"/>
          <w:tab w:val="left" w:pos="3420"/>
          <w:tab w:val="left" w:pos="4320"/>
        </w:tabs>
        <w:rPr>
          <w:szCs w:val="24"/>
        </w:rPr>
      </w:pPr>
      <w:r>
        <w:rPr>
          <w:szCs w:val="24"/>
        </w:rPr>
        <w:t>Indication 1 – MG crisis as an alternative to plasma exchange (PE).</w:t>
      </w:r>
    </w:p>
    <w:p w14:paraId="20AAD4ED" w14:textId="77777777" w:rsidR="00BA6645" w:rsidRDefault="00BA6645" w:rsidP="00BA6645">
      <w:pPr>
        <w:pStyle w:val="ListParagraph"/>
        <w:numPr>
          <w:ilvl w:val="0"/>
          <w:numId w:val="6"/>
        </w:numPr>
        <w:tabs>
          <w:tab w:val="left" w:pos="2265"/>
          <w:tab w:val="left" w:pos="3420"/>
          <w:tab w:val="left" w:pos="4320"/>
        </w:tabs>
        <w:rPr>
          <w:szCs w:val="24"/>
        </w:rPr>
      </w:pPr>
      <w:r>
        <w:rPr>
          <w:szCs w:val="24"/>
        </w:rPr>
        <w:t xml:space="preserve">Indication 2 – MG prior to surgery and/or </w:t>
      </w:r>
      <w:proofErr w:type="spellStart"/>
      <w:r>
        <w:rPr>
          <w:szCs w:val="24"/>
        </w:rPr>
        <w:t>thymectomy</w:t>
      </w:r>
      <w:proofErr w:type="spellEnd"/>
      <w:r>
        <w:rPr>
          <w:szCs w:val="24"/>
        </w:rPr>
        <w:t xml:space="preserve"> in patients with advanced disease, bulbar symptoms or respiratory involvement, as an alternative treatment to plasma exchange (PE).</w:t>
      </w:r>
    </w:p>
    <w:p w14:paraId="19660F2C" w14:textId="0F89BB58" w:rsidR="00BA6645" w:rsidRPr="000031DC" w:rsidRDefault="00BA6645" w:rsidP="00BA6645">
      <w:pPr>
        <w:pStyle w:val="ListParagraph"/>
        <w:numPr>
          <w:ilvl w:val="0"/>
          <w:numId w:val="6"/>
        </w:numPr>
        <w:tabs>
          <w:tab w:val="left" w:pos="2265"/>
          <w:tab w:val="left" w:pos="3420"/>
          <w:tab w:val="left" w:pos="4320"/>
        </w:tabs>
        <w:rPr>
          <w:szCs w:val="24"/>
        </w:rPr>
      </w:pPr>
      <w:r>
        <w:rPr>
          <w:szCs w:val="24"/>
        </w:rPr>
        <w:t>Indication 3 – As a maintenance therapy for moderate to severe MG where other treatments have been ineffective or caused intolerable side effects.</w:t>
      </w:r>
    </w:p>
    <w:p w14:paraId="7B60DA2E" w14:textId="77777777" w:rsidR="00BA6645" w:rsidRDefault="00BA6645" w:rsidP="000031DC">
      <w:pPr>
        <w:tabs>
          <w:tab w:val="left" w:pos="2265"/>
          <w:tab w:val="left" w:pos="3420"/>
          <w:tab w:val="left" w:pos="4320"/>
        </w:tabs>
        <w:spacing w:before="240"/>
        <w:rPr>
          <w:szCs w:val="24"/>
        </w:rPr>
      </w:pPr>
      <w:r>
        <w:rPr>
          <w:szCs w:val="24"/>
        </w:rPr>
        <w:t xml:space="preserve">ESC considered that the two clinical algorithms for Indications 1 (crisis) and </w:t>
      </w:r>
      <w:proofErr w:type="gramStart"/>
      <w:r>
        <w:rPr>
          <w:szCs w:val="24"/>
        </w:rPr>
        <w:t>2</w:t>
      </w:r>
      <w:proofErr w:type="gramEnd"/>
      <w:r>
        <w:rPr>
          <w:szCs w:val="24"/>
        </w:rPr>
        <w:t xml:space="preserve"> (pre-surgery) are clearly defined; these patients</w:t>
      </w:r>
      <w:r w:rsidRPr="0048648D">
        <w:rPr>
          <w:szCs w:val="24"/>
        </w:rPr>
        <w:t xml:space="preserve"> are usually very</w:t>
      </w:r>
      <w:r>
        <w:rPr>
          <w:szCs w:val="24"/>
        </w:rPr>
        <w:t xml:space="preserve"> unwell and </w:t>
      </w:r>
      <w:proofErr w:type="spellStart"/>
      <w:r>
        <w:rPr>
          <w:szCs w:val="24"/>
        </w:rPr>
        <w:t>IVIg</w:t>
      </w:r>
      <w:proofErr w:type="spellEnd"/>
      <w:r>
        <w:rPr>
          <w:szCs w:val="24"/>
        </w:rPr>
        <w:t xml:space="preserve"> is used as a short term therapy and alternative to PE in order to stabilise patients. On the other hand, patients in Indication 3 (maintenance) are a much more heterogeneous group. In order to qualify for initial treatment with </w:t>
      </w:r>
      <w:proofErr w:type="spellStart"/>
      <w:r>
        <w:rPr>
          <w:szCs w:val="24"/>
        </w:rPr>
        <w:t>IVIg</w:t>
      </w:r>
      <w:proofErr w:type="spellEnd"/>
      <w:r>
        <w:rPr>
          <w:szCs w:val="24"/>
        </w:rPr>
        <w:t xml:space="preserve">, patients must have moderate to severe MG, and at least two other treatments must have been ineffective, contraindicated, unavailable, or caused intolerable </w:t>
      </w:r>
      <w:r>
        <w:rPr>
          <w:szCs w:val="24"/>
        </w:rPr>
        <w:lastRenderedPageBreak/>
        <w:t xml:space="preserve">side effects. Under this indication, </w:t>
      </w:r>
      <w:proofErr w:type="spellStart"/>
      <w:r>
        <w:rPr>
          <w:szCs w:val="24"/>
        </w:rPr>
        <w:t>IVIg</w:t>
      </w:r>
      <w:proofErr w:type="spellEnd"/>
      <w:r>
        <w:rPr>
          <w:szCs w:val="24"/>
        </w:rPr>
        <w:t xml:space="preserve"> is used as a </w:t>
      </w:r>
      <w:proofErr w:type="gramStart"/>
      <w:r>
        <w:rPr>
          <w:szCs w:val="24"/>
        </w:rPr>
        <w:t>stop-gap</w:t>
      </w:r>
      <w:proofErr w:type="gramEnd"/>
      <w:r>
        <w:rPr>
          <w:szCs w:val="24"/>
        </w:rPr>
        <w:t xml:space="preserve"> when switching therapies, or when patients are unable to use other therapies. Review by a neurologist is required within the first four months, and then annually thereafter, and documentation of clinical effectiveness is necessary for continuation of </w:t>
      </w:r>
      <w:proofErr w:type="spellStart"/>
      <w:r>
        <w:rPr>
          <w:szCs w:val="24"/>
        </w:rPr>
        <w:t>IVIg</w:t>
      </w:r>
      <w:proofErr w:type="spellEnd"/>
      <w:r>
        <w:rPr>
          <w:szCs w:val="24"/>
        </w:rPr>
        <w:t xml:space="preserve"> therapy. For patients to be eligible for continuation treatment under Indication 3, a trial of weaning/cessation must be planned for patients who are clinically stable to identify those who are in remission, or a reason provided as to why a trial is not planned.</w:t>
      </w:r>
    </w:p>
    <w:p w14:paraId="6B364111" w14:textId="56B25C91" w:rsidR="00BA6645" w:rsidRPr="00AE078D" w:rsidRDefault="00BA6645" w:rsidP="000031DC">
      <w:pPr>
        <w:spacing w:before="240"/>
        <w:rPr>
          <w:rFonts w:eastAsiaTheme="minorHAnsi"/>
          <w:szCs w:val="24"/>
        </w:rPr>
      </w:pPr>
      <w:r>
        <w:rPr>
          <w:szCs w:val="24"/>
        </w:rPr>
        <w:t>The DCAR reported that the proportion of patients across the three indications were approximately</w:t>
      </w:r>
      <w:r w:rsidRPr="00B07A85">
        <w:rPr>
          <w:szCs w:val="24"/>
        </w:rPr>
        <w:t xml:space="preserve"> 17%, 2.8% and 80.1%, respectively</w:t>
      </w:r>
      <w:r>
        <w:rPr>
          <w:szCs w:val="24"/>
        </w:rPr>
        <w:t xml:space="preserve">, based on percentages extracted from NBA </w:t>
      </w:r>
      <w:proofErr w:type="spellStart"/>
      <w:r>
        <w:rPr>
          <w:szCs w:val="24"/>
        </w:rPr>
        <w:t>BloodSTAR</w:t>
      </w:r>
      <w:proofErr w:type="spellEnd"/>
      <w:r>
        <w:rPr>
          <w:szCs w:val="24"/>
        </w:rPr>
        <w:t xml:space="preserve"> for the period 2017-18.</w:t>
      </w:r>
      <w:r w:rsidRPr="00B07A85">
        <w:rPr>
          <w:szCs w:val="24"/>
        </w:rPr>
        <w:t xml:space="preserve"> </w:t>
      </w:r>
      <w:r>
        <w:rPr>
          <w:szCs w:val="24"/>
        </w:rPr>
        <w:t>T</w:t>
      </w:r>
      <w:r w:rsidRPr="00B07A85">
        <w:rPr>
          <w:szCs w:val="24"/>
        </w:rPr>
        <w:t xml:space="preserve">he </w:t>
      </w:r>
      <w:r>
        <w:rPr>
          <w:szCs w:val="24"/>
        </w:rPr>
        <w:t xml:space="preserve">proportion based on amount of </w:t>
      </w:r>
      <w:proofErr w:type="spellStart"/>
      <w:r>
        <w:rPr>
          <w:szCs w:val="24"/>
        </w:rPr>
        <w:t>IVIg</w:t>
      </w:r>
      <w:proofErr w:type="spellEnd"/>
      <w:r>
        <w:rPr>
          <w:szCs w:val="24"/>
        </w:rPr>
        <w:t xml:space="preserve"> used in each indication </w:t>
      </w:r>
      <w:proofErr w:type="gramStart"/>
      <w:r>
        <w:rPr>
          <w:szCs w:val="24"/>
        </w:rPr>
        <w:t>was estimated</w:t>
      </w:r>
      <w:proofErr w:type="gramEnd"/>
      <w:r>
        <w:rPr>
          <w:szCs w:val="24"/>
        </w:rPr>
        <w:t xml:space="preserve"> to be 9%, 1% and 90%, respectively as advised by the Applicant. ESC noted that the absolute patient numbers in this population are </w:t>
      </w:r>
      <w:proofErr w:type="gramStart"/>
      <w:r>
        <w:rPr>
          <w:szCs w:val="24"/>
        </w:rPr>
        <w:t>small,</w:t>
      </w:r>
      <w:proofErr w:type="gramEnd"/>
      <w:r>
        <w:rPr>
          <w:szCs w:val="24"/>
        </w:rPr>
        <w:t xml:space="preserve"> NBA data for 2017-18 indicates there were a total of 1,174 patients across all three MG indications. </w:t>
      </w:r>
    </w:p>
    <w:p w14:paraId="75288DB6" w14:textId="54908917" w:rsidR="00BA6645" w:rsidRDefault="00BA6645" w:rsidP="000031DC">
      <w:pPr>
        <w:tabs>
          <w:tab w:val="left" w:pos="2265"/>
          <w:tab w:val="left" w:pos="3420"/>
          <w:tab w:val="left" w:pos="4320"/>
        </w:tabs>
        <w:spacing w:before="240"/>
        <w:rPr>
          <w:szCs w:val="24"/>
        </w:rPr>
      </w:pPr>
      <w:r>
        <w:rPr>
          <w:szCs w:val="24"/>
        </w:rPr>
        <w:t xml:space="preserve">ESC noted that Indication 3, which represents 90% of </w:t>
      </w:r>
      <w:proofErr w:type="spellStart"/>
      <w:r>
        <w:rPr>
          <w:szCs w:val="24"/>
        </w:rPr>
        <w:t>IVIg</w:t>
      </w:r>
      <w:proofErr w:type="spellEnd"/>
      <w:r>
        <w:rPr>
          <w:szCs w:val="24"/>
        </w:rPr>
        <w:t xml:space="preserve"> used amongst patients with MG, has the most patient variability and that additional data are most important to inform cost-effectiveness in this indication. ESC acknowledged that the requirements in the Criteria to qualify for treatment with </w:t>
      </w:r>
      <w:proofErr w:type="spellStart"/>
      <w:r>
        <w:rPr>
          <w:szCs w:val="24"/>
        </w:rPr>
        <w:t>IVIg</w:t>
      </w:r>
      <w:proofErr w:type="spellEnd"/>
      <w:r>
        <w:rPr>
          <w:szCs w:val="24"/>
        </w:rPr>
        <w:t xml:space="preserve">, both initial and continuing, are very detailed; however, assessment of patient eligibility relies heavily on clinical judgement. </w:t>
      </w:r>
      <w:r w:rsidRPr="00FD1ECD">
        <w:rPr>
          <w:szCs w:val="24"/>
        </w:rPr>
        <w:t xml:space="preserve">ESC queried what data are collected by </w:t>
      </w:r>
      <w:proofErr w:type="spellStart"/>
      <w:r w:rsidRPr="00FD1ECD">
        <w:rPr>
          <w:szCs w:val="24"/>
        </w:rPr>
        <w:t>BloodSTAR</w:t>
      </w:r>
      <w:proofErr w:type="spellEnd"/>
      <w:r w:rsidRPr="00FD1ECD">
        <w:rPr>
          <w:szCs w:val="24"/>
        </w:rPr>
        <w:t xml:space="preserve"> in determining whether patients qualify for initial and continuing therapy, as gauging prescriber compliance to the V3 Criteria is an important component of clinical governance for high cost therapies and relevant to a review of cost-effectiveness.</w:t>
      </w:r>
    </w:p>
    <w:p w14:paraId="0EDE0EDA" w14:textId="5D6082AF" w:rsidR="00BA6645" w:rsidRDefault="00BA6645" w:rsidP="000031DC">
      <w:pPr>
        <w:tabs>
          <w:tab w:val="left" w:pos="2265"/>
          <w:tab w:val="left" w:pos="3420"/>
          <w:tab w:val="left" w:pos="4320"/>
        </w:tabs>
        <w:spacing w:before="240"/>
        <w:rPr>
          <w:szCs w:val="24"/>
        </w:rPr>
      </w:pPr>
      <w:r>
        <w:rPr>
          <w:szCs w:val="24"/>
        </w:rPr>
        <w:t xml:space="preserve">Overall, ESC agreed with the DCAR results for the comparative safety and effectiveness of </w:t>
      </w:r>
      <w:proofErr w:type="spellStart"/>
      <w:r>
        <w:rPr>
          <w:szCs w:val="24"/>
        </w:rPr>
        <w:t>IVIg</w:t>
      </w:r>
      <w:proofErr w:type="spellEnd"/>
      <w:r>
        <w:rPr>
          <w:szCs w:val="24"/>
        </w:rPr>
        <w:t xml:space="preserve"> across the three indications. For Indication 1, ESC agreed with the conclusion of superior safety and non-inferior effectiveness of </w:t>
      </w:r>
      <w:proofErr w:type="spellStart"/>
      <w:r>
        <w:rPr>
          <w:szCs w:val="24"/>
        </w:rPr>
        <w:t>IVIg</w:t>
      </w:r>
      <w:proofErr w:type="spellEnd"/>
      <w:r>
        <w:rPr>
          <w:szCs w:val="24"/>
        </w:rPr>
        <w:t xml:space="preserve"> compared to PE. Patients treated with PE </w:t>
      </w:r>
      <w:proofErr w:type="gramStart"/>
      <w:r>
        <w:rPr>
          <w:szCs w:val="24"/>
        </w:rPr>
        <w:t>were found</w:t>
      </w:r>
      <w:proofErr w:type="gramEnd"/>
      <w:r>
        <w:rPr>
          <w:szCs w:val="24"/>
        </w:rPr>
        <w:t xml:space="preserve"> to experience more AEs compared to patients treated with </w:t>
      </w:r>
      <w:proofErr w:type="spellStart"/>
      <w:r>
        <w:rPr>
          <w:szCs w:val="24"/>
        </w:rPr>
        <w:t>IVIg</w:t>
      </w:r>
      <w:proofErr w:type="spellEnd"/>
      <w:r>
        <w:rPr>
          <w:szCs w:val="24"/>
        </w:rPr>
        <w:t xml:space="preserve">. However, the quality of evidence was open to selection bias as in one large cohort study the PE group was likely more seriously ill than the </w:t>
      </w:r>
      <w:proofErr w:type="spellStart"/>
      <w:r>
        <w:rPr>
          <w:szCs w:val="24"/>
        </w:rPr>
        <w:t>IVIg</w:t>
      </w:r>
      <w:proofErr w:type="spellEnd"/>
      <w:r>
        <w:rPr>
          <w:szCs w:val="24"/>
        </w:rPr>
        <w:t xml:space="preserve"> group and this influenced their treatment selection.</w:t>
      </w:r>
    </w:p>
    <w:p w14:paraId="47AEC05A" w14:textId="70621650" w:rsidR="00BA6645" w:rsidRDefault="00BA6645" w:rsidP="000031DC">
      <w:pPr>
        <w:tabs>
          <w:tab w:val="left" w:pos="2265"/>
          <w:tab w:val="left" w:pos="3420"/>
          <w:tab w:val="left" w:pos="4320"/>
        </w:tabs>
        <w:spacing w:before="240"/>
        <w:rPr>
          <w:szCs w:val="24"/>
        </w:rPr>
      </w:pPr>
      <w:r>
        <w:rPr>
          <w:szCs w:val="24"/>
        </w:rPr>
        <w:t xml:space="preserve">ESC noted that the economic model used in Indication 1, a cost utility analysis, produces a high incremental cost-effectiveness ratio (ICER) of $7 million/QALY when only direct evidence of AEs </w:t>
      </w:r>
      <w:proofErr w:type="gramStart"/>
      <w:r>
        <w:rPr>
          <w:szCs w:val="24"/>
        </w:rPr>
        <w:t>is used</w:t>
      </w:r>
      <w:proofErr w:type="gramEnd"/>
      <w:r>
        <w:rPr>
          <w:szCs w:val="24"/>
        </w:rPr>
        <w:t xml:space="preserve"> to inform the model. When estimates of mortality and morbidity associated with sepsis are incorporated, this reduces the ICER to $45,778/QALY, although the accuracy and applicability of this data is uncertain. The ICERs for Indication 1 in the DCAR assume an estimated dose of 230g per patient, which </w:t>
      </w:r>
      <w:proofErr w:type="gramStart"/>
      <w:r>
        <w:rPr>
          <w:szCs w:val="24"/>
        </w:rPr>
        <w:t>was based</w:t>
      </w:r>
      <w:proofErr w:type="gramEnd"/>
      <w:r>
        <w:rPr>
          <w:szCs w:val="24"/>
        </w:rPr>
        <w:t xml:space="preserve"> on an estimated amount of Ig used per indication from NBA summary level da</w:t>
      </w:r>
      <w:r w:rsidR="009F268F">
        <w:rPr>
          <w:szCs w:val="24"/>
        </w:rPr>
        <w:t>ta collected under Criteria V2.</w:t>
      </w:r>
      <w:r>
        <w:rPr>
          <w:szCs w:val="24"/>
        </w:rPr>
        <w:t xml:space="preserve"> When calculated using a dose of 139g per patient, (estimated in Addendum 1 based on NBA data collected for patients initiating Ig therapy under the V3 Criteria) the ICER is lower, at $9,276/QALY. ESC considered that the uncertainty associated with sepsis related AEs in patients treated with PE, together with the model’s sensitivity to this, makes the estimated ICER very uncertain. ESC noted that </w:t>
      </w:r>
      <w:proofErr w:type="gramStart"/>
      <w:r>
        <w:rPr>
          <w:szCs w:val="24"/>
        </w:rPr>
        <w:t>more reliable data</w:t>
      </w:r>
      <w:proofErr w:type="gramEnd"/>
      <w:r>
        <w:rPr>
          <w:szCs w:val="24"/>
        </w:rPr>
        <w:t xml:space="preserve"> were required to better estimate the ICER for indication 1.</w:t>
      </w:r>
    </w:p>
    <w:p w14:paraId="362C0D58" w14:textId="7C80FDED" w:rsidR="00BA6645" w:rsidRDefault="00BA6645" w:rsidP="000031DC">
      <w:pPr>
        <w:tabs>
          <w:tab w:val="left" w:pos="2265"/>
          <w:tab w:val="left" w:pos="3420"/>
          <w:tab w:val="left" w:pos="4320"/>
        </w:tabs>
        <w:spacing w:before="240"/>
        <w:rPr>
          <w:szCs w:val="24"/>
        </w:rPr>
      </w:pPr>
      <w:r w:rsidRPr="00DA7761">
        <w:rPr>
          <w:szCs w:val="24"/>
        </w:rPr>
        <w:t>ESC noted that estimated ICER for Indication 1 are indicative only, and that costs are variable and dependent on future projections for MG cases, duration of use, and remission rates. ESC considered that collecting EQ-5D data would be more reliable than basing the economic model on AE rates and extrapolating utilities from the literature (especially from other conditions).</w:t>
      </w:r>
    </w:p>
    <w:p w14:paraId="5308C953" w14:textId="77777777" w:rsidR="00BA6645" w:rsidRDefault="00BA6645" w:rsidP="00BA6645">
      <w:pPr>
        <w:tabs>
          <w:tab w:val="left" w:pos="2265"/>
          <w:tab w:val="left" w:pos="3420"/>
          <w:tab w:val="left" w:pos="4320"/>
        </w:tabs>
        <w:rPr>
          <w:szCs w:val="24"/>
        </w:rPr>
      </w:pPr>
      <w:r>
        <w:rPr>
          <w:szCs w:val="24"/>
        </w:rPr>
        <w:lastRenderedPageBreak/>
        <w:t xml:space="preserve">ESC noted the lack of available evidence for Indication 2, and that no firm conclusions </w:t>
      </w:r>
      <w:proofErr w:type="gramStart"/>
      <w:r>
        <w:rPr>
          <w:szCs w:val="24"/>
        </w:rPr>
        <w:t>could be made</w:t>
      </w:r>
      <w:proofErr w:type="gramEnd"/>
      <w:r>
        <w:rPr>
          <w:szCs w:val="24"/>
        </w:rPr>
        <w:t xml:space="preserve"> regarding the safety and effectiveness of </w:t>
      </w:r>
      <w:proofErr w:type="spellStart"/>
      <w:r>
        <w:rPr>
          <w:szCs w:val="24"/>
        </w:rPr>
        <w:t>IVIg</w:t>
      </w:r>
      <w:proofErr w:type="spellEnd"/>
      <w:r>
        <w:rPr>
          <w:szCs w:val="24"/>
        </w:rPr>
        <w:t xml:space="preserve"> versus PE. Studies had small patient numbers, </w:t>
      </w:r>
      <w:proofErr w:type="gramStart"/>
      <w:r>
        <w:rPr>
          <w:szCs w:val="24"/>
        </w:rPr>
        <w:t>were possibly confounded</w:t>
      </w:r>
      <w:proofErr w:type="gramEnd"/>
      <w:r>
        <w:rPr>
          <w:szCs w:val="24"/>
        </w:rPr>
        <w:t xml:space="preserve"> by selection bias, and did not have adequate power to make any reliable conclusions.</w:t>
      </w:r>
    </w:p>
    <w:p w14:paraId="5CE750E3" w14:textId="4BFCAC2A" w:rsidR="00BA6645" w:rsidRDefault="00BA6645" w:rsidP="000031DC">
      <w:pPr>
        <w:tabs>
          <w:tab w:val="left" w:pos="2265"/>
          <w:tab w:val="left" w:pos="3420"/>
          <w:tab w:val="left" w:pos="4320"/>
        </w:tabs>
        <w:spacing w:before="240"/>
        <w:rPr>
          <w:szCs w:val="24"/>
        </w:rPr>
      </w:pPr>
      <w:r>
        <w:rPr>
          <w:szCs w:val="24"/>
        </w:rPr>
        <w:t xml:space="preserve">For Indication 2, a cost-minimisation analysis was performed which found PE to be marginally less expensive than </w:t>
      </w:r>
      <w:proofErr w:type="spellStart"/>
      <w:r>
        <w:rPr>
          <w:szCs w:val="24"/>
        </w:rPr>
        <w:t>IVIg</w:t>
      </w:r>
      <w:proofErr w:type="spellEnd"/>
      <w:r>
        <w:rPr>
          <w:szCs w:val="24"/>
        </w:rPr>
        <w:t xml:space="preserve"> for this group of patients. The cost difference for </w:t>
      </w:r>
      <w:proofErr w:type="spellStart"/>
      <w:r>
        <w:rPr>
          <w:szCs w:val="24"/>
        </w:rPr>
        <w:t>IVIg</w:t>
      </w:r>
      <w:proofErr w:type="spellEnd"/>
      <w:r>
        <w:rPr>
          <w:szCs w:val="24"/>
        </w:rPr>
        <w:t xml:space="preserve"> versus PE was $506 based on an assumed dose of 156g in the DCAR, and</w:t>
      </w:r>
      <w:r>
        <w:t xml:space="preserve"> considered small in the context of</w:t>
      </w:r>
      <w:r w:rsidRPr="007D1918">
        <w:t xml:space="preserve"> surgery cost.</w:t>
      </w:r>
      <w:r>
        <w:rPr>
          <w:szCs w:val="24"/>
        </w:rPr>
        <w:t xml:space="preserve"> The cost difference increased to $1,956 when a dose of 180g (from Addendum 1 to the DCAR) </w:t>
      </w:r>
      <w:proofErr w:type="gramStart"/>
      <w:r>
        <w:rPr>
          <w:szCs w:val="24"/>
        </w:rPr>
        <w:t>was used</w:t>
      </w:r>
      <w:proofErr w:type="gramEnd"/>
      <w:r>
        <w:rPr>
          <w:szCs w:val="24"/>
        </w:rPr>
        <w:t>.</w:t>
      </w:r>
    </w:p>
    <w:p w14:paraId="5AE5D3CC" w14:textId="4FDFCE31" w:rsidR="00BA6645" w:rsidRDefault="00BA6645" w:rsidP="000031DC">
      <w:pPr>
        <w:tabs>
          <w:tab w:val="left" w:pos="2265"/>
          <w:tab w:val="left" w:pos="3420"/>
          <w:tab w:val="left" w:pos="4320"/>
        </w:tabs>
        <w:spacing w:before="240"/>
        <w:rPr>
          <w:szCs w:val="24"/>
        </w:rPr>
      </w:pPr>
      <w:r>
        <w:rPr>
          <w:szCs w:val="24"/>
        </w:rPr>
        <w:t xml:space="preserve">Comparators according to the PICO confirmation for Indication 3 included corticosteroids, anticholinesterases, </w:t>
      </w:r>
      <w:proofErr w:type="spellStart"/>
      <w:r>
        <w:rPr>
          <w:szCs w:val="24"/>
        </w:rPr>
        <w:t>immunosuppressants</w:t>
      </w:r>
      <w:proofErr w:type="spellEnd"/>
      <w:r>
        <w:rPr>
          <w:szCs w:val="24"/>
        </w:rPr>
        <w:t xml:space="preserve">, </w:t>
      </w:r>
      <w:proofErr w:type="spellStart"/>
      <w:r>
        <w:rPr>
          <w:szCs w:val="24"/>
        </w:rPr>
        <w:t>immunomodulators</w:t>
      </w:r>
      <w:proofErr w:type="spellEnd"/>
      <w:r>
        <w:rPr>
          <w:szCs w:val="24"/>
        </w:rPr>
        <w:t xml:space="preserve">, PE and </w:t>
      </w:r>
      <w:proofErr w:type="spellStart"/>
      <w:r>
        <w:rPr>
          <w:szCs w:val="24"/>
        </w:rPr>
        <w:t>thymectomy</w:t>
      </w:r>
      <w:proofErr w:type="spellEnd"/>
      <w:r>
        <w:rPr>
          <w:szCs w:val="24"/>
        </w:rPr>
        <w:t xml:space="preserve">. No conclusions </w:t>
      </w:r>
      <w:proofErr w:type="gramStart"/>
      <w:r>
        <w:rPr>
          <w:szCs w:val="24"/>
        </w:rPr>
        <w:t>could be made</w:t>
      </w:r>
      <w:proofErr w:type="gramEnd"/>
      <w:r>
        <w:rPr>
          <w:szCs w:val="24"/>
        </w:rPr>
        <w:t xml:space="preserve"> regarding the comparative safety and effectiveness of </w:t>
      </w:r>
      <w:proofErr w:type="spellStart"/>
      <w:r>
        <w:rPr>
          <w:szCs w:val="24"/>
        </w:rPr>
        <w:t>IVIg</w:t>
      </w:r>
      <w:proofErr w:type="spellEnd"/>
      <w:r>
        <w:rPr>
          <w:szCs w:val="24"/>
        </w:rPr>
        <w:t xml:space="preserve"> versus any of these treatments, except PE. Three randomised controlled trials (RCTs) used the </w:t>
      </w:r>
      <w:r w:rsidRPr="00FD1ECD">
        <w:rPr>
          <w:szCs w:val="24"/>
        </w:rPr>
        <w:t>quantitative myasthenia gravis score (QMGS)</w:t>
      </w:r>
      <w:r>
        <w:rPr>
          <w:szCs w:val="24"/>
        </w:rPr>
        <w:t xml:space="preserve"> as an outcome measure and showed similar improvements between PE and </w:t>
      </w:r>
      <w:proofErr w:type="spellStart"/>
      <w:r>
        <w:rPr>
          <w:szCs w:val="24"/>
        </w:rPr>
        <w:t>IVIg</w:t>
      </w:r>
      <w:proofErr w:type="spellEnd"/>
      <w:r>
        <w:rPr>
          <w:szCs w:val="24"/>
        </w:rPr>
        <w:t>, and no difference in quality of life (</w:t>
      </w:r>
      <w:proofErr w:type="spellStart"/>
      <w:r>
        <w:rPr>
          <w:szCs w:val="24"/>
        </w:rPr>
        <w:t>QoL</w:t>
      </w:r>
      <w:proofErr w:type="spellEnd"/>
      <w:r>
        <w:rPr>
          <w:szCs w:val="24"/>
        </w:rPr>
        <w:t xml:space="preserve">) scores. ESC considered the conclusion of non-inferior safety and effectiveness of </w:t>
      </w:r>
      <w:proofErr w:type="spellStart"/>
      <w:r>
        <w:rPr>
          <w:szCs w:val="24"/>
        </w:rPr>
        <w:t>IVIg</w:t>
      </w:r>
      <w:proofErr w:type="spellEnd"/>
      <w:r>
        <w:rPr>
          <w:szCs w:val="24"/>
        </w:rPr>
        <w:t xml:space="preserve"> compared to PE in this population to be reasonable based on the available evidence.</w:t>
      </w:r>
    </w:p>
    <w:p w14:paraId="638E8BE5" w14:textId="5E9358BA" w:rsidR="00BA6645" w:rsidRDefault="00BA6645" w:rsidP="000031DC">
      <w:pPr>
        <w:tabs>
          <w:tab w:val="left" w:pos="2265"/>
          <w:tab w:val="left" w:pos="3420"/>
          <w:tab w:val="left" w:pos="4320"/>
        </w:tabs>
        <w:spacing w:before="240"/>
        <w:rPr>
          <w:szCs w:val="24"/>
        </w:rPr>
      </w:pPr>
      <w:r w:rsidRPr="00D26B85">
        <w:rPr>
          <w:szCs w:val="24"/>
        </w:rPr>
        <w:t xml:space="preserve">Studies comparing the comparative safety and effectiveness of </w:t>
      </w:r>
      <w:proofErr w:type="spellStart"/>
      <w:r w:rsidRPr="00D26B85">
        <w:rPr>
          <w:szCs w:val="24"/>
        </w:rPr>
        <w:t>IVIg</w:t>
      </w:r>
      <w:proofErr w:type="spellEnd"/>
      <w:r w:rsidRPr="00D26B85">
        <w:rPr>
          <w:szCs w:val="24"/>
        </w:rPr>
        <w:t xml:space="preserve"> to placebo were of low quality and found either no difference, or non-significant differences between the two groups.</w:t>
      </w:r>
    </w:p>
    <w:p w14:paraId="1D750905" w14:textId="30539215" w:rsidR="00BA6645" w:rsidRDefault="00BA6645" w:rsidP="000031DC">
      <w:pPr>
        <w:tabs>
          <w:tab w:val="left" w:pos="2265"/>
          <w:tab w:val="left" w:pos="3420"/>
          <w:tab w:val="left" w:pos="4320"/>
        </w:tabs>
        <w:spacing w:before="240"/>
        <w:rPr>
          <w:szCs w:val="24"/>
        </w:rPr>
      </w:pPr>
      <w:r>
        <w:rPr>
          <w:szCs w:val="24"/>
        </w:rPr>
        <w:t xml:space="preserve">For Indication 3, non-comparative cost analyses were presented over varying time horizons (one, </w:t>
      </w:r>
      <w:proofErr w:type="gramStart"/>
      <w:r>
        <w:rPr>
          <w:szCs w:val="24"/>
        </w:rPr>
        <w:t>five</w:t>
      </w:r>
      <w:proofErr w:type="gramEnd"/>
      <w:r>
        <w:rPr>
          <w:szCs w:val="24"/>
        </w:rPr>
        <w:t xml:space="preserve">, and 10 years). ESC noted that the age of patients at the start of the time horizon is 66 years, which </w:t>
      </w:r>
      <w:proofErr w:type="gramStart"/>
      <w:r>
        <w:rPr>
          <w:szCs w:val="24"/>
        </w:rPr>
        <w:t>is based</w:t>
      </w:r>
      <w:proofErr w:type="gramEnd"/>
      <w:r>
        <w:rPr>
          <w:szCs w:val="24"/>
        </w:rPr>
        <w:t xml:space="preserve"> on NBA data on the average patient age. This is much older than the reported age of MG onset as described in the DCAR for women and men, being 28 and 42 years, respectively. ESC considered it is possible that younger patients would try other therapies first, before initiating treatment with </w:t>
      </w:r>
      <w:proofErr w:type="spellStart"/>
      <w:r>
        <w:rPr>
          <w:szCs w:val="24"/>
        </w:rPr>
        <w:t>IVIg</w:t>
      </w:r>
      <w:proofErr w:type="spellEnd"/>
      <w:r>
        <w:rPr>
          <w:szCs w:val="24"/>
        </w:rPr>
        <w:t>.</w:t>
      </w:r>
    </w:p>
    <w:p w14:paraId="3286AE04" w14:textId="0547FF5F" w:rsidR="00BA6645" w:rsidRDefault="00BA6645" w:rsidP="000031DC">
      <w:pPr>
        <w:tabs>
          <w:tab w:val="left" w:pos="2265"/>
          <w:tab w:val="left" w:pos="3420"/>
          <w:tab w:val="left" w:pos="4320"/>
        </w:tabs>
        <w:spacing w:before="240"/>
        <w:rPr>
          <w:szCs w:val="24"/>
        </w:rPr>
      </w:pPr>
      <w:r w:rsidRPr="00DA7761">
        <w:rPr>
          <w:szCs w:val="24"/>
        </w:rPr>
        <w:t>ESC noted some translation issues, such as the applicability of data from other studies, and issues with extrapolation including the appropriate time horizon for Indication 3.</w:t>
      </w:r>
    </w:p>
    <w:p w14:paraId="58A94648" w14:textId="6F6F432B" w:rsidR="00BA6645" w:rsidRDefault="00BA6645" w:rsidP="000031DC">
      <w:pPr>
        <w:tabs>
          <w:tab w:val="left" w:pos="2265"/>
          <w:tab w:val="left" w:pos="3420"/>
          <w:tab w:val="left" w:pos="4320"/>
        </w:tabs>
        <w:spacing w:before="240"/>
        <w:rPr>
          <w:szCs w:val="24"/>
        </w:rPr>
      </w:pPr>
      <w:r>
        <w:rPr>
          <w:szCs w:val="24"/>
        </w:rPr>
        <w:t xml:space="preserve">An exploratory cost-utility analysis  comparing low and high dose </w:t>
      </w:r>
      <w:proofErr w:type="spellStart"/>
      <w:r>
        <w:rPr>
          <w:szCs w:val="24"/>
        </w:rPr>
        <w:t>IVIg</w:t>
      </w:r>
      <w:proofErr w:type="spellEnd"/>
      <w:r>
        <w:rPr>
          <w:szCs w:val="24"/>
        </w:rPr>
        <w:t xml:space="preserve"> with low and high dose PE yielded ICERs ranging between ‘dominant’, through to $18 million/QALY, however ESC considered these to be based on very uncertain evidence and not conclusive. Overall, ESC considered that the evidence for comparative effectiveness was low and the costs were uncertain and dependent on the AEs included.</w:t>
      </w:r>
    </w:p>
    <w:p w14:paraId="45F5A546" w14:textId="0D57EE52" w:rsidR="00BA6645" w:rsidRPr="00DA7761" w:rsidRDefault="00BA6645" w:rsidP="000031DC">
      <w:pPr>
        <w:tabs>
          <w:tab w:val="left" w:pos="2265"/>
          <w:tab w:val="left" w:pos="3420"/>
          <w:tab w:val="left" w:pos="4320"/>
        </w:tabs>
        <w:spacing w:before="240"/>
        <w:rPr>
          <w:szCs w:val="24"/>
        </w:rPr>
      </w:pPr>
      <w:r w:rsidRPr="00DA7761">
        <w:rPr>
          <w:szCs w:val="24"/>
        </w:rPr>
        <w:t xml:space="preserve">In addition, </w:t>
      </w:r>
      <w:r w:rsidRPr="00FD1ECD">
        <w:rPr>
          <w:szCs w:val="24"/>
        </w:rPr>
        <w:t xml:space="preserve">further data on patterns of </w:t>
      </w:r>
      <w:proofErr w:type="spellStart"/>
      <w:r w:rsidRPr="00FD1ECD">
        <w:rPr>
          <w:szCs w:val="24"/>
        </w:rPr>
        <w:t>IVIg</w:t>
      </w:r>
      <w:proofErr w:type="spellEnd"/>
      <w:r w:rsidRPr="00FD1ECD">
        <w:rPr>
          <w:szCs w:val="24"/>
        </w:rPr>
        <w:t xml:space="preserve"> use in chronic MG treatment, such as treatment discontinuation, trials off therapy, tapering of Ig dose and average Ig doses used for maintenance treatment </w:t>
      </w:r>
      <w:proofErr w:type="gramStart"/>
      <w:r w:rsidRPr="00FD1ECD">
        <w:rPr>
          <w:szCs w:val="24"/>
        </w:rPr>
        <w:t>could be used</w:t>
      </w:r>
      <w:proofErr w:type="gramEnd"/>
      <w:r w:rsidRPr="00FD1ECD">
        <w:rPr>
          <w:szCs w:val="24"/>
        </w:rPr>
        <w:t xml:space="preserve"> to inform the model.</w:t>
      </w:r>
    </w:p>
    <w:p w14:paraId="4B486677" w14:textId="551A4B68" w:rsidR="00BA6645" w:rsidRDefault="00BA6645" w:rsidP="000031DC">
      <w:pPr>
        <w:tabs>
          <w:tab w:val="left" w:pos="2265"/>
          <w:tab w:val="left" w:pos="3420"/>
          <w:tab w:val="left" w:pos="4320"/>
        </w:tabs>
        <w:spacing w:before="240"/>
        <w:rPr>
          <w:szCs w:val="24"/>
        </w:rPr>
      </w:pPr>
      <w:r>
        <w:rPr>
          <w:szCs w:val="24"/>
        </w:rPr>
        <w:t xml:space="preserve">Using a market-based approach, the DCAR estimated a total cost to government for Ig treatment of MG of approximately $236 million over the 5 year projected period to 2024. ESC considered the net costs to be substantial, assuming the inputs are correct. ESC noted that these projections include all three MG indications, and considered that looking at the budget impact for each indication may allow prioritisation. However, new data </w:t>
      </w:r>
      <w:proofErr w:type="gramStart"/>
      <w:r>
        <w:rPr>
          <w:szCs w:val="24"/>
        </w:rPr>
        <w:t>would be needed</w:t>
      </w:r>
      <w:proofErr w:type="gramEnd"/>
      <w:r>
        <w:rPr>
          <w:szCs w:val="24"/>
        </w:rPr>
        <w:t xml:space="preserve"> to inform this.</w:t>
      </w:r>
    </w:p>
    <w:p w14:paraId="2C8EAAA0" w14:textId="5FEDC85F" w:rsidR="00BA6645" w:rsidRDefault="00BA6645" w:rsidP="000031DC">
      <w:pPr>
        <w:tabs>
          <w:tab w:val="left" w:pos="2265"/>
          <w:tab w:val="left" w:pos="3420"/>
          <w:tab w:val="left" w:pos="4320"/>
        </w:tabs>
        <w:spacing w:before="240"/>
        <w:rPr>
          <w:szCs w:val="24"/>
        </w:rPr>
      </w:pPr>
      <w:r w:rsidRPr="009C5B00">
        <w:rPr>
          <w:szCs w:val="24"/>
        </w:rPr>
        <w:t xml:space="preserve">ESC considered comments from stakeholders including revisions to the algorithm for Indication 3 that </w:t>
      </w:r>
      <w:proofErr w:type="gramStart"/>
      <w:r w:rsidRPr="009C5B00">
        <w:rPr>
          <w:szCs w:val="24"/>
        </w:rPr>
        <w:t>was submitted</w:t>
      </w:r>
      <w:proofErr w:type="gramEnd"/>
      <w:r w:rsidRPr="009C5B00">
        <w:rPr>
          <w:szCs w:val="24"/>
        </w:rPr>
        <w:t xml:space="preserve"> by one sponsor, and sponsor comments on the appropriate price to be used in the model. However, ESC did not consider these </w:t>
      </w:r>
      <w:r>
        <w:rPr>
          <w:szCs w:val="24"/>
        </w:rPr>
        <w:t>suggestions would</w:t>
      </w:r>
      <w:r w:rsidRPr="009C5B00">
        <w:rPr>
          <w:szCs w:val="24"/>
        </w:rPr>
        <w:t xml:space="preserve"> m</w:t>
      </w:r>
      <w:r>
        <w:rPr>
          <w:szCs w:val="24"/>
        </w:rPr>
        <w:t>ak</w:t>
      </w:r>
      <w:r w:rsidRPr="009C5B00">
        <w:rPr>
          <w:szCs w:val="24"/>
        </w:rPr>
        <w:t xml:space="preserve">e </w:t>
      </w:r>
      <w:r w:rsidRPr="009C5B00">
        <w:rPr>
          <w:szCs w:val="24"/>
        </w:rPr>
        <w:lastRenderedPageBreak/>
        <w:t>a meaningful difference</w:t>
      </w:r>
      <w:r>
        <w:rPr>
          <w:szCs w:val="24"/>
        </w:rPr>
        <w:t xml:space="preserve"> to the overall economic and financial estimates, and noted that </w:t>
      </w:r>
      <w:proofErr w:type="gramStart"/>
      <w:r>
        <w:rPr>
          <w:szCs w:val="24"/>
        </w:rPr>
        <w:t>a range of prices for Ig were</w:t>
      </w:r>
      <w:proofErr w:type="gramEnd"/>
      <w:r>
        <w:rPr>
          <w:szCs w:val="24"/>
        </w:rPr>
        <w:t xml:space="preserve"> modelled in sensitivity analyses</w:t>
      </w:r>
      <w:r w:rsidRPr="009C5B00">
        <w:rPr>
          <w:szCs w:val="24"/>
        </w:rPr>
        <w:t>.</w:t>
      </w:r>
    </w:p>
    <w:p w14:paraId="137E4103" w14:textId="3E4FF2EB" w:rsidR="00BA6645" w:rsidRDefault="00BA6645" w:rsidP="000031DC">
      <w:pPr>
        <w:tabs>
          <w:tab w:val="left" w:pos="2265"/>
          <w:tab w:val="left" w:pos="3420"/>
          <w:tab w:val="left" w:pos="4320"/>
        </w:tabs>
        <w:spacing w:before="240"/>
        <w:rPr>
          <w:szCs w:val="24"/>
        </w:rPr>
      </w:pPr>
      <w:r>
        <w:rPr>
          <w:szCs w:val="24"/>
        </w:rPr>
        <w:t xml:space="preserve">Overall, ESC considered the available clinical evidence to be limited and that more data on Ig use and disease remission </w:t>
      </w:r>
      <w:proofErr w:type="gramStart"/>
      <w:r>
        <w:rPr>
          <w:szCs w:val="24"/>
        </w:rPr>
        <w:t>would be needed</w:t>
      </w:r>
      <w:proofErr w:type="gramEnd"/>
      <w:r>
        <w:rPr>
          <w:szCs w:val="24"/>
        </w:rPr>
        <w:t xml:space="preserve"> to inform any further economic evaluation. </w:t>
      </w:r>
      <w:r w:rsidRPr="00865150">
        <w:rPr>
          <w:szCs w:val="24"/>
        </w:rPr>
        <w:t xml:space="preserve">A future model to examine cost-effectiveness of </w:t>
      </w:r>
      <w:proofErr w:type="spellStart"/>
      <w:r w:rsidRPr="00865150">
        <w:rPr>
          <w:szCs w:val="24"/>
        </w:rPr>
        <w:t>SCIg</w:t>
      </w:r>
      <w:proofErr w:type="spellEnd"/>
      <w:r w:rsidRPr="00865150">
        <w:rPr>
          <w:szCs w:val="24"/>
        </w:rPr>
        <w:t xml:space="preserve"> would need to consider costs associated with patient/carer training </w:t>
      </w:r>
      <w:r>
        <w:rPr>
          <w:szCs w:val="24"/>
        </w:rPr>
        <w:t xml:space="preserve">and education </w:t>
      </w:r>
      <w:r w:rsidRPr="00865150">
        <w:rPr>
          <w:szCs w:val="24"/>
        </w:rPr>
        <w:t>programs, but reduced hospital care costs.</w:t>
      </w:r>
      <w:r>
        <w:rPr>
          <w:szCs w:val="24"/>
        </w:rPr>
        <w:t xml:space="preserve"> </w:t>
      </w:r>
    </w:p>
    <w:p w14:paraId="648070CC" w14:textId="4D6E0585" w:rsidR="00BA6645" w:rsidRDefault="00BA6645" w:rsidP="000031DC">
      <w:pPr>
        <w:tabs>
          <w:tab w:val="left" w:pos="2265"/>
          <w:tab w:val="left" w:pos="3420"/>
          <w:tab w:val="left" w:pos="4320"/>
        </w:tabs>
        <w:spacing w:before="240"/>
        <w:rPr>
          <w:szCs w:val="24"/>
        </w:rPr>
      </w:pPr>
      <w:r>
        <w:rPr>
          <w:szCs w:val="24"/>
        </w:rPr>
        <w:t xml:space="preserve">Current collection of </w:t>
      </w:r>
      <w:proofErr w:type="spellStart"/>
      <w:r>
        <w:rPr>
          <w:szCs w:val="24"/>
        </w:rPr>
        <w:t>BloodSTAR</w:t>
      </w:r>
      <w:proofErr w:type="spellEnd"/>
      <w:r>
        <w:rPr>
          <w:szCs w:val="24"/>
        </w:rPr>
        <w:t xml:space="preserve"> data should continue, but there could be a greater focus on Indication 3, which represents the highest proportion of Ig use. </w:t>
      </w:r>
      <w:r w:rsidRPr="00FD1ECD">
        <w:rPr>
          <w:szCs w:val="24"/>
        </w:rPr>
        <w:t xml:space="preserve">ESC considered that more data was required on utilisation (including use of ideal or actual body weight to determine Ig dose), frequency of AEs, and how reviews for treatment continuation </w:t>
      </w:r>
      <w:proofErr w:type="gramStart"/>
      <w:r w:rsidRPr="00FD1ECD">
        <w:rPr>
          <w:szCs w:val="24"/>
        </w:rPr>
        <w:t>are performed</w:t>
      </w:r>
      <w:proofErr w:type="gramEnd"/>
      <w:r w:rsidRPr="00FD1ECD">
        <w:rPr>
          <w:szCs w:val="24"/>
        </w:rPr>
        <w:t xml:space="preserve">. ESC queried the level of data that </w:t>
      </w:r>
      <w:proofErr w:type="gramStart"/>
      <w:r w:rsidRPr="00FD1ECD">
        <w:rPr>
          <w:szCs w:val="24"/>
        </w:rPr>
        <w:t xml:space="preserve">is collected on eligibility for access to initial and continuing treatment for MG under Indication 3 and noted that the text fields in </w:t>
      </w:r>
      <w:proofErr w:type="spellStart"/>
      <w:r w:rsidRPr="00FD1ECD">
        <w:rPr>
          <w:szCs w:val="24"/>
        </w:rPr>
        <w:t>BloodSTAR</w:t>
      </w:r>
      <w:proofErr w:type="spellEnd"/>
      <w:r w:rsidRPr="00FD1ECD">
        <w:rPr>
          <w:szCs w:val="24"/>
        </w:rPr>
        <w:t xml:space="preserve"> were non-compulsory</w:t>
      </w:r>
      <w:proofErr w:type="gramEnd"/>
      <w:r w:rsidRPr="00FD1ECD">
        <w:rPr>
          <w:szCs w:val="24"/>
        </w:rPr>
        <w:t>. ESC considered that it was important to ensure an appropriate balance between the administrative burden associated with data collection and ensuring appropriate clinical governance.</w:t>
      </w:r>
    </w:p>
    <w:p w14:paraId="38528016" w14:textId="5AD1C786" w:rsidR="00BA6645" w:rsidRDefault="00BA6645" w:rsidP="000031DC">
      <w:pPr>
        <w:tabs>
          <w:tab w:val="left" w:pos="2265"/>
          <w:tab w:val="left" w:pos="3420"/>
          <w:tab w:val="left" w:pos="4320"/>
        </w:tabs>
        <w:spacing w:before="240"/>
        <w:rPr>
          <w:szCs w:val="24"/>
        </w:rPr>
      </w:pPr>
      <w:r>
        <w:rPr>
          <w:szCs w:val="24"/>
        </w:rPr>
        <w:t xml:space="preserve">ESC considered that for patients in Indications 1 and 2, any treatment shown to be non-inferior </w:t>
      </w:r>
      <w:proofErr w:type="gramStart"/>
      <w:r>
        <w:rPr>
          <w:szCs w:val="24"/>
        </w:rPr>
        <w:t>should be made</w:t>
      </w:r>
      <w:proofErr w:type="gramEnd"/>
      <w:r>
        <w:rPr>
          <w:szCs w:val="24"/>
        </w:rPr>
        <w:t xml:space="preserve"> available. ESC noted that limited access to PE is a concern, and therefore restricting access to </w:t>
      </w:r>
      <w:proofErr w:type="spellStart"/>
      <w:r>
        <w:rPr>
          <w:szCs w:val="24"/>
        </w:rPr>
        <w:t>IVIg</w:t>
      </w:r>
      <w:proofErr w:type="spellEnd"/>
      <w:r>
        <w:rPr>
          <w:szCs w:val="24"/>
        </w:rPr>
        <w:t xml:space="preserve"> for MG patients may cause harm to patients and raise issues of inequity.</w:t>
      </w:r>
    </w:p>
    <w:p w14:paraId="769AF060" w14:textId="678F6096" w:rsidR="00BA6645" w:rsidRPr="00BA6645" w:rsidRDefault="00BA6645" w:rsidP="000031DC">
      <w:pPr>
        <w:tabs>
          <w:tab w:val="left" w:pos="2265"/>
          <w:tab w:val="left" w:pos="3420"/>
          <w:tab w:val="left" w:pos="4320"/>
        </w:tabs>
        <w:spacing w:before="240"/>
        <w:rPr>
          <w:szCs w:val="24"/>
        </w:rPr>
      </w:pPr>
      <w:proofErr w:type="gramStart"/>
      <w:r>
        <w:rPr>
          <w:szCs w:val="24"/>
        </w:rPr>
        <w:t xml:space="preserve">ESC also noted the DCAR’s consideration of the use of rituximab for patients with MG and considered that it may ease the use of </w:t>
      </w:r>
      <w:proofErr w:type="spellStart"/>
      <w:r>
        <w:rPr>
          <w:szCs w:val="24"/>
        </w:rPr>
        <w:t>IVIg</w:t>
      </w:r>
      <w:proofErr w:type="spellEnd"/>
      <w:r>
        <w:rPr>
          <w:szCs w:val="24"/>
        </w:rPr>
        <w:t>, although there are currently no comparative studies and Ig</w:t>
      </w:r>
      <w:r w:rsidR="00AE166B">
        <w:rPr>
          <w:szCs w:val="24"/>
        </w:rPr>
        <w:t xml:space="preserve"> is not PBS subsidised for MG. </w:t>
      </w:r>
      <w:r>
        <w:rPr>
          <w:szCs w:val="24"/>
        </w:rPr>
        <w:t xml:space="preserve">ESC noted that the V3 Criteria did not require clinicians to have considered </w:t>
      </w:r>
      <w:proofErr w:type="spellStart"/>
      <w:r>
        <w:rPr>
          <w:szCs w:val="24"/>
        </w:rPr>
        <w:t>thymectomy</w:t>
      </w:r>
      <w:proofErr w:type="spellEnd"/>
      <w:r>
        <w:rPr>
          <w:szCs w:val="24"/>
        </w:rPr>
        <w:t>, but assumed that this would be part of standard practice.</w:t>
      </w:r>
      <w:proofErr w:type="gramEnd"/>
      <w:r>
        <w:rPr>
          <w:szCs w:val="24"/>
        </w:rPr>
        <w:t xml:space="preserve"> </w:t>
      </w:r>
    </w:p>
    <w:p w14:paraId="31049015" w14:textId="77777777" w:rsidR="00111108" w:rsidRPr="00F715D1" w:rsidRDefault="00111108" w:rsidP="00111108">
      <w:pPr>
        <w:pStyle w:val="Heading1"/>
      </w:pPr>
      <w:r w:rsidRPr="00F715D1">
        <w:t>Other significant factors</w:t>
      </w:r>
    </w:p>
    <w:p w14:paraId="17183D30" w14:textId="335D3A8A" w:rsidR="00111108" w:rsidRPr="00F3484B" w:rsidRDefault="00F3484B" w:rsidP="00111108">
      <w:pPr>
        <w:spacing w:after="240"/>
        <w:rPr>
          <w:szCs w:val="24"/>
        </w:rPr>
      </w:pPr>
      <w:r w:rsidRPr="00F3484B">
        <w:rPr>
          <w:szCs w:val="24"/>
        </w:rPr>
        <w:t>Nil</w:t>
      </w:r>
    </w:p>
    <w:p w14:paraId="17F01FD3" w14:textId="77777777" w:rsidR="00111108" w:rsidRPr="00F715D1" w:rsidRDefault="00111108" w:rsidP="00111108">
      <w:pPr>
        <w:pStyle w:val="Heading1"/>
      </w:pPr>
      <w:r>
        <w:t>Applicant</w:t>
      </w:r>
      <w:r w:rsidRPr="00F715D1">
        <w:t xml:space="preserve"> comments on MSAC’s Public Summary Document</w:t>
      </w:r>
    </w:p>
    <w:p w14:paraId="6C61B663" w14:textId="0EB460B7" w:rsidR="006972DD" w:rsidRPr="00BD20BA" w:rsidRDefault="006972DD" w:rsidP="00111108">
      <w:pPr>
        <w:spacing w:after="240"/>
        <w:rPr>
          <w:color w:val="000000" w:themeColor="text1"/>
          <w:szCs w:val="24"/>
        </w:rPr>
      </w:pPr>
      <w:r w:rsidRPr="00BD20BA">
        <w:rPr>
          <w:color w:val="000000" w:themeColor="text1"/>
          <w:szCs w:val="24"/>
        </w:rPr>
        <w:t xml:space="preserve">The National Blood Authority appreciates MSAC’s recommendations and agrees that data should continue to be collected on the patterns of use of Ig therapy, particularly for maintenance therapy. The ability of </w:t>
      </w:r>
      <w:proofErr w:type="spellStart"/>
      <w:r w:rsidRPr="00BD20BA">
        <w:rPr>
          <w:color w:val="000000" w:themeColor="text1"/>
          <w:szCs w:val="24"/>
        </w:rPr>
        <w:t>BloodSTAR</w:t>
      </w:r>
      <w:proofErr w:type="spellEnd"/>
      <w:r w:rsidRPr="00BD20BA">
        <w:rPr>
          <w:color w:val="000000" w:themeColor="text1"/>
          <w:szCs w:val="24"/>
        </w:rPr>
        <w:t xml:space="preserve">, and/or other sources, to capture long-term health benefits in this group </w:t>
      </w:r>
      <w:proofErr w:type="gramStart"/>
      <w:r w:rsidRPr="00BD20BA">
        <w:rPr>
          <w:color w:val="000000" w:themeColor="text1"/>
          <w:szCs w:val="24"/>
        </w:rPr>
        <w:t>will be considered</w:t>
      </w:r>
      <w:proofErr w:type="gramEnd"/>
      <w:r w:rsidR="00EA3504" w:rsidRPr="00BD20BA">
        <w:rPr>
          <w:color w:val="000000" w:themeColor="text1"/>
          <w:szCs w:val="24"/>
        </w:rPr>
        <w:t xml:space="preserve"> and prescriber compliance to the V3 Criteria will continue to be monitored through the Ig Governance Program.</w:t>
      </w:r>
      <w:r w:rsidRPr="00BD20BA">
        <w:rPr>
          <w:color w:val="000000" w:themeColor="text1"/>
          <w:szCs w:val="24"/>
        </w:rPr>
        <w:t xml:space="preserve"> This review has occurred immediately following the transition from Version 2 to Version 3 of the Criteria for </w:t>
      </w:r>
      <w:r w:rsidR="00EA3504" w:rsidRPr="00BD20BA">
        <w:rPr>
          <w:color w:val="000000" w:themeColor="text1"/>
          <w:szCs w:val="24"/>
        </w:rPr>
        <w:t xml:space="preserve">Clinical Use of </w:t>
      </w:r>
      <w:r w:rsidRPr="00BD20BA">
        <w:rPr>
          <w:color w:val="000000" w:themeColor="text1"/>
          <w:szCs w:val="24"/>
        </w:rPr>
        <w:t xml:space="preserve">Immunoglobulin in Australia. An important addition to Version 3 of the Criteria was to </w:t>
      </w:r>
      <w:r w:rsidR="00EA3504" w:rsidRPr="00BD20BA">
        <w:rPr>
          <w:color w:val="000000" w:themeColor="text1"/>
          <w:szCs w:val="24"/>
        </w:rPr>
        <w:t>provide</w:t>
      </w:r>
      <w:r w:rsidRPr="00BD20BA">
        <w:rPr>
          <w:color w:val="000000" w:themeColor="text1"/>
          <w:szCs w:val="24"/>
        </w:rPr>
        <w:t xml:space="preserve"> greater guidance for prescribers as to when a patient may be ready to trial off Ig therapy. The effect of changes to the Criteria are only now being seen in the data, with a material and encouraging reduction in the</w:t>
      </w:r>
      <w:r w:rsidR="00EA3504" w:rsidRPr="00BD20BA">
        <w:rPr>
          <w:color w:val="000000" w:themeColor="text1"/>
          <w:szCs w:val="24"/>
        </w:rPr>
        <w:t xml:space="preserve"> overall</w:t>
      </w:r>
      <w:r w:rsidRPr="00BD20BA">
        <w:rPr>
          <w:color w:val="000000" w:themeColor="text1"/>
          <w:szCs w:val="24"/>
        </w:rPr>
        <w:t xml:space="preserve"> rate of growth of Ig use now becoming apparent</w:t>
      </w:r>
      <w:r w:rsidR="00EA3504" w:rsidRPr="00BD20BA">
        <w:rPr>
          <w:color w:val="000000" w:themeColor="text1"/>
          <w:szCs w:val="24"/>
        </w:rPr>
        <w:t>ly</w:t>
      </w:r>
      <w:r w:rsidRPr="00BD20BA">
        <w:rPr>
          <w:color w:val="000000" w:themeColor="text1"/>
          <w:szCs w:val="24"/>
        </w:rPr>
        <w:t xml:space="preserve"> visible. The Criteria will continue to </w:t>
      </w:r>
      <w:proofErr w:type="gramStart"/>
      <w:r w:rsidRPr="00BD20BA">
        <w:rPr>
          <w:color w:val="000000" w:themeColor="text1"/>
          <w:szCs w:val="24"/>
        </w:rPr>
        <w:t>be reviewed</w:t>
      </w:r>
      <w:proofErr w:type="gramEnd"/>
      <w:r w:rsidRPr="00BD20BA">
        <w:rPr>
          <w:color w:val="000000" w:themeColor="text1"/>
          <w:szCs w:val="24"/>
        </w:rPr>
        <w:t xml:space="preserve"> on both a reactive and proactive basis, based on available evidence and clinical expert advice, to ensure the supply of Ig continues for those patients who benefit from it the most. Furthermore, the NBA plans to continue to undertake and support research into the effectiveness and utilisation of Ig, of which these recommendations will assist to prioritise.</w:t>
      </w:r>
      <w:r w:rsidR="00F11E2A" w:rsidRPr="00BD20BA">
        <w:rPr>
          <w:color w:val="000000" w:themeColor="text1"/>
          <w:szCs w:val="24"/>
        </w:rPr>
        <w:t xml:space="preserve"> </w:t>
      </w:r>
      <w:proofErr w:type="gramStart"/>
      <w:r w:rsidR="00F11E2A" w:rsidRPr="00BD20BA">
        <w:rPr>
          <w:color w:val="000000" w:themeColor="text1"/>
          <w:szCs w:val="24"/>
        </w:rPr>
        <w:t>The NBA negotiates prices of Ig through tendering processes and will continue to strive to achieve the best prices for governments within existing limitations.</w:t>
      </w:r>
      <w:proofErr w:type="gramEnd"/>
    </w:p>
    <w:p w14:paraId="42E81778" w14:textId="77777777" w:rsidR="00111108" w:rsidRPr="00F715D1" w:rsidRDefault="00111108" w:rsidP="00111108">
      <w:pPr>
        <w:pStyle w:val="Heading1"/>
      </w:pPr>
      <w:r w:rsidRPr="00F715D1">
        <w:lastRenderedPageBreak/>
        <w:t>Further information on MSAC</w:t>
      </w:r>
    </w:p>
    <w:p w14:paraId="1351E1EE" w14:textId="6AA82D14" w:rsidR="00280050" w:rsidRPr="006E0F91" w:rsidRDefault="00111108" w:rsidP="006E0F91">
      <w:pPr>
        <w:spacing w:after="240"/>
        <w:rPr>
          <w:szCs w:val="24"/>
        </w:rPr>
      </w:pPr>
      <w:r w:rsidRPr="00F715D1">
        <w:rPr>
          <w:szCs w:val="24"/>
        </w:rPr>
        <w:t xml:space="preserve">MSAC Terms of Reference and other information are available on the MSAC Website: </w:t>
      </w:r>
      <w:r>
        <w:rPr>
          <w:szCs w:val="24"/>
        </w:rPr>
        <w:br/>
      </w:r>
      <w:hyperlink r:id="rId13" w:tooltip="Link to Medical Services Advisory Committee website" w:history="1">
        <w:r w:rsidRPr="00F715D1">
          <w:rPr>
            <w:rStyle w:val="Hyperlink"/>
            <w:szCs w:val="24"/>
          </w:rPr>
          <w:t>visit the MSAC website</w:t>
        </w:r>
      </w:hyperlink>
    </w:p>
    <w:sectPr w:rsidR="00280050" w:rsidRPr="006E0F91" w:rsidSect="00BA6645">
      <w:headerReference w:type="even" r:id="rId14"/>
      <w:headerReference w:type="default" r:id="rId15"/>
      <w:footerReference w:type="even" r:id="rId16"/>
      <w:footerReference w:type="default" r:id="rId17"/>
      <w:headerReference w:type="first" r:id="rId18"/>
      <w:footerReference w:type="first" r:id="rId19"/>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5EB65" w16cex:dateUtc="2020-05-24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32EDC8" w16cid:durableId="2275E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A92A" w14:textId="77777777" w:rsidR="006B3038" w:rsidRDefault="006B3038">
      <w:r>
        <w:separator/>
      </w:r>
    </w:p>
  </w:endnote>
  <w:endnote w:type="continuationSeparator" w:id="0">
    <w:p w14:paraId="2A42BA30" w14:textId="77777777" w:rsidR="006B3038" w:rsidRDefault="006B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0282D" w14:textId="77777777" w:rsidR="000252E0" w:rsidRDefault="00025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29D70ABF" w14:textId="46E05B03" w:rsidR="006B3038" w:rsidRDefault="006B3038">
        <w:pPr>
          <w:pStyle w:val="Footer"/>
          <w:jc w:val="right"/>
        </w:pPr>
        <w:r>
          <w:fldChar w:fldCharType="begin"/>
        </w:r>
        <w:r>
          <w:instrText xml:space="preserve"> PAGE   \* MERGEFORMAT </w:instrText>
        </w:r>
        <w:r>
          <w:fldChar w:fldCharType="separate"/>
        </w:r>
        <w:r w:rsidR="00D0027F">
          <w:rPr>
            <w:noProof/>
          </w:rPr>
          <w:t>27</w:t>
        </w:r>
        <w:r>
          <w:rPr>
            <w:noProof/>
          </w:rPr>
          <w:fldChar w:fldCharType="end"/>
        </w:r>
      </w:p>
    </w:sdtContent>
  </w:sdt>
  <w:p w14:paraId="39C41216" w14:textId="77777777" w:rsidR="006B3038" w:rsidRDefault="006B3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C9F1" w14:textId="77777777" w:rsidR="000252E0" w:rsidRDefault="00025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08113" w14:textId="77777777" w:rsidR="006B3038" w:rsidRDefault="006B3038">
      <w:r>
        <w:separator/>
      </w:r>
    </w:p>
  </w:footnote>
  <w:footnote w:type="continuationSeparator" w:id="0">
    <w:p w14:paraId="5AA745DC" w14:textId="77777777" w:rsidR="006B3038" w:rsidRDefault="006B3038">
      <w:r>
        <w:continuationSeparator/>
      </w:r>
    </w:p>
  </w:footnote>
  <w:footnote w:id="1">
    <w:p w14:paraId="42B6DAFF" w14:textId="617EDD9D" w:rsidR="006B3038" w:rsidRDefault="006B3038" w:rsidP="00BA6645">
      <w:pPr>
        <w:pStyle w:val="FootnoteText"/>
        <w:rPr>
          <w:rFonts w:ascii="Calibri" w:hAnsi="Calibri"/>
        </w:rPr>
      </w:pPr>
      <w:r>
        <w:rPr>
          <w:rStyle w:val="FootnoteReference"/>
        </w:rPr>
        <w:footnoteRef/>
      </w:r>
      <w:r>
        <w:t xml:space="preserve"> </w:t>
      </w:r>
      <w:r w:rsidRPr="00D771DB">
        <w:t xml:space="preserve">National Blood Authority, 2018, </w:t>
      </w:r>
      <w:hyperlink r:id="rId1" w:tooltip="Link to National Blood Authority website page for version 3 of the criteria" w:history="1">
        <w:r w:rsidRPr="00D771DB">
          <w:rPr>
            <w:rStyle w:val="Hyperlink"/>
            <w:rFonts w:eastAsiaTheme="majorEastAsia"/>
            <w:i/>
          </w:rPr>
          <w:t>Criteria for the clinical use of immunoglobulin in Australia</w:t>
        </w:r>
      </w:hyperlink>
      <w:r w:rsidRPr="00D771DB">
        <w:rPr>
          <w:i/>
        </w:rPr>
        <w:t xml:space="preserve"> (</w:t>
      </w:r>
      <w:r w:rsidRPr="00D771DB">
        <w:t>version 3).</w:t>
      </w:r>
      <w:r>
        <w:t xml:space="preserve"> </w:t>
      </w:r>
    </w:p>
  </w:footnote>
  <w:footnote w:id="2">
    <w:p w14:paraId="7BFC3C07" w14:textId="39EC5819" w:rsidR="006B3038" w:rsidRDefault="006B3038" w:rsidP="00BA6645">
      <w:pPr>
        <w:pStyle w:val="FootnoteText"/>
      </w:pPr>
      <w:r>
        <w:rPr>
          <w:rStyle w:val="FootnoteReference"/>
        </w:rPr>
        <w:footnoteRef/>
      </w:r>
      <w:r>
        <w:t xml:space="preserve"> </w:t>
      </w:r>
      <w:hyperlink r:id="rId2" w:tooltip="Link to Australian Bureau of Statistics website" w:history="1">
        <w:r w:rsidRPr="00152E67">
          <w:rPr>
            <w:rStyle w:val="Hyperlink"/>
          </w:rPr>
          <w:t>https://www.abs.gov.au/</w:t>
        </w:r>
      </w:hyperlink>
      <w:r>
        <w:t xml:space="preserve"> </w:t>
      </w:r>
    </w:p>
  </w:footnote>
  <w:footnote w:id="3">
    <w:p w14:paraId="1697DF1E" w14:textId="77777777" w:rsidR="006B3038" w:rsidRPr="00F9098E" w:rsidRDefault="006B3038" w:rsidP="00BA6645">
      <w:pPr>
        <w:pStyle w:val="FootnoteText"/>
      </w:pPr>
      <w:r>
        <w:rPr>
          <w:rStyle w:val="FootnoteReference"/>
        </w:rPr>
        <w:footnoteRef/>
      </w:r>
      <w:r>
        <w:t xml:space="preserve"> </w:t>
      </w:r>
      <w:proofErr w:type="spellStart"/>
      <w:r w:rsidRPr="00F9098E">
        <w:t>Gajdos</w:t>
      </w:r>
      <w:proofErr w:type="spellEnd"/>
      <w:r w:rsidRPr="00F9098E">
        <w:t xml:space="preserve">, P, </w:t>
      </w:r>
      <w:proofErr w:type="spellStart"/>
      <w:r w:rsidRPr="00F9098E">
        <w:t>Chevret</w:t>
      </w:r>
      <w:proofErr w:type="spellEnd"/>
      <w:r w:rsidRPr="00F9098E">
        <w:t xml:space="preserve">, S, Clair, B, </w:t>
      </w:r>
      <w:proofErr w:type="spellStart"/>
      <w:r w:rsidRPr="00F9098E">
        <w:t>Tranchant</w:t>
      </w:r>
      <w:proofErr w:type="spellEnd"/>
      <w:r w:rsidRPr="00F9098E">
        <w:t xml:space="preserve">, C &amp; </w:t>
      </w:r>
      <w:proofErr w:type="spellStart"/>
      <w:r w:rsidRPr="00F9098E">
        <w:t>Chastang</w:t>
      </w:r>
      <w:proofErr w:type="spellEnd"/>
      <w:r w:rsidRPr="00F9098E">
        <w:t xml:space="preserve">, C 1997, 'Clinical trial of plasma exchange and high-dose intravenous immunoglobulin in myasthenia gravis', </w:t>
      </w:r>
      <w:r w:rsidRPr="00F9098E">
        <w:rPr>
          <w:i/>
        </w:rPr>
        <w:t>Annals of Neurology</w:t>
      </w:r>
      <w:r w:rsidRPr="00F9098E">
        <w:t>, vol. 41, no. 6, pp. 789-796.</w:t>
      </w:r>
    </w:p>
  </w:footnote>
  <w:footnote w:id="4">
    <w:p w14:paraId="5B573E11" w14:textId="77777777" w:rsidR="006B3038" w:rsidRPr="00F9098E" w:rsidRDefault="006B3038" w:rsidP="00BA6645">
      <w:pPr>
        <w:pStyle w:val="FootnoteText"/>
      </w:pPr>
      <w:r w:rsidRPr="00F9098E">
        <w:rPr>
          <w:rStyle w:val="FootnoteReference"/>
        </w:rPr>
        <w:footnoteRef/>
      </w:r>
      <w:r w:rsidRPr="00F9098E">
        <w:t xml:space="preserve"> </w:t>
      </w:r>
      <w:proofErr w:type="spellStart"/>
      <w:r w:rsidRPr="00F9098E">
        <w:t>Mandawat</w:t>
      </w:r>
      <w:proofErr w:type="spellEnd"/>
      <w:r w:rsidRPr="00F9098E">
        <w:t xml:space="preserve">, A, Kaminski, HJ, Cutter, G, </w:t>
      </w:r>
      <w:proofErr w:type="spellStart"/>
      <w:r w:rsidRPr="00F9098E">
        <w:t>Katirji</w:t>
      </w:r>
      <w:proofErr w:type="spellEnd"/>
      <w:r w:rsidRPr="00F9098E">
        <w:t xml:space="preserve">, B &amp; </w:t>
      </w:r>
      <w:proofErr w:type="spellStart"/>
      <w:r w:rsidRPr="00F9098E">
        <w:t>Alshekhlee</w:t>
      </w:r>
      <w:proofErr w:type="spellEnd"/>
      <w:r w:rsidRPr="00F9098E">
        <w:t xml:space="preserve">, A 2010, 'Comparative analysis of therapeutic options used for myasthenia gravis', </w:t>
      </w:r>
      <w:r w:rsidRPr="00F9098E">
        <w:rPr>
          <w:i/>
        </w:rPr>
        <w:t>Annals of Neurology</w:t>
      </w:r>
      <w:r w:rsidRPr="00F9098E">
        <w:t>, vol. 68, no. 6, pp. 797-805.</w:t>
      </w:r>
    </w:p>
  </w:footnote>
  <w:footnote w:id="5">
    <w:p w14:paraId="3CF4E68C" w14:textId="77777777" w:rsidR="006B3038" w:rsidRDefault="006B3038" w:rsidP="00BA6645">
      <w:pPr>
        <w:pStyle w:val="FootnoteText"/>
      </w:pPr>
      <w:r>
        <w:rPr>
          <w:rStyle w:val="FootnoteReference"/>
        </w:rPr>
        <w:footnoteRef/>
      </w:r>
      <w:r>
        <w:t xml:space="preserve"> </w:t>
      </w:r>
      <w:proofErr w:type="spellStart"/>
      <w:r w:rsidRPr="00DC34F4">
        <w:t>Alipour-Faz</w:t>
      </w:r>
      <w:proofErr w:type="spellEnd"/>
      <w:r w:rsidRPr="00DC34F4">
        <w:t xml:space="preserve">, A, </w:t>
      </w:r>
      <w:proofErr w:type="spellStart"/>
      <w:r w:rsidRPr="00DC34F4">
        <w:t>Shojaei</w:t>
      </w:r>
      <w:proofErr w:type="spellEnd"/>
      <w:r w:rsidRPr="00DC34F4">
        <w:t xml:space="preserve">, M, </w:t>
      </w:r>
      <w:proofErr w:type="spellStart"/>
      <w:r w:rsidRPr="00DC34F4">
        <w:t>Peyvandi</w:t>
      </w:r>
      <w:proofErr w:type="spellEnd"/>
      <w:r w:rsidRPr="00DC34F4">
        <w:t xml:space="preserve">, H, </w:t>
      </w:r>
      <w:proofErr w:type="spellStart"/>
      <w:r w:rsidRPr="00DC34F4">
        <w:t>Ramzi</w:t>
      </w:r>
      <w:proofErr w:type="spellEnd"/>
      <w:r w:rsidRPr="00DC34F4">
        <w:t xml:space="preserve">, D, </w:t>
      </w:r>
      <w:proofErr w:type="spellStart"/>
      <w:r w:rsidRPr="00DC34F4">
        <w:t>Oroei</w:t>
      </w:r>
      <w:proofErr w:type="spellEnd"/>
      <w:r w:rsidRPr="00DC34F4">
        <w:t xml:space="preserve">, M, </w:t>
      </w:r>
      <w:proofErr w:type="spellStart"/>
      <w:r w:rsidRPr="00DC34F4">
        <w:t>Ghadiri</w:t>
      </w:r>
      <w:proofErr w:type="spellEnd"/>
      <w:r w:rsidRPr="00DC34F4">
        <w:t xml:space="preserve">, F &amp; </w:t>
      </w:r>
      <w:proofErr w:type="spellStart"/>
      <w:r w:rsidRPr="00DC34F4">
        <w:t>Peyvandi</w:t>
      </w:r>
      <w:proofErr w:type="spellEnd"/>
      <w:r w:rsidRPr="00DC34F4">
        <w:t xml:space="preserve">, M 2017, 'A comparison between IVIG and plasma exchange as preparations before </w:t>
      </w:r>
      <w:proofErr w:type="spellStart"/>
      <w:r w:rsidRPr="00DC34F4">
        <w:t>thymectomy</w:t>
      </w:r>
      <w:proofErr w:type="spellEnd"/>
      <w:r w:rsidRPr="00DC34F4">
        <w:t xml:space="preserve"> in myasthenia gravis patients', </w:t>
      </w:r>
      <w:proofErr w:type="spellStart"/>
      <w:r w:rsidRPr="00DC34F4">
        <w:t>Acta</w:t>
      </w:r>
      <w:proofErr w:type="spellEnd"/>
      <w:r w:rsidRPr="00DC34F4">
        <w:t xml:space="preserve"> </w:t>
      </w:r>
      <w:proofErr w:type="spellStart"/>
      <w:r w:rsidRPr="00DC34F4">
        <w:t>neurologica</w:t>
      </w:r>
      <w:proofErr w:type="spellEnd"/>
      <w:r w:rsidRPr="00DC34F4">
        <w:t xml:space="preserve"> </w:t>
      </w:r>
      <w:proofErr w:type="spellStart"/>
      <w:r w:rsidRPr="00DC34F4">
        <w:t>belgica</w:t>
      </w:r>
      <w:proofErr w:type="spellEnd"/>
      <w:r w:rsidRPr="00DC34F4">
        <w:t>, vol. 117, no. 1, pp. 245‐249.</w:t>
      </w:r>
    </w:p>
  </w:footnote>
  <w:footnote w:id="6">
    <w:p w14:paraId="1A3D5092" w14:textId="77777777" w:rsidR="006B3038" w:rsidRDefault="006B3038" w:rsidP="00BA6645">
      <w:pPr>
        <w:pStyle w:val="FootnoteText"/>
      </w:pPr>
      <w:r>
        <w:rPr>
          <w:rStyle w:val="FootnoteReference"/>
        </w:rPr>
        <w:footnoteRef/>
      </w:r>
      <w:r>
        <w:t xml:space="preserve"> </w:t>
      </w:r>
      <w:r w:rsidRPr="00DC34F4">
        <w:t xml:space="preserve">Jensen, P &amp; </w:t>
      </w:r>
      <w:proofErr w:type="spellStart"/>
      <w:r w:rsidRPr="00DC34F4">
        <w:t>Bril</w:t>
      </w:r>
      <w:proofErr w:type="spellEnd"/>
      <w:r w:rsidRPr="00DC34F4">
        <w:t>, V 2008, 'A comparison of the effectiveness of intravenous immunoglobulin and plasma exchange as preoperative therapy of myasthenia gravis', Journal of Clinical Neuromuscular Disease, vol. 9, no. 3, pp. 352-355.</w:t>
      </w:r>
    </w:p>
  </w:footnote>
  <w:footnote w:id="7">
    <w:p w14:paraId="3D489DFF" w14:textId="77777777" w:rsidR="006B3038" w:rsidRDefault="006B3038" w:rsidP="00BA6645">
      <w:pPr>
        <w:pStyle w:val="FootnoteText"/>
      </w:pPr>
      <w:r>
        <w:rPr>
          <w:rStyle w:val="FootnoteReference"/>
        </w:rPr>
        <w:footnoteRef/>
      </w:r>
      <w:r>
        <w:t xml:space="preserve"> </w:t>
      </w:r>
      <w:r w:rsidRPr="009368F8">
        <w:t xml:space="preserve">Barth, D, </w:t>
      </w:r>
      <w:proofErr w:type="spellStart"/>
      <w:r w:rsidRPr="009368F8">
        <w:t>Nabavi</w:t>
      </w:r>
      <w:proofErr w:type="spellEnd"/>
      <w:r w:rsidRPr="009368F8">
        <w:t xml:space="preserve"> Nouri, M, Ng, E, </w:t>
      </w:r>
      <w:proofErr w:type="spellStart"/>
      <w:r w:rsidRPr="009368F8">
        <w:t>Nwe</w:t>
      </w:r>
      <w:proofErr w:type="spellEnd"/>
      <w:r w:rsidRPr="009368F8">
        <w:t xml:space="preserve">, P &amp; </w:t>
      </w:r>
      <w:proofErr w:type="spellStart"/>
      <w:r w:rsidRPr="009368F8">
        <w:t>Bril</w:t>
      </w:r>
      <w:proofErr w:type="spellEnd"/>
      <w:r w:rsidRPr="009368F8">
        <w:t xml:space="preserve">, V 2011, 'Comparison of </w:t>
      </w:r>
      <w:proofErr w:type="spellStart"/>
      <w:r w:rsidRPr="009368F8">
        <w:t>IVIg</w:t>
      </w:r>
      <w:proofErr w:type="spellEnd"/>
      <w:r w:rsidRPr="009368F8">
        <w:t xml:space="preserve"> and PLEX in patients with myasthenia gravis', Neurology, vol. 76, no. 23, pp. 2017‐2023.</w:t>
      </w:r>
    </w:p>
  </w:footnote>
  <w:footnote w:id="8">
    <w:p w14:paraId="25E218E1" w14:textId="77777777" w:rsidR="006B3038" w:rsidRDefault="006B3038" w:rsidP="00BA6645">
      <w:pPr>
        <w:pStyle w:val="FootnoteText"/>
      </w:pPr>
      <w:r>
        <w:rPr>
          <w:rStyle w:val="FootnoteReference"/>
        </w:rPr>
        <w:footnoteRef/>
      </w:r>
      <w:r>
        <w:t xml:space="preserve"> </w:t>
      </w:r>
      <w:proofErr w:type="spellStart"/>
      <w:r w:rsidRPr="009368F8">
        <w:t>Rønager</w:t>
      </w:r>
      <w:proofErr w:type="spellEnd"/>
      <w:r w:rsidRPr="009368F8">
        <w:t xml:space="preserve">, J, </w:t>
      </w:r>
      <w:proofErr w:type="spellStart"/>
      <w:r w:rsidRPr="009368F8">
        <w:t>Ravnborg</w:t>
      </w:r>
      <w:proofErr w:type="spellEnd"/>
      <w:r w:rsidRPr="009368F8">
        <w:t xml:space="preserve">, M, </w:t>
      </w:r>
      <w:proofErr w:type="spellStart"/>
      <w:r w:rsidRPr="009368F8">
        <w:t>Hermansen</w:t>
      </w:r>
      <w:proofErr w:type="spellEnd"/>
      <w:r w:rsidRPr="009368F8">
        <w:t xml:space="preserve">, I &amp; </w:t>
      </w:r>
      <w:proofErr w:type="spellStart"/>
      <w:r w:rsidRPr="009368F8">
        <w:t>Vorstrup</w:t>
      </w:r>
      <w:proofErr w:type="spellEnd"/>
      <w:r w:rsidRPr="009368F8">
        <w:t>, S 2001, 'Immunoglobulin treatment versus plasma exchange in patients with chronic moderate to severe myasthenia gravis', Artificial organs, vol. 25, no. 12, pp. 967‐973.</w:t>
      </w:r>
    </w:p>
  </w:footnote>
  <w:footnote w:id="9">
    <w:p w14:paraId="6DE13006" w14:textId="77777777" w:rsidR="006B3038" w:rsidRDefault="006B3038" w:rsidP="00BA6645">
      <w:pPr>
        <w:pStyle w:val="FootnoteText"/>
        <w:rPr>
          <w:rFonts w:ascii="Calibri" w:hAnsi="Calibri"/>
        </w:rPr>
      </w:pPr>
      <w:r>
        <w:rPr>
          <w:rStyle w:val="FootnoteReference"/>
        </w:rPr>
        <w:footnoteRef/>
      </w:r>
      <w:r>
        <w:t xml:space="preserve"> </w:t>
      </w:r>
      <w:r w:rsidRPr="00D771DB">
        <w:t xml:space="preserve">National Blood Authority, 2018, </w:t>
      </w:r>
      <w:hyperlink r:id="rId3" w:history="1">
        <w:r w:rsidRPr="00D771DB">
          <w:rPr>
            <w:rStyle w:val="Hyperlink"/>
            <w:rFonts w:eastAsiaTheme="majorEastAsia"/>
            <w:i/>
          </w:rPr>
          <w:t>Criteria for the clinical use of immunoglobulin in Australia</w:t>
        </w:r>
      </w:hyperlink>
      <w:r w:rsidRPr="00D771DB">
        <w:rPr>
          <w:i/>
        </w:rPr>
        <w:t xml:space="preserve"> (</w:t>
      </w:r>
      <w:r w:rsidRPr="00D771DB">
        <w:t>version 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EE2E" w14:textId="77777777" w:rsidR="000252E0" w:rsidRDefault="00025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73B5C" w14:textId="77777777" w:rsidR="000252E0" w:rsidRDefault="00025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A705C" w14:textId="77777777" w:rsidR="000252E0" w:rsidRDefault="00025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2CA8"/>
    <w:multiLevelType w:val="hybridMultilevel"/>
    <w:tmpl w:val="D7EAC268"/>
    <w:lvl w:ilvl="0" w:tplc="EEB4FDEC">
      <w:start w:val="1"/>
      <w:numFmt w:val="bullet"/>
      <w:pStyle w:val="NormalBullet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04324D"/>
    <w:multiLevelType w:val="hybridMultilevel"/>
    <w:tmpl w:val="11B0D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75072D"/>
    <w:multiLevelType w:val="hybridMultilevel"/>
    <w:tmpl w:val="EE86128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2B540B"/>
    <w:multiLevelType w:val="hybridMultilevel"/>
    <w:tmpl w:val="8830194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AA6E1F"/>
    <w:multiLevelType w:val="hybridMultilevel"/>
    <w:tmpl w:val="D8421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9712B0"/>
    <w:multiLevelType w:val="hybridMultilevel"/>
    <w:tmpl w:val="E5127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473A9"/>
    <w:multiLevelType w:val="hybridMultilevel"/>
    <w:tmpl w:val="C8FE2AF8"/>
    <w:lvl w:ilvl="0" w:tplc="57F6110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62248D5"/>
    <w:multiLevelType w:val="hybridMultilevel"/>
    <w:tmpl w:val="976461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89C4878"/>
    <w:multiLevelType w:val="hybridMultilevel"/>
    <w:tmpl w:val="0E762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962F94"/>
    <w:multiLevelType w:val="hybridMultilevel"/>
    <w:tmpl w:val="0D18AA9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11"/>
  </w:num>
  <w:num w:numId="6">
    <w:abstractNumId w:val="6"/>
  </w:num>
  <w:num w:numId="7">
    <w:abstractNumId w:val="4"/>
  </w:num>
  <w:num w:numId="8">
    <w:abstractNumId w:val="0"/>
  </w:num>
  <w:num w:numId="9">
    <w:abstractNumId w:val="5"/>
  </w:num>
  <w:num w:numId="10">
    <w:abstractNumId w:val="9"/>
  </w:num>
  <w:num w:numId="11">
    <w:abstractNumId w:val="13"/>
  </w:num>
  <w:num w:numId="12">
    <w:abstractNumId w:val="12"/>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108"/>
    <w:rsid w:val="000031DC"/>
    <w:rsid w:val="000252E0"/>
    <w:rsid w:val="000528B8"/>
    <w:rsid w:val="00074FAE"/>
    <w:rsid w:val="0007742C"/>
    <w:rsid w:val="00097A30"/>
    <w:rsid w:val="000C120F"/>
    <w:rsid w:val="000D2E61"/>
    <w:rsid w:val="000D52E8"/>
    <w:rsid w:val="000F0BE1"/>
    <w:rsid w:val="00105B21"/>
    <w:rsid w:val="00106C1F"/>
    <w:rsid w:val="00111108"/>
    <w:rsid w:val="001157A2"/>
    <w:rsid w:val="00117843"/>
    <w:rsid w:val="0012221C"/>
    <w:rsid w:val="00147D04"/>
    <w:rsid w:val="001611C6"/>
    <w:rsid w:val="001651E9"/>
    <w:rsid w:val="00193AE7"/>
    <w:rsid w:val="00194C3F"/>
    <w:rsid w:val="001C7844"/>
    <w:rsid w:val="001D02D9"/>
    <w:rsid w:val="001D06E5"/>
    <w:rsid w:val="001D0A61"/>
    <w:rsid w:val="001E67FE"/>
    <w:rsid w:val="001F73AF"/>
    <w:rsid w:val="001F7496"/>
    <w:rsid w:val="00203C79"/>
    <w:rsid w:val="00212F0E"/>
    <w:rsid w:val="002243B3"/>
    <w:rsid w:val="002359DD"/>
    <w:rsid w:val="002474B1"/>
    <w:rsid w:val="00263711"/>
    <w:rsid w:val="00280050"/>
    <w:rsid w:val="002915CF"/>
    <w:rsid w:val="0029607D"/>
    <w:rsid w:val="002A19B8"/>
    <w:rsid w:val="002A6E1D"/>
    <w:rsid w:val="002B7B10"/>
    <w:rsid w:val="002C0982"/>
    <w:rsid w:val="002C3CBF"/>
    <w:rsid w:val="002C4F85"/>
    <w:rsid w:val="002F1721"/>
    <w:rsid w:val="00325D65"/>
    <w:rsid w:val="00332339"/>
    <w:rsid w:val="00336566"/>
    <w:rsid w:val="00344D07"/>
    <w:rsid w:val="00351FF8"/>
    <w:rsid w:val="003530BB"/>
    <w:rsid w:val="00357163"/>
    <w:rsid w:val="003836D8"/>
    <w:rsid w:val="003A65A4"/>
    <w:rsid w:val="003B0A68"/>
    <w:rsid w:val="003B691E"/>
    <w:rsid w:val="003D4373"/>
    <w:rsid w:val="003F15C5"/>
    <w:rsid w:val="00406B9E"/>
    <w:rsid w:val="00413636"/>
    <w:rsid w:val="00460985"/>
    <w:rsid w:val="004A4AFE"/>
    <w:rsid w:val="004A5AF0"/>
    <w:rsid w:val="004B0C90"/>
    <w:rsid w:val="004B2B8C"/>
    <w:rsid w:val="004B3F0A"/>
    <w:rsid w:val="004E4BF6"/>
    <w:rsid w:val="004F4544"/>
    <w:rsid w:val="005008CD"/>
    <w:rsid w:val="00503E7A"/>
    <w:rsid w:val="00507357"/>
    <w:rsid w:val="005124B9"/>
    <w:rsid w:val="00532F2C"/>
    <w:rsid w:val="005818EF"/>
    <w:rsid w:val="0058227B"/>
    <w:rsid w:val="005B6EC7"/>
    <w:rsid w:val="005E5BF2"/>
    <w:rsid w:val="00601E33"/>
    <w:rsid w:val="00604D56"/>
    <w:rsid w:val="00606F83"/>
    <w:rsid w:val="006157B9"/>
    <w:rsid w:val="00621C13"/>
    <w:rsid w:val="006428E6"/>
    <w:rsid w:val="00655569"/>
    <w:rsid w:val="006560D0"/>
    <w:rsid w:val="00661C55"/>
    <w:rsid w:val="00681CDE"/>
    <w:rsid w:val="006972DD"/>
    <w:rsid w:val="006A661B"/>
    <w:rsid w:val="006B1DC9"/>
    <w:rsid w:val="006B3038"/>
    <w:rsid w:val="006D180E"/>
    <w:rsid w:val="006E0F91"/>
    <w:rsid w:val="006E1652"/>
    <w:rsid w:val="00701F3A"/>
    <w:rsid w:val="00720B96"/>
    <w:rsid w:val="00732A99"/>
    <w:rsid w:val="007509F8"/>
    <w:rsid w:val="00761973"/>
    <w:rsid w:val="00761AD6"/>
    <w:rsid w:val="00772892"/>
    <w:rsid w:val="00774461"/>
    <w:rsid w:val="007F20FE"/>
    <w:rsid w:val="008079DA"/>
    <w:rsid w:val="008154A6"/>
    <w:rsid w:val="00830693"/>
    <w:rsid w:val="00841C42"/>
    <w:rsid w:val="00851626"/>
    <w:rsid w:val="0087032A"/>
    <w:rsid w:val="00875428"/>
    <w:rsid w:val="008907A3"/>
    <w:rsid w:val="008A5F54"/>
    <w:rsid w:val="008B1EBF"/>
    <w:rsid w:val="008D70C3"/>
    <w:rsid w:val="008F4E4F"/>
    <w:rsid w:val="00913A57"/>
    <w:rsid w:val="009204C3"/>
    <w:rsid w:val="009220E9"/>
    <w:rsid w:val="0092287D"/>
    <w:rsid w:val="0092510A"/>
    <w:rsid w:val="00930558"/>
    <w:rsid w:val="0093550E"/>
    <w:rsid w:val="00937C39"/>
    <w:rsid w:val="0096351F"/>
    <w:rsid w:val="00976001"/>
    <w:rsid w:val="009860E3"/>
    <w:rsid w:val="00991245"/>
    <w:rsid w:val="00993265"/>
    <w:rsid w:val="009F268F"/>
    <w:rsid w:val="009F63FD"/>
    <w:rsid w:val="00A16432"/>
    <w:rsid w:val="00A326F2"/>
    <w:rsid w:val="00A5690E"/>
    <w:rsid w:val="00A6596E"/>
    <w:rsid w:val="00A74B90"/>
    <w:rsid w:val="00A86BD1"/>
    <w:rsid w:val="00A94240"/>
    <w:rsid w:val="00A94309"/>
    <w:rsid w:val="00AB1FF0"/>
    <w:rsid w:val="00AC217F"/>
    <w:rsid w:val="00AE166B"/>
    <w:rsid w:val="00AF4EAA"/>
    <w:rsid w:val="00B02D29"/>
    <w:rsid w:val="00B135D0"/>
    <w:rsid w:val="00B156B9"/>
    <w:rsid w:val="00B20DE6"/>
    <w:rsid w:val="00B546C2"/>
    <w:rsid w:val="00B65C86"/>
    <w:rsid w:val="00B97949"/>
    <w:rsid w:val="00BA6645"/>
    <w:rsid w:val="00BC6B81"/>
    <w:rsid w:val="00BD20BA"/>
    <w:rsid w:val="00BD511D"/>
    <w:rsid w:val="00BD76CB"/>
    <w:rsid w:val="00BE75FD"/>
    <w:rsid w:val="00BF404F"/>
    <w:rsid w:val="00BF519D"/>
    <w:rsid w:val="00C163D0"/>
    <w:rsid w:val="00C40B21"/>
    <w:rsid w:val="00C4260C"/>
    <w:rsid w:val="00C44DF5"/>
    <w:rsid w:val="00C56A13"/>
    <w:rsid w:val="00C80E2C"/>
    <w:rsid w:val="00C81AE8"/>
    <w:rsid w:val="00C87570"/>
    <w:rsid w:val="00C92EAE"/>
    <w:rsid w:val="00C9422C"/>
    <w:rsid w:val="00CA14F2"/>
    <w:rsid w:val="00CA70F8"/>
    <w:rsid w:val="00CD4DD9"/>
    <w:rsid w:val="00CF765A"/>
    <w:rsid w:val="00D0027F"/>
    <w:rsid w:val="00D116AD"/>
    <w:rsid w:val="00D13F03"/>
    <w:rsid w:val="00D307F4"/>
    <w:rsid w:val="00D37D25"/>
    <w:rsid w:val="00D53FF1"/>
    <w:rsid w:val="00DB35B7"/>
    <w:rsid w:val="00DB5B54"/>
    <w:rsid w:val="00DC333B"/>
    <w:rsid w:val="00DF3D22"/>
    <w:rsid w:val="00E022A6"/>
    <w:rsid w:val="00E07856"/>
    <w:rsid w:val="00E216E2"/>
    <w:rsid w:val="00E32141"/>
    <w:rsid w:val="00E43212"/>
    <w:rsid w:val="00E538E7"/>
    <w:rsid w:val="00E62004"/>
    <w:rsid w:val="00E86D77"/>
    <w:rsid w:val="00E94808"/>
    <w:rsid w:val="00E94B1B"/>
    <w:rsid w:val="00EA21E9"/>
    <w:rsid w:val="00EA3504"/>
    <w:rsid w:val="00EB3631"/>
    <w:rsid w:val="00EE0EF0"/>
    <w:rsid w:val="00F03C50"/>
    <w:rsid w:val="00F1141D"/>
    <w:rsid w:val="00F11E2A"/>
    <w:rsid w:val="00F14D6C"/>
    <w:rsid w:val="00F3484B"/>
    <w:rsid w:val="00F47115"/>
    <w:rsid w:val="00F47CBB"/>
    <w:rsid w:val="00F54A00"/>
    <w:rsid w:val="00F77986"/>
    <w:rsid w:val="00F83C5C"/>
    <w:rsid w:val="00F87A8F"/>
    <w:rsid w:val="00FB5633"/>
    <w:rsid w:val="00FC227A"/>
    <w:rsid w:val="00FC3066"/>
    <w:rsid w:val="00FD1ECD"/>
    <w:rsid w:val="00FE3E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AD16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108"/>
    <w:pPr>
      <w:spacing w:after="0" w:line="240" w:lineRule="auto"/>
    </w:pPr>
    <w:rPr>
      <w:rFonts w:eastAsia="Times New Roman"/>
      <w:szCs w:val="20"/>
      <w:lang w:eastAsia="en-AU"/>
    </w:rPr>
  </w:style>
  <w:style w:type="paragraph" w:styleId="Heading1">
    <w:name w:val="heading 1"/>
    <w:basedOn w:val="Normal"/>
    <w:next w:val="Normal"/>
    <w:link w:val="Heading1Char"/>
    <w:uiPriority w:val="9"/>
    <w:qFormat/>
    <w:rsid w:val="00111108"/>
    <w:pPr>
      <w:keepNext/>
      <w:keepLines/>
      <w:numPr>
        <w:numId w:val="2"/>
      </w:numPr>
      <w:spacing w:before="240" w:after="240"/>
      <w:ind w:hanging="720"/>
      <w:outlineLvl w:val="0"/>
    </w:pPr>
    <w:rPr>
      <w:rFonts w:ascii="Arial" w:hAnsi="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11108"/>
    <w:rPr>
      <w:rFonts w:ascii="Arial" w:eastAsia="Times New Roman" w:hAnsi="Arial"/>
      <w:b/>
      <w:bCs/>
      <w:szCs w:val="28"/>
      <w:lang w:eastAsia="en-AU"/>
    </w:rPr>
  </w:style>
  <w:style w:type="character" w:styleId="Hyperlink">
    <w:name w:val="Hyperlink"/>
    <w:basedOn w:val="DefaultParagraphFont"/>
    <w:uiPriority w:val="99"/>
    <w:rsid w:val="00111108"/>
    <w:rPr>
      <w:rFonts w:cs="Times New Roman"/>
      <w:color w:val="0000FF"/>
      <w:u w:val="single"/>
    </w:rPr>
  </w:style>
  <w:style w:type="paragraph" w:styleId="ListParagraph">
    <w:name w:val="List Paragraph"/>
    <w:aliases w:val="Styl moj,Akapit z listą1,Akapit z listą11"/>
    <w:basedOn w:val="Normal"/>
    <w:link w:val="ListParagraphChar"/>
    <w:uiPriority w:val="34"/>
    <w:qFormat/>
    <w:rsid w:val="00111108"/>
    <w:pPr>
      <w:ind w:left="720"/>
      <w:contextualSpacing/>
    </w:pPr>
  </w:style>
  <w:style w:type="paragraph" w:styleId="Footer">
    <w:name w:val="footer"/>
    <w:basedOn w:val="Normal"/>
    <w:link w:val="FooterChar"/>
    <w:uiPriority w:val="99"/>
    <w:rsid w:val="00111108"/>
    <w:pPr>
      <w:tabs>
        <w:tab w:val="center" w:pos="4513"/>
        <w:tab w:val="right" w:pos="9026"/>
      </w:tabs>
    </w:pPr>
  </w:style>
  <w:style w:type="character" w:customStyle="1" w:styleId="FooterChar">
    <w:name w:val="Footer Char"/>
    <w:basedOn w:val="DefaultParagraphFont"/>
    <w:link w:val="Footer"/>
    <w:uiPriority w:val="99"/>
    <w:rsid w:val="00111108"/>
    <w:rPr>
      <w:rFonts w:eastAsia="Times New Roman"/>
      <w:szCs w:val="20"/>
      <w:lang w:eastAsia="en-AU"/>
    </w:rPr>
  </w:style>
  <w:style w:type="paragraph" w:customStyle="1" w:styleId="Default">
    <w:name w:val="Default"/>
    <w:rsid w:val="00111108"/>
    <w:pPr>
      <w:autoSpaceDE w:val="0"/>
      <w:autoSpaceDN w:val="0"/>
      <w:adjustRightInd w:val="0"/>
      <w:spacing w:after="0" w:line="240" w:lineRule="auto"/>
    </w:pPr>
    <w:rPr>
      <w:rFonts w:eastAsia="Calibri"/>
      <w:color w:val="000000"/>
    </w:rPr>
  </w:style>
  <w:style w:type="paragraph" w:styleId="Title">
    <w:name w:val="Title"/>
    <w:basedOn w:val="Normal"/>
    <w:next w:val="Normal"/>
    <w:link w:val="TitleChar"/>
    <w:qFormat/>
    <w:rsid w:val="00111108"/>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111108"/>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111108"/>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111108"/>
    <w:rPr>
      <w:rFonts w:ascii="Arial" w:eastAsia="Times New Roman" w:hAnsi="Arial" w:cs="Arial"/>
      <w:b/>
      <w:bCs/>
      <w:i/>
      <w:color w:val="000080"/>
      <w:sz w:val="28"/>
      <w:szCs w:val="28"/>
      <w:lang w:eastAsia="en-AU"/>
    </w:rPr>
  </w:style>
  <w:style w:type="table" w:styleId="TableGrid">
    <w:name w:val="Table Grid"/>
    <w:basedOn w:val="TableNormal"/>
    <w:uiPriority w:val="59"/>
    <w:rsid w:val="00111108"/>
    <w:pPr>
      <w:spacing w:after="0" w:line="240" w:lineRule="auto"/>
    </w:pPr>
    <w:rPr>
      <w:rFonts w:eastAsia="Calibr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BA6645"/>
    <w:rPr>
      <w:rFonts w:eastAsia="Times New Roman"/>
      <w:szCs w:val="20"/>
      <w:lang w:eastAsia="en-AU"/>
    </w:rPr>
  </w:style>
  <w:style w:type="paragraph" w:styleId="FootnoteText">
    <w:name w:val="footnote text"/>
    <w:basedOn w:val="Normal"/>
    <w:link w:val="FootnoteTextChar"/>
    <w:semiHidden/>
    <w:rsid w:val="00BA6645"/>
    <w:rPr>
      <w:sz w:val="20"/>
    </w:rPr>
  </w:style>
  <w:style w:type="character" w:customStyle="1" w:styleId="FootnoteTextChar">
    <w:name w:val="Footnote Text Char"/>
    <w:basedOn w:val="DefaultParagraphFont"/>
    <w:link w:val="FootnoteText"/>
    <w:semiHidden/>
    <w:rsid w:val="00BA6645"/>
    <w:rPr>
      <w:rFonts w:eastAsia="Times New Roman"/>
      <w:sz w:val="20"/>
      <w:szCs w:val="20"/>
      <w:lang w:eastAsia="en-AU"/>
    </w:rPr>
  </w:style>
  <w:style w:type="character" w:styleId="FootnoteReference">
    <w:name w:val="footnote reference"/>
    <w:basedOn w:val="DefaultParagraphFont"/>
    <w:uiPriority w:val="99"/>
    <w:semiHidden/>
    <w:rsid w:val="00BA6645"/>
    <w:rPr>
      <w:vertAlign w:val="superscript"/>
    </w:rPr>
  </w:style>
  <w:style w:type="table" w:customStyle="1" w:styleId="TableGrid3">
    <w:name w:val="Table Grid3"/>
    <w:basedOn w:val="TableNormal"/>
    <w:next w:val="TableGrid"/>
    <w:uiPriority w:val="59"/>
    <w:rsid w:val="00BA6645"/>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List">
    <w:name w:val="Normal Bullet List"/>
    <w:basedOn w:val="ListParagraph"/>
    <w:uiPriority w:val="3"/>
    <w:qFormat/>
    <w:rsid w:val="00BA6645"/>
    <w:pPr>
      <w:numPr>
        <w:numId w:val="8"/>
      </w:numPr>
    </w:pPr>
    <w:rPr>
      <w:szCs w:val="24"/>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qFormat/>
    <w:rsid w:val="00BA6645"/>
    <w:pPr>
      <w:spacing w:after="120"/>
      <w:outlineLvl w:val="4"/>
    </w:pPr>
    <w:rPr>
      <w:rFonts w:ascii="Arial Narrow" w:hAnsi="Arial Narrow" w:cs="Tahoma"/>
      <w:b/>
      <w:bCs/>
      <w:sz w:val="20"/>
      <w:szCs w:val="22"/>
    </w:rPr>
  </w:style>
  <w:style w:type="paragraph" w:customStyle="1" w:styleId="TableHeading">
    <w:name w:val="TableHeading"/>
    <w:basedOn w:val="Normal"/>
    <w:link w:val="TableHeadingChar"/>
    <w:qFormat/>
    <w:rsid w:val="00BA6645"/>
    <w:pPr>
      <w:keepNext/>
      <w:spacing w:before="40" w:after="40"/>
    </w:pPr>
    <w:rPr>
      <w:rFonts w:ascii="Arial Narrow" w:hAnsi="Arial Narrow" w:cs="Tahoma"/>
      <w:b/>
      <w:sz w:val="20"/>
    </w:rPr>
  </w:style>
  <w:style w:type="character" w:customStyle="1" w:styleId="TableHeadingChar">
    <w:name w:val="TableHeading Char"/>
    <w:link w:val="TableHeading"/>
    <w:rsid w:val="00BA6645"/>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BA6645"/>
    <w:pPr>
      <w:spacing w:before="40" w:after="40"/>
    </w:pPr>
    <w:rPr>
      <w:rFonts w:ascii="Arial Narrow" w:hAnsi="Arial Narrow" w:cs="Tahoma"/>
      <w:sz w:val="20"/>
    </w:rPr>
  </w:style>
  <w:style w:type="character" w:customStyle="1" w:styleId="TabletextChar">
    <w:name w:val="Table text Char"/>
    <w:link w:val="Tabletext"/>
    <w:rsid w:val="00BA6645"/>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BA6645"/>
    <w:pPr>
      <w:widowControl w:val="0"/>
      <w:spacing w:before="40" w:after="240"/>
      <w:contextualSpacing/>
      <w:jc w:val="both"/>
    </w:pPr>
    <w:rPr>
      <w:rFonts w:ascii="Arial Narrow" w:hAnsi="Arial Narrow" w:cs="Arial"/>
      <w:snapToGrid w:val="0"/>
      <w:sz w:val="18"/>
      <w:lang w:eastAsia="en-US"/>
    </w:rPr>
  </w:style>
  <w:style w:type="character" w:customStyle="1" w:styleId="TablenotesChar">
    <w:name w:val="Tablenotes Char"/>
    <w:basedOn w:val="DefaultParagraphFont"/>
    <w:link w:val="Tablenotes"/>
    <w:rsid w:val="00BA6645"/>
    <w:rPr>
      <w:rFonts w:ascii="Arial Narrow" w:eastAsia="Times New Roman" w:hAnsi="Arial Narrow" w:cs="Arial"/>
      <w:snapToGrid w:val="0"/>
      <w:sz w:val="18"/>
      <w:szCs w:val="20"/>
    </w:rPr>
  </w:style>
  <w:style w:type="paragraph" w:customStyle="1" w:styleId="TableText0">
    <w:name w:val="Table Text"/>
    <w:basedOn w:val="Normal"/>
    <w:link w:val="TableTextChar0"/>
    <w:qFormat/>
    <w:rsid w:val="00BA6645"/>
    <w:pPr>
      <w:keepNext/>
      <w:spacing w:before="40" w:after="40"/>
    </w:pPr>
    <w:rPr>
      <w:rFonts w:ascii="Arial Narrow" w:hAnsi="Arial Narrow" w:cs="Tahoma"/>
      <w:sz w:val="20"/>
      <w:szCs w:val="22"/>
      <w:lang w:eastAsia="en-US"/>
    </w:rPr>
  </w:style>
  <w:style w:type="character" w:customStyle="1" w:styleId="TableTextChar0">
    <w:name w:val="Table Text Char"/>
    <w:link w:val="TableText0"/>
    <w:rsid w:val="00BA6645"/>
    <w:rPr>
      <w:rFonts w:ascii="Arial Narrow" w:eastAsia="Times New Roman" w:hAnsi="Arial Narrow" w:cs="Tahoma"/>
      <w:sz w:val="20"/>
      <w:szCs w:val="22"/>
    </w:rPr>
  </w:style>
  <w:style w:type="paragraph" w:customStyle="1" w:styleId="Tablenotes0">
    <w:name w:val="Table notes"/>
    <w:basedOn w:val="Normal"/>
    <w:link w:val="TablenotesChar0"/>
    <w:qFormat/>
    <w:rsid w:val="00BA6645"/>
    <w:pPr>
      <w:spacing w:after="240" w:line="259" w:lineRule="auto"/>
      <w:contextualSpacing/>
      <w:jc w:val="both"/>
    </w:pPr>
    <w:rPr>
      <w:rFonts w:ascii="Arial Narrow" w:eastAsiaTheme="minorHAnsi" w:hAnsi="Arial Narrow" w:cs="Arial"/>
      <w:sz w:val="18"/>
      <w:szCs w:val="22"/>
      <w:lang w:eastAsia="en-US"/>
    </w:rPr>
  </w:style>
  <w:style w:type="character" w:customStyle="1" w:styleId="TablenotesChar0">
    <w:name w:val="Table notes Char"/>
    <w:basedOn w:val="DefaultParagraphFont"/>
    <w:link w:val="Tablenotes0"/>
    <w:rsid w:val="00BA6645"/>
    <w:rPr>
      <w:rFonts w:ascii="Arial Narrow" w:hAnsi="Arial Narrow" w:cs="Arial"/>
      <w:sz w:val="18"/>
      <w:szCs w:val="22"/>
    </w:rPr>
  </w:style>
  <w:style w:type="table" w:customStyle="1" w:styleId="TableGrid2">
    <w:name w:val="Table Grid2"/>
    <w:basedOn w:val="TableNormal"/>
    <w:next w:val="TableGrid"/>
    <w:rsid w:val="00BA6645"/>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table" w:customStyle="1" w:styleId="TableGrid1">
    <w:name w:val="Table Grid1"/>
    <w:basedOn w:val="TableNormal"/>
    <w:next w:val="TableGrid"/>
    <w:rsid w:val="00BA6645"/>
    <w:pPr>
      <w:spacing w:before="40" w:after="40" w:line="240" w:lineRule="auto"/>
    </w:pPr>
    <w:rPr>
      <w:rFonts w:ascii="Arial Narrow" w:eastAsia="Times New Roman" w:hAnsi="Arial Narrow"/>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TablecontentsChar">
    <w:name w:val="Table contents Char"/>
    <w:link w:val="Tablecontents"/>
    <w:locked/>
    <w:rsid w:val="00BA6645"/>
    <w:rPr>
      <w:rFonts w:ascii="Arial Narrow" w:hAnsi="Arial Narrow"/>
    </w:rPr>
  </w:style>
  <w:style w:type="paragraph" w:customStyle="1" w:styleId="Tablecontents">
    <w:name w:val="Table contents"/>
    <w:basedOn w:val="Normal"/>
    <w:link w:val="TablecontentsChar"/>
    <w:qFormat/>
    <w:rsid w:val="00BA6645"/>
    <w:pPr>
      <w:spacing w:before="60" w:after="60"/>
      <w:contextualSpacing/>
    </w:pPr>
    <w:rPr>
      <w:rFonts w:ascii="Arial Narrow" w:eastAsiaTheme="minorHAnsi" w:hAnsi="Arial Narrow"/>
      <w:szCs w:val="24"/>
      <w:lang w:eastAsia="en-US"/>
    </w:rPr>
  </w:style>
  <w:style w:type="character" w:styleId="CommentReference">
    <w:name w:val="annotation reference"/>
    <w:basedOn w:val="DefaultParagraphFont"/>
    <w:uiPriority w:val="99"/>
    <w:semiHidden/>
    <w:unhideWhenUsed/>
    <w:rsid w:val="00BA6645"/>
    <w:rPr>
      <w:sz w:val="16"/>
      <w:szCs w:val="16"/>
    </w:rPr>
  </w:style>
  <w:style w:type="paragraph" w:styleId="CommentText">
    <w:name w:val="annotation text"/>
    <w:basedOn w:val="Normal"/>
    <w:link w:val="CommentTextChar"/>
    <w:uiPriority w:val="99"/>
    <w:semiHidden/>
    <w:unhideWhenUsed/>
    <w:rsid w:val="00BA6645"/>
    <w:rPr>
      <w:sz w:val="20"/>
    </w:rPr>
  </w:style>
  <w:style w:type="character" w:customStyle="1" w:styleId="CommentTextChar">
    <w:name w:val="Comment Text Char"/>
    <w:basedOn w:val="DefaultParagraphFont"/>
    <w:link w:val="CommentText"/>
    <w:uiPriority w:val="99"/>
    <w:semiHidden/>
    <w:rsid w:val="00BA6645"/>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A6645"/>
    <w:rPr>
      <w:b/>
      <w:bCs/>
    </w:rPr>
  </w:style>
  <w:style w:type="character" w:customStyle="1" w:styleId="CommentSubjectChar">
    <w:name w:val="Comment Subject Char"/>
    <w:basedOn w:val="CommentTextChar"/>
    <w:link w:val="CommentSubject"/>
    <w:uiPriority w:val="99"/>
    <w:semiHidden/>
    <w:rsid w:val="00BA6645"/>
    <w:rPr>
      <w:rFonts w:eastAsia="Times New Roman"/>
      <w:b/>
      <w:bCs/>
      <w:sz w:val="20"/>
      <w:szCs w:val="20"/>
      <w:lang w:eastAsia="en-AU"/>
    </w:rPr>
  </w:style>
  <w:style w:type="paragraph" w:styleId="BalloonText">
    <w:name w:val="Balloon Text"/>
    <w:basedOn w:val="Normal"/>
    <w:link w:val="BalloonTextChar"/>
    <w:uiPriority w:val="99"/>
    <w:semiHidden/>
    <w:unhideWhenUsed/>
    <w:rsid w:val="00BA6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645"/>
    <w:rPr>
      <w:rFonts w:ascii="Segoe UI" w:eastAsia="Times New Roman" w:hAnsi="Segoe UI" w:cs="Segoe UI"/>
      <w:sz w:val="18"/>
      <w:szCs w:val="18"/>
      <w:lang w:eastAsia="en-AU"/>
    </w:rPr>
  </w:style>
  <w:style w:type="paragraph" w:customStyle="1" w:styleId="BulletBeforeDash">
    <w:name w:val="BulletBeforeDash"/>
    <w:basedOn w:val="Normal"/>
    <w:rsid w:val="00E07856"/>
    <w:pPr>
      <w:numPr>
        <w:numId w:val="12"/>
      </w:numPr>
      <w:ind w:left="720"/>
    </w:pPr>
    <w:rPr>
      <w:color w:val="000000"/>
    </w:rPr>
  </w:style>
  <w:style w:type="paragraph" w:customStyle="1" w:styleId="Bullet">
    <w:name w:val="Bullet"/>
    <w:basedOn w:val="BulletBeforeDash"/>
    <w:qFormat/>
    <w:rsid w:val="00E07856"/>
    <w:pPr>
      <w:spacing w:after="120"/>
    </w:pPr>
  </w:style>
  <w:style w:type="paragraph" w:customStyle="1" w:styleId="NormalBeforeBullet">
    <w:name w:val="NormalBeforeBullet"/>
    <w:basedOn w:val="Normal"/>
    <w:qFormat/>
    <w:rsid w:val="00E07856"/>
    <w:pPr>
      <w:keepNext/>
      <w:spacing w:after="120"/>
    </w:pPr>
    <w:rPr>
      <w:color w:val="000000"/>
    </w:rPr>
  </w:style>
  <w:style w:type="paragraph" w:styleId="Revision">
    <w:name w:val="Revision"/>
    <w:hidden/>
    <w:uiPriority w:val="99"/>
    <w:semiHidden/>
    <w:rsid w:val="004B0C90"/>
    <w:pPr>
      <w:spacing w:after="0" w:line="240" w:lineRule="auto"/>
    </w:pPr>
    <w:rPr>
      <w:rFonts w:eastAsia="Times New Roman"/>
      <w:szCs w:val="20"/>
      <w:lang w:eastAsia="en-AU"/>
    </w:rPr>
  </w:style>
  <w:style w:type="paragraph" w:styleId="Header">
    <w:name w:val="header"/>
    <w:basedOn w:val="Normal"/>
    <w:link w:val="HeaderChar"/>
    <w:uiPriority w:val="99"/>
    <w:unhideWhenUsed/>
    <w:rsid w:val="000F0BE1"/>
    <w:pPr>
      <w:tabs>
        <w:tab w:val="center" w:pos="4513"/>
        <w:tab w:val="right" w:pos="9026"/>
      </w:tabs>
    </w:pPr>
  </w:style>
  <w:style w:type="character" w:customStyle="1" w:styleId="HeaderChar">
    <w:name w:val="Header Char"/>
    <w:basedOn w:val="DefaultParagraphFont"/>
    <w:link w:val="Header"/>
    <w:uiPriority w:val="99"/>
    <w:rsid w:val="000F0BE1"/>
    <w:rPr>
      <w:rFonts w:eastAsia="Times New Roman"/>
      <w:szCs w:val="20"/>
      <w:lang w:eastAsia="en-AU"/>
    </w:rPr>
  </w:style>
  <w:style w:type="character" w:styleId="FollowedHyperlink">
    <w:name w:val="FollowedHyperlink"/>
    <w:basedOn w:val="DefaultParagraphFont"/>
    <w:uiPriority w:val="99"/>
    <w:semiHidden/>
    <w:unhideWhenUsed/>
    <w:rsid w:val="006B30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1.xml"/><Relationship Id="rId22"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www.blood.gov.au/igcriteria-version3" TargetMode="External"/><Relationship Id="rId2" Type="http://schemas.openxmlformats.org/officeDocument/2006/relationships/hyperlink" Target="https://www.abs.gov.au/" TargetMode="External"/><Relationship Id="rId1" Type="http://schemas.openxmlformats.org/officeDocument/2006/relationships/hyperlink" Target="https://www.blood.gov.au/igcriteria-versio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A579E-37AF-461A-BEE2-3A799AE89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12331</Words>
  <Characters>70290</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1566 Final PSD_Apr2020</vt:lpstr>
    </vt:vector>
  </TitlesOfParts>
  <Company/>
  <LinksUpToDate>false</LinksUpToDate>
  <CharactersWithSpaces>82457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1566 Final PSD_Apr2020</dc:title>
  <dc:subject/>
  <dc:creator/>
  <cp:keywords/>
  <dc:description/>
  <cp:lastModifiedBy/>
  <cp:revision>1</cp:revision>
  <dcterms:created xsi:type="dcterms:W3CDTF">2020-06-24T09:59:00Z</dcterms:created>
  <dcterms:modified xsi:type="dcterms:W3CDTF">2020-08-05T03:55:00Z</dcterms:modified>
</cp:coreProperties>
</file>