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7CA4E"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1D2DA213" wp14:editId="7AAF736A">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558FFA8"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5254AA78" w14:textId="77777777" w:rsidR="00BC1364" w:rsidRPr="00F715D1" w:rsidRDefault="00BC1364" w:rsidP="00F715D1">
      <w:pPr>
        <w:pStyle w:val="Subtitle"/>
      </w:pPr>
      <w:r w:rsidRPr="00F715D1">
        <w:t xml:space="preserve">Application No. </w:t>
      </w:r>
      <w:r w:rsidR="007222D9">
        <w:t>1420</w:t>
      </w:r>
      <w:r w:rsidRPr="00F715D1">
        <w:t xml:space="preserve"> – </w:t>
      </w:r>
      <w:r w:rsidR="007222D9" w:rsidRPr="007222D9">
        <w:t>Extracorporeal photopheresis for cutaneous T-cell lymphoma</w:t>
      </w:r>
    </w:p>
    <w:p w14:paraId="151CA0A7" w14:textId="77777777" w:rsidR="00BC1364" w:rsidRPr="00F715D1" w:rsidRDefault="00B35595" w:rsidP="002266AD">
      <w:pPr>
        <w:tabs>
          <w:tab w:val="left" w:pos="3686"/>
        </w:tabs>
        <w:spacing w:after="240"/>
        <w:ind w:left="3686" w:hanging="3686"/>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proofErr w:type="spellStart"/>
      <w:r w:rsidR="007222D9" w:rsidRPr="007222D9">
        <w:rPr>
          <w:rFonts w:ascii="Arial" w:hAnsi="Arial" w:cs="Arial"/>
          <w:b/>
          <w:szCs w:val="24"/>
        </w:rPr>
        <w:t>Optum</w:t>
      </w:r>
      <w:proofErr w:type="spellEnd"/>
      <w:r w:rsidR="007222D9" w:rsidRPr="007222D9">
        <w:rPr>
          <w:rFonts w:ascii="Arial" w:hAnsi="Arial" w:cs="Arial"/>
          <w:b/>
          <w:szCs w:val="24"/>
        </w:rPr>
        <w:t xml:space="preserve"> Consulting, on behalf of Mallinckrodt</w:t>
      </w:r>
      <w:r w:rsidR="002266AD">
        <w:rPr>
          <w:rFonts w:ascii="Arial" w:hAnsi="Arial" w:cs="Arial"/>
          <w:b/>
          <w:szCs w:val="24"/>
        </w:rPr>
        <w:t xml:space="preserve"> Pharmaceuticals</w:t>
      </w:r>
    </w:p>
    <w:p w14:paraId="064BDF18"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7222D9">
        <w:rPr>
          <w:rFonts w:ascii="Arial" w:hAnsi="Arial" w:cs="Arial"/>
          <w:b/>
          <w:szCs w:val="24"/>
        </w:rPr>
        <w:t>70</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7222D9">
        <w:rPr>
          <w:rFonts w:ascii="Arial" w:hAnsi="Arial" w:cs="Arial"/>
          <w:b/>
          <w:szCs w:val="24"/>
        </w:rPr>
        <w:t>27 July</w:t>
      </w:r>
      <w:r w:rsidR="001023DC">
        <w:rPr>
          <w:rFonts w:ascii="Arial" w:hAnsi="Arial" w:cs="Arial"/>
          <w:b/>
          <w:szCs w:val="24"/>
        </w:rPr>
        <w:t xml:space="preserve"> 2017</w:t>
      </w:r>
    </w:p>
    <w:p w14:paraId="27BA4694"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551F0C27" w14:textId="46FD9F2D" w:rsidR="002631FC" w:rsidRPr="002631FC" w:rsidRDefault="003D7F29" w:rsidP="0097460D">
      <w:pPr>
        <w:pStyle w:val="Heading1"/>
        <w:spacing w:before="0"/>
      </w:pPr>
      <w:r w:rsidRPr="00F715D1">
        <w:t>Purpose of application</w:t>
      </w:r>
      <w:r w:rsidR="00822C7E" w:rsidRPr="00F715D1">
        <w:t xml:space="preserve"> </w:t>
      </w:r>
    </w:p>
    <w:p w14:paraId="1A4113B5" w14:textId="4885EB09" w:rsidR="00BA0114" w:rsidRPr="008D59CB" w:rsidRDefault="00BA0114" w:rsidP="002631FC">
      <w:pPr>
        <w:rPr>
          <w:szCs w:val="24"/>
        </w:rPr>
      </w:pPr>
      <w:r w:rsidRPr="008D59CB">
        <w:rPr>
          <w:szCs w:val="24"/>
        </w:rPr>
        <w:t>The codependent application requested:</w:t>
      </w:r>
    </w:p>
    <w:p w14:paraId="4D9DD042" w14:textId="77777777" w:rsidR="00BA0114" w:rsidRPr="0041184F" w:rsidRDefault="00BA0114" w:rsidP="002631FC">
      <w:pPr>
        <w:pStyle w:val="ListParagraph"/>
        <w:numPr>
          <w:ilvl w:val="0"/>
          <w:numId w:val="25"/>
        </w:numPr>
        <w:rPr>
          <w:i/>
          <w:szCs w:val="24"/>
        </w:rPr>
      </w:pPr>
      <w:r w:rsidRPr="008D59CB">
        <w:rPr>
          <w:szCs w:val="24"/>
        </w:rPr>
        <w:t xml:space="preserve">Medicare Benefits Schedule (MBS) listing </w:t>
      </w:r>
      <w:r>
        <w:rPr>
          <w:szCs w:val="24"/>
        </w:rPr>
        <w:t>for e</w:t>
      </w:r>
      <w:r w:rsidRPr="005E66DB">
        <w:rPr>
          <w:szCs w:val="24"/>
        </w:rPr>
        <w:t xml:space="preserve">xtracorporeal photopheresis (ECP) for </w:t>
      </w:r>
      <w:r w:rsidRPr="00E92BFB">
        <w:t xml:space="preserve">erythrodermic </w:t>
      </w:r>
      <w:r>
        <w:t>(</w:t>
      </w:r>
      <w:r>
        <w:rPr>
          <w:szCs w:val="24"/>
        </w:rPr>
        <w:t>stage T</w:t>
      </w:r>
      <w:r w:rsidRPr="00763576">
        <w:rPr>
          <w:szCs w:val="24"/>
          <w:vertAlign w:val="subscript"/>
        </w:rPr>
        <w:t>4</w:t>
      </w:r>
      <w:r>
        <w:rPr>
          <w:szCs w:val="24"/>
        </w:rPr>
        <w:t>, M</w:t>
      </w:r>
      <w:r w:rsidRPr="00763576">
        <w:rPr>
          <w:szCs w:val="24"/>
          <w:vertAlign w:val="subscript"/>
        </w:rPr>
        <w:t>0</w:t>
      </w:r>
      <w:r w:rsidRPr="00BA0114">
        <w:rPr>
          <w:szCs w:val="24"/>
        </w:rPr>
        <w:t>)</w:t>
      </w:r>
      <w:r>
        <w:rPr>
          <w:szCs w:val="24"/>
        </w:rPr>
        <w:t xml:space="preserve"> </w:t>
      </w:r>
      <w:r w:rsidRPr="005E66DB">
        <w:rPr>
          <w:szCs w:val="24"/>
        </w:rPr>
        <w:t>cutaneous T-cell lymphoma (CTCL)</w:t>
      </w:r>
      <w:r w:rsidRPr="0041184F">
        <w:rPr>
          <w:i/>
          <w:szCs w:val="24"/>
        </w:rPr>
        <w:t>; and</w:t>
      </w:r>
    </w:p>
    <w:p w14:paraId="3B2A5904" w14:textId="35CC19DB" w:rsidR="002631FC" w:rsidRPr="0097460D" w:rsidRDefault="00BA0114" w:rsidP="0097460D">
      <w:pPr>
        <w:pStyle w:val="ListParagraph"/>
        <w:numPr>
          <w:ilvl w:val="0"/>
          <w:numId w:val="25"/>
        </w:numPr>
        <w:spacing w:after="240"/>
        <w:rPr>
          <w:i/>
          <w:szCs w:val="24"/>
        </w:rPr>
      </w:pPr>
      <w:r w:rsidRPr="00BA0114">
        <w:t>P</w:t>
      </w:r>
      <w:r>
        <w:t xml:space="preserve">harmaceutical </w:t>
      </w:r>
      <w:r w:rsidRPr="00BA0114">
        <w:t>B</w:t>
      </w:r>
      <w:r>
        <w:t xml:space="preserve">enefits </w:t>
      </w:r>
      <w:r w:rsidRPr="00BA0114">
        <w:t>S</w:t>
      </w:r>
      <w:r>
        <w:t>chedule (PBS)</w:t>
      </w:r>
      <w:r w:rsidRPr="00BA0114">
        <w:t xml:space="preserve"> listing for methoxsalen (UVADEX®)</w:t>
      </w:r>
      <w:r>
        <w:t>.</w:t>
      </w:r>
    </w:p>
    <w:p w14:paraId="232210B5" w14:textId="0DC9E1F8" w:rsidR="002631FC" w:rsidRPr="002631FC" w:rsidRDefault="00E977EE" w:rsidP="0097460D">
      <w:pPr>
        <w:pStyle w:val="Heading1"/>
        <w:spacing w:before="0"/>
      </w:pPr>
      <w:r w:rsidRPr="00F715D1">
        <w:t>MSAC’s advice to the Minister</w:t>
      </w:r>
    </w:p>
    <w:p w14:paraId="7D9E6C7F" w14:textId="5D0B7459" w:rsidR="00DD63BA" w:rsidRPr="00DD63BA" w:rsidRDefault="00DD63BA" w:rsidP="0097460D">
      <w:pPr>
        <w:spacing w:after="240"/>
        <w:rPr>
          <w:szCs w:val="24"/>
        </w:rPr>
      </w:pPr>
      <w:r w:rsidRPr="00DD63BA">
        <w:rPr>
          <w:szCs w:val="24"/>
        </w:rPr>
        <w:t>After considering the available evidence presented in relation to safety, clinical effectiveness and cost-effectiveness of extracorporeal photopheresis (ECP) with methoxsalen for treatment of refractory erythrodermic (stage T</w:t>
      </w:r>
      <w:r w:rsidRPr="00C427C3">
        <w:rPr>
          <w:szCs w:val="24"/>
          <w:vertAlign w:val="subscript"/>
        </w:rPr>
        <w:t>4</w:t>
      </w:r>
      <w:r w:rsidRPr="00DD63BA">
        <w:rPr>
          <w:szCs w:val="24"/>
        </w:rPr>
        <w:t>M</w:t>
      </w:r>
      <w:r w:rsidRPr="00C427C3">
        <w:rPr>
          <w:szCs w:val="24"/>
          <w:vertAlign w:val="subscript"/>
        </w:rPr>
        <w:t>0</w:t>
      </w:r>
      <w:r w:rsidRPr="00DD63BA">
        <w:rPr>
          <w:szCs w:val="24"/>
        </w:rPr>
        <w:t>) cutaneous T-cell lymphoma (CTCL), MSAC deferred its advice on public funding pending a revision of the economic model.</w:t>
      </w:r>
    </w:p>
    <w:p w14:paraId="6292A959" w14:textId="28AE115A" w:rsidR="00DD63BA" w:rsidRPr="00DD63BA" w:rsidRDefault="00DD63BA" w:rsidP="0097460D">
      <w:pPr>
        <w:spacing w:after="240"/>
        <w:rPr>
          <w:szCs w:val="24"/>
        </w:rPr>
      </w:pPr>
      <w:r w:rsidRPr="00DD63BA">
        <w:rPr>
          <w:szCs w:val="24"/>
        </w:rPr>
        <w:t>MSAC accepted there was a high unmet clinical need and established clinical place for ECP. While MSAC noted that the condition was a rare disease and would have a limited budgetary impact, the evidence base was weak with a high and uncertain incremental cost-effectiveness ratio (ICER).</w:t>
      </w:r>
    </w:p>
    <w:p w14:paraId="1B60169D" w14:textId="0C0AEB2F" w:rsidR="00DD63BA" w:rsidRPr="00DD63BA" w:rsidRDefault="00DD63BA" w:rsidP="0097460D">
      <w:pPr>
        <w:spacing w:after="240"/>
        <w:rPr>
          <w:szCs w:val="24"/>
        </w:rPr>
      </w:pPr>
      <w:r w:rsidRPr="00DD63BA">
        <w:rPr>
          <w:szCs w:val="24"/>
        </w:rPr>
        <w:t xml:space="preserve">MSAC noted that the PBS listing of vorinostat had substantially changed the treatment pathway for refractory erythrodermic CTCL and requested that the revised economic model only include comparators with accepted cost-effectiveness (methotrexate and vorinostat). MSAC also considered that there was a need to revisit the proposed MBS fee and align the MBS item descriptor and the proposed PBS restriction. </w:t>
      </w:r>
    </w:p>
    <w:p w14:paraId="50504579" w14:textId="14A58AB2" w:rsidR="00C825E2" w:rsidRDefault="00DD63BA" w:rsidP="002631FC">
      <w:pPr>
        <w:rPr>
          <w:szCs w:val="24"/>
        </w:rPr>
      </w:pPr>
      <w:r w:rsidRPr="00DD63BA">
        <w:rPr>
          <w:szCs w:val="24"/>
        </w:rPr>
        <w:t>Any resubmission would need to be considered via ESC.</w:t>
      </w:r>
    </w:p>
    <w:p w14:paraId="2DC68510" w14:textId="77777777" w:rsidR="00C825E2" w:rsidRDefault="00C825E2">
      <w:pPr>
        <w:rPr>
          <w:szCs w:val="24"/>
        </w:rPr>
      </w:pPr>
      <w:r>
        <w:rPr>
          <w:szCs w:val="24"/>
        </w:rPr>
        <w:br w:type="page"/>
      </w:r>
    </w:p>
    <w:p w14:paraId="6CE7AFBE" w14:textId="5FB3D833" w:rsidR="002631FC" w:rsidRPr="002631FC" w:rsidRDefault="00550354" w:rsidP="0097460D">
      <w:pPr>
        <w:pStyle w:val="Heading1"/>
        <w:spacing w:before="0"/>
      </w:pPr>
      <w:r w:rsidRPr="00F715D1">
        <w:lastRenderedPageBreak/>
        <w:t xml:space="preserve">Summary of consideration and rationale for MSAC’s advice </w:t>
      </w:r>
    </w:p>
    <w:p w14:paraId="066FE13E" w14:textId="11AF91FF" w:rsidR="004F0995" w:rsidRPr="00DD63BA" w:rsidRDefault="00DD63BA" w:rsidP="0097460D">
      <w:pPr>
        <w:spacing w:after="240"/>
        <w:rPr>
          <w:szCs w:val="24"/>
        </w:rPr>
      </w:pPr>
      <w:r w:rsidRPr="00DD63BA">
        <w:rPr>
          <w:szCs w:val="24"/>
        </w:rPr>
        <w:t xml:space="preserve">MSAC noted that this was a new submission to list a service to use </w:t>
      </w:r>
      <w:r w:rsidR="0084645D">
        <w:rPr>
          <w:szCs w:val="24"/>
        </w:rPr>
        <w:t xml:space="preserve">integrated, </w:t>
      </w:r>
      <w:r w:rsidR="00A62064">
        <w:rPr>
          <w:szCs w:val="24"/>
        </w:rPr>
        <w:t xml:space="preserve">closed </w:t>
      </w:r>
      <w:r w:rsidRPr="00DD63BA">
        <w:rPr>
          <w:szCs w:val="24"/>
        </w:rPr>
        <w:t xml:space="preserve">ECP systems on the MBS for patients with refractory erythrodermic CTCL who had failed one or more systemic treatments. MSAC noted that this application was an integrated codependent submission with the PBAC to consider the active agent used in ECP, methoxsalen (UVADEX), which is </w:t>
      </w:r>
      <w:r w:rsidR="00F547FF">
        <w:rPr>
          <w:szCs w:val="24"/>
        </w:rPr>
        <w:t xml:space="preserve">a TGA-designated </w:t>
      </w:r>
      <w:r w:rsidRPr="00DD63BA">
        <w:rPr>
          <w:szCs w:val="24"/>
        </w:rPr>
        <w:t xml:space="preserve">orphan drug for the treatment of CTCL. MSAC noted that methoxsalen was considered at the July 2017 PBAC meeting, and the PBAC is awaiting MSAC’s decision, with intent to expedite reconsideration </w:t>
      </w:r>
      <w:r w:rsidR="00F547FF">
        <w:rPr>
          <w:szCs w:val="24"/>
        </w:rPr>
        <w:t xml:space="preserve">consistent with the TGA outcome for methoxsalen </w:t>
      </w:r>
      <w:r w:rsidRPr="00DD63BA">
        <w:rPr>
          <w:szCs w:val="24"/>
        </w:rPr>
        <w:t xml:space="preserve">if MSAC supports MBS listing. </w:t>
      </w:r>
    </w:p>
    <w:p w14:paraId="3A45B119" w14:textId="67308BBB" w:rsidR="004F0995" w:rsidRPr="00DD63BA" w:rsidRDefault="00DD63BA" w:rsidP="0097460D">
      <w:pPr>
        <w:spacing w:after="240"/>
        <w:rPr>
          <w:szCs w:val="24"/>
        </w:rPr>
      </w:pPr>
      <w:r w:rsidRPr="00DD63BA">
        <w:rPr>
          <w:szCs w:val="24"/>
        </w:rPr>
        <w:t>CTCL is a rare type of non-Hodgkin lymphoma that affects the skin resulting in raised, rash-like or itchy patches of skin, skin lumps</w:t>
      </w:r>
      <w:r w:rsidR="00A62064">
        <w:rPr>
          <w:szCs w:val="24"/>
        </w:rPr>
        <w:t xml:space="preserve"> or ulcers</w:t>
      </w:r>
      <w:r w:rsidRPr="00DD63BA">
        <w:rPr>
          <w:szCs w:val="24"/>
        </w:rPr>
        <w:t xml:space="preserve"> and swollen lymph nodes. It is an incurable condition and</w:t>
      </w:r>
      <w:r w:rsidR="00F547FF">
        <w:rPr>
          <w:szCs w:val="24"/>
        </w:rPr>
        <w:t>,</w:t>
      </w:r>
      <w:r w:rsidRPr="00DD63BA">
        <w:rPr>
          <w:szCs w:val="24"/>
        </w:rPr>
        <w:t xml:space="preserve"> in its later stages more than 80% of the skin is involved</w:t>
      </w:r>
      <w:r w:rsidR="00A62064">
        <w:rPr>
          <w:szCs w:val="24"/>
        </w:rPr>
        <w:t>, with intractable pruritus and a high risk of infection secondary to scratching</w:t>
      </w:r>
      <w:r w:rsidRPr="00DD63BA">
        <w:rPr>
          <w:szCs w:val="24"/>
        </w:rPr>
        <w:t>. It has an annual incidence of 0.23–0.75 per 100,000 people in Australia. MSAC acknowledged the high clinical need for an effective treatment in this population.</w:t>
      </w:r>
    </w:p>
    <w:p w14:paraId="280D18DA" w14:textId="03EBBE42" w:rsidR="004F0995" w:rsidRPr="00DD63BA" w:rsidRDefault="00DD63BA" w:rsidP="0097460D">
      <w:pPr>
        <w:spacing w:after="240"/>
        <w:rPr>
          <w:szCs w:val="24"/>
        </w:rPr>
      </w:pPr>
      <w:r w:rsidRPr="00DD63BA">
        <w:rPr>
          <w:szCs w:val="24"/>
        </w:rPr>
        <w:t xml:space="preserve">ECP is a systemic treatment for refractory erythrodermic CTCL during which whole blood is processed outside the body in a closed system. The white blood cells are separated out, mixed with methoxsalen and then exposed to ultraviolet light, before being returned to the patient. MSAC acknowledged that there is an established clinical place for ECP in </w:t>
      </w:r>
      <w:r w:rsidR="00A62064">
        <w:rPr>
          <w:szCs w:val="24"/>
        </w:rPr>
        <w:t xml:space="preserve">advanced </w:t>
      </w:r>
      <w:r w:rsidRPr="00DD63BA">
        <w:rPr>
          <w:szCs w:val="24"/>
        </w:rPr>
        <w:t>CTCL.</w:t>
      </w:r>
    </w:p>
    <w:p w14:paraId="3D41E2E3" w14:textId="3A9E0D40" w:rsidR="004F0995" w:rsidRPr="00DD63BA" w:rsidRDefault="00DD63BA" w:rsidP="0097460D">
      <w:pPr>
        <w:spacing w:after="240"/>
        <w:rPr>
          <w:szCs w:val="24"/>
        </w:rPr>
      </w:pPr>
      <w:r w:rsidRPr="00DD63BA">
        <w:rPr>
          <w:szCs w:val="24"/>
        </w:rPr>
        <w:t>MSAC noted that the comparators for ECP used in the submission were methotrexate, interferon-</w:t>
      </w:r>
      <w:r w:rsidR="00A62064" w:rsidRPr="00C427C3">
        <w:rPr>
          <w:rFonts w:ascii="Symbol" w:hAnsi="Symbol"/>
          <w:szCs w:val="24"/>
        </w:rPr>
        <w:t></w:t>
      </w:r>
      <w:r w:rsidR="00A62064" w:rsidRPr="00C427C3">
        <w:rPr>
          <w:rFonts w:ascii="Symbol" w:hAnsi="Symbol"/>
          <w:szCs w:val="24"/>
        </w:rPr>
        <w:t></w:t>
      </w:r>
      <w:r w:rsidR="00B35105">
        <w:rPr>
          <w:szCs w:val="24"/>
        </w:rPr>
        <w:t xml:space="preserve">b </w:t>
      </w:r>
      <w:r w:rsidRPr="00DD63BA">
        <w:rPr>
          <w:szCs w:val="24"/>
        </w:rPr>
        <w:t xml:space="preserve">and alemtuzumab. MSAC noted since the protocol had been finalised, vorinostat had also been </w:t>
      </w:r>
      <w:r w:rsidR="00F547FF">
        <w:rPr>
          <w:szCs w:val="24"/>
        </w:rPr>
        <w:t xml:space="preserve">recommended </w:t>
      </w:r>
      <w:r w:rsidRPr="00DD63BA">
        <w:rPr>
          <w:szCs w:val="24"/>
        </w:rPr>
        <w:t xml:space="preserve">by the PBAC for the treatment of </w:t>
      </w:r>
      <w:r w:rsidR="00F547FF">
        <w:rPr>
          <w:szCs w:val="24"/>
        </w:rPr>
        <w:t xml:space="preserve">refractory </w:t>
      </w:r>
      <w:r w:rsidRPr="00DD63BA">
        <w:rPr>
          <w:szCs w:val="24"/>
        </w:rPr>
        <w:t>CTCL</w:t>
      </w:r>
      <w:r w:rsidR="00F547FF">
        <w:rPr>
          <w:szCs w:val="24"/>
        </w:rPr>
        <w:t xml:space="preserve"> and is now listed on the PBS for this indication</w:t>
      </w:r>
      <w:r w:rsidRPr="00DD63BA">
        <w:rPr>
          <w:szCs w:val="24"/>
        </w:rPr>
        <w:t>.</w:t>
      </w:r>
    </w:p>
    <w:p w14:paraId="4A8DBB2C" w14:textId="54F37198" w:rsidR="004F0995" w:rsidRPr="00DD63BA" w:rsidRDefault="00DD63BA" w:rsidP="0097460D">
      <w:pPr>
        <w:spacing w:after="240"/>
        <w:rPr>
          <w:szCs w:val="24"/>
        </w:rPr>
      </w:pPr>
      <w:r w:rsidRPr="00DD63BA">
        <w:rPr>
          <w:szCs w:val="24"/>
        </w:rPr>
        <w:t>MSAC noted that no comparative data is available on the safety of ECP in patients with refractory erythrodermic CTCL. MSAC noted that ECP appears to be associated with fewer adverse events than interferon-</w:t>
      </w:r>
      <w:r w:rsidR="00A62064" w:rsidRPr="009124D2">
        <w:rPr>
          <w:rFonts w:ascii="Symbol" w:hAnsi="Symbol"/>
          <w:szCs w:val="24"/>
        </w:rPr>
        <w:t></w:t>
      </w:r>
      <w:r w:rsidR="00A62064" w:rsidRPr="009124D2">
        <w:rPr>
          <w:rFonts w:ascii="Symbol" w:hAnsi="Symbol"/>
          <w:szCs w:val="24"/>
        </w:rPr>
        <w:t></w:t>
      </w:r>
      <w:r w:rsidR="00B35105">
        <w:rPr>
          <w:szCs w:val="24"/>
        </w:rPr>
        <w:t>b</w:t>
      </w:r>
      <w:r w:rsidRPr="00DD63BA">
        <w:rPr>
          <w:szCs w:val="24"/>
        </w:rPr>
        <w:t xml:space="preserve"> or alemtuzumab and appears to have a similar safety profile to methotrexate. MSAC noted that most described adverse events from ECP and methoxsalen were mild and transient.</w:t>
      </w:r>
    </w:p>
    <w:p w14:paraId="0517334D" w14:textId="35188FC5" w:rsidR="004F0995" w:rsidRPr="00DD63BA" w:rsidRDefault="00DD63BA" w:rsidP="0097460D">
      <w:pPr>
        <w:spacing w:after="240"/>
        <w:rPr>
          <w:szCs w:val="24"/>
        </w:rPr>
      </w:pPr>
      <w:r w:rsidRPr="00DD63BA">
        <w:rPr>
          <w:szCs w:val="24"/>
        </w:rPr>
        <w:t xml:space="preserve">MSAC considered evidence from the primary study (n = 198; Hughes C et al 2015), which was a retrospective database analysis of Australian patients with CTCL requiring systemic therapy. MSAC noted that the primary efficacy outcome used in this trial, time to next </w:t>
      </w:r>
      <w:r w:rsidR="00A62064">
        <w:rPr>
          <w:szCs w:val="24"/>
        </w:rPr>
        <w:t xml:space="preserve">(systemic) </w:t>
      </w:r>
      <w:r w:rsidRPr="00DD63BA">
        <w:rPr>
          <w:szCs w:val="24"/>
        </w:rPr>
        <w:t xml:space="preserve">treatment (TTNT), was used as a </w:t>
      </w:r>
      <w:r w:rsidR="00A62064">
        <w:rPr>
          <w:szCs w:val="24"/>
        </w:rPr>
        <w:t>proxy</w:t>
      </w:r>
      <w:r w:rsidR="00A62064" w:rsidRPr="00DD63BA">
        <w:rPr>
          <w:szCs w:val="24"/>
        </w:rPr>
        <w:t xml:space="preserve"> </w:t>
      </w:r>
      <w:r w:rsidRPr="00DD63BA">
        <w:rPr>
          <w:szCs w:val="24"/>
        </w:rPr>
        <w:t xml:space="preserve">for quality of life. However, MSAC noted that TTNT was not directly interchangeable with other quality of life measures as it may be impacted by prior treatments </w:t>
      </w:r>
      <w:proofErr w:type="gramStart"/>
      <w:r w:rsidRPr="00DD63BA">
        <w:rPr>
          <w:szCs w:val="24"/>
        </w:rPr>
        <w:t>used,</w:t>
      </w:r>
      <w:proofErr w:type="gramEnd"/>
      <w:r w:rsidRPr="00DD63BA">
        <w:rPr>
          <w:szCs w:val="24"/>
        </w:rPr>
        <w:t xml:space="preserve"> the order/timing of treatments over the long-term, and the availability, adverse effect profile and expected efficacy of the various treatments. MSAC noted that this study reported no significant difference in TTNT between ECP and comparators, but had high heterogeneity. MSAC noted that</w:t>
      </w:r>
      <w:r w:rsidR="00F547FF">
        <w:rPr>
          <w:szCs w:val="24"/>
        </w:rPr>
        <w:t>,</w:t>
      </w:r>
      <w:r w:rsidRPr="00DD63BA">
        <w:rPr>
          <w:szCs w:val="24"/>
        </w:rPr>
        <w:t xml:space="preserve"> although the evidence supporting ECP for CTCL was limited, the rarity of the condition makes it unlikely that the evidence base will improve substantially. </w:t>
      </w:r>
    </w:p>
    <w:p w14:paraId="3B7BC30F" w14:textId="38B63F8D" w:rsidR="004F0995" w:rsidRPr="00DD63BA" w:rsidRDefault="00DD63BA" w:rsidP="0097460D">
      <w:pPr>
        <w:spacing w:after="240"/>
        <w:rPr>
          <w:szCs w:val="24"/>
        </w:rPr>
      </w:pPr>
      <w:r w:rsidRPr="00DD63BA">
        <w:rPr>
          <w:szCs w:val="24"/>
        </w:rPr>
        <w:t xml:space="preserve">MSAC voiced a number of concerns with the economic evaluation. MSAC noted </w:t>
      </w:r>
      <w:r w:rsidR="0080402E">
        <w:rPr>
          <w:szCs w:val="24"/>
        </w:rPr>
        <w:t xml:space="preserve">in particular </w:t>
      </w:r>
      <w:r w:rsidRPr="00DD63BA">
        <w:rPr>
          <w:szCs w:val="24"/>
        </w:rPr>
        <w:t xml:space="preserve">that alemtuzumab was listed as a second line comparator, and although it has been approved for multiple sclerosis, it has not been </w:t>
      </w:r>
      <w:r w:rsidR="00733D69">
        <w:rPr>
          <w:szCs w:val="24"/>
        </w:rPr>
        <w:t xml:space="preserve">evaluated or </w:t>
      </w:r>
      <w:r w:rsidRPr="00DD63BA">
        <w:rPr>
          <w:szCs w:val="24"/>
        </w:rPr>
        <w:t>approved for CTCL. As a result, MSAC noted that the clinical effectiveness and cost-effectiveness of alemtuzumab for the treatment of CTCL has not been established in the Australian setting</w:t>
      </w:r>
      <w:r w:rsidR="00F547FF">
        <w:rPr>
          <w:szCs w:val="24"/>
        </w:rPr>
        <w:t>, which would be a prerequisite for establishing the cost-effectiveness of ECP against alemtuzumab</w:t>
      </w:r>
      <w:r w:rsidRPr="00DD63BA">
        <w:rPr>
          <w:szCs w:val="24"/>
        </w:rPr>
        <w:t xml:space="preserve">. MSAC noted that there is a large difference between fortnightly treatment costs for each </w:t>
      </w:r>
      <w:r w:rsidR="00BA446D">
        <w:rPr>
          <w:szCs w:val="24"/>
        </w:rPr>
        <w:t>of the second line comparators -</w:t>
      </w:r>
      <w:r w:rsidRPr="00DD63BA">
        <w:rPr>
          <w:szCs w:val="24"/>
        </w:rPr>
        <w:t xml:space="preserve"> </w:t>
      </w:r>
      <w:r w:rsidRPr="00DD63BA">
        <w:rPr>
          <w:szCs w:val="24"/>
        </w:rPr>
        <w:lastRenderedPageBreak/>
        <w:t>methotrexate ($6.04), interferon ($1,</w:t>
      </w:r>
      <w:r w:rsidR="00BA446D">
        <w:rPr>
          <w:szCs w:val="24"/>
        </w:rPr>
        <w:t>018) and alemtuzumab ($68,364) -</w:t>
      </w:r>
      <w:r w:rsidRPr="00DD63BA">
        <w:rPr>
          <w:szCs w:val="24"/>
        </w:rPr>
        <w:t xml:space="preserve"> and the difference in these costs has a significant impact on the economic model. Specifically, the inclusion of alemtuzumab significantly favours ECP. </w:t>
      </w:r>
      <w:r w:rsidR="006C5338">
        <w:rPr>
          <w:szCs w:val="24"/>
        </w:rPr>
        <w:t>MSAC also considered that the costs of methoxsalen were inappropriately reduced by assuming that a single vial could be shared across different patients, whereas this is not accepted practice.</w:t>
      </w:r>
    </w:p>
    <w:p w14:paraId="04AAB27D" w14:textId="3C8D09C7" w:rsidR="004F0995" w:rsidRPr="00DD63BA" w:rsidRDefault="00DD63BA" w:rsidP="0097460D">
      <w:pPr>
        <w:spacing w:after="240"/>
        <w:rPr>
          <w:szCs w:val="24"/>
        </w:rPr>
      </w:pPr>
      <w:r w:rsidRPr="00DD63BA">
        <w:rPr>
          <w:szCs w:val="24"/>
        </w:rPr>
        <w:t xml:space="preserve">MSAC noted that gemcitabine monotherapy was the only third line treatment included in the model, and vorinostat and combination therapies with ECP were not included in the model. MSAC </w:t>
      </w:r>
      <w:r w:rsidR="0083608D">
        <w:rPr>
          <w:szCs w:val="24"/>
        </w:rPr>
        <w:t xml:space="preserve">also </w:t>
      </w:r>
      <w:r w:rsidRPr="00DD63BA">
        <w:rPr>
          <w:szCs w:val="24"/>
        </w:rPr>
        <w:t xml:space="preserve">noted that the economic model omitted a number of factors that could influence treatment costs: the capital cost of the ECP machine, central lines for venous access, infection prophylaxis for alemtuzumab, monitoring costs, and the cost of managing adverse events. MSAC </w:t>
      </w:r>
      <w:r w:rsidR="0083608D">
        <w:rPr>
          <w:szCs w:val="24"/>
        </w:rPr>
        <w:t xml:space="preserve">further </w:t>
      </w:r>
      <w:r w:rsidRPr="00DD63BA">
        <w:rPr>
          <w:szCs w:val="24"/>
        </w:rPr>
        <w:t xml:space="preserve">noted that the sponsor followed ESC’s advice to remodel the economic analyses to show the impact of treatment displacement. MSAC observed that no sensitivity analyses were included, and suggested that the new model needed to be tested more thoroughly to ensure that all of ESC’s concerns had been met. MSAC voiced concern that the incremental cost-effectiveness ratio (ICER) shifted from ECP being dominant (less costly and more effective) in the original model to ECP costing nearly $150,000 per QALY. MSAC noted this was indicative of a high level of uncertainty in the modelling. </w:t>
      </w:r>
    </w:p>
    <w:p w14:paraId="1B6684C5" w14:textId="51F4C543" w:rsidR="004F0995" w:rsidRPr="00DD63BA" w:rsidRDefault="00DD63BA" w:rsidP="0097460D">
      <w:pPr>
        <w:spacing w:after="240"/>
        <w:rPr>
          <w:szCs w:val="24"/>
        </w:rPr>
      </w:pPr>
      <w:r w:rsidRPr="00DD63BA">
        <w:rPr>
          <w:szCs w:val="24"/>
        </w:rPr>
        <w:t xml:space="preserve">Since vorinostat has been </w:t>
      </w:r>
      <w:r w:rsidR="0083608D">
        <w:rPr>
          <w:szCs w:val="24"/>
        </w:rPr>
        <w:t>recommended</w:t>
      </w:r>
      <w:r w:rsidRPr="00DD63BA">
        <w:rPr>
          <w:szCs w:val="24"/>
        </w:rPr>
        <w:t xml:space="preserve"> for use in CTCL by the PBAC and thus has been demonstrated to be acceptably cost effective, while alemtuzumab has not, MSAC advised removing alemtuzumab from the model and including vorinostat, but cautioned that this was likely to increase the ICER above the current $150,000 estimate. MSAC noted that methotrexate, which is PBS listed and therefore presumed to be </w:t>
      </w:r>
      <w:r w:rsidR="0083608D">
        <w:rPr>
          <w:szCs w:val="24"/>
        </w:rPr>
        <w:t xml:space="preserve">acceptably </w:t>
      </w:r>
      <w:r w:rsidRPr="00DD63BA">
        <w:rPr>
          <w:szCs w:val="24"/>
        </w:rPr>
        <w:t xml:space="preserve">cost-effective, should still be included in the model. </w:t>
      </w:r>
      <w:r w:rsidR="0083608D">
        <w:rPr>
          <w:szCs w:val="24"/>
        </w:rPr>
        <w:t xml:space="preserve">MSAC also noted that interferon has also not been demonstrated to be acceptably cost-effective, but </w:t>
      </w:r>
      <w:r w:rsidR="0080402E">
        <w:rPr>
          <w:szCs w:val="24"/>
        </w:rPr>
        <w:t xml:space="preserve">considered </w:t>
      </w:r>
      <w:r w:rsidR="0083608D">
        <w:rPr>
          <w:szCs w:val="24"/>
        </w:rPr>
        <w:t>that its removal from the model would have less impact on the resulting ICER.</w:t>
      </w:r>
      <w:r w:rsidRPr="00DD63BA">
        <w:rPr>
          <w:szCs w:val="24"/>
        </w:rPr>
        <w:t xml:space="preserve"> </w:t>
      </w:r>
    </w:p>
    <w:p w14:paraId="47004B3D" w14:textId="4E100AE3" w:rsidR="00DD63BA" w:rsidRDefault="00DD63BA" w:rsidP="0097460D">
      <w:pPr>
        <w:spacing w:after="240"/>
        <w:rPr>
          <w:szCs w:val="24"/>
        </w:rPr>
      </w:pPr>
      <w:r w:rsidRPr="00DD63BA">
        <w:rPr>
          <w:szCs w:val="24"/>
        </w:rPr>
        <w:t>MSAC noted that the economic model included costs for one year but not subsequent years. MSAC noted that</w:t>
      </w:r>
      <w:r w:rsidR="0083608D">
        <w:rPr>
          <w:szCs w:val="24"/>
        </w:rPr>
        <w:t>,</w:t>
      </w:r>
      <w:r w:rsidRPr="00DD63BA">
        <w:rPr>
          <w:szCs w:val="24"/>
        </w:rPr>
        <w:t xml:space="preserve"> since CTCL is a chronic condition, patients may require treatment over a number of years and consequently, the current values are likely to underestimate the true </w:t>
      </w:r>
      <w:r w:rsidR="003D4BFD">
        <w:rPr>
          <w:szCs w:val="24"/>
        </w:rPr>
        <w:t>costs of ongoing treatment</w:t>
      </w:r>
      <w:r w:rsidRPr="00DD63BA">
        <w:rPr>
          <w:szCs w:val="24"/>
        </w:rPr>
        <w:t xml:space="preserve">. MSAC noted that since CTCL is a rare condition with fewer than 100 patients estimated to be eligible for ECP treatment each year, the MBS cost </w:t>
      </w:r>
      <w:r w:rsidR="0080402E">
        <w:rPr>
          <w:szCs w:val="24"/>
        </w:rPr>
        <w:t>was</w:t>
      </w:r>
      <w:r w:rsidRPr="00DD63BA">
        <w:rPr>
          <w:szCs w:val="24"/>
        </w:rPr>
        <w:t xml:space="preserve"> estimated to be $1.5–2 million per year.</w:t>
      </w:r>
    </w:p>
    <w:p w14:paraId="3191F688" w14:textId="3A44A1BA" w:rsidR="004F0995" w:rsidRPr="00DD63BA" w:rsidRDefault="00DD63BA" w:rsidP="0097460D">
      <w:pPr>
        <w:spacing w:after="240"/>
        <w:rPr>
          <w:szCs w:val="24"/>
        </w:rPr>
      </w:pPr>
      <w:r w:rsidRPr="00DD63BA">
        <w:rPr>
          <w:szCs w:val="24"/>
        </w:rPr>
        <w:t xml:space="preserve">MSAC noted that </w:t>
      </w:r>
      <w:r w:rsidR="0080402E">
        <w:rPr>
          <w:szCs w:val="24"/>
        </w:rPr>
        <w:t xml:space="preserve">the </w:t>
      </w:r>
      <w:r w:rsidRPr="00DD63BA">
        <w:rPr>
          <w:szCs w:val="24"/>
        </w:rPr>
        <w:t>proposed MBS fee for the service was $</w:t>
      </w:r>
      <w:r w:rsidR="007122EF" w:rsidRPr="007122EF">
        <w:rPr>
          <w:b/>
          <w:szCs w:val="24"/>
        </w:rPr>
        <w:t>redacted</w:t>
      </w:r>
      <w:r w:rsidRPr="00DD63BA">
        <w:rPr>
          <w:szCs w:val="24"/>
        </w:rPr>
        <w:t xml:space="preserve"> with the price of the consumables used during the procedure ($</w:t>
      </w:r>
      <w:r w:rsidR="007122EF" w:rsidRPr="007122EF">
        <w:rPr>
          <w:b/>
          <w:szCs w:val="24"/>
        </w:rPr>
        <w:t>redacted</w:t>
      </w:r>
      <w:r w:rsidRPr="00DD63BA">
        <w:rPr>
          <w:szCs w:val="24"/>
        </w:rPr>
        <w:t xml:space="preserve">) accounting for </w:t>
      </w:r>
      <w:r w:rsidR="0080402E">
        <w:rPr>
          <w:szCs w:val="24"/>
        </w:rPr>
        <w:t>most</w:t>
      </w:r>
      <w:r w:rsidRPr="00DD63BA">
        <w:rPr>
          <w:szCs w:val="24"/>
        </w:rPr>
        <w:t xml:space="preserve"> of the fee. MSAC queried whether this price was appropriate. However, MSAC also noted that any reduction in the price paid for the consumables could result in </w:t>
      </w:r>
      <w:proofErr w:type="gramStart"/>
      <w:r w:rsidRPr="00DD63BA">
        <w:rPr>
          <w:szCs w:val="24"/>
        </w:rPr>
        <w:t>a transference</w:t>
      </w:r>
      <w:proofErr w:type="gramEnd"/>
      <w:r w:rsidRPr="00DD63BA">
        <w:rPr>
          <w:szCs w:val="24"/>
        </w:rPr>
        <w:t xml:space="preserve"> of </w:t>
      </w:r>
      <w:r w:rsidR="0080402E">
        <w:rPr>
          <w:szCs w:val="24"/>
        </w:rPr>
        <w:t xml:space="preserve">the payment of these </w:t>
      </w:r>
      <w:r w:rsidRPr="00DD63BA">
        <w:rPr>
          <w:szCs w:val="24"/>
        </w:rPr>
        <w:t xml:space="preserve">costs to patients. </w:t>
      </w:r>
    </w:p>
    <w:p w14:paraId="47AB8B62" w14:textId="133276E5" w:rsidR="00DD63BA" w:rsidRDefault="00DD63BA" w:rsidP="0097460D">
      <w:pPr>
        <w:spacing w:after="240"/>
        <w:rPr>
          <w:szCs w:val="24"/>
        </w:rPr>
      </w:pPr>
      <w:r w:rsidRPr="00DD63BA">
        <w:rPr>
          <w:szCs w:val="24"/>
        </w:rPr>
        <w:t xml:space="preserve">MSAC </w:t>
      </w:r>
      <w:r w:rsidR="0080402E">
        <w:rPr>
          <w:szCs w:val="24"/>
        </w:rPr>
        <w:t>considered</w:t>
      </w:r>
      <w:r w:rsidRPr="00DD63BA">
        <w:rPr>
          <w:szCs w:val="24"/>
        </w:rPr>
        <w:t xml:space="preserve"> that patients with refractory erythrodermic CTCL are a high clinical need group and ECP has an established place in therapy. MSAC noted that ECP for CTCL is currently only provided at a single Australian centre (the Peter </w:t>
      </w:r>
      <w:proofErr w:type="spellStart"/>
      <w:r w:rsidRPr="00DD63BA">
        <w:rPr>
          <w:szCs w:val="24"/>
        </w:rPr>
        <w:t>MacCallum</w:t>
      </w:r>
      <w:proofErr w:type="spellEnd"/>
      <w:r w:rsidRPr="00DD63BA">
        <w:rPr>
          <w:szCs w:val="24"/>
        </w:rPr>
        <w:t xml:space="preserve"> Cancer Centre), and </w:t>
      </w:r>
      <w:r w:rsidR="0080402E">
        <w:rPr>
          <w:szCs w:val="24"/>
        </w:rPr>
        <w:t xml:space="preserve">considered </w:t>
      </w:r>
      <w:r w:rsidRPr="00DD63BA">
        <w:rPr>
          <w:szCs w:val="24"/>
        </w:rPr>
        <w:t xml:space="preserve">that inequity of access </w:t>
      </w:r>
      <w:r w:rsidR="003D4BFD">
        <w:rPr>
          <w:szCs w:val="24"/>
        </w:rPr>
        <w:t xml:space="preserve">is </w:t>
      </w:r>
      <w:r w:rsidRPr="00DD63BA">
        <w:rPr>
          <w:szCs w:val="24"/>
        </w:rPr>
        <w:t xml:space="preserve">unlikely to be resolved by MBS </w:t>
      </w:r>
      <w:r w:rsidR="0080402E">
        <w:rPr>
          <w:szCs w:val="24"/>
        </w:rPr>
        <w:t xml:space="preserve">funding of </w:t>
      </w:r>
      <w:r w:rsidRPr="00DD63BA">
        <w:rPr>
          <w:szCs w:val="24"/>
        </w:rPr>
        <w:t xml:space="preserve">ECP services. MSAC </w:t>
      </w:r>
      <w:r w:rsidR="0080402E">
        <w:rPr>
          <w:szCs w:val="24"/>
        </w:rPr>
        <w:t xml:space="preserve">also </w:t>
      </w:r>
      <w:r w:rsidRPr="00DD63BA">
        <w:rPr>
          <w:szCs w:val="24"/>
        </w:rPr>
        <w:t>noted that the MBS cannot be used to cover the costs of t</w:t>
      </w:r>
      <w:r w:rsidR="0097460D">
        <w:rPr>
          <w:szCs w:val="24"/>
        </w:rPr>
        <w:t>ravel and accommodation.</w:t>
      </w:r>
    </w:p>
    <w:p w14:paraId="2D077C52" w14:textId="38B8C01C" w:rsidR="004F0995" w:rsidRPr="00DD63BA" w:rsidRDefault="00DD63BA" w:rsidP="0097460D">
      <w:pPr>
        <w:spacing w:after="240"/>
        <w:rPr>
          <w:szCs w:val="24"/>
        </w:rPr>
      </w:pPr>
      <w:r w:rsidRPr="00DD63BA">
        <w:rPr>
          <w:szCs w:val="24"/>
        </w:rPr>
        <w:t xml:space="preserve">MSAC noted that ESC had suggested </w:t>
      </w:r>
      <w:r w:rsidR="003D4BFD">
        <w:rPr>
          <w:szCs w:val="24"/>
        </w:rPr>
        <w:t xml:space="preserve">consideration of sources </w:t>
      </w:r>
      <w:r w:rsidRPr="00DD63BA">
        <w:rPr>
          <w:szCs w:val="24"/>
        </w:rPr>
        <w:t xml:space="preserve">funding </w:t>
      </w:r>
      <w:r w:rsidR="003D4BFD">
        <w:rPr>
          <w:szCs w:val="24"/>
        </w:rPr>
        <w:t xml:space="preserve">other than the MBS, such as </w:t>
      </w:r>
      <w:r w:rsidRPr="00DD63BA">
        <w:rPr>
          <w:szCs w:val="24"/>
        </w:rPr>
        <w:t xml:space="preserve">through a Nationally Funded Centre (NFC). MSAC noted that recent </w:t>
      </w:r>
      <w:r w:rsidR="003D4BFD">
        <w:rPr>
          <w:szCs w:val="24"/>
        </w:rPr>
        <w:t>advice from</w:t>
      </w:r>
      <w:r w:rsidRPr="00DD63BA">
        <w:rPr>
          <w:szCs w:val="24"/>
        </w:rPr>
        <w:t xml:space="preserve"> the NFC Reference Group indicated that a number of factors make ECP unsuitable for funding using this approach: the procedure is not viewed as complex or low volume (in the context of the NFC); </w:t>
      </w:r>
      <w:r w:rsidR="003D4BFD">
        <w:rPr>
          <w:szCs w:val="24"/>
        </w:rPr>
        <w:t xml:space="preserve">it </w:t>
      </w:r>
      <w:r w:rsidRPr="00DD63BA">
        <w:rPr>
          <w:szCs w:val="24"/>
        </w:rPr>
        <w:t xml:space="preserve">is used to treat a broader range of indications than proposed by MSAC (i.e. graft </w:t>
      </w:r>
      <w:r w:rsidRPr="00DD63BA">
        <w:rPr>
          <w:szCs w:val="24"/>
        </w:rPr>
        <w:lastRenderedPageBreak/>
        <w:t xml:space="preserve">versus host disease); </w:t>
      </w:r>
      <w:r w:rsidR="003D4BFD">
        <w:rPr>
          <w:szCs w:val="24"/>
        </w:rPr>
        <w:t xml:space="preserve">it </w:t>
      </w:r>
      <w:r w:rsidRPr="00DD63BA">
        <w:rPr>
          <w:szCs w:val="24"/>
        </w:rPr>
        <w:t xml:space="preserve">is provided as an outpatient procedure; and </w:t>
      </w:r>
      <w:r w:rsidR="003D4BFD">
        <w:rPr>
          <w:szCs w:val="24"/>
        </w:rPr>
        <w:t xml:space="preserve">it </w:t>
      </w:r>
      <w:r w:rsidRPr="00DD63BA">
        <w:rPr>
          <w:szCs w:val="24"/>
        </w:rPr>
        <w:t xml:space="preserve">requires ongoing treatment rather than </w:t>
      </w:r>
      <w:r w:rsidR="003D4BFD">
        <w:rPr>
          <w:szCs w:val="24"/>
        </w:rPr>
        <w:t>a</w:t>
      </w:r>
      <w:r w:rsidR="0080402E">
        <w:rPr>
          <w:szCs w:val="24"/>
        </w:rPr>
        <w:t xml:space="preserve"> single</w:t>
      </w:r>
      <w:r w:rsidR="003D4BFD">
        <w:rPr>
          <w:szCs w:val="24"/>
        </w:rPr>
        <w:t xml:space="preserve"> </w:t>
      </w:r>
      <w:r w:rsidR="003D4BFD" w:rsidRPr="00DD63BA">
        <w:rPr>
          <w:szCs w:val="24"/>
        </w:rPr>
        <w:t>episod</w:t>
      </w:r>
      <w:r w:rsidR="003D4BFD">
        <w:rPr>
          <w:szCs w:val="24"/>
        </w:rPr>
        <w:t>e of</w:t>
      </w:r>
      <w:r w:rsidR="003D4BFD" w:rsidRPr="00DD63BA">
        <w:rPr>
          <w:szCs w:val="24"/>
        </w:rPr>
        <w:t xml:space="preserve"> </w:t>
      </w:r>
      <w:r w:rsidRPr="00DD63BA">
        <w:rPr>
          <w:szCs w:val="24"/>
        </w:rPr>
        <w:t>treatment (as required by the NFC). MSAC noted that, while no clear alternatives to MBS funding were evident, the Department should still continue to investigate the possibility of alternative sources of funding.</w:t>
      </w:r>
    </w:p>
    <w:p w14:paraId="11AEBEA4" w14:textId="53D6C8A1" w:rsidR="00DD63BA" w:rsidRPr="00DD63BA" w:rsidRDefault="00DD63BA" w:rsidP="0097460D">
      <w:pPr>
        <w:spacing w:after="240"/>
        <w:rPr>
          <w:szCs w:val="24"/>
        </w:rPr>
      </w:pPr>
      <w:r w:rsidRPr="00DD63BA">
        <w:rPr>
          <w:szCs w:val="24"/>
        </w:rPr>
        <w:t xml:space="preserve">MSAC noted that the item descriptor and proposed PBS </w:t>
      </w:r>
      <w:r w:rsidR="0080402E">
        <w:rPr>
          <w:szCs w:val="24"/>
        </w:rPr>
        <w:t>restriction</w:t>
      </w:r>
      <w:r w:rsidRPr="00DD63BA">
        <w:rPr>
          <w:szCs w:val="24"/>
        </w:rPr>
        <w:t xml:space="preserve"> both needed to be edited to correct the following inconsistencies: the inclusion of statements within the proposed MBS item descriptor that are not within the PBS restriction; the inclusion of criteria within the proposed PBS restriction that are not within the proposed MBS item descriptor; and specification of methoxsalen used alongside ECP treatment in the MBS item descriptor.</w:t>
      </w:r>
    </w:p>
    <w:p w14:paraId="77D452D2" w14:textId="1475C183" w:rsidR="00DD63BA" w:rsidRPr="00DD63BA" w:rsidRDefault="00DD63BA" w:rsidP="00DD63BA">
      <w:pPr>
        <w:rPr>
          <w:szCs w:val="24"/>
        </w:rPr>
      </w:pPr>
      <w:r w:rsidRPr="00DD63BA">
        <w:rPr>
          <w:szCs w:val="24"/>
        </w:rPr>
        <w:t xml:space="preserve">MSAC noted that refractory erythrodermic CTCL is associated with a high level of morbidity that leads to significant, ongoing quality of life impairments. However, MSAC indicated that the PBS listing of vorinostat since the protocol was approved had substantially changed the clinical treatment pathway. After considering the evidence presented in relation to the safety, clinical effectiveness and cost-effectiveness, and recognising the high clinical need of this group, MSAC deferred its advice on funding pending an updated economic model which includes </w:t>
      </w:r>
      <w:r w:rsidR="0080402E" w:rsidRPr="00DD63BA">
        <w:rPr>
          <w:szCs w:val="24"/>
        </w:rPr>
        <w:t xml:space="preserve">comparators with accepted cost-effectiveness (methotrexate and </w:t>
      </w:r>
      <w:r w:rsidRPr="00DD63BA">
        <w:rPr>
          <w:szCs w:val="24"/>
        </w:rPr>
        <w:t>vorinostat</w:t>
      </w:r>
      <w:r w:rsidR="0080402E">
        <w:rPr>
          <w:szCs w:val="24"/>
        </w:rPr>
        <w:t>)</w:t>
      </w:r>
      <w:r w:rsidRPr="00DD63BA">
        <w:rPr>
          <w:szCs w:val="24"/>
        </w:rPr>
        <w:t>. MSAC also considered that there was a need to revisit the proposed fee</w:t>
      </w:r>
      <w:r w:rsidR="0080402E">
        <w:rPr>
          <w:szCs w:val="24"/>
        </w:rPr>
        <w:t xml:space="preserve"> by either reducing it or providing a stronger justification for each of its components</w:t>
      </w:r>
      <w:r w:rsidRPr="00DD63BA">
        <w:rPr>
          <w:szCs w:val="24"/>
        </w:rPr>
        <w:t>.</w:t>
      </w:r>
    </w:p>
    <w:p w14:paraId="277A39CD" w14:textId="77777777" w:rsidR="00BC1364" w:rsidRPr="00F715D1" w:rsidRDefault="00BC1364" w:rsidP="00F715D1">
      <w:pPr>
        <w:pStyle w:val="Heading1"/>
      </w:pPr>
      <w:r w:rsidRPr="00F715D1">
        <w:t>Background</w:t>
      </w:r>
    </w:p>
    <w:p w14:paraId="17083C86" w14:textId="77777777" w:rsidR="007978C7" w:rsidRPr="00210BCB" w:rsidRDefault="007978C7" w:rsidP="007978C7">
      <w:pPr>
        <w:pStyle w:val="Default"/>
      </w:pPr>
      <w:r w:rsidRPr="00210BCB">
        <w:t>This application has not previously been considered by MSAC.</w:t>
      </w:r>
    </w:p>
    <w:p w14:paraId="3206AC5C" w14:textId="77777777" w:rsidR="00BC1364" w:rsidRPr="00F715D1" w:rsidRDefault="00BC1364" w:rsidP="00F715D1">
      <w:pPr>
        <w:pStyle w:val="Heading1"/>
      </w:pPr>
      <w:r w:rsidRPr="00F715D1">
        <w:t>Prerequisites to implementation of any funding advice</w:t>
      </w:r>
    </w:p>
    <w:p w14:paraId="450F0A6E" w14:textId="77777777" w:rsidR="00F52DD7" w:rsidRDefault="00F52DD7" w:rsidP="007978C7">
      <w:pPr>
        <w:spacing w:before="120"/>
      </w:pPr>
      <w:r>
        <w:t>T</w:t>
      </w:r>
      <w:r w:rsidR="007978C7" w:rsidRPr="00210BCB">
        <w:t>hree device components</w:t>
      </w:r>
      <w:r>
        <w:t xml:space="preserve"> are</w:t>
      </w:r>
      <w:r w:rsidR="007978C7" w:rsidRPr="00210BCB">
        <w:t xml:space="preserve"> used to deliver ECP</w:t>
      </w:r>
      <w:r>
        <w:t>:</w:t>
      </w:r>
      <w:r w:rsidR="007978C7" w:rsidRPr="00210BCB">
        <w:t xml:space="preserve"> the photopheresis system, the photopheresis system lamp assembly and the photopheresis system blood set. All three device components are listed on the Australian Register for Therapeutic Goods (ARTG) as Class </w:t>
      </w:r>
      <w:proofErr w:type="spellStart"/>
      <w:r w:rsidR="007978C7" w:rsidRPr="00210BCB">
        <w:t>IIa</w:t>
      </w:r>
      <w:proofErr w:type="spellEnd"/>
      <w:r w:rsidR="007978C7" w:rsidRPr="00210BCB">
        <w:t xml:space="preserve"> or Class </w:t>
      </w:r>
      <w:proofErr w:type="spellStart"/>
      <w:r w:rsidR="007978C7" w:rsidRPr="00210BCB">
        <w:t>IIb</w:t>
      </w:r>
      <w:proofErr w:type="spellEnd"/>
      <w:r w:rsidR="007978C7" w:rsidRPr="00210BCB">
        <w:t xml:space="preserve"> devices.</w:t>
      </w:r>
      <w:r w:rsidR="007978C7">
        <w:t xml:space="preserve"> </w:t>
      </w:r>
    </w:p>
    <w:p w14:paraId="6D1002F6" w14:textId="753F744B" w:rsidR="007978C7" w:rsidRDefault="00F52DD7" w:rsidP="007978C7">
      <w:pPr>
        <w:spacing w:before="120"/>
        <w:rPr>
          <w:szCs w:val="24"/>
        </w:rPr>
      </w:pPr>
      <w:r>
        <w:t>Methoxsalen</w:t>
      </w:r>
      <w:r w:rsidR="007978C7" w:rsidRPr="00210BCB">
        <w:rPr>
          <w:szCs w:val="24"/>
        </w:rPr>
        <w:t xml:space="preserve"> is </w:t>
      </w:r>
      <w:r w:rsidR="0080402E">
        <w:rPr>
          <w:szCs w:val="24"/>
        </w:rPr>
        <w:t xml:space="preserve">a TGA-designated </w:t>
      </w:r>
      <w:r w:rsidR="007978C7" w:rsidRPr="00210BCB">
        <w:rPr>
          <w:szCs w:val="24"/>
        </w:rPr>
        <w:t xml:space="preserve">orphan drug for the treatment of CTCL and </w:t>
      </w:r>
      <w:r w:rsidR="007978C7">
        <w:rPr>
          <w:szCs w:val="24"/>
        </w:rPr>
        <w:t>g</w:t>
      </w:r>
      <w:r w:rsidR="007978C7" w:rsidRPr="00210BCB">
        <w:rPr>
          <w:szCs w:val="24"/>
        </w:rPr>
        <w:t xml:space="preserve">raft-versus-host disease (GVHD) following allogeneic </w:t>
      </w:r>
      <w:proofErr w:type="spellStart"/>
      <w:r w:rsidR="007978C7">
        <w:rPr>
          <w:szCs w:val="24"/>
        </w:rPr>
        <w:t>haemopoietic</w:t>
      </w:r>
      <w:proofErr w:type="spellEnd"/>
      <w:r w:rsidR="007978C7">
        <w:rPr>
          <w:szCs w:val="24"/>
        </w:rPr>
        <w:t xml:space="preserve"> stem cell</w:t>
      </w:r>
      <w:r w:rsidR="007978C7" w:rsidRPr="00210BCB">
        <w:rPr>
          <w:szCs w:val="24"/>
        </w:rPr>
        <w:t xml:space="preserve"> transplant.</w:t>
      </w:r>
    </w:p>
    <w:p w14:paraId="1A4E91E1" w14:textId="77777777" w:rsidR="00BC1364" w:rsidRPr="00F715D1" w:rsidRDefault="00BC1364" w:rsidP="00F715D1">
      <w:pPr>
        <w:pStyle w:val="Heading1"/>
      </w:pPr>
      <w:r w:rsidRPr="00F715D1">
        <w:t>Proposal for public funding</w:t>
      </w:r>
    </w:p>
    <w:p w14:paraId="3679C8B0" w14:textId="318684E1" w:rsidR="007978C7" w:rsidRDefault="007978C7" w:rsidP="0097460D">
      <w:pPr>
        <w:spacing w:after="240"/>
      </w:pPr>
      <w:r w:rsidRPr="00330525">
        <w:t xml:space="preserve">An MBS item number </w:t>
      </w:r>
      <w:r w:rsidR="00EB162C">
        <w:t>wa</w:t>
      </w:r>
      <w:r w:rsidRPr="00330525">
        <w:t xml:space="preserve">s sought to subsidise delivery of treatment with an integrated, closed ECP system, and </w:t>
      </w:r>
      <w:r w:rsidR="00EB162C">
        <w:t>a</w:t>
      </w:r>
      <w:r w:rsidR="00F52DD7">
        <w:t xml:space="preserve"> PBS listing of methoxsalen </w:t>
      </w:r>
      <w:r w:rsidR="00EB162C">
        <w:t>wa</w:t>
      </w:r>
      <w:r w:rsidRPr="00330525">
        <w:t xml:space="preserve">s sought to reimburse the cost of the </w:t>
      </w:r>
      <w:r w:rsidR="00EB162C">
        <w:t>medicine</w:t>
      </w:r>
      <w:r w:rsidRPr="00330525">
        <w:t xml:space="preserve"> as part of the service.</w:t>
      </w:r>
      <w:bookmarkStart w:id="1" w:name="_Toc474245235"/>
    </w:p>
    <w:p w14:paraId="7914DBEE" w14:textId="2A6BCF62" w:rsidR="007978C7" w:rsidRPr="00E92BFB" w:rsidRDefault="007978C7" w:rsidP="007978C7">
      <w:pPr>
        <w:rPr>
          <w:u w:val="single"/>
        </w:rPr>
      </w:pPr>
      <w:r w:rsidRPr="00E92BFB">
        <w:rPr>
          <w:u w:val="single"/>
        </w:rPr>
        <w:t xml:space="preserve">MBS </w:t>
      </w:r>
      <w:r w:rsidR="00EB162C">
        <w:rPr>
          <w:u w:val="single"/>
        </w:rPr>
        <w:t>l</w:t>
      </w:r>
      <w:r w:rsidRPr="00E92BFB">
        <w:rPr>
          <w:u w:val="single"/>
        </w:rPr>
        <w:t>isting</w:t>
      </w:r>
      <w:bookmarkEnd w:id="1"/>
    </w:p>
    <w:p w14:paraId="0EEE79A7" w14:textId="306CA200" w:rsidR="007978C7" w:rsidRPr="0097460D" w:rsidRDefault="007978C7" w:rsidP="0097460D">
      <w:r>
        <w:t xml:space="preserve">Table 1 </w:t>
      </w:r>
      <w:r w:rsidRPr="00330525">
        <w:t xml:space="preserve">outlines </w:t>
      </w:r>
      <w:r w:rsidR="00B31B59">
        <w:t>the proposed MBS restriction</w:t>
      </w:r>
      <w:r w:rsidR="001F2373">
        <w:t>. T</w:t>
      </w:r>
      <w:r w:rsidRPr="00330525">
        <w:t>his listing does not</w:t>
      </w:r>
      <w:r w:rsidR="0097460D">
        <w:t xml:space="preserve"> include multi-step procedures.</w:t>
      </w:r>
    </w:p>
    <w:p w14:paraId="6DBDACAB" w14:textId="77777777" w:rsidR="007978C7" w:rsidRPr="00B31B59" w:rsidRDefault="007978C7" w:rsidP="00950C48">
      <w:pPr>
        <w:keepNext/>
        <w:keepLines/>
        <w:widowControl w:val="0"/>
        <w:rPr>
          <w:rFonts w:ascii="Arial" w:hAnsi="Arial" w:cs="Arial"/>
          <w:b/>
          <w:sz w:val="20"/>
        </w:rPr>
      </w:pPr>
      <w:r w:rsidRPr="00B31B59">
        <w:rPr>
          <w:rFonts w:ascii="Arial" w:hAnsi="Arial" w:cs="Arial"/>
          <w:b/>
          <w:sz w:val="20"/>
        </w:rPr>
        <w:lastRenderedPageBreak/>
        <w:t>Table 1</w:t>
      </w:r>
      <w:r w:rsidRPr="00B31B59">
        <w:rPr>
          <w:rFonts w:ascii="Arial" w:hAnsi="Arial" w:cs="Arial"/>
          <w:b/>
          <w:bCs/>
          <w:iCs/>
          <w:sz w:val="20"/>
          <w:lang w:eastAsia="en-US"/>
        </w:rPr>
        <w:t>:  P</w:t>
      </w:r>
      <w:r w:rsidRPr="00B31B59">
        <w:rPr>
          <w:rFonts w:ascii="Arial" w:hAnsi="Arial" w:cs="Arial"/>
          <w:b/>
          <w:sz w:val="20"/>
        </w:rPr>
        <w:t>roposed MBS item</w:t>
      </w:r>
    </w:p>
    <w:tbl>
      <w:tblPr>
        <w:tblStyle w:val="TableGrid2"/>
        <w:tblW w:w="5000" w:type="pct"/>
        <w:tblLook w:val="04A0" w:firstRow="1" w:lastRow="0" w:firstColumn="1" w:lastColumn="0" w:noHBand="0" w:noVBand="1"/>
        <w:tblDescription w:val="The proposed MBS restriction for integrated, closed ECP systems for patients with CTCL"/>
      </w:tblPr>
      <w:tblGrid>
        <w:gridCol w:w="9242"/>
      </w:tblGrid>
      <w:tr w:rsidR="007978C7" w:rsidRPr="00210BCB" w14:paraId="3898BB9C" w14:textId="77777777" w:rsidTr="006C6993">
        <w:trPr>
          <w:cnfStyle w:val="100000000000" w:firstRow="1" w:lastRow="0" w:firstColumn="0" w:lastColumn="0" w:oddVBand="0" w:evenVBand="0" w:oddHBand="0" w:evenHBand="0" w:firstRowFirstColumn="0" w:firstRowLastColumn="0" w:lastRowFirstColumn="0" w:lastRowLastColumn="0"/>
          <w:tblHeader/>
        </w:trPr>
        <w:tc>
          <w:tcPr>
            <w:tcW w:w="9178" w:type="dxa"/>
            <w:hideMark/>
          </w:tcPr>
          <w:p w14:paraId="20961462" w14:textId="77777777" w:rsidR="007978C7" w:rsidRPr="00E92BFB" w:rsidRDefault="007978C7" w:rsidP="00950C48">
            <w:pPr>
              <w:pStyle w:val="TableHeading"/>
              <w:keepLines/>
              <w:rPr>
                <w:rFonts w:cs="Times New Roman"/>
                <w:bCs/>
                <w:lang w:eastAsia="en-GB"/>
              </w:rPr>
            </w:pPr>
            <w:r w:rsidRPr="00E92BFB">
              <w:rPr>
                <w:rFonts w:cs="Times New Roman"/>
                <w:lang w:eastAsia="en-GB"/>
              </w:rPr>
              <w:t>Category 3 – Therapeutic procedures</w:t>
            </w:r>
          </w:p>
        </w:tc>
      </w:tr>
      <w:tr w:rsidR="007978C7" w:rsidRPr="00210BCB" w14:paraId="34154385" w14:textId="77777777" w:rsidTr="006C6993">
        <w:tc>
          <w:tcPr>
            <w:tcW w:w="9178" w:type="dxa"/>
          </w:tcPr>
          <w:p w14:paraId="0C52D59F" w14:textId="7A5A5530" w:rsidR="007978C7" w:rsidRPr="00BA446D" w:rsidRDefault="007978C7" w:rsidP="00950C48">
            <w:pPr>
              <w:pStyle w:val="TableText10pt"/>
              <w:keepLines/>
              <w:spacing w:before="120" w:after="120"/>
              <w:rPr>
                <w:rFonts w:eastAsiaTheme="minorHAnsi" w:cs="Times New Roman"/>
              </w:rPr>
            </w:pPr>
            <w:r w:rsidRPr="00E92BFB">
              <w:rPr>
                <w:rFonts w:cs="Times New Roman"/>
              </w:rPr>
              <w:t>MBS 38xxx</w:t>
            </w:r>
          </w:p>
          <w:p w14:paraId="24D44522" w14:textId="76831256" w:rsidR="007978C7" w:rsidRPr="00E92BFB" w:rsidRDefault="007978C7" w:rsidP="00950C48">
            <w:pPr>
              <w:pStyle w:val="TableText10pt"/>
              <w:keepLines/>
              <w:spacing w:before="120" w:after="120"/>
              <w:rPr>
                <w:rFonts w:cs="Times New Roman"/>
              </w:rPr>
            </w:pPr>
            <w:r w:rsidRPr="00E92BFB">
              <w:rPr>
                <w:rFonts w:cs="Times New Roman"/>
                <w:caps/>
              </w:rPr>
              <w:t xml:space="preserve">integrated, closed Extracorporeal Photopheresis systems </w:t>
            </w:r>
            <w:r w:rsidRPr="00E92BFB">
              <w:rPr>
                <w:rFonts w:cs="Times New Roman"/>
              </w:rPr>
              <w:t>for the ECP treatment of erythrodermic (Stage T</w:t>
            </w:r>
            <w:r w:rsidRPr="00E92BFB">
              <w:rPr>
                <w:rFonts w:cs="Times New Roman"/>
                <w:vertAlign w:val="subscript"/>
              </w:rPr>
              <w:t>4</w:t>
            </w:r>
            <w:r w:rsidRPr="00E92BFB">
              <w:rPr>
                <w:rFonts w:cs="Times New Roman"/>
              </w:rPr>
              <w:t xml:space="preserve"> and M</w:t>
            </w:r>
            <w:r w:rsidRPr="00E92BFB">
              <w:rPr>
                <w:rFonts w:cs="Times New Roman"/>
                <w:vertAlign w:val="subscript"/>
              </w:rPr>
              <w:t>0</w:t>
            </w:r>
            <w:r w:rsidRPr="00E92BFB">
              <w:rPr>
                <w:rFonts w:cs="Times New Roman"/>
              </w:rPr>
              <w:t>)) cutaneous T-cell lymphoma patients above 18 years of age, who are refractory</w:t>
            </w:r>
            <w:r w:rsidRPr="00E92BFB">
              <w:rPr>
                <w:rFonts w:cs="Times New Roman"/>
                <w:vertAlign w:val="superscript"/>
              </w:rPr>
              <w:t>β</w:t>
            </w:r>
            <w:r w:rsidRPr="00E92BFB">
              <w:rPr>
                <w:rFonts w:cs="Times New Roman"/>
              </w:rPr>
              <w:t xml:space="preserve"> to one or more systemic treatments. Treatment includes a specialist consultation and continuous monitoring with nurse attendance under the supervision of a consultant physician.</w:t>
            </w:r>
          </w:p>
          <w:p w14:paraId="7E6CEEE2" w14:textId="2D30C129" w:rsidR="007978C7" w:rsidRPr="00210BCB" w:rsidRDefault="007978C7" w:rsidP="00950C48">
            <w:pPr>
              <w:pStyle w:val="TableText10pt"/>
              <w:keepLines/>
              <w:tabs>
                <w:tab w:val="left" w:pos="1735"/>
              </w:tabs>
              <w:spacing w:before="120" w:after="120"/>
              <w:rPr>
                <w:rFonts w:ascii="Times New Roman" w:hAnsi="Times New Roman" w:cs="Times New Roman"/>
              </w:rPr>
            </w:pPr>
            <w:r w:rsidRPr="00E92BFB">
              <w:rPr>
                <w:rFonts w:cs="Times New Roman"/>
              </w:rPr>
              <w:t>Fee: $</w:t>
            </w:r>
            <w:r w:rsidR="007122EF" w:rsidRPr="008E243D">
              <w:rPr>
                <w:rFonts w:cs="Times New Roman"/>
                <w:b/>
              </w:rPr>
              <w:t>redacted</w:t>
            </w:r>
            <w:r w:rsidR="00D10E5B">
              <w:rPr>
                <w:rFonts w:cs="Times New Roman"/>
                <w:b/>
              </w:rPr>
              <w:t xml:space="preserve"> </w:t>
            </w:r>
            <w:r w:rsidRPr="00E92BFB">
              <w:rPr>
                <w:rFonts w:cs="Times New Roman"/>
              </w:rPr>
              <w:t>Benefit: 75% = $</w:t>
            </w:r>
            <w:r w:rsidR="007122EF" w:rsidRPr="008E243D">
              <w:rPr>
                <w:rFonts w:cs="Times New Roman"/>
                <w:b/>
              </w:rPr>
              <w:t>redacted</w:t>
            </w:r>
            <w:r w:rsidR="007122EF" w:rsidRPr="007122EF" w:rsidDel="007122EF">
              <w:rPr>
                <w:rFonts w:cs="Times New Roman"/>
              </w:rPr>
              <w:t xml:space="preserve"> </w:t>
            </w:r>
            <w:r w:rsidRPr="00E92BFB">
              <w:rPr>
                <w:rFonts w:cs="Times New Roman"/>
              </w:rPr>
              <w:t>85% = $</w:t>
            </w:r>
            <w:r w:rsidR="007122EF" w:rsidRPr="008E243D">
              <w:rPr>
                <w:rFonts w:cs="Times New Roman"/>
                <w:b/>
              </w:rPr>
              <w:t>redacted</w:t>
            </w:r>
          </w:p>
        </w:tc>
      </w:tr>
    </w:tbl>
    <w:p w14:paraId="2ECC230E" w14:textId="77777777" w:rsidR="007978C7" w:rsidRPr="00BA446D" w:rsidRDefault="007978C7" w:rsidP="00950C48">
      <w:pPr>
        <w:pStyle w:val="Tablenotes"/>
        <w:keepNext/>
        <w:keepLines/>
      </w:pPr>
      <w:r w:rsidRPr="00BA446D">
        <w:t>Source: Protocol 1420 [Submitted April 2016], β: Refractory implies patient has had either disease recurrence while on treatment or has experienced intolerance\toxicity to treatment</w:t>
      </w:r>
    </w:p>
    <w:p w14:paraId="68698C7A"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71F961EC" w14:textId="6C464AE3" w:rsidR="007978C7" w:rsidRDefault="001F2373" w:rsidP="0097460D">
      <w:pPr>
        <w:spacing w:after="240"/>
      </w:pPr>
      <w:r>
        <w:t>As part of the public consultation feedback, s</w:t>
      </w:r>
      <w:r w:rsidR="007978C7">
        <w:t xml:space="preserve">even responses were </w:t>
      </w:r>
      <w:r>
        <w:t xml:space="preserve">received </w:t>
      </w:r>
      <w:r w:rsidR="007978C7">
        <w:t xml:space="preserve">from specialists, three from consumers/care givers, </w:t>
      </w:r>
      <w:proofErr w:type="gramStart"/>
      <w:r w:rsidR="007978C7">
        <w:t>three</w:t>
      </w:r>
      <w:proofErr w:type="gramEnd"/>
      <w:r w:rsidR="007978C7">
        <w:t xml:space="preserve"> from organisations, two from peak bodies, and two f</w:t>
      </w:r>
      <w:r w:rsidR="0097460D">
        <w:t>rom clinical nurse specialists.</w:t>
      </w:r>
    </w:p>
    <w:p w14:paraId="072E958C" w14:textId="600182D6" w:rsidR="007978C7" w:rsidRPr="007978C7" w:rsidRDefault="007978C7" w:rsidP="007978C7">
      <w:r>
        <w:t xml:space="preserve">Responses consistently highlighted the high clinical need for the reimbursement of integrated, closed </w:t>
      </w:r>
      <w:r w:rsidR="0084645D">
        <w:t xml:space="preserve">ECP </w:t>
      </w:r>
      <w:r>
        <w:t>system</w:t>
      </w:r>
      <w:r w:rsidR="0084645D">
        <w:t>s</w:t>
      </w:r>
      <w:r>
        <w:t xml:space="preserve"> for </w:t>
      </w:r>
      <w:r w:rsidRPr="00E92BFB">
        <w:rPr>
          <w:b/>
          <w:bCs/>
        </w:rPr>
        <w:t>e</w:t>
      </w:r>
      <w:r>
        <w:t>rythrodermic (stage T</w:t>
      </w:r>
      <w:r w:rsidRPr="00C427C3">
        <w:rPr>
          <w:vertAlign w:val="subscript"/>
        </w:rPr>
        <w:t>4</w:t>
      </w:r>
      <w:r>
        <w:t>, M</w:t>
      </w:r>
      <w:r w:rsidRPr="00C427C3">
        <w:rPr>
          <w:vertAlign w:val="subscript"/>
        </w:rPr>
        <w:t>0</w:t>
      </w:r>
      <w:r>
        <w:t xml:space="preserve">) CTCL, which is considered part of ‘standard of care’.  Responses also highlighted the safety and efficacy of ECP treatment within the proposed indication, noting access is not currently equitable due to </w:t>
      </w:r>
      <w:r w:rsidRPr="007358BF">
        <w:rPr>
          <w:i/>
        </w:rPr>
        <w:t>ad hoc</w:t>
      </w:r>
      <w:r>
        <w:t xml:space="preserve"> funding arrangements across the jurisdictions. </w:t>
      </w:r>
    </w:p>
    <w:p w14:paraId="212BC43F" w14:textId="77777777" w:rsidR="00BC1364" w:rsidRPr="00F715D1" w:rsidRDefault="00BC1364" w:rsidP="00F715D1">
      <w:pPr>
        <w:pStyle w:val="Heading1"/>
      </w:pPr>
      <w:r w:rsidRPr="00F715D1">
        <w:t>Proposed intervention’s place in clinical management</w:t>
      </w:r>
    </w:p>
    <w:p w14:paraId="27147B0E" w14:textId="3505334B" w:rsidR="007978C7" w:rsidRDefault="001F2373" w:rsidP="001F2373">
      <w:pPr>
        <w:autoSpaceDE w:val="0"/>
        <w:autoSpaceDN w:val="0"/>
        <w:adjustRightInd w:val="0"/>
        <w:spacing w:before="120"/>
        <w:rPr>
          <w:szCs w:val="24"/>
        </w:rPr>
      </w:pPr>
      <w:r w:rsidRPr="00210BCB">
        <w:rPr>
          <w:szCs w:val="24"/>
        </w:rPr>
        <w:t xml:space="preserve">Cutaneous T-cell lymphoma (CTCL) is a rare group of non-Hodgkin’s lymphoma </w:t>
      </w:r>
      <w:r>
        <w:rPr>
          <w:szCs w:val="24"/>
        </w:rPr>
        <w:t>in which</w:t>
      </w:r>
      <w:r w:rsidRPr="00210BCB">
        <w:rPr>
          <w:szCs w:val="24"/>
        </w:rPr>
        <w:t xml:space="preserve"> malignant T-cell clones accumulate in the skin leading to disfiguring plaques and patches. CTCL mostly impacts men aged between 40</w:t>
      </w:r>
      <w:r>
        <w:rPr>
          <w:szCs w:val="24"/>
        </w:rPr>
        <w:t xml:space="preserve"> and </w:t>
      </w:r>
      <w:r w:rsidRPr="00210BCB">
        <w:rPr>
          <w:szCs w:val="24"/>
        </w:rPr>
        <w:t xml:space="preserve">60 and the estimated prevalence in Australia is less than 1200 patients in total. The two most common CTCL variants are </w:t>
      </w:r>
      <w:r>
        <w:rPr>
          <w:szCs w:val="24"/>
        </w:rPr>
        <w:t>m</w:t>
      </w:r>
      <w:r w:rsidRPr="00210BCB">
        <w:rPr>
          <w:szCs w:val="24"/>
        </w:rPr>
        <w:t xml:space="preserve">ycosis </w:t>
      </w:r>
      <w:proofErr w:type="spellStart"/>
      <w:r>
        <w:rPr>
          <w:szCs w:val="24"/>
        </w:rPr>
        <w:t>f</w:t>
      </w:r>
      <w:r w:rsidRPr="00210BCB">
        <w:rPr>
          <w:szCs w:val="24"/>
        </w:rPr>
        <w:t>ungoides</w:t>
      </w:r>
      <w:proofErr w:type="spellEnd"/>
      <w:r w:rsidRPr="00210BCB">
        <w:rPr>
          <w:szCs w:val="24"/>
        </w:rPr>
        <w:t xml:space="preserve"> (MF)</w:t>
      </w:r>
      <w:r>
        <w:rPr>
          <w:szCs w:val="24"/>
        </w:rPr>
        <w:t xml:space="preserve"> and </w:t>
      </w:r>
      <w:proofErr w:type="spellStart"/>
      <w:r w:rsidRPr="00210BCB">
        <w:rPr>
          <w:szCs w:val="24"/>
        </w:rPr>
        <w:t>Sézary</w:t>
      </w:r>
      <w:proofErr w:type="spellEnd"/>
      <w:r>
        <w:rPr>
          <w:szCs w:val="24"/>
        </w:rPr>
        <w:t xml:space="preserve"> syndrome (SS)</w:t>
      </w:r>
      <w:r w:rsidRPr="00210BCB">
        <w:rPr>
          <w:szCs w:val="24"/>
        </w:rPr>
        <w:t>.</w:t>
      </w:r>
    </w:p>
    <w:p w14:paraId="57C19D94" w14:textId="0B1EC1DB" w:rsidR="001F2373" w:rsidRPr="00210BCB" w:rsidRDefault="001F2373" w:rsidP="001F2373">
      <w:pPr>
        <w:autoSpaceDE w:val="0"/>
        <w:autoSpaceDN w:val="0"/>
        <w:adjustRightInd w:val="0"/>
        <w:spacing w:before="120"/>
        <w:rPr>
          <w:szCs w:val="24"/>
        </w:rPr>
      </w:pPr>
      <w:r w:rsidRPr="00210BCB">
        <w:rPr>
          <w:szCs w:val="24"/>
        </w:rPr>
        <w:t xml:space="preserve">When patients present with symptoms of CTCL, they are classified into stages of disease severity. </w:t>
      </w:r>
      <w:r>
        <w:rPr>
          <w:szCs w:val="24"/>
        </w:rPr>
        <w:t>P</w:t>
      </w:r>
      <w:r w:rsidRPr="00210BCB">
        <w:rPr>
          <w:szCs w:val="24"/>
        </w:rPr>
        <w:t xml:space="preserve">atients with early stage disease often only have </w:t>
      </w:r>
      <w:r w:rsidR="00B35105">
        <w:rPr>
          <w:szCs w:val="24"/>
        </w:rPr>
        <w:t>localised skin</w:t>
      </w:r>
      <w:r w:rsidRPr="00210BCB">
        <w:rPr>
          <w:szCs w:val="24"/>
        </w:rPr>
        <w:t xml:space="preserve"> disease, while advanced disease may have </w:t>
      </w:r>
      <w:r w:rsidR="00B35105">
        <w:rPr>
          <w:szCs w:val="24"/>
        </w:rPr>
        <w:t xml:space="preserve">extensive skin involvement and may have </w:t>
      </w:r>
      <w:r w:rsidRPr="00210BCB">
        <w:rPr>
          <w:szCs w:val="24"/>
        </w:rPr>
        <w:t xml:space="preserve">disseminated into lymph nodes and other organs. Advanced stages can involve multiple immune derangements and require systemic therapy. </w:t>
      </w:r>
    </w:p>
    <w:p w14:paraId="39C71A45" w14:textId="77777777" w:rsidR="001F2373" w:rsidRDefault="001F2373" w:rsidP="001F2373">
      <w:pPr>
        <w:autoSpaceDE w:val="0"/>
        <w:autoSpaceDN w:val="0"/>
        <w:adjustRightInd w:val="0"/>
        <w:spacing w:before="120"/>
        <w:rPr>
          <w:szCs w:val="24"/>
        </w:rPr>
      </w:pPr>
      <w:r w:rsidRPr="00210BCB">
        <w:rPr>
          <w:szCs w:val="24"/>
        </w:rPr>
        <w:t xml:space="preserve">The proposed patient population that would benefit most from ECP therapy delivered with an integrated, closed system are </w:t>
      </w:r>
      <w:r>
        <w:rPr>
          <w:szCs w:val="24"/>
        </w:rPr>
        <w:t xml:space="preserve">patients with </w:t>
      </w:r>
      <w:r w:rsidRPr="00A04CB0">
        <w:rPr>
          <w:szCs w:val="24"/>
        </w:rPr>
        <w:t>extensive skin disease (T</w:t>
      </w:r>
      <w:r w:rsidRPr="00A04CB0">
        <w:rPr>
          <w:szCs w:val="24"/>
          <w:vertAlign w:val="subscript"/>
        </w:rPr>
        <w:t>4</w:t>
      </w:r>
      <w:r w:rsidRPr="00A04CB0">
        <w:rPr>
          <w:szCs w:val="24"/>
        </w:rPr>
        <w:t xml:space="preserve">: </w:t>
      </w:r>
      <w:r w:rsidRPr="00A04CB0">
        <w:rPr>
          <w:i/>
          <w:iCs/>
          <w:szCs w:val="24"/>
        </w:rPr>
        <w:t>erythroderma</w:t>
      </w:r>
      <w:r w:rsidRPr="00A04CB0">
        <w:rPr>
          <w:szCs w:val="24"/>
        </w:rPr>
        <w:t xml:space="preserve"> [involvement of ≥ 80% body surface area]), variable blood and lymph node involvement, but no disease in visceral organs (M</w:t>
      </w:r>
      <w:r w:rsidRPr="00A04CB0">
        <w:rPr>
          <w:szCs w:val="24"/>
          <w:vertAlign w:val="subscript"/>
        </w:rPr>
        <w:t>0</w:t>
      </w:r>
      <w:r>
        <w:rPr>
          <w:szCs w:val="24"/>
        </w:rPr>
        <w:t>)</w:t>
      </w:r>
      <w:r w:rsidRPr="00210BCB">
        <w:rPr>
          <w:szCs w:val="24"/>
        </w:rPr>
        <w:t xml:space="preserve">, </w:t>
      </w:r>
      <w:r>
        <w:rPr>
          <w:szCs w:val="24"/>
        </w:rPr>
        <w:t xml:space="preserve">and </w:t>
      </w:r>
      <w:r w:rsidRPr="00210BCB">
        <w:rPr>
          <w:szCs w:val="24"/>
        </w:rPr>
        <w:t xml:space="preserve">who </w:t>
      </w:r>
      <w:r>
        <w:rPr>
          <w:szCs w:val="24"/>
        </w:rPr>
        <w:t>have failed</w:t>
      </w:r>
      <w:r w:rsidRPr="00210BCB">
        <w:rPr>
          <w:szCs w:val="24"/>
        </w:rPr>
        <w:t xml:space="preserve"> one or more systemic treatments.</w:t>
      </w:r>
    </w:p>
    <w:p w14:paraId="0A57DA09" w14:textId="77777777" w:rsidR="00950C48" w:rsidRDefault="00950C48">
      <w:pPr>
        <w:rPr>
          <w:rFonts w:ascii="Arial Narrow" w:hAnsi="Arial Narrow"/>
          <w:b/>
          <w:sz w:val="20"/>
        </w:rPr>
      </w:pPr>
      <w:r>
        <w:rPr>
          <w:rFonts w:ascii="Arial Narrow" w:hAnsi="Arial Narrow"/>
          <w:b/>
          <w:sz w:val="20"/>
        </w:rPr>
        <w:br w:type="page"/>
      </w:r>
    </w:p>
    <w:p w14:paraId="2647AB4D" w14:textId="1627A7AA" w:rsidR="00367B3C" w:rsidRPr="00367B3C" w:rsidRDefault="00367B3C" w:rsidP="00367B3C">
      <w:pPr>
        <w:autoSpaceDE w:val="0"/>
        <w:autoSpaceDN w:val="0"/>
        <w:adjustRightInd w:val="0"/>
        <w:spacing w:before="120"/>
        <w:rPr>
          <w:rFonts w:ascii="Arial Narrow" w:hAnsi="Arial Narrow"/>
          <w:b/>
          <w:sz w:val="20"/>
        </w:rPr>
      </w:pPr>
      <w:r>
        <w:rPr>
          <w:rFonts w:ascii="Arial Narrow" w:hAnsi="Arial Narrow"/>
          <w:b/>
          <w:sz w:val="20"/>
        </w:rPr>
        <w:lastRenderedPageBreak/>
        <w:t>Figure 1</w:t>
      </w:r>
      <w:r>
        <w:rPr>
          <w:rFonts w:ascii="Arial Narrow" w:hAnsi="Arial Narrow"/>
          <w:b/>
          <w:sz w:val="20"/>
        </w:rPr>
        <w:tab/>
      </w:r>
      <w:r w:rsidRPr="00367B3C">
        <w:rPr>
          <w:rFonts w:ascii="Arial Narrow" w:hAnsi="Arial Narrow"/>
          <w:b/>
          <w:sz w:val="20"/>
        </w:rPr>
        <w:t>Proposed clinical algorithm</w:t>
      </w:r>
    </w:p>
    <w:p w14:paraId="26836178" w14:textId="77777777" w:rsidR="001F2373" w:rsidRDefault="001F2373" w:rsidP="001F2373">
      <w:pPr>
        <w:autoSpaceDE w:val="0"/>
        <w:autoSpaceDN w:val="0"/>
        <w:adjustRightInd w:val="0"/>
        <w:spacing w:before="120"/>
        <w:rPr>
          <w:szCs w:val="24"/>
        </w:rPr>
      </w:pPr>
      <w:r w:rsidRPr="00210BCB">
        <w:rPr>
          <w:noProof/>
        </w:rPr>
        <w:drawing>
          <wp:inline distT="0" distB="0" distL="0" distR="0" wp14:anchorId="37EB9269" wp14:editId="1847A4FA">
            <wp:extent cx="5495925" cy="3581400"/>
            <wp:effectExtent l="0" t="0" r="9525" b="0"/>
            <wp:docPr id="19" name="Picture 19" descr="Proposed clinical management algorithm in T4 and M0 cutaneous T-cell lymphoma patients that are refractory to initi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495925" cy="3581400"/>
                    </a:xfrm>
                    <a:prstGeom prst="rect">
                      <a:avLst/>
                    </a:prstGeom>
                  </pic:spPr>
                </pic:pic>
              </a:graphicData>
            </a:graphic>
          </wp:inline>
        </w:drawing>
      </w:r>
    </w:p>
    <w:p w14:paraId="193F10C9" w14:textId="77777777" w:rsidR="00BC1364" w:rsidRPr="00F715D1" w:rsidRDefault="00BC1364" w:rsidP="00F715D1">
      <w:pPr>
        <w:pStyle w:val="Heading1"/>
      </w:pPr>
      <w:r w:rsidRPr="00F715D1">
        <w:t xml:space="preserve">Comparator </w:t>
      </w:r>
    </w:p>
    <w:p w14:paraId="2373C0D8" w14:textId="2DC0E4DF" w:rsidR="007978C7" w:rsidRPr="00210BCB" w:rsidRDefault="007978C7" w:rsidP="007978C7">
      <w:pPr>
        <w:pStyle w:val="Default"/>
      </w:pPr>
      <w:r w:rsidRPr="00210BCB">
        <w:t>The submission stated that</w:t>
      </w:r>
      <w:r w:rsidR="00D25FEC">
        <w:t>,</w:t>
      </w:r>
      <w:r w:rsidRPr="00210BCB">
        <w:t xml:space="preserve"> irrespective of first line treatment, the most commonly used second line treatments </w:t>
      </w:r>
      <w:r w:rsidR="001F2373">
        <w:t>for</w:t>
      </w:r>
      <w:r>
        <w:t xml:space="preserve"> patients with</w:t>
      </w:r>
      <w:r w:rsidRPr="00210BCB">
        <w:t xml:space="preserve"> erythrodermic (stage T</w:t>
      </w:r>
      <w:r w:rsidRPr="00763576">
        <w:rPr>
          <w:vertAlign w:val="subscript"/>
        </w:rPr>
        <w:t>4</w:t>
      </w:r>
      <w:r w:rsidRPr="00210BCB">
        <w:t>, M</w:t>
      </w:r>
      <w:r w:rsidRPr="00763576">
        <w:rPr>
          <w:vertAlign w:val="subscript"/>
        </w:rPr>
        <w:t>0</w:t>
      </w:r>
      <w:r w:rsidRPr="00210BCB">
        <w:t xml:space="preserve">) </w:t>
      </w:r>
      <w:r>
        <w:t>CTCL</w:t>
      </w:r>
      <w:r w:rsidR="00B669B2">
        <w:t xml:space="preserve"> are methotrexate, interferon</w:t>
      </w:r>
      <w:r w:rsidRPr="00210BCB">
        <w:t>-α2</w:t>
      </w:r>
      <w:r>
        <w:t>b</w:t>
      </w:r>
      <w:r w:rsidRPr="00210BCB">
        <w:t xml:space="preserve"> and alemtuzumab. The</w:t>
      </w:r>
      <w:r w:rsidR="00596BFB">
        <w:t xml:space="preserve"> submission the</w:t>
      </w:r>
      <w:r w:rsidRPr="00210BCB">
        <w:t xml:space="preserve">refore proposed </w:t>
      </w:r>
      <w:r w:rsidR="00596BFB">
        <w:t xml:space="preserve">that the appropriate </w:t>
      </w:r>
      <w:r w:rsidRPr="00210BCB">
        <w:t xml:space="preserve">comparators for treatment with </w:t>
      </w:r>
      <w:r w:rsidR="00596BFB">
        <w:t xml:space="preserve">an </w:t>
      </w:r>
      <w:r w:rsidRPr="00210BCB">
        <w:t xml:space="preserve">integrated, closed ECP </w:t>
      </w:r>
      <w:r w:rsidR="00596BFB" w:rsidRPr="00210BCB">
        <w:t>system</w:t>
      </w:r>
      <w:r w:rsidR="00596BFB">
        <w:t xml:space="preserve"> </w:t>
      </w:r>
      <w:r w:rsidRPr="00210BCB">
        <w:t xml:space="preserve">in </w:t>
      </w:r>
      <w:r>
        <w:t xml:space="preserve">patients with </w:t>
      </w:r>
      <w:r w:rsidRPr="00210BCB">
        <w:t>erythrodermic (stage T</w:t>
      </w:r>
      <w:r w:rsidRPr="00763576">
        <w:rPr>
          <w:vertAlign w:val="subscript"/>
        </w:rPr>
        <w:t>4</w:t>
      </w:r>
      <w:r w:rsidRPr="00210BCB">
        <w:t>, M</w:t>
      </w:r>
      <w:r w:rsidRPr="00763576">
        <w:rPr>
          <w:vertAlign w:val="subscript"/>
        </w:rPr>
        <w:t>0</w:t>
      </w:r>
      <w:r w:rsidRPr="00210BCB">
        <w:t xml:space="preserve">) </w:t>
      </w:r>
      <w:r>
        <w:t>CTCL</w:t>
      </w:r>
      <w:r w:rsidRPr="00210BCB">
        <w:t xml:space="preserve">, who are refractory to one or more systemic treatments, are methotrexate, </w:t>
      </w:r>
      <w:r>
        <w:t>interferon</w:t>
      </w:r>
      <w:r w:rsidRPr="00210BCB">
        <w:t>-α2</w:t>
      </w:r>
      <w:r>
        <w:t>b</w:t>
      </w:r>
      <w:r w:rsidRPr="00210BCB">
        <w:t xml:space="preserve"> and alemtuzumab.</w:t>
      </w:r>
    </w:p>
    <w:p w14:paraId="2AB9DF6F" w14:textId="19A9DA8F" w:rsidR="007978C7" w:rsidRPr="00210BCB" w:rsidRDefault="007978C7" w:rsidP="007978C7">
      <w:pPr>
        <w:tabs>
          <w:tab w:val="num" w:pos="426"/>
        </w:tabs>
        <w:spacing w:before="120"/>
        <w:rPr>
          <w:szCs w:val="24"/>
        </w:rPr>
      </w:pPr>
      <w:r w:rsidRPr="00210BCB">
        <w:rPr>
          <w:szCs w:val="24"/>
        </w:rPr>
        <w:t xml:space="preserve">The critique included an additional comparator, vorinostat due to its recommendation </w:t>
      </w:r>
      <w:r w:rsidR="00596BFB">
        <w:rPr>
          <w:szCs w:val="24"/>
        </w:rPr>
        <w:t xml:space="preserve">for listing by </w:t>
      </w:r>
      <w:r w:rsidRPr="00210BCB">
        <w:rPr>
          <w:szCs w:val="24"/>
        </w:rPr>
        <w:t xml:space="preserve">the March 2017 Pharmaceutical Benefits Advisory Committee </w:t>
      </w:r>
      <w:r w:rsidR="00D25FEC">
        <w:rPr>
          <w:szCs w:val="24"/>
        </w:rPr>
        <w:t>m</w:t>
      </w:r>
      <w:r w:rsidRPr="00210BCB">
        <w:rPr>
          <w:szCs w:val="24"/>
        </w:rPr>
        <w:t>eeting. The critique compared the clinical effectiveness of ECP with vorinostat using progression-free survival.</w:t>
      </w:r>
      <w:r>
        <w:rPr>
          <w:szCs w:val="24"/>
        </w:rPr>
        <w:t xml:space="preserve"> The critique questioned the inclusion of alemtuzumab as a comparator.</w:t>
      </w:r>
    </w:p>
    <w:p w14:paraId="37BD6B4F" w14:textId="77777777" w:rsidR="00BC1364" w:rsidRPr="00F715D1" w:rsidRDefault="00BC1364" w:rsidP="00F715D1">
      <w:pPr>
        <w:pStyle w:val="Heading1"/>
      </w:pPr>
      <w:r w:rsidRPr="00F715D1">
        <w:t>Comparative safety</w:t>
      </w:r>
    </w:p>
    <w:p w14:paraId="78CA8233" w14:textId="3C38516E" w:rsidR="007978C7" w:rsidRPr="00210BCB" w:rsidRDefault="007978C7" w:rsidP="00511F62">
      <w:pPr>
        <w:pStyle w:val="Default"/>
        <w:spacing w:after="240"/>
      </w:pPr>
      <w:r w:rsidRPr="00210BCB">
        <w:t>No comparative data were available on the safety of ECP in patients with refractory erythrodermic (stage T</w:t>
      </w:r>
      <w:r w:rsidR="00D25FEC" w:rsidRPr="00B45A0E">
        <w:rPr>
          <w:vertAlign w:val="subscript"/>
        </w:rPr>
        <w:t>4</w:t>
      </w:r>
      <w:r w:rsidRPr="00210BCB">
        <w:rPr>
          <w:sz w:val="11"/>
          <w:szCs w:val="11"/>
        </w:rPr>
        <w:t xml:space="preserve"> </w:t>
      </w:r>
      <w:r w:rsidRPr="00210BCB">
        <w:t>M</w:t>
      </w:r>
      <w:r w:rsidR="00D25FEC" w:rsidRPr="00B45A0E">
        <w:rPr>
          <w:vertAlign w:val="subscript"/>
        </w:rPr>
        <w:t>0</w:t>
      </w:r>
      <w:r w:rsidRPr="00210BCB">
        <w:t>) CTCL. The clinical evidence used to support the claim of superior safety was from a naïve comparison of safety data from differing patient groups which included early-stage CTCL (ECP and interferon-α2</w:t>
      </w:r>
      <w:r>
        <w:t>b</w:t>
      </w:r>
      <w:r w:rsidRPr="00210BCB">
        <w:t xml:space="preserve">), advanced CTCL (alemtuzumab and methotrexate) and rheumatoid arthritis (methotrexate). </w:t>
      </w:r>
    </w:p>
    <w:p w14:paraId="55D881B0" w14:textId="04288E45" w:rsidR="00020D2D" w:rsidRDefault="007978C7" w:rsidP="0097460D">
      <w:pPr>
        <w:pStyle w:val="Default"/>
        <w:spacing w:after="240"/>
        <w:rPr>
          <w:rFonts w:eastAsiaTheme="minorHAnsi"/>
        </w:rPr>
      </w:pPr>
      <w:r>
        <w:rPr>
          <w:rFonts w:eastAsiaTheme="minorHAnsi"/>
        </w:rPr>
        <w:t>This comparison</w:t>
      </w:r>
      <w:r w:rsidRPr="00210BCB">
        <w:rPr>
          <w:rFonts w:eastAsiaTheme="minorHAnsi"/>
        </w:rPr>
        <w:t xml:space="preserve"> indicated </w:t>
      </w:r>
      <w:r w:rsidR="00D25FEC">
        <w:rPr>
          <w:rFonts w:eastAsiaTheme="minorHAnsi"/>
        </w:rPr>
        <w:t xml:space="preserve">that </w:t>
      </w:r>
      <w:r w:rsidRPr="00210BCB">
        <w:rPr>
          <w:rFonts w:eastAsiaTheme="minorHAnsi"/>
        </w:rPr>
        <w:t>ECP had fewer, relatively transient adverse events compared with alemtuzumab and interferon</w:t>
      </w:r>
      <w:r w:rsidRPr="00210BCB">
        <w:t>-α</w:t>
      </w:r>
      <w:r w:rsidRPr="00210BCB">
        <w:rPr>
          <w:rFonts w:eastAsiaTheme="minorHAnsi"/>
        </w:rPr>
        <w:t xml:space="preserve">2b. ECP might have a safety profile </w:t>
      </w:r>
      <w:r>
        <w:rPr>
          <w:rFonts w:eastAsiaTheme="minorHAnsi"/>
        </w:rPr>
        <w:t xml:space="preserve">similar to or better </w:t>
      </w:r>
      <w:r w:rsidRPr="00210BCB">
        <w:rPr>
          <w:rFonts w:eastAsiaTheme="minorHAnsi"/>
        </w:rPr>
        <w:t xml:space="preserve">than methotrexate; however, it was difficult to make a strong conclusion, given the variation in methotrexate dosing and the </w:t>
      </w:r>
      <w:r w:rsidR="0097460D">
        <w:rPr>
          <w:rFonts w:eastAsiaTheme="minorHAnsi"/>
        </w:rPr>
        <w:t>applicability of this analysis.</w:t>
      </w:r>
    </w:p>
    <w:p w14:paraId="6DF41533" w14:textId="5798C413" w:rsidR="00020D2D" w:rsidRPr="00210BCB" w:rsidRDefault="00020D2D" w:rsidP="007978C7">
      <w:pPr>
        <w:pStyle w:val="Default"/>
        <w:rPr>
          <w:rFonts w:eastAsiaTheme="minorHAnsi"/>
        </w:rPr>
      </w:pPr>
      <w:r>
        <w:rPr>
          <w:rFonts w:eastAsiaTheme="minorHAnsi"/>
        </w:rPr>
        <w:t xml:space="preserve">In </w:t>
      </w:r>
      <w:r w:rsidR="00D25FEC">
        <w:rPr>
          <w:rFonts w:eastAsiaTheme="minorHAnsi"/>
        </w:rPr>
        <w:t>its</w:t>
      </w:r>
      <w:r>
        <w:rPr>
          <w:rFonts w:eastAsiaTheme="minorHAnsi"/>
        </w:rPr>
        <w:t xml:space="preserve"> pre-MSAC response, the applicant provided further </w:t>
      </w:r>
      <w:r w:rsidR="00B35105">
        <w:rPr>
          <w:rFonts w:eastAsiaTheme="minorHAnsi"/>
        </w:rPr>
        <w:t xml:space="preserve">limited </w:t>
      </w:r>
      <w:r>
        <w:rPr>
          <w:rFonts w:eastAsiaTheme="minorHAnsi"/>
        </w:rPr>
        <w:t xml:space="preserve">safety data from the Peter </w:t>
      </w:r>
      <w:proofErr w:type="spellStart"/>
      <w:r>
        <w:rPr>
          <w:rFonts w:eastAsiaTheme="minorHAnsi"/>
        </w:rPr>
        <w:t>MacCallum</w:t>
      </w:r>
      <w:proofErr w:type="spellEnd"/>
      <w:r>
        <w:rPr>
          <w:rFonts w:eastAsiaTheme="minorHAnsi"/>
        </w:rPr>
        <w:t xml:space="preserve"> Cancer Centre in Victoria.</w:t>
      </w:r>
    </w:p>
    <w:p w14:paraId="47DE44AE" w14:textId="77777777" w:rsidR="00BC1364" w:rsidRPr="00F715D1" w:rsidRDefault="00BC1364" w:rsidP="00F715D1">
      <w:pPr>
        <w:pStyle w:val="Heading1"/>
      </w:pPr>
      <w:r w:rsidRPr="00F715D1">
        <w:lastRenderedPageBreak/>
        <w:t>Comparative effectiveness</w:t>
      </w:r>
    </w:p>
    <w:p w14:paraId="34FDAA7E" w14:textId="49C758E4" w:rsidR="00511F62" w:rsidRDefault="007978C7" w:rsidP="00511F62">
      <w:pPr>
        <w:tabs>
          <w:tab w:val="num" w:pos="426"/>
        </w:tabs>
        <w:spacing w:before="120" w:after="240"/>
        <w:rPr>
          <w:szCs w:val="24"/>
        </w:rPr>
      </w:pPr>
      <w:r w:rsidRPr="00210BCB">
        <w:rPr>
          <w:szCs w:val="24"/>
        </w:rPr>
        <w:t xml:space="preserve">The available data do not show that ECP results in a statistically significant improvement in the primary clinical outcome </w:t>
      </w:r>
      <w:r w:rsidR="00C30986" w:rsidRPr="00210BCB">
        <w:rPr>
          <w:szCs w:val="24"/>
        </w:rPr>
        <w:t xml:space="preserve">of </w:t>
      </w:r>
      <w:r w:rsidR="00C30986">
        <w:rPr>
          <w:szCs w:val="24"/>
        </w:rPr>
        <w:t>t</w:t>
      </w:r>
      <w:r w:rsidR="00C30986" w:rsidRPr="00511F62">
        <w:rPr>
          <w:szCs w:val="24"/>
        </w:rPr>
        <w:t xml:space="preserve">ime to next treatment </w:t>
      </w:r>
      <w:r w:rsidR="00C30986">
        <w:rPr>
          <w:szCs w:val="24"/>
        </w:rPr>
        <w:t>(</w:t>
      </w:r>
      <w:r w:rsidR="00C30986" w:rsidRPr="00210BCB">
        <w:rPr>
          <w:szCs w:val="24"/>
        </w:rPr>
        <w:t>TTNT</w:t>
      </w:r>
      <w:r w:rsidR="00C30986">
        <w:rPr>
          <w:szCs w:val="24"/>
        </w:rPr>
        <w:t>)</w:t>
      </w:r>
      <w:r w:rsidR="00C30986" w:rsidRPr="00210BCB">
        <w:rPr>
          <w:szCs w:val="24"/>
        </w:rPr>
        <w:t xml:space="preserve"> </w:t>
      </w:r>
      <w:r w:rsidRPr="00210BCB">
        <w:rPr>
          <w:szCs w:val="24"/>
        </w:rPr>
        <w:t xml:space="preserve">compared to its comparators. However, this may be due to insufficient sample sizes in the studies, which may be traced back to the rarity of the disease. </w:t>
      </w:r>
    </w:p>
    <w:p w14:paraId="0282711A" w14:textId="58AE838C" w:rsidR="007978C7" w:rsidRPr="00210BCB" w:rsidRDefault="007978C7" w:rsidP="00511F62">
      <w:pPr>
        <w:tabs>
          <w:tab w:val="num" w:pos="426"/>
        </w:tabs>
        <w:spacing w:before="120" w:after="240"/>
        <w:rPr>
          <w:szCs w:val="24"/>
        </w:rPr>
      </w:pPr>
      <w:r w:rsidRPr="00210BCB">
        <w:rPr>
          <w:szCs w:val="24"/>
        </w:rPr>
        <w:t xml:space="preserve">Based on </w:t>
      </w:r>
      <w:r w:rsidR="00596BFB" w:rsidRPr="00210BCB">
        <w:rPr>
          <w:rFonts w:eastAsiaTheme="minorHAnsi"/>
        </w:rPr>
        <w:t>a naïve comparison of treatment effect</w:t>
      </w:r>
      <w:r w:rsidR="00596BFB">
        <w:rPr>
          <w:rFonts w:eastAsiaTheme="minorHAnsi"/>
        </w:rPr>
        <w:t xml:space="preserve">iveness from </w:t>
      </w:r>
      <w:r w:rsidRPr="00210BCB">
        <w:rPr>
          <w:szCs w:val="24"/>
        </w:rPr>
        <w:t xml:space="preserve">Hughes et al 2015, ECP treatment </w:t>
      </w:r>
      <w:r w:rsidR="00C8352B">
        <w:rPr>
          <w:szCs w:val="24"/>
        </w:rPr>
        <w:t xml:space="preserve">did not </w:t>
      </w:r>
      <w:r w:rsidRPr="00210BCB">
        <w:rPr>
          <w:szCs w:val="24"/>
        </w:rPr>
        <w:t xml:space="preserve">result in a </w:t>
      </w:r>
      <w:r w:rsidR="00C8352B">
        <w:rPr>
          <w:szCs w:val="24"/>
        </w:rPr>
        <w:t>statistically significantly longer</w:t>
      </w:r>
      <w:r w:rsidRPr="00210BCB">
        <w:rPr>
          <w:szCs w:val="24"/>
        </w:rPr>
        <w:t xml:space="preserve"> median duration of TTNT than methotrexate, interferon</w:t>
      </w:r>
      <w:r w:rsidRPr="00210BCB">
        <w:t>-α2</w:t>
      </w:r>
      <w:r>
        <w:t>b</w:t>
      </w:r>
      <w:r w:rsidR="00C8352B">
        <w:rPr>
          <w:szCs w:val="24"/>
        </w:rPr>
        <w:t xml:space="preserve"> or</w:t>
      </w:r>
      <w:r w:rsidRPr="00210BCB">
        <w:rPr>
          <w:szCs w:val="24"/>
        </w:rPr>
        <w:t xml:space="preserve"> alemtuzumab</w:t>
      </w:r>
      <w:r w:rsidR="00596BFB">
        <w:rPr>
          <w:szCs w:val="24"/>
        </w:rPr>
        <w:t xml:space="preserve"> (Table 2</w:t>
      </w:r>
      <w:r w:rsidR="00C8352B" w:rsidRPr="00C8352B">
        <w:rPr>
          <w:szCs w:val="24"/>
        </w:rPr>
        <w:t>)</w:t>
      </w:r>
      <w:r w:rsidRPr="00210BCB">
        <w:rPr>
          <w:szCs w:val="24"/>
        </w:rPr>
        <w:t>.</w:t>
      </w:r>
    </w:p>
    <w:p w14:paraId="35FABDF8" w14:textId="46A98F5D" w:rsidR="00596BFB" w:rsidRPr="009819F9" w:rsidRDefault="00596BFB" w:rsidP="00596BFB">
      <w:pPr>
        <w:rPr>
          <w:rFonts w:ascii="Arial Narrow" w:hAnsi="Arial Narrow"/>
          <w:b/>
          <w:sz w:val="20"/>
        </w:rPr>
      </w:pPr>
      <w:r w:rsidRPr="009819F9">
        <w:rPr>
          <w:rFonts w:ascii="Arial Narrow" w:eastAsiaTheme="minorHAnsi" w:hAnsi="Arial Narrow"/>
          <w:b/>
          <w:bCs/>
          <w:color w:val="000000"/>
          <w:sz w:val="20"/>
          <w:lang w:eastAsia="en-US"/>
        </w:rPr>
        <w:t xml:space="preserve">Table </w:t>
      </w:r>
      <w:r>
        <w:rPr>
          <w:rFonts w:ascii="Arial Narrow" w:eastAsiaTheme="minorHAnsi" w:hAnsi="Arial Narrow"/>
          <w:b/>
          <w:bCs/>
          <w:color w:val="000000"/>
          <w:sz w:val="20"/>
          <w:lang w:eastAsia="en-US"/>
        </w:rPr>
        <w:t>2</w:t>
      </w:r>
      <w:r w:rsidRPr="009819F9">
        <w:rPr>
          <w:rFonts w:ascii="Arial Narrow" w:eastAsiaTheme="minorHAnsi" w:hAnsi="Arial Narrow"/>
          <w:b/>
          <w:bCs/>
          <w:color w:val="000000"/>
          <w:sz w:val="20"/>
          <w:lang w:eastAsia="en-US"/>
        </w:rPr>
        <w:t xml:space="preserve">:  TTNT cohort results (all patients with various disease stages of MF/SS) </w:t>
      </w:r>
      <w:r>
        <w:rPr>
          <w:rFonts w:ascii="Arial Narrow" w:eastAsiaTheme="minorHAnsi" w:hAnsi="Arial Narrow"/>
          <w:b/>
          <w:bCs/>
          <w:color w:val="000000"/>
          <w:sz w:val="20"/>
          <w:lang w:eastAsia="en-US"/>
        </w:rPr>
        <w:t>from Hughes et al 2015</w:t>
      </w:r>
    </w:p>
    <w:tbl>
      <w:tblPr>
        <w:tblStyle w:val="TableGrid2"/>
        <w:tblW w:w="0" w:type="auto"/>
        <w:tblLayout w:type="fixed"/>
        <w:tblLook w:val="0000" w:firstRow="0" w:lastRow="0" w:firstColumn="0" w:lastColumn="0" w:noHBand="0" w:noVBand="0"/>
        <w:tblDescription w:val="Time to next treatment cohort results for treatment effectiveness comparing ECP, methotrexate, interferon and alemtuzumab from Hughes et al 2015 "/>
      </w:tblPr>
      <w:tblGrid>
        <w:gridCol w:w="2235"/>
        <w:gridCol w:w="1353"/>
        <w:gridCol w:w="1794"/>
        <w:gridCol w:w="1794"/>
        <w:gridCol w:w="1796"/>
      </w:tblGrid>
      <w:tr w:rsidR="00596BFB" w:rsidRPr="009819F9" w14:paraId="6A2F33E4" w14:textId="77777777" w:rsidTr="006C6993">
        <w:trPr>
          <w:trHeight w:val="90"/>
          <w:tblHeader/>
        </w:trPr>
        <w:tc>
          <w:tcPr>
            <w:tcW w:w="2235" w:type="dxa"/>
          </w:tcPr>
          <w:p w14:paraId="6F56AE22" w14:textId="77777777" w:rsidR="00596BFB" w:rsidRPr="009819F9" w:rsidRDefault="00596BFB" w:rsidP="006C6993">
            <w:pPr>
              <w:autoSpaceDE w:val="0"/>
              <w:autoSpaceDN w:val="0"/>
              <w:adjustRightInd w:val="0"/>
              <w:spacing w:before="0" w:after="0"/>
              <w:rPr>
                <w:rFonts w:eastAsiaTheme="minorHAnsi"/>
                <w:b/>
                <w:bCs/>
                <w:color w:val="000000"/>
                <w:sz w:val="20"/>
                <w:lang w:eastAsia="en-US"/>
              </w:rPr>
            </w:pPr>
          </w:p>
        </w:tc>
        <w:tc>
          <w:tcPr>
            <w:tcW w:w="1353" w:type="dxa"/>
          </w:tcPr>
          <w:p w14:paraId="6B63336D" w14:textId="77777777" w:rsidR="00596BFB" w:rsidRPr="009819F9" w:rsidRDefault="00596BFB" w:rsidP="006C6993">
            <w:pPr>
              <w:autoSpaceDE w:val="0"/>
              <w:autoSpaceDN w:val="0"/>
              <w:adjustRightInd w:val="0"/>
              <w:spacing w:before="0" w:after="0"/>
              <w:rPr>
                <w:rFonts w:eastAsiaTheme="minorHAnsi"/>
                <w:b/>
                <w:bCs/>
                <w:color w:val="000000"/>
                <w:sz w:val="20"/>
                <w:lang w:eastAsia="en-US"/>
              </w:rPr>
            </w:pPr>
            <w:r w:rsidRPr="009819F9">
              <w:rPr>
                <w:rFonts w:eastAsiaTheme="minorHAnsi"/>
                <w:b/>
                <w:bCs/>
                <w:color w:val="000000"/>
                <w:sz w:val="20"/>
                <w:lang w:eastAsia="en-US"/>
              </w:rPr>
              <w:t>Intervention</w:t>
            </w:r>
          </w:p>
        </w:tc>
        <w:tc>
          <w:tcPr>
            <w:tcW w:w="5384" w:type="dxa"/>
            <w:gridSpan w:val="3"/>
          </w:tcPr>
          <w:p w14:paraId="57B8DE26" w14:textId="77777777" w:rsidR="00596BFB" w:rsidRPr="009819F9" w:rsidRDefault="00596BFB" w:rsidP="006C6993">
            <w:pPr>
              <w:autoSpaceDE w:val="0"/>
              <w:autoSpaceDN w:val="0"/>
              <w:adjustRightInd w:val="0"/>
              <w:spacing w:before="0" w:after="0"/>
              <w:jc w:val="center"/>
              <w:rPr>
                <w:rFonts w:eastAsiaTheme="minorHAnsi"/>
                <w:b/>
                <w:bCs/>
                <w:color w:val="000000"/>
                <w:sz w:val="20"/>
                <w:lang w:eastAsia="en-US"/>
              </w:rPr>
            </w:pPr>
            <w:r w:rsidRPr="009819F9">
              <w:rPr>
                <w:rFonts w:eastAsiaTheme="minorHAnsi"/>
                <w:b/>
                <w:bCs/>
                <w:color w:val="000000"/>
                <w:sz w:val="20"/>
                <w:lang w:eastAsia="en-US"/>
              </w:rPr>
              <w:t>Main comparator</w:t>
            </w:r>
          </w:p>
        </w:tc>
      </w:tr>
      <w:tr w:rsidR="00596BFB" w:rsidRPr="009819F9" w14:paraId="15EC75FF" w14:textId="77777777" w:rsidTr="006C6993">
        <w:trPr>
          <w:trHeight w:val="90"/>
        </w:trPr>
        <w:tc>
          <w:tcPr>
            <w:tcW w:w="2235" w:type="dxa"/>
          </w:tcPr>
          <w:p w14:paraId="2FE694BC" w14:textId="77777777" w:rsidR="00596BFB" w:rsidRPr="009819F9" w:rsidRDefault="00596BFB" w:rsidP="006C6993">
            <w:pPr>
              <w:autoSpaceDE w:val="0"/>
              <w:autoSpaceDN w:val="0"/>
              <w:adjustRightInd w:val="0"/>
              <w:spacing w:before="0" w:after="0"/>
              <w:rPr>
                <w:rFonts w:eastAsiaTheme="minorHAnsi"/>
                <w:color w:val="000000"/>
                <w:sz w:val="20"/>
                <w:lang w:eastAsia="en-US"/>
              </w:rPr>
            </w:pPr>
            <w:r w:rsidRPr="009819F9">
              <w:rPr>
                <w:rFonts w:eastAsiaTheme="minorHAnsi"/>
                <w:b/>
                <w:bCs/>
                <w:color w:val="000000"/>
                <w:sz w:val="20"/>
                <w:lang w:eastAsia="en-US"/>
              </w:rPr>
              <w:t xml:space="preserve">Study </w:t>
            </w:r>
          </w:p>
        </w:tc>
        <w:tc>
          <w:tcPr>
            <w:tcW w:w="1353" w:type="dxa"/>
          </w:tcPr>
          <w:p w14:paraId="3BE4C125"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b/>
                <w:bCs/>
                <w:color w:val="000000"/>
                <w:sz w:val="20"/>
                <w:lang w:eastAsia="en-US"/>
              </w:rPr>
              <w:t>ECP</w:t>
            </w:r>
          </w:p>
        </w:tc>
        <w:tc>
          <w:tcPr>
            <w:tcW w:w="1794" w:type="dxa"/>
          </w:tcPr>
          <w:p w14:paraId="51D281E8"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b/>
                <w:bCs/>
                <w:color w:val="000000"/>
                <w:sz w:val="20"/>
                <w:lang w:eastAsia="en-US"/>
              </w:rPr>
              <w:t>Methotrexate</w:t>
            </w:r>
          </w:p>
        </w:tc>
        <w:tc>
          <w:tcPr>
            <w:tcW w:w="1794" w:type="dxa"/>
          </w:tcPr>
          <w:p w14:paraId="13CE767A"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b/>
                <w:bCs/>
                <w:color w:val="000000"/>
                <w:sz w:val="20"/>
                <w:lang w:eastAsia="en-US"/>
              </w:rPr>
              <w:t>Interferon-α2b</w:t>
            </w:r>
          </w:p>
        </w:tc>
        <w:tc>
          <w:tcPr>
            <w:tcW w:w="1796" w:type="dxa"/>
          </w:tcPr>
          <w:p w14:paraId="72A3EDF3"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b/>
                <w:bCs/>
                <w:color w:val="000000"/>
                <w:sz w:val="20"/>
                <w:lang w:eastAsia="en-US"/>
              </w:rPr>
              <w:t>Alemtuzumab</w:t>
            </w:r>
          </w:p>
        </w:tc>
      </w:tr>
      <w:tr w:rsidR="00596BFB" w:rsidRPr="009819F9" w14:paraId="0B75F65D" w14:textId="77777777" w:rsidTr="006C6993">
        <w:trPr>
          <w:trHeight w:val="90"/>
        </w:trPr>
        <w:tc>
          <w:tcPr>
            <w:tcW w:w="2235" w:type="dxa"/>
          </w:tcPr>
          <w:p w14:paraId="2B776EB6" w14:textId="77777777" w:rsidR="00596BFB" w:rsidRPr="009819F9" w:rsidRDefault="00596BFB" w:rsidP="006C6993">
            <w:pPr>
              <w:autoSpaceDE w:val="0"/>
              <w:autoSpaceDN w:val="0"/>
              <w:adjustRightInd w:val="0"/>
              <w:spacing w:before="0" w:after="0"/>
              <w:rPr>
                <w:rFonts w:eastAsiaTheme="minorHAnsi"/>
                <w:color w:val="000000"/>
                <w:sz w:val="20"/>
                <w:lang w:eastAsia="en-US"/>
              </w:rPr>
            </w:pPr>
            <w:r w:rsidRPr="009819F9">
              <w:rPr>
                <w:rFonts w:eastAsiaTheme="minorHAnsi"/>
                <w:b/>
                <w:bCs/>
                <w:color w:val="000000"/>
                <w:sz w:val="20"/>
                <w:lang w:eastAsia="en-US"/>
              </w:rPr>
              <w:t xml:space="preserve">n </w:t>
            </w:r>
          </w:p>
        </w:tc>
        <w:tc>
          <w:tcPr>
            <w:tcW w:w="1353" w:type="dxa"/>
          </w:tcPr>
          <w:p w14:paraId="1FDF0300"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b/>
                <w:bCs/>
                <w:color w:val="000000"/>
                <w:sz w:val="20"/>
                <w:lang w:eastAsia="en-US"/>
              </w:rPr>
              <w:t>n=53</w:t>
            </w:r>
          </w:p>
        </w:tc>
        <w:tc>
          <w:tcPr>
            <w:tcW w:w="1794" w:type="dxa"/>
          </w:tcPr>
          <w:p w14:paraId="4982EA65"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b/>
                <w:bCs/>
                <w:color w:val="000000"/>
                <w:sz w:val="20"/>
                <w:lang w:eastAsia="en-US"/>
              </w:rPr>
              <w:t>n=84</w:t>
            </w:r>
          </w:p>
        </w:tc>
        <w:tc>
          <w:tcPr>
            <w:tcW w:w="1794" w:type="dxa"/>
          </w:tcPr>
          <w:p w14:paraId="3E6704E6"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b/>
                <w:bCs/>
                <w:color w:val="000000"/>
                <w:sz w:val="20"/>
                <w:lang w:eastAsia="en-US"/>
              </w:rPr>
              <w:t>n=68</w:t>
            </w:r>
          </w:p>
        </w:tc>
        <w:tc>
          <w:tcPr>
            <w:tcW w:w="1796" w:type="dxa"/>
          </w:tcPr>
          <w:p w14:paraId="1133CE17"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b/>
                <w:bCs/>
                <w:color w:val="000000"/>
                <w:sz w:val="20"/>
                <w:lang w:eastAsia="en-US"/>
              </w:rPr>
              <w:t>n=16</w:t>
            </w:r>
          </w:p>
        </w:tc>
      </w:tr>
      <w:tr w:rsidR="00596BFB" w:rsidRPr="009819F9" w14:paraId="1FB3E4D9" w14:textId="77777777" w:rsidTr="006C6993">
        <w:trPr>
          <w:trHeight w:val="90"/>
        </w:trPr>
        <w:tc>
          <w:tcPr>
            <w:tcW w:w="2235" w:type="dxa"/>
          </w:tcPr>
          <w:p w14:paraId="4779157E" w14:textId="77777777" w:rsidR="00596BFB" w:rsidRPr="009819F9" w:rsidRDefault="00596BFB" w:rsidP="006C6993">
            <w:pPr>
              <w:autoSpaceDE w:val="0"/>
              <w:autoSpaceDN w:val="0"/>
              <w:adjustRightInd w:val="0"/>
              <w:spacing w:before="0" w:after="0"/>
              <w:rPr>
                <w:rFonts w:eastAsiaTheme="minorHAnsi"/>
                <w:color w:val="000000"/>
                <w:sz w:val="20"/>
                <w:lang w:eastAsia="en-US"/>
              </w:rPr>
            </w:pPr>
            <w:r w:rsidRPr="009819F9">
              <w:rPr>
                <w:rFonts w:eastAsiaTheme="minorHAnsi"/>
                <w:color w:val="000000"/>
                <w:sz w:val="20"/>
                <w:lang w:eastAsia="en-US"/>
              </w:rPr>
              <w:t xml:space="preserve">Median line of therapy </w:t>
            </w:r>
          </w:p>
        </w:tc>
        <w:tc>
          <w:tcPr>
            <w:tcW w:w="1353" w:type="dxa"/>
          </w:tcPr>
          <w:p w14:paraId="0B3A5619"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color w:val="000000"/>
                <w:sz w:val="20"/>
                <w:lang w:eastAsia="en-US"/>
              </w:rPr>
              <w:t>2</w:t>
            </w:r>
          </w:p>
        </w:tc>
        <w:tc>
          <w:tcPr>
            <w:tcW w:w="1794" w:type="dxa"/>
          </w:tcPr>
          <w:p w14:paraId="5805AFF5"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color w:val="000000"/>
                <w:sz w:val="20"/>
                <w:lang w:eastAsia="en-US"/>
              </w:rPr>
              <w:t>2</w:t>
            </w:r>
          </w:p>
        </w:tc>
        <w:tc>
          <w:tcPr>
            <w:tcW w:w="1794" w:type="dxa"/>
          </w:tcPr>
          <w:p w14:paraId="6D3C30A7"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color w:val="000000"/>
                <w:sz w:val="20"/>
                <w:lang w:eastAsia="en-US"/>
              </w:rPr>
              <w:t>2</w:t>
            </w:r>
          </w:p>
        </w:tc>
        <w:tc>
          <w:tcPr>
            <w:tcW w:w="1796" w:type="dxa"/>
          </w:tcPr>
          <w:p w14:paraId="39237107"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color w:val="000000"/>
                <w:sz w:val="20"/>
                <w:lang w:eastAsia="en-US"/>
              </w:rPr>
              <w:t>3.5</w:t>
            </w:r>
          </w:p>
        </w:tc>
      </w:tr>
      <w:tr w:rsidR="00596BFB" w:rsidRPr="009819F9" w14:paraId="3E55CEDA" w14:textId="77777777" w:rsidTr="006C6993">
        <w:trPr>
          <w:trHeight w:val="90"/>
        </w:trPr>
        <w:tc>
          <w:tcPr>
            <w:tcW w:w="2235" w:type="dxa"/>
          </w:tcPr>
          <w:p w14:paraId="535F215D" w14:textId="77777777" w:rsidR="00596BFB" w:rsidRPr="009819F9" w:rsidRDefault="00596BFB" w:rsidP="006C6993">
            <w:pPr>
              <w:autoSpaceDE w:val="0"/>
              <w:autoSpaceDN w:val="0"/>
              <w:adjustRightInd w:val="0"/>
              <w:spacing w:before="0" w:after="0"/>
              <w:rPr>
                <w:rFonts w:eastAsiaTheme="minorHAnsi"/>
                <w:color w:val="000000"/>
                <w:sz w:val="20"/>
                <w:lang w:eastAsia="en-US"/>
              </w:rPr>
            </w:pPr>
            <w:r w:rsidRPr="009819F9">
              <w:rPr>
                <w:rFonts w:eastAsiaTheme="minorHAnsi"/>
                <w:color w:val="000000"/>
                <w:sz w:val="20"/>
                <w:lang w:eastAsia="en-US"/>
              </w:rPr>
              <w:t xml:space="preserve">Median TTNT (95% CI) </w:t>
            </w:r>
          </w:p>
        </w:tc>
        <w:tc>
          <w:tcPr>
            <w:tcW w:w="1353" w:type="dxa"/>
          </w:tcPr>
          <w:p w14:paraId="038FC009"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color w:val="000000"/>
                <w:sz w:val="20"/>
                <w:lang w:eastAsia="en-US"/>
              </w:rPr>
              <w:t>9.2 (5.9, 21.8)</w:t>
            </w:r>
          </w:p>
        </w:tc>
        <w:tc>
          <w:tcPr>
            <w:tcW w:w="1794" w:type="dxa"/>
          </w:tcPr>
          <w:p w14:paraId="3CC6C52E"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color w:val="000000"/>
                <w:sz w:val="20"/>
                <w:lang w:eastAsia="en-US"/>
              </w:rPr>
              <w:t>5.0 (3.6, 6.5)</w:t>
            </w:r>
          </w:p>
        </w:tc>
        <w:tc>
          <w:tcPr>
            <w:tcW w:w="1794" w:type="dxa"/>
          </w:tcPr>
          <w:p w14:paraId="30873A1F"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color w:val="000000"/>
                <w:sz w:val="20"/>
                <w:lang w:eastAsia="en-US"/>
              </w:rPr>
              <w:t>8.7 (6.0, 18.0)</w:t>
            </w:r>
          </w:p>
        </w:tc>
        <w:tc>
          <w:tcPr>
            <w:tcW w:w="1796" w:type="dxa"/>
          </w:tcPr>
          <w:p w14:paraId="4ECD8AE2"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color w:val="000000"/>
                <w:sz w:val="20"/>
                <w:lang w:eastAsia="en-US"/>
              </w:rPr>
              <w:t>4.1 (2.7, 6.5)</w:t>
            </w:r>
          </w:p>
        </w:tc>
      </w:tr>
      <w:tr w:rsidR="00596BFB" w:rsidRPr="009819F9" w14:paraId="24CB5A20" w14:textId="77777777" w:rsidTr="006C6993">
        <w:trPr>
          <w:trHeight w:val="90"/>
        </w:trPr>
        <w:tc>
          <w:tcPr>
            <w:tcW w:w="2235" w:type="dxa"/>
          </w:tcPr>
          <w:p w14:paraId="7CED575C" w14:textId="77777777" w:rsidR="00596BFB" w:rsidRPr="009819F9" w:rsidRDefault="00596BFB" w:rsidP="006C6993">
            <w:pPr>
              <w:autoSpaceDE w:val="0"/>
              <w:autoSpaceDN w:val="0"/>
              <w:adjustRightInd w:val="0"/>
              <w:spacing w:before="0" w:after="0"/>
              <w:rPr>
                <w:rFonts w:eastAsiaTheme="minorHAnsi"/>
                <w:color w:val="000000"/>
                <w:sz w:val="20"/>
                <w:lang w:eastAsia="en-US"/>
              </w:rPr>
            </w:pPr>
            <w:r w:rsidRPr="009819F9">
              <w:rPr>
                <w:rFonts w:eastAsiaTheme="minorHAnsi"/>
                <w:color w:val="000000"/>
                <w:sz w:val="20"/>
                <w:lang w:eastAsia="en-US"/>
              </w:rPr>
              <w:t xml:space="preserve">1 </w:t>
            </w:r>
            <w:proofErr w:type="spellStart"/>
            <w:r w:rsidRPr="009819F9">
              <w:rPr>
                <w:rFonts w:eastAsiaTheme="minorHAnsi"/>
                <w:color w:val="000000"/>
                <w:sz w:val="20"/>
                <w:lang w:eastAsia="en-US"/>
              </w:rPr>
              <w:t>yr</w:t>
            </w:r>
            <w:proofErr w:type="spellEnd"/>
            <w:r w:rsidRPr="009819F9">
              <w:rPr>
                <w:rFonts w:eastAsiaTheme="minorHAnsi"/>
                <w:color w:val="000000"/>
                <w:sz w:val="20"/>
                <w:lang w:eastAsia="en-US"/>
              </w:rPr>
              <w:t xml:space="preserve"> free from further </w:t>
            </w:r>
            <w:proofErr w:type="spellStart"/>
            <w:r w:rsidRPr="009819F9">
              <w:rPr>
                <w:rFonts w:eastAsiaTheme="minorHAnsi"/>
                <w:color w:val="000000"/>
                <w:sz w:val="20"/>
                <w:lang w:eastAsia="en-US"/>
              </w:rPr>
              <w:t>tx</w:t>
            </w:r>
            <w:proofErr w:type="spellEnd"/>
            <w:r w:rsidRPr="009819F9">
              <w:rPr>
                <w:rFonts w:eastAsiaTheme="minorHAnsi"/>
                <w:color w:val="000000"/>
                <w:sz w:val="20"/>
                <w:lang w:eastAsia="en-US"/>
              </w:rPr>
              <w:t xml:space="preserve"> (%) </w:t>
            </w:r>
          </w:p>
        </w:tc>
        <w:tc>
          <w:tcPr>
            <w:tcW w:w="1353" w:type="dxa"/>
          </w:tcPr>
          <w:p w14:paraId="383D6047"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color w:val="000000"/>
                <w:sz w:val="20"/>
                <w:lang w:eastAsia="en-US"/>
              </w:rPr>
              <w:t>39.1%</w:t>
            </w:r>
          </w:p>
        </w:tc>
        <w:tc>
          <w:tcPr>
            <w:tcW w:w="1794" w:type="dxa"/>
          </w:tcPr>
          <w:p w14:paraId="25A36760"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color w:val="000000"/>
                <w:sz w:val="20"/>
                <w:lang w:eastAsia="en-US"/>
              </w:rPr>
              <w:t>25%</w:t>
            </w:r>
          </w:p>
        </w:tc>
        <w:tc>
          <w:tcPr>
            <w:tcW w:w="1794" w:type="dxa"/>
          </w:tcPr>
          <w:p w14:paraId="08C190B7"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color w:val="000000"/>
                <w:sz w:val="20"/>
                <w:lang w:eastAsia="en-US"/>
              </w:rPr>
              <w:t>41.7%</w:t>
            </w:r>
          </w:p>
        </w:tc>
        <w:tc>
          <w:tcPr>
            <w:tcW w:w="1796" w:type="dxa"/>
          </w:tcPr>
          <w:p w14:paraId="04D970DC"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color w:val="000000"/>
                <w:sz w:val="20"/>
                <w:lang w:eastAsia="en-US"/>
              </w:rPr>
              <w:t>27.8%</w:t>
            </w:r>
          </w:p>
        </w:tc>
      </w:tr>
      <w:tr w:rsidR="00596BFB" w:rsidRPr="009819F9" w14:paraId="158F1295" w14:textId="77777777" w:rsidTr="006C6993">
        <w:trPr>
          <w:trHeight w:val="90"/>
        </w:trPr>
        <w:tc>
          <w:tcPr>
            <w:tcW w:w="2235" w:type="dxa"/>
          </w:tcPr>
          <w:p w14:paraId="284D4BED" w14:textId="77777777" w:rsidR="00596BFB" w:rsidRPr="009819F9" w:rsidRDefault="00596BFB" w:rsidP="006C6993">
            <w:pPr>
              <w:autoSpaceDE w:val="0"/>
              <w:autoSpaceDN w:val="0"/>
              <w:adjustRightInd w:val="0"/>
              <w:spacing w:before="0" w:after="0"/>
              <w:rPr>
                <w:rFonts w:eastAsiaTheme="minorHAnsi"/>
                <w:color w:val="000000"/>
                <w:sz w:val="20"/>
                <w:lang w:eastAsia="en-US"/>
              </w:rPr>
            </w:pPr>
            <w:r w:rsidRPr="009819F9">
              <w:rPr>
                <w:rFonts w:eastAsiaTheme="minorHAnsi"/>
                <w:color w:val="000000"/>
                <w:sz w:val="20"/>
                <w:lang w:eastAsia="en-US"/>
              </w:rPr>
              <w:t xml:space="preserve">2 </w:t>
            </w:r>
            <w:proofErr w:type="spellStart"/>
            <w:r w:rsidRPr="009819F9">
              <w:rPr>
                <w:rFonts w:eastAsiaTheme="minorHAnsi"/>
                <w:color w:val="000000"/>
                <w:sz w:val="20"/>
                <w:lang w:eastAsia="en-US"/>
              </w:rPr>
              <w:t>yr</w:t>
            </w:r>
            <w:proofErr w:type="spellEnd"/>
            <w:r w:rsidRPr="009819F9">
              <w:rPr>
                <w:rFonts w:eastAsiaTheme="minorHAnsi"/>
                <w:color w:val="000000"/>
                <w:sz w:val="20"/>
                <w:lang w:eastAsia="en-US"/>
              </w:rPr>
              <w:t xml:space="preserve"> free from further </w:t>
            </w:r>
            <w:proofErr w:type="spellStart"/>
            <w:r w:rsidRPr="009819F9">
              <w:rPr>
                <w:rFonts w:eastAsiaTheme="minorHAnsi"/>
                <w:color w:val="000000"/>
                <w:sz w:val="20"/>
                <w:lang w:eastAsia="en-US"/>
              </w:rPr>
              <w:t>tx</w:t>
            </w:r>
            <w:proofErr w:type="spellEnd"/>
            <w:r w:rsidRPr="009819F9">
              <w:rPr>
                <w:rFonts w:eastAsiaTheme="minorHAnsi"/>
                <w:color w:val="000000"/>
                <w:sz w:val="20"/>
                <w:lang w:eastAsia="en-US"/>
              </w:rPr>
              <w:t xml:space="preserve"> (%) </w:t>
            </w:r>
          </w:p>
        </w:tc>
        <w:tc>
          <w:tcPr>
            <w:tcW w:w="1353" w:type="dxa"/>
          </w:tcPr>
          <w:p w14:paraId="386695D2"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color w:val="000000"/>
                <w:sz w:val="20"/>
                <w:lang w:eastAsia="en-US"/>
              </w:rPr>
              <w:t>25.7%</w:t>
            </w:r>
          </w:p>
        </w:tc>
        <w:tc>
          <w:tcPr>
            <w:tcW w:w="1794" w:type="dxa"/>
          </w:tcPr>
          <w:p w14:paraId="528E6125"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color w:val="000000"/>
                <w:sz w:val="20"/>
                <w:lang w:eastAsia="en-US"/>
              </w:rPr>
              <w:t>21.2%</w:t>
            </w:r>
          </w:p>
        </w:tc>
        <w:tc>
          <w:tcPr>
            <w:tcW w:w="1794" w:type="dxa"/>
          </w:tcPr>
          <w:p w14:paraId="3B31A9B3"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color w:val="000000"/>
                <w:sz w:val="20"/>
                <w:lang w:eastAsia="en-US"/>
              </w:rPr>
              <w:t>29.1%</w:t>
            </w:r>
          </w:p>
        </w:tc>
        <w:tc>
          <w:tcPr>
            <w:tcW w:w="1796" w:type="dxa"/>
          </w:tcPr>
          <w:p w14:paraId="7B480906" w14:textId="77777777" w:rsidR="00596BFB" w:rsidRPr="009819F9" w:rsidRDefault="00596BFB" w:rsidP="006C6993">
            <w:pPr>
              <w:autoSpaceDE w:val="0"/>
              <w:autoSpaceDN w:val="0"/>
              <w:adjustRightInd w:val="0"/>
              <w:spacing w:before="0" w:after="0"/>
              <w:jc w:val="center"/>
              <w:rPr>
                <w:rFonts w:eastAsiaTheme="minorHAnsi"/>
                <w:color w:val="000000"/>
                <w:sz w:val="20"/>
                <w:lang w:eastAsia="en-US"/>
              </w:rPr>
            </w:pPr>
            <w:r w:rsidRPr="009819F9">
              <w:rPr>
                <w:rFonts w:eastAsiaTheme="minorHAnsi"/>
                <w:color w:val="000000"/>
                <w:sz w:val="20"/>
                <w:lang w:eastAsia="en-US"/>
              </w:rPr>
              <w:t>27.8%</w:t>
            </w:r>
          </w:p>
        </w:tc>
      </w:tr>
    </w:tbl>
    <w:p w14:paraId="7E3A0267" w14:textId="68F35D58" w:rsidR="00EC279F" w:rsidRDefault="007978C7" w:rsidP="0097460D">
      <w:pPr>
        <w:pStyle w:val="Default"/>
        <w:spacing w:before="240" w:after="240"/>
        <w:rPr>
          <w:rFonts w:eastAsiaTheme="minorHAnsi"/>
        </w:rPr>
      </w:pPr>
      <w:r w:rsidRPr="00210BCB">
        <w:rPr>
          <w:rFonts w:eastAsiaTheme="minorHAnsi"/>
        </w:rPr>
        <w:t xml:space="preserve">No comparative data </w:t>
      </w:r>
      <w:r>
        <w:rPr>
          <w:rFonts w:eastAsiaTheme="minorHAnsi"/>
        </w:rPr>
        <w:t>were</w:t>
      </w:r>
      <w:r w:rsidRPr="00210BCB">
        <w:rPr>
          <w:rFonts w:eastAsiaTheme="minorHAnsi"/>
        </w:rPr>
        <w:t xml:space="preserve"> available on the survival (or clinical response) of ECP treatment in patients with refractory erythrodermic (stage T</w:t>
      </w:r>
      <w:r w:rsidR="00D25FEC" w:rsidRPr="00B45A0E">
        <w:rPr>
          <w:vertAlign w:val="subscript"/>
        </w:rPr>
        <w:t>4</w:t>
      </w:r>
      <w:r w:rsidRPr="00210BCB">
        <w:rPr>
          <w:rFonts w:eastAsiaTheme="minorHAnsi"/>
          <w:sz w:val="11"/>
          <w:szCs w:val="11"/>
        </w:rPr>
        <w:t xml:space="preserve"> </w:t>
      </w:r>
      <w:r w:rsidRPr="00210BCB">
        <w:rPr>
          <w:rFonts w:eastAsiaTheme="minorHAnsi"/>
        </w:rPr>
        <w:t>M</w:t>
      </w:r>
      <w:r w:rsidR="00D25FEC" w:rsidRPr="00B45A0E">
        <w:rPr>
          <w:vertAlign w:val="subscript"/>
        </w:rPr>
        <w:t>0</w:t>
      </w:r>
      <w:r>
        <w:rPr>
          <w:rFonts w:eastAsiaTheme="minorHAnsi"/>
        </w:rPr>
        <w:t>) CTCL</w:t>
      </w:r>
      <w:r w:rsidR="00EC279F">
        <w:rPr>
          <w:rFonts w:eastAsiaTheme="minorHAnsi"/>
        </w:rPr>
        <w:t xml:space="preserve">. Table </w:t>
      </w:r>
      <w:r w:rsidR="00596BFB">
        <w:rPr>
          <w:rFonts w:eastAsiaTheme="minorHAnsi"/>
        </w:rPr>
        <w:t>3</w:t>
      </w:r>
      <w:r w:rsidR="00EC279F" w:rsidRPr="00EC279F">
        <w:rPr>
          <w:rFonts w:eastAsiaTheme="minorHAnsi"/>
        </w:rPr>
        <w:t xml:space="preserve"> summarises the results for overall survival and progression free survival for ECP treatment</w:t>
      </w:r>
      <w:r w:rsidR="00CF42FA">
        <w:rPr>
          <w:rFonts w:eastAsiaTheme="minorHAnsi"/>
        </w:rPr>
        <w:t xml:space="preserve"> from three other single arm studies</w:t>
      </w:r>
      <w:r w:rsidR="00EC279F" w:rsidRPr="00EC279F">
        <w:rPr>
          <w:rFonts w:eastAsiaTheme="minorHAnsi"/>
        </w:rPr>
        <w:t>.</w:t>
      </w:r>
    </w:p>
    <w:p w14:paraId="127B1CD0" w14:textId="64D85D31" w:rsidR="00EC279F" w:rsidRPr="009819F9" w:rsidRDefault="00EC279F" w:rsidP="007978C7">
      <w:pPr>
        <w:pStyle w:val="Default"/>
        <w:rPr>
          <w:rFonts w:ascii="Arial Narrow" w:eastAsiaTheme="minorHAnsi" w:hAnsi="Arial Narrow" w:cs="Arial"/>
          <w:sz w:val="20"/>
          <w:szCs w:val="20"/>
        </w:rPr>
      </w:pPr>
      <w:r w:rsidRPr="009819F9">
        <w:rPr>
          <w:rFonts w:ascii="Arial Narrow" w:hAnsi="Arial Narrow" w:cs="Arial"/>
          <w:b/>
          <w:bCs/>
          <w:sz w:val="20"/>
          <w:szCs w:val="20"/>
        </w:rPr>
        <w:t xml:space="preserve">Table </w:t>
      </w:r>
      <w:r w:rsidR="00596BFB">
        <w:rPr>
          <w:rFonts w:ascii="Arial Narrow" w:hAnsi="Arial Narrow" w:cs="Arial"/>
          <w:b/>
          <w:bCs/>
          <w:sz w:val="20"/>
          <w:szCs w:val="20"/>
        </w:rPr>
        <w:t>3</w:t>
      </w:r>
      <w:r w:rsidRPr="009819F9">
        <w:rPr>
          <w:rFonts w:ascii="Arial Narrow" w:hAnsi="Arial Narrow" w:cs="Arial"/>
          <w:b/>
          <w:bCs/>
          <w:sz w:val="20"/>
          <w:szCs w:val="20"/>
        </w:rPr>
        <w:t>:</w:t>
      </w:r>
      <w:r w:rsidR="00CF42FA">
        <w:rPr>
          <w:rFonts w:ascii="Arial Narrow" w:hAnsi="Arial Narrow" w:cs="Arial"/>
          <w:b/>
          <w:bCs/>
          <w:sz w:val="20"/>
          <w:szCs w:val="20"/>
        </w:rPr>
        <w:t xml:space="preserve"> </w:t>
      </w:r>
      <w:r w:rsidRPr="009819F9">
        <w:rPr>
          <w:rFonts w:ascii="Arial Narrow" w:hAnsi="Arial Narrow" w:cs="Arial"/>
          <w:b/>
          <w:bCs/>
          <w:sz w:val="20"/>
          <w:szCs w:val="20"/>
        </w:rPr>
        <w:t xml:space="preserve"> Results of clinically relevant outcomes (OS and PFS) from single-arm studies of ECP treatment</w:t>
      </w:r>
    </w:p>
    <w:tbl>
      <w:tblPr>
        <w:tblStyle w:val="TableGrid2"/>
        <w:tblW w:w="0" w:type="auto"/>
        <w:tblLayout w:type="fixed"/>
        <w:tblLook w:val="0000" w:firstRow="0" w:lastRow="0" w:firstColumn="0" w:lastColumn="0" w:noHBand="0" w:noVBand="0"/>
        <w:tblDescription w:val="Summary of the clinically relevant outcomes results from the single arm studies - Arulogun et al 2008, Knobler et al 2012 and Siakantaris et al 2012"/>
      </w:tblPr>
      <w:tblGrid>
        <w:gridCol w:w="2943"/>
        <w:gridCol w:w="2127"/>
        <w:gridCol w:w="1984"/>
        <w:gridCol w:w="1985"/>
      </w:tblGrid>
      <w:tr w:rsidR="00EC279F" w:rsidRPr="00EC279F" w14:paraId="38B59034" w14:textId="77777777" w:rsidTr="006C6993">
        <w:trPr>
          <w:trHeight w:val="78"/>
          <w:tblHeader/>
        </w:trPr>
        <w:tc>
          <w:tcPr>
            <w:tcW w:w="2943" w:type="dxa"/>
          </w:tcPr>
          <w:p w14:paraId="180D008D" w14:textId="77777777" w:rsidR="00EC279F" w:rsidRPr="00EC279F" w:rsidRDefault="00EC279F" w:rsidP="006C6993">
            <w:pPr>
              <w:autoSpaceDE w:val="0"/>
              <w:autoSpaceDN w:val="0"/>
              <w:adjustRightInd w:val="0"/>
              <w:spacing w:before="0" w:after="0"/>
              <w:rPr>
                <w:rFonts w:eastAsia="Calibri" w:cs="Arial"/>
                <w:color w:val="000000"/>
                <w:sz w:val="20"/>
              </w:rPr>
            </w:pPr>
            <w:r w:rsidRPr="00EC279F">
              <w:rPr>
                <w:rFonts w:eastAsia="Calibri" w:cs="Arial"/>
                <w:b/>
                <w:bCs/>
                <w:color w:val="000000"/>
                <w:sz w:val="20"/>
              </w:rPr>
              <w:t xml:space="preserve">Study </w:t>
            </w:r>
          </w:p>
        </w:tc>
        <w:tc>
          <w:tcPr>
            <w:tcW w:w="2127" w:type="dxa"/>
          </w:tcPr>
          <w:p w14:paraId="45DAE269" w14:textId="6047C23F" w:rsidR="00EC279F" w:rsidRPr="00EC279F" w:rsidRDefault="00EC279F" w:rsidP="006C6993">
            <w:pPr>
              <w:autoSpaceDE w:val="0"/>
              <w:autoSpaceDN w:val="0"/>
              <w:adjustRightInd w:val="0"/>
              <w:spacing w:before="0" w:after="0"/>
              <w:jc w:val="center"/>
              <w:rPr>
                <w:rFonts w:eastAsia="Calibri" w:cs="Arial"/>
                <w:color w:val="000000"/>
                <w:sz w:val="20"/>
              </w:rPr>
            </w:pPr>
            <w:proofErr w:type="spellStart"/>
            <w:r w:rsidRPr="00EC279F">
              <w:rPr>
                <w:rFonts w:eastAsia="Calibri" w:cs="Arial"/>
                <w:b/>
                <w:bCs/>
                <w:color w:val="000000"/>
                <w:sz w:val="20"/>
              </w:rPr>
              <w:t>Arulogun</w:t>
            </w:r>
            <w:proofErr w:type="spellEnd"/>
            <w:r w:rsidRPr="00EC279F">
              <w:rPr>
                <w:rFonts w:eastAsia="Calibri" w:cs="Arial"/>
                <w:b/>
                <w:bCs/>
                <w:color w:val="000000"/>
                <w:sz w:val="20"/>
              </w:rPr>
              <w:t xml:space="preserve"> </w:t>
            </w:r>
            <w:r w:rsidRPr="00EC279F">
              <w:rPr>
                <w:rFonts w:eastAsia="Calibri" w:cs="Arial"/>
                <w:b/>
                <w:bCs/>
                <w:i/>
                <w:iCs/>
                <w:color w:val="000000"/>
                <w:sz w:val="20"/>
              </w:rPr>
              <w:t xml:space="preserve">et al </w:t>
            </w:r>
            <w:r w:rsidRPr="00EC279F">
              <w:rPr>
                <w:rFonts w:eastAsia="Calibri" w:cs="Arial"/>
                <w:b/>
                <w:bCs/>
                <w:color w:val="000000"/>
                <w:sz w:val="20"/>
              </w:rPr>
              <w:t>2008</w:t>
            </w:r>
          </w:p>
        </w:tc>
        <w:tc>
          <w:tcPr>
            <w:tcW w:w="1984" w:type="dxa"/>
          </w:tcPr>
          <w:p w14:paraId="792CB108" w14:textId="3BF3D8A8" w:rsidR="00EC279F" w:rsidRPr="00EC279F" w:rsidRDefault="00EC279F" w:rsidP="006C6993">
            <w:pPr>
              <w:autoSpaceDE w:val="0"/>
              <w:autoSpaceDN w:val="0"/>
              <w:adjustRightInd w:val="0"/>
              <w:spacing w:before="0" w:after="0"/>
              <w:jc w:val="center"/>
              <w:rPr>
                <w:rFonts w:eastAsia="Calibri" w:cs="Arial"/>
                <w:color w:val="000000"/>
                <w:sz w:val="20"/>
              </w:rPr>
            </w:pPr>
            <w:proofErr w:type="spellStart"/>
            <w:r w:rsidRPr="00EC279F">
              <w:rPr>
                <w:rFonts w:eastAsia="Calibri" w:cs="Arial"/>
                <w:b/>
                <w:bCs/>
                <w:color w:val="000000"/>
                <w:sz w:val="20"/>
              </w:rPr>
              <w:t>Knobler</w:t>
            </w:r>
            <w:proofErr w:type="spellEnd"/>
            <w:r w:rsidRPr="00EC279F">
              <w:rPr>
                <w:rFonts w:eastAsia="Calibri" w:cs="Arial"/>
                <w:b/>
                <w:bCs/>
                <w:color w:val="000000"/>
                <w:sz w:val="20"/>
              </w:rPr>
              <w:t xml:space="preserve"> </w:t>
            </w:r>
            <w:r w:rsidRPr="00EC279F">
              <w:rPr>
                <w:rFonts w:eastAsia="Calibri" w:cs="Arial"/>
                <w:b/>
                <w:bCs/>
                <w:i/>
                <w:iCs/>
                <w:color w:val="000000"/>
                <w:sz w:val="20"/>
              </w:rPr>
              <w:t xml:space="preserve">et al </w:t>
            </w:r>
            <w:r w:rsidRPr="00EC279F">
              <w:rPr>
                <w:rFonts w:eastAsia="Calibri" w:cs="Arial"/>
                <w:b/>
                <w:bCs/>
                <w:color w:val="000000"/>
                <w:sz w:val="20"/>
              </w:rPr>
              <w:t>2012</w:t>
            </w:r>
          </w:p>
        </w:tc>
        <w:tc>
          <w:tcPr>
            <w:tcW w:w="1985" w:type="dxa"/>
          </w:tcPr>
          <w:p w14:paraId="42906669" w14:textId="14CB82D8" w:rsidR="00EC279F" w:rsidRPr="00EC279F" w:rsidRDefault="00EC279F" w:rsidP="006C6993">
            <w:pPr>
              <w:autoSpaceDE w:val="0"/>
              <w:autoSpaceDN w:val="0"/>
              <w:adjustRightInd w:val="0"/>
              <w:spacing w:before="0" w:after="0"/>
              <w:jc w:val="center"/>
              <w:rPr>
                <w:rFonts w:eastAsia="Calibri" w:cs="Arial"/>
                <w:color w:val="000000"/>
                <w:sz w:val="20"/>
              </w:rPr>
            </w:pPr>
            <w:proofErr w:type="spellStart"/>
            <w:r w:rsidRPr="00EC279F">
              <w:rPr>
                <w:rFonts w:eastAsia="Calibri" w:cs="Arial"/>
                <w:b/>
                <w:bCs/>
                <w:color w:val="000000"/>
                <w:sz w:val="20"/>
              </w:rPr>
              <w:t>Siakantaris</w:t>
            </w:r>
            <w:proofErr w:type="spellEnd"/>
            <w:r w:rsidRPr="00EC279F">
              <w:rPr>
                <w:rFonts w:eastAsia="Calibri" w:cs="Arial"/>
                <w:b/>
                <w:bCs/>
                <w:color w:val="000000"/>
                <w:sz w:val="20"/>
              </w:rPr>
              <w:t xml:space="preserve"> </w:t>
            </w:r>
            <w:r w:rsidRPr="00EC279F">
              <w:rPr>
                <w:rFonts w:eastAsia="Calibri" w:cs="Arial"/>
                <w:b/>
                <w:bCs/>
                <w:i/>
                <w:iCs/>
                <w:color w:val="000000"/>
                <w:sz w:val="20"/>
              </w:rPr>
              <w:t xml:space="preserve">et al </w:t>
            </w:r>
            <w:r w:rsidRPr="00EC279F">
              <w:rPr>
                <w:rFonts w:eastAsia="Calibri" w:cs="Arial"/>
                <w:b/>
                <w:bCs/>
                <w:color w:val="000000"/>
                <w:sz w:val="20"/>
              </w:rPr>
              <w:t>2012</w:t>
            </w:r>
          </w:p>
        </w:tc>
      </w:tr>
      <w:tr w:rsidR="00EC279F" w:rsidRPr="00EC279F" w14:paraId="09C4ED02" w14:textId="77777777" w:rsidTr="006C6993">
        <w:trPr>
          <w:trHeight w:val="78"/>
        </w:trPr>
        <w:tc>
          <w:tcPr>
            <w:tcW w:w="2943" w:type="dxa"/>
          </w:tcPr>
          <w:p w14:paraId="2869EE5D" w14:textId="77777777" w:rsidR="00EC279F" w:rsidRPr="00EC279F" w:rsidRDefault="00EC279F" w:rsidP="006C6993">
            <w:pPr>
              <w:autoSpaceDE w:val="0"/>
              <w:autoSpaceDN w:val="0"/>
              <w:adjustRightInd w:val="0"/>
              <w:spacing w:before="0" w:after="0"/>
              <w:rPr>
                <w:rFonts w:eastAsia="Calibri" w:cs="Arial"/>
                <w:color w:val="000000"/>
                <w:sz w:val="20"/>
              </w:rPr>
            </w:pPr>
            <w:r w:rsidRPr="00EC279F">
              <w:rPr>
                <w:rFonts w:eastAsia="Calibri" w:cs="Arial"/>
                <w:b/>
                <w:bCs/>
                <w:color w:val="000000"/>
                <w:sz w:val="20"/>
              </w:rPr>
              <w:t xml:space="preserve">n </w:t>
            </w:r>
          </w:p>
        </w:tc>
        <w:tc>
          <w:tcPr>
            <w:tcW w:w="2127" w:type="dxa"/>
          </w:tcPr>
          <w:p w14:paraId="02EA269A" w14:textId="5E675BD4"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b/>
                <w:bCs/>
                <w:color w:val="000000"/>
                <w:sz w:val="20"/>
              </w:rPr>
              <w:t>13</w:t>
            </w:r>
          </w:p>
        </w:tc>
        <w:tc>
          <w:tcPr>
            <w:tcW w:w="1984" w:type="dxa"/>
          </w:tcPr>
          <w:p w14:paraId="6BD799FD" w14:textId="3E3AB92B"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b/>
                <w:bCs/>
                <w:color w:val="000000"/>
                <w:sz w:val="20"/>
              </w:rPr>
              <w:t>39</w:t>
            </w:r>
          </w:p>
        </w:tc>
        <w:tc>
          <w:tcPr>
            <w:tcW w:w="1985" w:type="dxa"/>
          </w:tcPr>
          <w:p w14:paraId="493B7A05" w14:textId="6DDE88B3"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b/>
                <w:bCs/>
                <w:color w:val="000000"/>
                <w:sz w:val="20"/>
              </w:rPr>
              <w:t>18</w:t>
            </w:r>
          </w:p>
        </w:tc>
      </w:tr>
      <w:tr w:rsidR="00EC279F" w:rsidRPr="00EC279F" w14:paraId="711A33D9" w14:textId="77777777" w:rsidTr="006C6993">
        <w:trPr>
          <w:trHeight w:val="79"/>
        </w:trPr>
        <w:tc>
          <w:tcPr>
            <w:tcW w:w="2943" w:type="dxa"/>
          </w:tcPr>
          <w:p w14:paraId="62C51B60" w14:textId="77777777" w:rsidR="00EC279F" w:rsidRPr="00EC279F" w:rsidRDefault="00EC279F" w:rsidP="006C6993">
            <w:pPr>
              <w:autoSpaceDE w:val="0"/>
              <w:autoSpaceDN w:val="0"/>
              <w:adjustRightInd w:val="0"/>
              <w:spacing w:before="0" w:after="0"/>
              <w:rPr>
                <w:rFonts w:eastAsia="Calibri" w:cs="Arial"/>
                <w:color w:val="000000"/>
                <w:sz w:val="20"/>
              </w:rPr>
            </w:pPr>
            <w:r w:rsidRPr="00EC279F">
              <w:rPr>
                <w:rFonts w:eastAsia="Calibri" w:cs="Arial"/>
                <w:color w:val="000000"/>
                <w:sz w:val="20"/>
              </w:rPr>
              <w:t xml:space="preserve">Median follow-up, months (SD) </w:t>
            </w:r>
          </w:p>
        </w:tc>
        <w:tc>
          <w:tcPr>
            <w:tcW w:w="2127" w:type="dxa"/>
          </w:tcPr>
          <w:p w14:paraId="3EB80DD0" w14:textId="0D2F3251"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color w:val="000000"/>
                <w:sz w:val="20"/>
              </w:rPr>
              <w:t>16 months (range: 83-64)</w:t>
            </w:r>
          </w:p>
        </w:tc>
        <w:tc>
          <w:tcPr>
            <w:tcW w:w="1984" w:type="dxa"/>
          </w:tcPr>
          <w:p w14:paraId="35F6B988" w14:textId="66AA077E"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color w:val="000000"/>
                <w:sz w:val="20"/>
              </w:rPr>
              <w:t>46 months (0-94)</w:t>
            </w:r>
          </w:p>
        </w:tc>
        <w:tc>
          <w:tcPr>
            <w:tcW w:w="1985" w:type="dxa"/>
          </w:tcPr>
          <w:p w14:paraId="55386F7F" w14:textId="23EE6436"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color w:val="000000"/>
                <w:sz w:val="20"/>
              </w:rPr>
              <w:t>34 months (± 25)</w:t>
            </w:r>
          </w:p>
        </w:tc>
      </w:tr>
      <w:tr w:rsidR="00EC279F" w:rsidRPr="00EC279F" w14:paraId="12C6BCCD" w14:textId="77777777" w:rsidTr="006C6993">
        <w:trPr>
          <w:trHeight w:val="78"/>
        </w:trPr>
        <w:tc>
          <w:tcPr>
            <w:tcW w:w="2943" w:type="dxa"/>
          </w:tcPr>
          <w:p w14:paraId="15440E6F" w14:textId="77777777" w:rsidR="00EC279F" w:rsidRPr="00EC279F" w:rsidRDefault="00EC279F" w:rsidP="006C6993">
            <w:pPr>
              <w:autoSpaceDE w:val="0"/>
              <w:autoSpaceDN w:val="0"/>
              <w:adjustRightInd w:val="0"/>
              <w:spacing w:before="0" w:after="0"/>
              <w:rPr>
                <w:rFonts w:eastAsia="Calibri" w:cs="Arial"/>
                <w:color w:val="000000"/>
                <w:sz w:val="20"/>
              </w:rPr>
            </w:pPr>
            <w:r w:rsidRPr="00EC279F">
              <w:rPr>
                <w:rFonts w:eastAsia="Calibri" w:cs="Arial"/>
                <w:color w:val="000000"/>
                <w:sz w:val="20"/>
              </w:rPr>
              <w:t xml:space="preserve">Median PFS </w:t>
            </w:r>
          </w:p>
        </w:tc>
        <w:tc>
          <w:tcPr>
            <w:tcW w:w="2127" w:type="dxa"/>
          </w:tcPr>
          <w:p w14:paraId="6EEA82E0" w14:textId="0B8733A0"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color w:val="000000"/>
                <w:sz w:val="20"/>
              </w:rPr>
              <w:t>28 months</w:t>
            </w:r>
          </w:p>
        </w:tc>
        <w:tc>
          <w:tcPr>
            <w:tcW w:w="1984" w:type="dxa"/>
          </w:tcPr>
          <w:p w14:paraId="35ABC150" w14:textId="5CD449F4"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color w:val="000000"/>
                <w:sz w:val="20"/>
              </w:rPr>
              <w:t>─</w:t>
            </w:r>
          </w:p>
        </w:tc>
        <w:tc>
          <w:tcPr>
            <w:tcW w:w="1985" w:type="dxa"/>
          </w:tcPr>
          <w:p w14:paraId="1923F04F" w14:textId="572604C2"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color w:val="000000"/>
                <w:sz w:val="20"/>
              </w:rPr>
              <w:t xml:space="preserve">28 months </w:t>
            </w:r>
            <w:r w:rsidRPr="00C427C3">
              <w:rPr>
                <w:rFonts w:eastAsia="Calibri" w:cs="Arial"/>
                <w:color w:val="000000"/>
                <w:sz w:val="20"/>
                <w:vertAlign w:val="superscript"/>
              </w:rPr>
              <w:t>a</w:t>
            </w:r>
          </w:p>
        </w:tc>
      </w:tr>
      <w:tr w:rsidR="00EC279F" w:rsidRPr="00EC279F" w14:paraId="0DA0828B" w14:textId="77777777" w:rsidTr="006C6993">
        <w:trPr>
          <w:trHeight w:val="78"/>
        </w:trPr>
        <w:tc>
          <w:tcPr>
            <w:tcW w:w="2943" w:type="dxa"/>
          </w:tcPr>
          <w:p w14:paraId="6D45BD7E" w14:textId="77777777" w:rsidR="00EC279F" w:rsidRPr="00EC279F" w:rsidRDefault="00EC279F" w:rsidP="006C6993">
            <w:pPr>
              <w:autoSpaceDE w:val="0"/>
              <w:autoSpaceDN w:val="0"/>
              <w:adjustRightInd w:val="0"/>
              <w:spacing w:before="0" w:after="0"/>
              <w:rPr>
                <w:rFonts w:eastAsia="Calibri" w:cs="Arial"/>
                <w:color w:val="000000"/>
                <w:sz w:val="20"/>
              </w:rPr>
            </w:pPr>
            <w:r w:rsidRPr="00EC279F">
              <w:rPr>
                <w:rFonts w:eastAsia="Calibri" w:cs="Arial"/>
                <w:color w:val="000000"/>
                <w:sz w:val="20"/>
              </w:rPr>
              <w:t xml:space="preserve">PFS at 2 years (predicted) </w:t>
            </w:r>
          </w:p>
        </w:tc>
        <w:tc>
          <w:tcPr>
            <w:tcW w:w="2127" w:type="dxa"/>
          </w:tcPr>
          <w:p w14:paraId="27836D62" w14:textId="68916EA0"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color w:val="000000"/>
                <w:sz w:val="20"/>
              </w:rPr>
              <w:t>55%</w:t>
            </w:r>
          </w:p>
        </w:tc>
        <w:tc>
          <w:tcPr>
            <w:tcW w:w="1984" w:type="dxa"/>
          </w:tcPr>
          <w:p w14:paraId="7807FD93" w14:textId="2E4DDC66"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color w:val="000000"/>
                <w:sz w:val="20"/>
              </w:rPr>
              <w:t>─</w:t>
            </w:r>
          </w:p>
        </w:tc>
        <w:tc>
          <w:tcPr>
            <w:tcW w:w="1985" w:type="dxa"/>
          </w:tcPr>
          <w:p w14:paraId="6597DA59" w14:textId="7C0CFA96"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color w:val="000000"/>
                <w:sz w:val="20"/>
              </w:rPr>
              <w:t>─</w:t>
            </w:r>
          </w:p>
        </w:tc>
      </w:tr>
      <w:tr w:rsidR="00EC279F" w:rsidRPr="00EC279F" w14:paraId="55680F65" w14:textId="77777777" w:rsidTr="006C6993">
        <w:trPr>
          <w:trHeight w:val="78"/>
        </w:trPr>
        <w:tc>
          <w:tcPr>
            <w:tcW w:w="2943" w:type="dxa"/>
          </w:tcPr>
          <w:p w14:paraId="61BCCBC9" w14:textId="77777777" w:rsidR="00EC279F" w:rsidRPr="00EC279F" w:rsidRDefault="00EC279F" w:rsidP="006C6993">
            <w:pPr>
              <w:autoSpaceDE w:val="0"/>
              <w:autoSpaceDN w:val="0"/>
              <w:adjustRightInd w:val="0"/>
              <w:spacing w:before="0" w:after="0"/>
              <w:rPr>
                <w:rFonts w:eastAsia="Calibri" w:cs="Arial"/>
                <w:color w:val="000000"/>
                <w:sz w:val="20"/>
              </w:rPr>
            </w:pPr>
            <w:r w:rsidRPr="00EC279F">
              <w:rPr>
                <w:rFonts w:eastAsia="Calibri" w:cs="Arial"/>
                <w:color w:val="000000"/>
                <w:sz w:val="20"/>
              </w:rPr>
              <w:t xml:space="preserve">Median OS (cohort) </w:t>
            </w:r>
          </w:p>
        </w:tc>
        <w:tc>
          <w:tcPr>
            <w:tcW w:w="2127" w:type="dxa"/>
          </w:tcPr>
          <w:p w14:paraId="22E2CE30" w14:textId="18F63BEA"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color w:val="000000"/>
                <w:sz w:val="20"/>
              </w:rPr>
              <w:t>─</w:t>
            </w:r>
          </w:p>
        </w:tc>
        <w:tc>
          <w:tcPr>
            <w:tcW w:w="1984" w:type="dxa"/>
          </w:tcPr>
          <w:p w14:paraId="720CDE0D" w14:textId="39653761"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color w:val="000000"/>
                <w:sz w:val="20"/>
              </w:rPr>
              <w:t>79.2 months</w:t>
            </w:r>
          </w:p>
        </w:tc>
        <w:tc>
          <w:tcPr>
            <w:tcW w:w="1985" w:type="dxa"/>
          </w:tcPr>
          <w:p w14:paraId="72AF9806" w14:textId="7B0A66FE"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color w:val="000000"/>
                <w:sz w:val="20"/>
              </w:rPr>
              <w:t>51 months</w:t>
            </w:r>
          </w:p>
        </w:tc>
      </w:tr>
      <w:tr w:rsidR="00EC279F" w:rsidRPr="00EC279F" w14:paraId="64689FCF" w14:textId="77777777" w:rsidTr="006C6993">
        <w:trPr>
          <w:trHeight w:val="78"/>
        </w:trPr>
        <w:tc>
          <w:tcPr>
            <w:tcW w:w="2943" w:type="dxa"/>
          </w:tcPr>
          <w:p w14:paraId="14238137" w14:textId="77777777" w:rsidR="00EC279F" w:rsidRPr="00EC279F" w:rsidRDefault="00EC279F" w:rsidP="006C6993">
            <w:pPr>
              <w:autoSpaceDE w:val="0"/>
              <w:autoSpaceDN w:val="0"/>
              <w:adjustRightInd w:val="0"/>
              <w:spacing w:before="0" w:after="0"/>
              <w:rPr>
                <w:rFonts w:eastAsia="Calibri" w:cs="Arial"/>
                <w:color w:val="000000"/>
                <w:sz w:val="20"/>
              </w:rPr>
            </w:pPr>
            <w:r w:rsidRPr="00EC279F">
              <w:rPr>
                <w:rFonts w:eastAsia="Calibri" w:cs="Arial"/>
                <w:color w:val="000000"/>
                <w:sz w:val="20"/>
              </w:rPr>
              <w:t xml:space="preserve">Median OS (subgroup: stage T4) </w:t>
            </w:r>
          </w:p>
        </w:tc>
        <w:tc>
          <w:tcPr>
            <w:tcW w:w="2127" w:type="dxa"/>
          </w:tcPr>
          <w:p w14:paraId="3120E78F" w14:textId="591E078C"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color w:val="000000"/>
                <w:sz w:val="20"/>
              </w:rPr>
              <w:t>─</w:t>
            </w:r>
          </w:p>
        </w:tc>
        <w:tc>
          <w:tcPr>
            <w:tcW w:w="1984" w:type="dxa"/>
          </w:tcPr>
          <w:p w14:paraId="566024DA" w14:textId="701467A3"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color w:val="000000"/>
                <w:sz w:val="20"/>
              </w:rPr>
              <w:t xml:space="preserve">64.6 months </w:t>
            </w:r>
            <w:r w:rsidRPr="00C427C3">
              <w:rPr>
                <w:rFonts w:eastAsia="Calibri" w:cs="Arial"/>
                <w:color w:val="000000"/>
                <w:sz w:val="20"/>
                <w:vertAlign w:val="superscript"/>
              </w:rPr>
              <w:t>b</w:t>
            </w:r>
          </w:p>
        </w:tc>
        <w:tc>
          <w:tcPr>
            <w:tcW w:w="1985" w:type="dxa"/>
          </w:tcPr>
          <w:p w14:paraId="4172991C" w14:textId="59D8D9FD"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color w:val="000000"/>
                <w:sz w:val="20"/>
              </w:rPr>
              <w:t>─</w:t>
            </w:r>
          </w:p>
        </w:tc>
      </w:tr>
      <w:tr w:rsidR="00EC279F" w:rsidRPr="00EC279F" w14:paraId="551D0A47" w14:textId="77777777" w:rsidTr="006C6993">
        <w:trPr>
          <w:trHeight w:val="78"/>
        </w:trPr>
        <w:tc>
          <w:tcPr>
            <w:tcW w:w="2943" w:type="dxa"/>
          </w:tcPr>
          <w:p w14:paraId="1CC7C3D5" w14:textId="77777777" w:rsidR="00EC279F" w:rsidRPr="00EC279F" w:rsidRDefault="00EC279F" w:rsidP="006C6993">
            <w:pPr>
              <w:autoSpaceDE w:val="0"/>
              <w:autoSpaceDN w:val="0"/>
              <w:adjustRightInd w:val="0"/>
              <w:spacing w:before="0" w:after="0"/>
              <w:rPr>
                <w:rFonts w:eastAsia="Calibri" w:cs="Arial"/>
                <w:color w:val="000000"/>
                <w:sz w:val="20"/>
              </w:rPr>
            </w:pPr>
            <w:r w:rsidRPr="00EC279F">
              <w:rPr>
                <w:rFonts w:eastAsia="Calibri" w:cs="Arial"/>
                <w:color w:val="000000"/>
                <w:sz w:val="20"/>
              </w:rPr>
              <w:t xml:space="preserve">OS at 4 years (predicted) </w:t>
            </w:r>
          </w:p>
        </w:tc>
        <w:tc>
          <w:tcPr>
            <w:tcW w:w="2127" w:type="dxa"/>
          </w:tcPr>
          <w:p w14:paraId="36B090FB" w14:textId="6F2FAFD3"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color w:val="000000"/>
                <w:sz w:val="20"/>
              </w:rPr>
              <w:t>82%</w:t>
            </w:r>
          </w:p>
        </w:tc>
        <w:tc>
          <w:tcPr>
            <w:tcW w:w="1984" w:type="dxa"/>
          </w:tcPr>
          <w:p w14:paraId="2EB6B56A" w14:textId="13792798"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color w:val="000000"/>
                <w:sz w:val="20"/>
              </w:rPr>
              <w:t>─</w:t>
            </w:r>
          </w:p>
        </w:tc>
        <w:tc>
          <w:tcPr>
            <w:tcW w:w="1985" w:type="dxa"/>
          </w:tcPr>
          <w:p w14:paraId="325A813F" w14:textId="29F0A1F3" w:rsidR="00EC279F" w:rsidRPr="00EC279F" w:rsidRDefault="00EC279F" w:rsidP="006C6993">
            <w:pPr>
              <w:autoSpaceDE w:val="0"/>
              <w:autoSpaceDN w:val="0"/>
              <w:adjustRightInd w:val="0"/>
              <w:spacing w:before="0" w:after="0"/>
              <w:jc w:val="center"/>
              <w:rPr>
                <w:rFonts w:eastAsia="Calibri" w:cs="Arial"/>
                <w:color w:val="000000"/>
                <w:sz w:val="20"/>
              </w:rPr>
            </w:pPr>
            <w:r w:rsidRPr="00EC279F">
              <w:rPr>
                <w:rFonts w:eastAsia="Calibri" w:cs="Arial"/>
                <w:color w:val="000000"/>
                <w:sz w:val="20"/>
              </w:rPr>
              <w:t>─</w:t>
            </w:r>
          </w:p>
        </w:tc>
      </w:tr>
    </w:tbl>
    <w:p w14:paraId="56202F11" w14:textId="77777777" w:rsidR="009819F9" w:rsidRPr="009819F9" w:rsidRDefault="009819F9" w:rsidP="009819F9">
      <w:pPr>
        <w:autoSpaceDE w:val="0"/>
        <w:autoSpaceDN w:val="0"/>
        <w:adjustRightInd w:val="0"/>
        <w:rPr>
          <w:rFonts w:ascii="Arial" w:eastAsia="Calibri" w:hAnsi="Arial" w:cs="Arial"/>
          <w:color w:val="000000"/>
          <w:sz w:val="16"/>
          <w:szCs w:val="16"/>
        </w:rPr>
      </w:pPr>
      <w:r w:rsidRPr="009819F9">
        <w:rPr>
          <w:rFonts w:ascii="Arial" w:eastAsia="Calibri" w:hAnsi="Arial" w:cs="Arial"/>
          <w:color w:val="000000"/>
          <w:sz w:val="16"/>
          <w:szCs w:val="16"/>
        </w:rPr>
        <w:t xml:space="preserve">ECP = extracorporeal photopheresis; OS = overall survival; PFS = progression free survival; SD = standard deviation </w:t>
      </w:r>
    </w:p>
    <w:p w14:paraId="2BBA80E2" w14:textId="77777777" w:rsidR="009819F9" w:rsidRPr="009819F9" w:rsidRDefault="009819F9" w:rsidP="009819F9">
      <w:pPr>
        <w:autoSpaceDE w:val="0"/>
        <w:autoSpaceDN w:val="0"/>
        <w:adjustRightInd w:val="0"/>
        <w:rPr>
          <w:rFonts w:ascii="Arial" w:eastAsia="Calibri" w:hAnsi="Arial" w:cs="Arial"/>
          <w:color w:val="000000"/>
          <w:sz w:val="16"/>
          <w:szCs w:val="16"/>
        </w:rPr>
      </w:pPr>
      <w:proofErr w:type="gramStart"/>
      <w:r w:rsidRPr="009819F9">
        <w:rPr>
          <w:rFonts w:ascii="Arial" w:eastAsia="Calibri" w:hAnsi="Arial" w:cs="Arial"/>
          <w:color w:val="000000"/>
          <w:sz w:val="16"/>
          <w:szCs w:val="16"/>
        </w:rPr>
        <w:t>a</w:t>
      </w:r>
      <w:proofErr w:type="gramEnd"/>
      <w:r w:rsidRPr="009819F9">
        <w:rPr>
          <w:rFonts w:ascii="Arial" w:eastAsia="Calibri" w:hAnsi="Arial" w:cs="Arial"/>
          <w:color w:val="000000"/>
          <w:sz w:val="16"/>
          <w:szCs w:val="16"/>
        </w:rPr>
        <w:t xml:space="preserve"> ECP was combined with other systematic treatments in 17 (94%) patients </w:t>
      </w:r>
    </w:p>
    <w:p w14:paraId="6F72F388" w14:textId="30EF00B5" w:rsidR="009819F9" w:rsidRPr="0097460D" w:rsidRDefault="009819F9" w:rsidP="0097460D">
      <w:pPr>
        <w:autoSpaceDE w:val="0"/>
        <w:autoSpaceDN w:val="0"/>
        <w:adjustRightInd w:val="0"/>
        <w:rPr>
          <w:rFonts w:ascii="Arial" w:eastAsia="Calibri" w:hAnsi="Arial" w:cs="Arial"/>
          <w:color w:val="000000"/>
          <w:sz w:val="16"/>
          <w:szCs w:val="16"/>
        </w:rPr>
      </w:pPr>
      <w:proofErr w:type="gramStart"/>
      <w:r w:rsidRPr="009819F9">
        <w:rPr>
          <w:rFonts w:ascii="Arial" w:eastAsia="Calibri" w:hAnsi="Arial" w:cs="Arial"/>
          <w:color w:val="000000"/>
          <w:sz w:val="16"/>
          <w:szCs w:val="16"/>
        </w:rPr>
        <w:t>b</w:t>
      </w:r>
      <w:proofErr w:type="gramEnd"/>
      <w:r w:rsidRPr="009819F9">
        <w:rPr>
          <w:rFonts w:ascii="Arial" w:eastAsia="Calibri" w:hAnsi="Arial" w:cs="Arial"/>
          <w:color w:val="000000"/>
          <w:sz w:val="16"/>
          <w:szCs w:val="16"/>
        </w:rPr>
        <w:t xml:space="preserve"> From 31/39 (79%) patients with generalised erythroderma </w:t>
      </w:r>
    </w:p>
    <w:p w14:paraId="14BA0CC9" w14:textId="78005E01" w:rsidR="00EC279F" w:rsidRDefault="00CF42FA" w:rsidP="0097460D">
      <w:pPr>
        <w:pStyle w:val="Default"/>
        <w:spacing w:before="240" w:after="240"/>
        <w:rPr>
          <w:rFonts w:eastAsiaTheme="minorHAnsi"/>
        </w:rPr>
      </w:pPr>
      <w:r>
        <w:rPr>
          <w:rFonts w:eastAsiaTheme="minorHAnsi"/>
        </w:rPr>
        <w:t xml:space="preserve">From </w:t>
      </w:r>
      <w:proofErr w:type="spellStart"/>
      <w:r w:rsidRPr="00CF42FA">
        <w:rPr>
          <w:rFonts w:eastAsiaTheme="minorHAnsi"/>
        </w:rPr>
        <w:t>Knobler</w:t>
      </w:r>
      <w:proofErr w:type="spellEnd"/>
      <w:r w:rsidRPr="00CF42FA">
        <w:rPr>
          <w:rFonts w:eastAsiaTheme="minorHAnsi"/>
        </w:rPr>
        <w:t xml:space="preserve"> et al 2012</w:t>
      </w:r>
      <w:r>
        <w:rPr>
          <w:rFonts w:eastAsiaTheme="minorHAnsi"/>
        </w:rPr>
        <w:t>, t</w:t>
      </w:r>
      <w:r w:rsidR="009819F9" w:rsidRPr="009819F9">
        <w:rPr>
          <w:rFonts w:eastAsiaTheme="minorHAnsi"/>
        </w:rPr>
        <w:t>he results for overall survival with ECP treatment showed that the subgroup with advanced skin disease (T</w:t>
      </w:r>
      <w:r w:rsidR="009819F9" w:rsidRPr="00C427C3">
        <w:rPr>
          <w:rFonts w:eastAsiaTheme="minorHAnsi"/>
          <w:vertAlign w:val="subscript"/>
        </w:rPr>
        <w:t>4</w:t>
      </w:r>
      <w:r w:rsidR="009819F9" w:rsidRPr="009819F9">
        <w:rPr>
          <w:rFonts w:eastAsiaTheme="minorHAnsi"/>
        </w:rPr>
        <w:t xml:space="preserve">) had worse survival than cohort population (65 vs. 79 months). The results from the Australian study, </w:t>
      </w:r>
      <w:proofErr w:type="spellStart"/>
      <w:r w:rsidR="009819F9" w:rsidRPr="009819F9">
        <w:rPr>
          <w:rFonts w:eastAsiaTheme="minorHAnsi"/>
        </w:rPr>
        <w:t>Arulogun</w:t>
      </w:r>
      <w:proofErr w:type="spellEnd"/>
      <w:r w:rsidR="009819F9" w:rsidRPr="009819F9">
        <w:rPr>
          <w:rFonts w:eastAsiaTheme="minorHAnsi"/>
        </w:rPr>
        <w:t xml:space="preserve"> et al 2008, show that the median progression free survival was 28 months. However, no comparative data </w:t>
      </w:r>
      <w:r w:rsidR="00B35105">
        <w:rPr>
          <w:rFonts w:eastAsiaTheme="minorHAnsi"/>
        </w:rPr>
        <w:t>were</w:t>
      </w:r>
      <w:r w:rsidR="00B35105" w:rsidRPr="009819F9">
        <w:rPr>
          <w:rFonts w:eastAsiaTheme="minorHAnsi"/>
        </w:rPr>
        <w:t xml:space="preserve"> </w:t>
      </w:r>
      <w:r w:rsidR="009819F9" w:rsidRPr="009819F9">
        <w:rPr>
          <w:rFonts w:eastAsiaTheme="minorHAnsi"/>
        </w:rPr>
        <w:t>available on the survival of patients treated with ECP with CTCL (T</w:t>
      </w:r>
      <w:r w:rsidR="009819F9" w:rsidRPr="00C427C3">
        <w:rPr>
          <w:rFonts w:eastAsiaTheme="minorHAnsi"/>
          <w:vertAlign w:val="subscript"/>
        </w:rPr>
        <w:t>4</w:t>
      </w:r>
      <w:r w:rsidR="009819F9" w:rsidRPr="009819F9">
        <w:rPr>
          <w:rFonts w:eastAsiaTheme="minorHAnsi"/>
        </w:rPr>
        <w:t xml:space="preserve"> M</w:t>
      </w:r>
      <w:r w:rsidR="009819F9" w:rsidRPr="00C427C3">
        <w:rPr>
          <w:rFonts w:eastAsiaTheme="minorHAnsi"/>
          <w:vertAlign w:val="subscript"/>
        </w:rPr>
        <w:t>0</w:t>
      </w:r>
      <w:r w:rsidR="009819F9" w:rsidRPr="009819F9">
        <w:rPr>
          <w:rFonts w:eastAsiaTheme="minorHAnsi"/>
        </w:rPr>
        <w:t>).</w:t>
      </w:r>
      <w:r w:rsidR="00D50810">
        <w:rPr>
          <w:rFonts w:eastAsiaTheme="minorHAnsi"/>
        </w:rPr>
        <w:t xml:space="preserve"> </w:t>
      </w:r>
      <w:r w:rsidR="00D50810" w:rsidRPr="00210BCB">
        <w:t xml:space="preserve">Compared to vorinostat, </w:t>
      </w:r>
      <w:r w:rsidR="00D50810">
        <w:t xml:space="preserve">these results </w:t>
      </w:r>
      <w:r w:rsidR="00D50810" w:rsidRPr="00210BCB">
        <w:t xml:space="preserve">may suggest that ECP results in a </w:t>
      </w:r>
      <w:r w:rsidR="00D50810">
        <w:t xml:space="preserve">longer median duration </w:t>
      </w:r>
      <w:r w:rsidR="00D50810" w:rsidRPr="00210BCB">
        <w:t>of progression-free survival (</w:t>
      </w:r>
      <w:r w:rsidR="00D50810">
        <w:t>28</w:t>
      </w:r>
      <w:r w:rsidR="00D50810" w:rsidRPr="00210BCB">
        <w:t xml:space="preserve"> months) than vorinostat (2.8</w:t>
      </w:r>
      <w:r w:rsidR="00D50810">
        <w:t xml:space="preserve"> </w:t>
      </w:r>
      <w:r w:rsidR="00D50810" w:rsidRPr="00210BCB">
        <w:t>-</w:t>
      </w:r>
      <w:r w:rsidR="00D50810">
        <w:t xml:space="preserve"> </w:t>
      </w:r>
      <w:r w:rsidR="00D50810" w:rsidRPr="00210BCB">
        <w:t>4.</w:t>
      </w:r>
      <w:r w:rsidR="00D50810">
        <w:t>9</w:t>
      </w:r>
      <w:r w:rsidR="00D50810" w:rsidRPr="00210BCB">
        <w:t xml:space="preserve"> months</w:t>
      </w:r>
      <w:r w:rsidR="00D50810" w:rsidRPr="00B62BE5">
        <w:t xml:space="preserve"> </w:t>
      </w:r>
      <w:r w:rsidR="00D50810">
        <w:t>from two different small single-arm studies</w:t>
      </w:r>
      <w:r w:rsidR="00D50810" w:rsidRPr="00210BCB">
        <w:t xml:space="preserve"> </w:t>
      </w:r>
      <w:r w:rsidR="00D50810">
        <w:t>of vorinostat</w:t>
      </w:r>
      <w:r w:rsidR="00D50810" w:rsidRPr="00210BCB">
        <w:t xml:space="preserve">) although the statistical significance </w:t>
      </w:r>
      <w:r w:rsidR="00D50810">
        <w:t xml:space="preserve">across these results has </w:t>
      </w:r>
      <w:r w:rsidR="00D50810" w:rsidRPr="00210BCB">
        <w:t>not been assessed.</w:t>
      </w:r>
    </w:p>
    <w:p w14:paraId="6C3953BE" w14:textId="412349A5" w:rsidR="00EC279F" w:rsidRDefault="009819F9" w:rsidP="007978C7">
      <w:pPr>
        <w:pStyle w:val="Default"/>
        <w:rPr>
          <w:rFonts w:eastAsiaTheme="minorHAnsi"/>
        </w:rPr>
      </w:pPr>
      <w:r>
        <w:rPr>
          <w:rFonts w:eastAsiaTheme="minorHAnsi"/>
        </w:rPr>
        <w:t xml:space="preserve">Table </w:t>
      </w:r>
      <w:r w:rsidR="00596BFB">
        <w:rPr>
          <w:rFonts w:eastAsiaTheme="minorHAnsi"/>
        </w:rPr>
        <w:t>4</w:t>
      </w:r>
      <w:r w:rsidRPr="009819F9">
        <w:rPr>
          <w:rFonts w:eastAsiaTheme="minorHAnsi"/>
        </w:rPr>
        <w:t xml:space="preserve"> summarises outcomes related to clinical response, for ECP treatment. </w:t>
      </w:r>
    </w:p>
    <w:p w14:paraId="6E4E93DC" w14:textId="4DCBFC85" w:rsidR="009819F9" w:rsidRPr="009819F9" w:rsidRDefault="009819F9" w:rsidP="00950C48">
      <w:pPr>
        <w:pStyle w:val="Default"/>
        <w:keepNext/>
        <w:keepLines/>
        <w:rPr>
          <w:rFonts w:ascii="Arial Narrow" w:hAnsi="Arial Narrow"/>
          <w:b/>
          <w:bCs/>
          <w:sz w:val="20"/>
          <w:szCs w:val="20"/>
        </w:rPr>
      </w:pPr>
      <w:r>
        <w:rPr>
          <w:rFonts w:ascii="Arial Narrow" w:hAnsi="Arial Narrow"/>
          <w:b/>
          <w:bCs/>
          <w:sz w:val="20"/>
          <w:szCs w:val="20"/>
        </w:rPr>
        <w:lastRenderedPageBreak/>
        <w:t xml:space="preserve">Table </w:t>
      </w:r>
      <w:r w:rsidR="00596BFB">
        <w:rPr>
          <w:rFonts w:ascii="Arial Narrow" w:hAnsi="Arial Narrow"/>
          <w:b/>
          <w:bCs/>
          <w:sz w:val="20"/>
          <w:szCs w:val="20"/>
        </w:rPr>
        <w:t>4</w:t>
      </w:r>
      <w:r w:rsidR="00CF42FA">
        <w:rPr>
          <w:rFonts w:ascii="Arial Narrow" w:hAnsi="Arial Narrow"/>
          <w:b/>
          <w:bCs/>
          <w:sz w:val="20"/>
          <w:szCs w:val="20"/>
        </w:rPr>
        <w:t xml:space="preserve">: </w:t>
      </w:r>
      <w:r w:rsidRPr="009819F9">
        <w:rPr>
          <w:rFonts w:ascii="Arial Narrow" w:hAnsi="Arial Narrow"/>
          <w:b/>
          <w:bCs/>
          <w:sz w:val="20"/>
          <w:szCs w:val="20"/>
        </w:rPr>
        <w:t xml:space="preserve"> Results for clinical response from single-arm studies of ECP treatment</w:t>
      </w:r>
    </w:p>
    <w:tbl>
      <w:tblPr>
        <w:tblStyle w:val="TableGrid2"/>
        <w:tblW w:w="0" w:type="auto"/>
        <w:tblLayout w:type="fixed"/>
        <w:tblLook w:val="0000" w:firstRow="0" w:lastRow="0" w:firstColumn="0" w:lastColumn="0" w:noHBand="0" w:noVBand="0"/>
        <w:tblDescription w:val="Summary of the clinical response results for the single arm studies - Arulogun et al 2008, Knobler et al 2012 and Siakantaris et al 2012"/>
      </w:tblPr>
      <w:tblGrid>
        <w:gridCol w:w="2943"/>
        <w:gridCol w:w="2127"/>
        <w:gridCol w:w="1984"/>
        <w:gridCol w:w="1985"/>
      </w:tblGrid>
      <w:tr w:rsidR="009819F9" w:rsidRPr="009819F9" w14:paraId="41E1C227" w14:textId="77777777" w:rsidTr="006C6993">
        <w:trPr>
          <w:trHeight w:val="78"/>
          <w:tblHeader/>
        </w:trPr>
        <w:tc>
          <w:tcPr>
            <w:tcW w:w="2943" w:type="dxa"/>
          </w:tcPr>
          <w:p w14:paraId="578B583B" w14:textId="77777777" w:rsidR="009819F9" w:rsidRPr="009819F9" w:rsidRDefault="009819F9" w:rsidP="00950C48">
            <w:pPr>
              <w:keepNext/>
              <w:keepLines/>
              <w:autoSpaceDE w:val="0"/>
              <w:autoSpaceDN w:val="0"/>
              <w:adjustRightInd w:val="0"/>
              <w:spacing w:before="0" w:after="0"/>
              <w:rPr>
                <w:rFonts w:eastAsia="Calibri" w:cs="Arial"/>
                <w:color w:val="000000"/>
                <w:sz w:val="20"/>
              </w:rPr>
            </w:pPr>
            <w:r w:rsidRPr="009819F9">
              <w:rPr>
                <w:rFonts w:eastAsia="Calibri" w:cs="Arial"/>
                <w:b/>
                <w:bCs/>
                <w:color w:val="000000"/>
                <w:sz w:val="20"/>
              </w:rPr>
              <w:t xml:space="preserve">Study </w:t>
            </w:r>
          </w:p>
        </w:tc>
        <w:tc>
          <w:tcPr>
            <w:tcW w:w="2127" w:type="dxa"/>
          </w:tcPr>
          <w:p w14:paraId="17C4AC46" w14:textId="0F81B5CE" w:rsidR="009819F9" w:rsidRPr="009819F9" w:rsidRDefault="009819F9" w:rsidP="00950C48">
            <w:pPr>
              <w:keepNext/>
              <w:keepLines/>
              <w:autoSpaceDE w:val="0"/>
              <w:autoSpaceDN w:val="0"/>
              <w:adjustRightInd w:val="0"/>
              <w:spacing w:before="0" w:after="0"/>
              <w:jc w:val="center"/>
              <w:rPr>
                <w:rFonts w:eastAsia="Calibri" w:cs="Arial"/>
                <w:color w:val="000000"/>
                <w:sz w:val="20"/>
              </w:rPr>
            </w:pPr>
            <w:proofErr w:type="spellStart"/>
            <w:r w:rsidRPr="009819F9">
              <w:rPr>
                <w:rFonts w:eastAsia="Calibri" w:cs="Arial"/>
                <w:b/>
                <w:bCs/>
                <w:color w:val="000000"/>
                <w:sz w:val="20"/>
              </w:rPr>
              <w:t>Arulogun</w:t>
            </w:r>
            <w:proofErr w:type="spellEnd"/>
            <w:r w:rsidRPr="009819F9">
              <w:rPr>
                <w:rFonts w:eastAsia="Calibri" w:cs="Arial"/>
                <w:b/>
                <w:bCs/>
                <w:color w:val="000000"/>
                <w:sz w:val="20"/>
              </w:rPr>
              <w:t xml:space="preserve"> </w:t>
            </w:r>
            <w:r w:rsidRPr="009819F9">
              <w:rPr>
                <w:rFonts w:eastAsia="Calibri" w:cs="Arial"/>
                <w:b/>
                <w:bCs/>
                <w:i/>
                <w:iCs/>
                <w:color w:val="000000"/>
                <w:sz w:val="20"/>
              </w:rPr>
              <w:t xml:space="preserve">et al </w:t>
            </w:r>
            <w:r w:rsidRPr="009819F9">
              <w:rPr>
                <w:rFonts w:eastAsia="Calibri" w:cs="Arial"/>
                <w:b/>
                <w:bCs/>
                <w:color w:val="000000"/>
                <w:sz w:val="20"/>
              </w:rPr>
              <w:t>2008</w:t>
            </w:r>
          </w:p>
        </w:tc>
        <w:tc>
          <w:tcPr>
            <w:tcW w:w="1984" w:type="dxa"/>
          </w:tcPr>
          <w:p w14:paraId="6F11AEED" w14:textId="7E286118" w:rsidR="009819F9" w:rsidRPr="009819F9" w:rsidRDefault="009819F9" w:rsidP="00950C48">
            <w:pPr>
              <w:keepNext/>
              <w:keepLines/>
              <w:autoSpaceDE w:val="0"/>
              <w:autoSpaceDN w:val="0"/>
              <w:adjustRightInd w:val="0"/>
              <w:spacing w:before="0" w:after="0"/>
              <w:jc w:val="center"/>
              <w:rPr>
                <w:rFonts w:eastAsia="Calibri" w:cs="Arial"/>
                <w:color w:val="000000"/>
                <w:sz w:val="20"/>
              </w:rPr>
            </w:pPr>
            <w:proofErr w:type="spellStart"/>
            <w:r w:rsidRPr="009819F9">
              <w:rPr>
                <w:rFonts w:eastAsia="Calibri" w:cs="Arial"/>
                <w:b/>
                <w:bCs/>
                <w:color w:val="000000"/>
                <w:sz w:val="20"/>
              </w:rPr>
              <w:t>Knobler</w:t>
            </w:r>
            <w:proofErr w:type="spellEnd"/>
            <w:r w:rsidRPr="009819F9">
              <w:rPr>
                <w:rFonts w:eastAsia="Calibri" w:cs="Arial"/>
                <w:b/>
                <w:bCs/>
                <w:color w:val="000000"/>
                <w:sz w:val="20"/>
              </w:rPr>
              <w:t xml:space="preserve"> </w:t>
            </w:r>
            <w:r w:rsidRPr="009819F9">
              <w:rPr>
                <w:rFonts w:eastAsia="Calibri" w:cs="Arial"/>
                <w:b/>
                <w:bCs/>
                <w:i/>
                <w:iCs/>
                <w:color w:val="000000"/>
                <w:sz w:val="20"/>
              </w:rPr>
              <w:t xml:space="preserve">et al </w:t>
            </w:r>
            <w:r w:rsidRPr="009819F9">
              <w:rPr>
                <w:rFonts w:eastAsia="Calibri" w:cs="Arial"/>
                <w:b/>
                <w:bCs/>
                <w:color w:val="000000"/>
                <w:sz w:val="20"/>
              </w:rPr>
              <w:t>2012</w:t>
            </w:r>
          </w:p>
        </w:tc>
        <w:tc>
          <w:tcPr>
            <w:tcW w:w="1985" w:type="dxa"/>
          </w:tcPr>
          <w:p w14:paraId="1470AE77" w14:textId="6E21DDF0" w:rsidR="009819F9" w:rsidRPr="009819F9" w:rsidRDefault="009819F9" w:rsidP="00950C48">
            <w:pPr>
              <w:keepNext/>
              <w:keepLines/>
              <w:autoSpaceDE w:val="0"/>
              <w:autoSpaceDN w:val="0"/>
              <w:adjustRightInd w:val="0"/>
              <w:spacing w:before="0" w:after="0"/>
              <w:jc w:val="center"/>
              <w:rPr>
                <w:rFonts w:eastAsia="Calibri" w:cs="Arial"/>
                <w:color w:val="000000"/>
                <w:sz w:val="20"/>
              </w:rPr>
            </w:pPr>
            <w:proofErr w:type="spellStart"/>
            <w:r w:rsidRPr="009819F9">
              <w:rPr>
                <w:rFonts w:eastAsia="Calibri" w:cs="Arial"/>
                <w:b/>
                <w:bCs/>
                <w:color w:val="000000"/>
                <w:sz w:val="20"/>
              </w:rPr>
              <w:t>Siakantaris</w:t>
            </w:r>
            <w:proofErr w:type="spellEnd"/>
            <w:r w:rsidRPr="009819F9">
              <w:rPr>
                <w:rFonts w:eastAsia="Calibri" w:cs="Arial"/>
                <w:b/>
                <w:bCs/>
                <w:color w:val="000000"/>
                <w:sz w:val="20"/>
              </w:rPr>
              <w:t xml:space="preserve"> </w:t>
            </w:r>
            <w:r w:rsidRPr="009819F9">
              <w:rPr>
                <w:rFonts w:eastAsia="Calibri" w:cs="Arial"/>
                <w:b/>
                <w:bCs/>
                <w:i/>
                <w:iCs/>
                <w:color w:val="000000"/>
                <w:sz w:val="20"/>
              </w:rPr>
              <w:t xml:space="preserve">et al </w:t>
            </w:r>
            <w:r w:rsidRPr="009819F9">
              <w:rPr>
                <w:rFonts w:eastAsia="Calibri" w:cs="Arial"/>
                <w:b/>
                <w:bCs/>
                <w:color w:val="000000"/>
                <w:sz w:val="20"/>
              </w:rPr>
              <w:t>2012</w:t>
            </w:r>
          </w:p>
        </w:tc>
      </w:tr>
      <w:tr w:rsidR="009819F9" w:rsidRPr="009819F9" w14:paraId="39CC7445" w14:textId="77777777" w:rsidTr="006C6993">
        <w:trPr>
          <w:trHeight w:val="78"/>
        </w:trPr>
        <w:tc>
          <w:tcPr>
            <w:tcW w:w="2943" w:type="dxa"/>
          </w:tcPr>
          <w:p w14:paraId="0CE2317B" w14:textId="77777777" w:rsidR="009819F9" w:rsidRPr="009819F9" w:rsidRDefault="009819F9" w:rsidP="00950C48">
            <w:pPr>
              <w:keepNext/>
              <w:keepLines/>
              <w:autoSpaceDE w:val="0"/>
              <w:autoSpaceDN w:val="0"/>
              <w:adjustRightInd w:val="0"/>
              <w:spacing w:before="0" w:after="0"/>
              <w:rPr>
                <w:rFonts w:eastAsia="Calibri" w:cs="Arial"/>
                <w:color w:val="000000"/>
                <w:sz w:val="20"/>
              </w:rPr>
            </w:pPr>
            <w:r w:rsidRPr="009819F9">
              <w:rPr>
                <w:rFonts w:eastAsia="Calibri" w:cs="Arial"/>
                <w:b/>
                <w:bCs/>
                <w:color w:val="000000"/>
                <w:sz w:val="20"/>
              </w:rPr>
              <w:t xml:space="preserve">n </w:t>
            </w:r>
          </w:p>
        </w:tc>
        <w:tc>
          <w:tcPr>
            <w:tcW w:w="2127" w:type="dxa"/>
          </w:tcPr>
          <w:p w14:paraId="5C90F0F5" w14:textId="244C2292" w:rsidR="009819F9" w:rsidRPr="009819F9" w:rsidRDefault="009819F9" w:rsidP="00950C48">
            <w:pPr>
              <w:keepNext/>
              <w:keepLines/>
              <w:autoSpaceDE w:val="0"/>
              <w:autoSpaceDN w:val="0"/>
              <w:adjustRightInd w:val="0"/>
              <w:spacing w:before="0" w:after="0"/>
              <w:jc w:val="center"/>
              <w:rPr>
                <w:rFonts w:eastAsia="Calibri" w:cs="Arial"/>
                <w:color w:val="000000"/>
                <w:sz w:val="20"/>
              </w:rPr>
            </w:pPr>
            <w:r w:rsidRPr="009819F9">
              <w:rPr>
                <w:rFonts w:eastAsia="Calibri" w:cs="Arial"/>
                <w:b/>
                <w:bCs/>
                <w:color w:val="000000"/>
                <w:sz w:val="20"/>
              </w:rPr>
              <w:t>13</w:t>
            </w:r>
          </w:p>
        </w:tc>
        <w:tc>
          <w:tcPr>
            <w:tcW w:w="1984" w:type="dxa"/>
          </w:tcPr>
          <w:p w14:paraId="3F78C677" w14:textId="17D7018D" w:rsidR="009819F9" w:rsidRPr="009819F9" w:rsidRDefault="009819F9" w:rsidP="00950C48">
            <w:pPr>
              <w:keepNext/>
              <w:keepLines/>
              <w:autoSpaceDE w:val="0"/>
              <w:autoSpaceDN w:val="0"/>
              <w:adjustRightInd w:val="0"/>
              <w:spacing w:before="0" w:after="0"/>
              <w:jc w:val="center"/>
              <w:rPr>
                <w:rFonts w:eastAsia="Calibri" w:cs="Arial"/>
                <w:color w:val="000000"/>
                <w:sz w:val="20"/>
              </w:rPr>
            </w:pPr>
            <w:r w:rsidRPr="009819F9">
              <w:rPr>
                <w:rFonts w:eastAsia="Calibri" w:cs="Arial"/>
                <w:b/>
                <w:bCs/>
                <w:color w:val="000000"/>
                <w:sz w:val="20"/>
              </w:rPr>
              <w:t>39</w:t>
            </w:r>
          </w:p>
        </w:tc>
        <w:tc>
          <w:tcPr>
            <w:tcW w:w="1985" w:type="dxa"/>
          </w:tcPr>
          <w:p w14:paraId="17628672" w14:textId="2E632EC7" w:rsidR="009819F9" w:rsidRPr="009819F9" w:rsidRDefault="009819F9" w:rsidP="00950C48">
            <w:pPr>
              <w:keepNext/>
              <w:keepLines/>
              <w:autoSpaceDE w:val="0"/>
              <w:autoSpaceDN w:val="0"/>
              <w:adjustRightInd w:val="0"/>
              <w:spacing w:before="0" w:after="0"/>
              <w:jc w:val="center"/>
              <w:rPr>
                <w:rFonts w:eastAsia="Calibri" w:cs="Arial"/>
                <w:color w:val="000000"/>
                <w:sz w:val="20"/>
              </w:rPr>
            </w:pPr>
            <w:r w:rsidRPr="009819F9">
              <w:rPr>
                <w:rFonts w:eastAsia="Calibri" w:cs="Arial"/>
                <w:b/>
                <w:bCs/>
                <w:color w:val="000000"/>
                <w:sz w:val="20"/>
              </w:rPr>
              <w:t>18</w:t>
            </w:r>
          </w:p>
        </w:tc>
      </w:tr>
      <w:tr w:rsidR="009819F9" w:rsidRPr="009819F9" w14:paraId="307F244A" w14:textId="77777777" w:rsidTr="006C6993">
        <w:trPr>
          <w:trHeight w:val="78"/>
        </w:trPr>
        <w:tc>
          <w:tcPr>
            <w:tcW w:w="2943" w:type="dxa"/>
          </w:tcPr>
          <w:p w14:paraId="73953F06" w14:textId="77777777" w:rsidR="009819F9" w:rsidRPr="009819F9" w:rsidRDefault="009819F9" w:rsidP="00950C48">
            <w:pPr>
              <w:keepNext/>
              <w:keepLines/>
              <w:autoSpaceDE w:val="0"/>
              <w:autoSpaceDN w:val="0"/>
              <w:adjustRightInd w:val="0"/>
              <w:spacing w:before="0" w:after="0"/>
              <w:rPr>
                <w:rFonts w:eastAsia="Calibri" w:cs="Arial"/>
                <w:color w:val="000000"/>
                <w:sz w:val="20"/>
              </w:rPr>
            </w:pPr>
            <w:r w:rsidRPr="009819F9">
              <w:rPr>
                <w:rFonts w:eastAsia="Calibri" w:cs="Arial"/>
                <w:color w:val="000000"/>
                <w:sz w:val="20"/>
              </w:rPr>
              <w:t xml:space="preserve">Time to response </w:t>
            </w:r>
          </w:p>
        </w:tc>
        <w:tc>
          <w:tcPr>
            <w:tcW w:w="2127" w:type="dxa"/>
          </w:tcPr>
          <w:p w14:paraId="3F9FBFB7" w14:textId="2E0656BF" w:rsidR="009819F9" w:rsidRPr="009819F9" w:rsidRDefault="009819F9" w:rsidP="00950C48">
            <w:pPr>
              <w:keepNext/>
              <w:keepLines/>
              <w:autoSpaceDE w:val="0"/>
              <w:autoSpaceDN w:val="0"/>
              <w:adjustRightInd w:val="0"/>
              <w:spacing w:before="0" w:after="0"/>
              <w:jc w:val="center"/>
              <w:rPr>
                <w:rFonts w:eastAsia="Calibri"/>
                <w:color w:val="000000"/>
                <w:sz w:val="20"/>
              </w:rPr>
            </w:pPr>
            <w:r w:rsidRPr="009819F9">
              <w:rPr>
                <w:rFonts w:eastAsia="Calibri"/>
                <w:color w:val="000000"/>
                <w:sz w:val="20"/>
              </w:rPr>
              <w:t>─</w:t>
            </w:r>
          </w:p>
        </w:tc>
        <w:tc>
          <w:tcPr>
            <w:tcW w:w="1984" w:type="dxa"/>
          </w:tcPr>
          <w:p w14:paraId="6E8AB71B" w14:textId="443A97AE" w:rsidR="009819F9" w:rsidRPr="009819F9" w:rsidRDefault="009819F9" w:rsidP="00950C48">
            <w:pPr>
              <w:keepNext/>
              <w:keepLines/>
              <w:autoSpaceDE w:val="0"/>
              <w:autoSpaceDN w:val="0"/>
              <w:adjustRightInd w:val="0"/>
              <w:spacing w:before="0" w:after="0"/>
              <w:jc w:val="center"/>
              <w:rPr>
                <w:rFonts w:eastAsia="Calibri"/>
                <w:color w:val="000000"/>
                <w:sz w:val="20"/>
              </w:rPr>
            </w:pPr>
            <w:r w:rsidRPr="009819F9">
              <w:rPr>
                <w:rFonts w:eastAsia="Calibri"/>
                <w:color w:val="000000"/>
                <w:sz w:val="20"/>
              </w:rPr>
              <w:t>─</w:t>
            </w:r>
          </w:p>
        </w:tc>
        <w:tc>
          <w:tcPr>
            <w:tcW w:w="1985" w:type="dxa"/>
          </w:tcPr>
          <w:p w14:paraId="5A9F68AA" w14:textId="16D9D431" w:rsidR="009819F9" w:rsidRPr="009819F9" w:rsidRDefault="009819F9" w:rsidP="00950C48">
            <w:pPr>
              <w:keepNext/>
              <w:keepLines/>
              <w:autoSpaceDE w:val="0"/>
              <w:autoSpaceDN w:val="0"/>
              <w:adjustRightInd w:val="0"/>
              <w:spacing w:before="0" w:after="0"/>
              <w:jc w:val="center"/>
              <w:rPr>
                <w:rFonts w:eastAsia="Calibri"/>
                <w:color w:val="000000"/>
                <w:sz w:val="20"/>
              </w:rPr>
            </w:pPr>
            <w:r w:rsidRPr="009819F9">
              <w:rPr>
                <w:rFonts w:eastAsia="Calibri"/>
                <w:color w:val="000000"/>
                <w:sz w:val="20"/>
              </w:rPr>
              <w:t>─</w:t>
            </w:r>
          </w:p>
        </w:tc>
      </w:tr>
      <w:tr w:rsidR="009819F9" w:rsidRPr="009819F9" w14:paraId="04A12EE0" w14:textId="77777777" w:rsidTr="006C6993">
        <w:trPr>
          <w:trHeight w:val="78"/>
        </w:trPr>
        <w:tc>
          <w:tcPr>
            <w:tcW w:w="2943" w:type="dxa"/>
          </w:tcPr>
          <w:p w14:paraId="189FFF41" w14:textId="77777777" w:rsidR="009819F9" w:rsidRPr="009819F9" w:rsidRDefault="009819F9" w:rsidP="00950C48">
            <w:pPr>
              <w:keepNext/>
              <w:keepLines/>
              <w:autoSpaceDE w:val="0"/>
              <w:autoSpaceDN w:val="0"/>
              <w:adjustRightInd w:val="0"/>
              <w:spacing w:before="0" w:after="0"/>
              <w:rPr>
                <w:rFonts w:eastAsia="Calibri" w:cs="Arial"/>
                <w:color w:val="000000"/>
                <w:sz w:val="20"/>
              </w:rPr>
            </w:pPr>
            <w:r w:rsidRPr="009819F9">
              <w:rPr>
                <w:rFonts w:eastAsia="Calibri" w:cs="Arial"/>
                <w:color w:val="000000"/>
                <w:sz w:val="20"/>
              </w:rPr>
              <w:t xml:space="preserve">Median (range) </w:t>
            </w:r>
          </w:p>
        </w:tc>
        <w:tc>
          <w:tcPr>
            <w:tcW w:w="2127" w:type="dxa"/>
          </w:tcPr>
          <w:p w14:paraId="4D102852" w14:textId="3DAE1772" w:rsidR="009819F9" w:rsidRPr="009819F9" w:rsidRDefault="009819F9" w:rsidP="00950C48">
            <w:pPr>
              <w:keepNext/>
              <w:keepLines/>
              <w:autoSpaceDE w:val="0"/>
              <w:autoSpaceDN w:val="0"/>
              <w:adjustRightInd w:val="0"/>
              <w:spacing w:before="0" w:after="0"/>
              <w:jc w:val="center"/>
              <w:rPr>
                <w:rFonts w:eastAsia="Calibri" w:cs="Arial"/>
                <w:color w:val="000000"/>
                <w:sz w:val="20"/>
              </w:rPr>
            </w:pPr>
            <w:r w:rsidRPr="009819F9">
              <w:rPr>
                <w:rFonts w:eastAsia="Calibri" w:cs="Arial"/>
                <w:color w:val="000000"/>
                <w:sz w:val="20"/>
              </w:rPr>
              <w:t xml:space="preserve">10 months </w:t>
            </w:r>
            <w:r w:rsidRPr="00C427C3">
              <w:rPr>
                <w:rFonts w:eastAsia="Calibri" w:cs="Arial"/>
                <w:color w:val="000000"/>
                <w:sz w:val="20"/>
                <w:vertAlign w:val="superscript"/>
              </w:rPr>
              <w:t>a</w:t>
            </w:r>
          </w:p>
        </w:tc>
        <w:tc>
          <w:tcPr>
            <w:tcW w:w="1984" w:type="dxa"/>
          </w:tcPr>
          <w:p w14:paraId="7FE7A51B" w14:textId="5AC63A5E" w:rsidR="009819F9" w:rsidRPr="009819F9" w:rsidRDefault="009819F9" w:rsidP="00950C48">
            <w:pPr>
              <w:keepNext/>
              <w:keepLines/>
              <w:autoSpaceDE w:val="0"/>
              <w:autoSpaceDN w:val="0"/>
              <w:adjustRightInd w:val="0"/>
              <w:spacing w:before="0" w:after="0"/>
              <w:jc w:val="center"/>
              <w:rPr>
                <w:rFonts w:eastAsia="Calibri"/>
                <w:color w:val="000000"/>
                <w:sz w:val="20"/>
              </w:rPr>
            </w:pPr>
            <w:r w:rsidRPr="009819F9">
              <w:rPr>
                <w:rFonts w:eastAsia="Calibri"/>
                <w:color w:val="000000"/>
                <w:sz w:val="20"/>
              </w:rPr>
              <w:t>─</w:t>
            </w:r>
          </w:p>
        </w:tc>
        <w:tc>
          <w:tcPr>
            <w:tcW w:w="1985" w:type="dxa"/>
          </w:tcPr>
          <w:p w14:paraId="74B5FC69" w14:textId="01BA0CB5" w:rsidR="009819F9" w:rsidRPr="009819F9" w:rsidRDefault="009819F9" w:rsidP="00950C48">
            <w:pPr>
              <w:keepNext/>
              <w:keepLines/>
              <w:autoSpaceDE w:val="0"/>
              <w:autoSpaceDN w:val="0"/>
              <w:adjustRightInd w:val="0"/>
              <w:spacing w:before="0" w:after="0"/>
              <w:jc w:val="center"/>
              <w:rPr>
                <w:rFonts w:eastAsia="Calibri"/>
                <w:color w:val="000000"/>
                <w:sz w:val="20"/>
              </w:rPr>
            </w:pPr>
            <w:r w:rsidRPr="009819F9">
              <w:rPr>
                <w:rFonts w:eastAsia="Calibri"/>
                <w:color w:val="000000"/>
                <w:sz w:val="20"/>
              </w:rPr>
              <w:t>─</w:t>
            </w:r>
          </w:p>
        </w:tc>
      </w:tr>
      <w:tr w:rsidR="009819F9" w:rsidRPr="009819F9" w14:paraId="3C1B4694" w14:textId="77777777" w:rsidTr="006C6993">
        <w:trPr>
          <w:trHeight w:val="78"/>
        </w:trPr>
        <w:tc>
          <w:tcPr>
            <w:tcW w:w="2943" w:type="dxa"/>
          </w:tcPr>
          <w:p w14:paraId="368FFC0D" w14:textId="77777777" w:rsidR="009819F9" w:rsidRPr="009819F9" w:rsidRDefault="009819F9" w:rsidP="00950C48">
            <w:pPr>
              <w:keepNext/>
              <w:keepLines/>
              <w:autoSpaceDE w:val="0"/>
              <w:autoSpaceDN w:val="0"/>
              <w:adjustRightInd w:val="0"/>
              <w:spacing w:before="0" w:after="0"/>
              <w:rPr>
                <w:rFonts w:eastAsia="Calibri" w:cs="Arial"/>
                <w:color w:val="000000"/>
                <w:sz w:val="20"/>
              </w:rPr>
            </w:pPr>
            <w:r w:rsidRPr="009819F9">
              <w:rPr>
                <w:rFonts w:eastAsia="Calibri" w:cs="Arial"/>
                <w:i/>
                <w:iCs/>
                <w:color w:val="000000"/>
                <w:sz w:val="20"/>
              </w:rPr>
              <w:t xml:space="preserve">≥ 90% response (range) </w:t>
            </w:r>
          </w:p>
        </w:tc>
        <w:tc>
          <w:tcPr>
            <w:tcW w:w="2127" w:type="dxa"/>
          </w:tcPr>
          <w:p w14:paraId="4CC54CCC" w14:textId="59862616" w:rsidR="009819F9" w:rsidRPr="009819F9" w:rsidRDefault="009819F9" w:rsidP="00950C48">
            <w:pPr>
              <w:keepNext/>
              <w:keepLines/>
              <w:autoSpaceDE w:val="0"/>
              <w:autoSpaceDN w:val="0"/>
              <w:adjustRightInd w:val="0"/>
              <w:spacing w:before="0" w:after="0"/>
              <w:jc w:val="center"/>
              <w:rPr>
                <w:rFonts w:eastAsia="Calibri"/>
                <w:color w:val="000000"/>
                <w:sz w:val="20"/>
              </w:rPr>
            </w:pPr>
            <w:r w:rsidRPr="009819F9">
              <w:rPr>
                <w:rFonts w:eastAsia="Calibri"/>
                <w:color w:val="000000"/>
                <w:sz w:val="20"/>
              </w:rPr>
              <w:t>─</w:t>
            </w:r>
          </w:p>
        </w:tc>
        <w:tc>
          <w:tcPr>
            <w:tcW w:w="1984" w:type="dxa"/>
          </w:tcPr>
          <w:p w14:paraId="4820124A" w14:textId="0A700BE4" w:rsidR="009819F9" w:rsidRPr="009819F9" w:rsidRDefault="009819F9" w:rsidP="00950C48">
            <w:pPr>
              <w:keepNext/>
              <w:keepLines/>
              <w:autoSpaceDE w:val="0"/>
              <w:autoSpaceDN w:val="0"/>
              <w:adjustRightInd w:val="0"/>
              <w:spacing w:before="0" w:after="0"/>
              <w:jc w:val="center"/>
              <w:rPr>
                <w:rFonts w:eastAsia="Calibri" w:cs="Arial"/>
                <w:color w:val="000000"/>
                <w:sz w:val="20"/>
              </w:rPr>
            </w:pPr>
            <w:r w:rsidRPr="009819F9">
              <w:rPr>
                <w:rFonts w:eastAsia="Calibri" w:cs="Arial"/>
                <w:color w:val="000000"/>
                <w:sz w:val="20"/>
              </w:rPr>
              <w:t>20 months (7,63)</w:t>
            </w:r>
          </w:p>
        </w:tc>
        <w:tc>
          <w:tcPr>
            <w:tcW w:w="1985" w:type="dxa"/>
          </w:tcPr>
          <w:p w14:paraId="116A751B" w14:textId="0784D18B" w:rsidR="009819F9" w:rsidRPr="009819F9" w:rsidRDefault="009819F9" w:rsidP="00950C48">
            <w:pPr>
              <w:keepNext/>
              <w:keepLines/>
              <w:autoSpaceDE w:val="0"/>
              <w:autoSpaceDN w:val="0"/>
              <w:adjustRightInd w:val="0"/>
              <w:spacing w:before="0" w:after="0"/>
              <w:jc w:val="center"/>
              <w:rPr>
                <w:rFonts w:eastAsia="Calibri"/>
                <w:color w:val="000000"/>
                <w:sz w:val="20"/>
              </w:rPr>
            </w:pPr>
            <w:r w:rsidRPr="009819F9">
              <w:rPr>
                <w:rFonts w:eastAsia="Calibri"/>
                <w:color w:val="000000"/>
                <w:sz w:val="20"/>
              </w:rPr>
              <w:t>─</w:t>
            </w:r>
          </w:p>
        </w:tc>
      </w:tr>
      <w:tr w:rsidR="009819F9" w:rsidRPr="009819F9" w14:paraId="703E729E" w14:textId="77777777" w:rsidTr="006C6993">
        <w:trPr>
          <w:trHeight w:val="79"/>
        </w:trPr>
        <w:tc>
          <w:tcPr>
            <w:tcW w:w="2943" w:type="dxa"/>
          </w:tcPr>
          <w:p w14:paraId="7D6F7753" w14:textId="77777777" w:rsidR="009819F9" w:rsidRPr="009819F9" w:rsidRDefault="009819F9" w:rsidP="00950C48">
            <w:pPr>
              <w:keepNext/>
              <w:keepLines/>
              <w:autoSpaceDE w:val="0"/>
              <w:autoSpaceDN w:val="0"/>
              <w:adjustRightInd w:val="0"/>
              <w:spacing w:before="0" w:after="0"/>
              <w:rPr>
                <w:rFonts w:eastAsia="Calibri" w:cs="Arial"/>
                <w:color w:val="000000"/>
                <w:sz w:val="20"/>
              </w:rPr>
            </w:pPr>
            <w:r w:rsidRPr="009819F9">
              <w:rPr>
                <w:rFonts w:eastAsia="Calibri" w:cs="Arial"/>
                <w:i/>
                <w:iCs/>
                <w:color w:val="000000"/>
                <w:sz w:val="20"/>
              </w:rPr>
              <w:t xml:space="preserve">≥ 50–90% response (range) </w:t>
            </w:r>
          </w:p>
        </w:tc>
        <w:tc>
          <w:tcPr>
            <w:tcW w:w="2127" w:type="dxa"/>
          </w:tcPr>
          <w:p w14:paraId="3841AA02" w14:textId="0D677F51" w:rsidR="009819F9" w:rsidRPr="009819F9" w:rsidRDefault="009819F9" w:rsidP="00950C48">
            <w:pPr>
              <w:keepNext/>
              <w:keepLines/>
              <w:autoSpaceDE w:val="0"/>
              <w:autoSpaceDN w:val="0"/>
              <w:adjustRightInd w:val="0"/>
              <w:spacing w:before="0" w:after="0"/>
              <w:jc w:val="center"/>
              <w:rPr>
                <w:rFonts w:eastAsia="Calibri"/>
                <w:color w:val="000000"/>
                <w:sz w:val="20"/>
              </w:rPr>
            </w:pPr>
            <w:r w:rsidRPr="009819F9">
              <w:rPr>
                <w:rFonts w:eastAsia="Calibri"/>
                <w:color w:val="000000"/>
                <w:sz w:val="20"/>
              </w:rPr>
              <w:t>─</w:t>
            </w:r>
          </w:p>
        </w:tc>
        <w:tc>
          <w:tcPr>
            <w:tcW w:w="1984" w:type="dxa"/>
          </w:tcPr>
          <w:p w14:paraId="4A23D622" w14:textId="568BF448" w:rsidR="009819F9" w:rsidRPr="009819F9" w:rsidRDefault="009819F9" w:rsidP="00950C48">
            <w:pPr>
              <w:keepNext/>
              <w:keepLines/>
              <w:autoSpaceDE w:val="0"/>
              <w:autoSpaceDN w:val="0"/>
              <w:adjustRightInd w:val="0"/>
              <w:spacing w:before="0" w:after="0"/>
              <w:jc w:val="center"/>
              <w:rPr>
                <w:rFonts w:eastAsia="Calibri" w:cs="Arial"/>
                <w:color w:val="000000"/>
                <w:sz w:val="20"/>
              </w:rPr>
            </w:pPr>
            <w:r w:rsidRPr="009819F9">
              <w:rPr>
                <w:rFonts w:eastAsia="Calibri" w:cs="Arial"/>
                <w:color w:val="000000"/>
                <w:sz w:val="20"/>
              </w:rPr>
              <w:t>7 months (4,29)</w:t>
            </w:r>
          </w:p>
        </w:tc>
        <w:tc>
          <w:tcPr>
            <w:tcW w:w="1985" w:type="dxa"/>
          </w:tcPr>
          <w:p w14:paraId="5BDAB429" w14:textId="52274E4A" w:rsidR="009819F9" w:rsidRPr="009819F9" w:rsidRDefault="009819F9" w:rsidP="00950C48">
            <w:pPr>
              <w:keepNext/>
              <w:keepLines/>
              <w:autoSpaceDE w:val="0"/>
              <w:autoSpaceDN w:val="0"/>
              <w:adjustRightInd w:val="0"/>
              <w:spacing w:before="0" w:after="0"/>
              <w:jc w:val="center"/>
              <w:rPr>
                <w:rFonts w:eastAsia="Calibri"/>
                <w:color w:val="000000"/>
                <w:sz w:val="20"/>
              </w:rPr>
            </w:pPr>
            <w:r w:rsidRPr="009819F9">
              <w:rPr>
                <w:rFonts w:eastAsia="Calibri"/>
                <w:color w:val="000000"/>
                <w:sz w:val="20"/>
              </w:rPr>
              <w:t>─</w:t>
            </w:r>
          </w:p>
        </w:tc>
      </w:tr>
      <w:tr w:rsidR="009819F9" w:rsidRPr="009819F9" w14:paraId="6AAF759F" w14:textId="77777777" w:rsidTr="006C6993">
        <w:trPr>
          <w:trHeight w:val="78"/>
        </w:trPr>
        <w:tc>
          <w:tcPr>
            <w:tcW w:w="2943" w:type="dxa"/>
          </w:tcPr>
          <w:p w14:paraId="26BFFC8E" w14:textId="77777777" w:rsidR="009819F9" w:rsidRPr="009819F9" w:rsidRDefault="009819F9" w:rsidP="00950C48">
            <w:pPr>
              <w:keepNext/>
              <w:keepLines/>
              <w:autoSpaceDE w:val="0"/>
              <w:autoSpaceDN w:val="0"/>
              <w:adjustRightInd w:val="0"/>
              <w:spacing w:before="0" w:after="0"/>
              <w:rPr>
                <w:rFonts w:eastAsia="Calibri" w:cs="Arial"/>
                <w:color w:val="000000"/>
                <w:sz w:val="20"/>
              </w:rPr>
            </w:pPr>
            <w:r w:rsidRPr="009819F9">
              <w:rPr>
                <w:rFonts w:eastAsia="Calibri" w:cs="Arial"/>
                <w:i/>
                <w:iCs/>
                <w:color w:val="000000"/>
                <w:sz w:val="20"/>
              </w:rPr>
              <w:t xml:space="preserve">≥ 25–50% response (range) </w:t>
            </w:r>
          </w:p>
        </w:tc>
        <w:tc>
          <w:tcPr>
            <w:tcW w:w="2127" w:type="dxa"/>
          </w:tcPr>
          <w:p w14:paraId="2E488F74" w14:textId="48F34872" w:rsidR="009819F9" w:rsidRPr="009819F9" w:rsidRDefault="009819F9" w:rsidP="00950C48">
            <w:pPr>
              <w:keepNext/>
              <w:keepLines/>
              <w:autoSpaceDE w:val="0"/>
              <w:autoSpaceDN w:val="0"/>
              <w:adjustRightInd w:val="0"/>
              <w:spacing w:before="0" w:after="0"/>
              <w:jc w:val="center"/>
              <w:rPr>
                <w:rFonts w:eastAsia="Calibri"/>
                <w:color w:val="000000"/>
                <w:sz w:val="20"/>
              </w:rPr>
            </w:pPr>
            <w:r w:rsidRPr="009819F9">
              <w:rPr>
                <w:rFonts w:eastAsia="Calibri"/>
                <w:color w:val="000000"/>
                <w:sz w:val="20"/>
              </w:rPr>
              <w:t>─</w:t>
            </w:r>
          </w:p>
        </w:tc>
        <w:tc>
          <w:tcPr>
            <w:tcW w:w="1984" w:type="dxa"/>
          </w:tcPr>
          <w:p w14:paraId="30B43400" w14:textId="382F15E8" w:rsidR="009819F9" w:rsidRPr="009819F9" w:rsidRDefault="009819F9" w:rsidP="00950C48">
            <w:pPr>
              <w:keepNext/>
              <w:keepLines/>
              <w:autoSpaceDE w:val="0"/>
              <w:autoSpaceDN w:val="0"/>
              <w:adjustRightInd w:val="0"/>
              <w:spacing w:before="0" w:after="0"/>
              <w:jc w:val="center"/>
              <w:rPr>
                <w:rFonts w:eastAsia="Calibri" w:cs="Arial"/>
                <w:color w:val="000000"/>
                <w:sz w:val="20"/>
              </w:rPr>
            </w:pPr>
            <w:r w:rsidRPr="009819F9">
              <w:rPr>
                <w:rFonts w:eastAsia="Calibri" w:cs="Arial"/>
                <w:color w:val="000000"/>
                <w:sz w:val="20"/>
              </w:rPr>
              <w:t>5 months (2,7)</w:t>
            </w:r>
          </w:p>
        </w:tc>
        <w:tc>
          <w:tcPr>
            <w:tcW w:w="1985" w:type="dxa"/>
          </w:tcPr>
          <w:p w14:paraId="0C3BBC32" w14:textId="01682C9E" w:rsidR="009819F9" w:rsidRPr="009819F9" w:rsidRDefault="009819F9" w:rsidP="00950C48">
            <w:pPr>
              <w:keepNext/>
              <w:keepLines/>
              <w:autoSpaceDE w:val="0"/>
              <w:autoSpaceDN w:val="0"/>
              <w:adjustRightInd w:val="0"/>
              <w:spacing w:before="0" w:after="0"/>
              <w:jc w:val="center"/>
              <w:rPr>
                <w:rFonts w:eastAsia="Calibri"/>
                <w:color w:val="000000"/>
                <w:sz w:val="20"/>
              </w:rPr>
            </w:pPr>
            <w:r w:rsidRPr="009819F9">
              <w:rPr>
                <w:rFonts w:eastAsia="Calibri"/>
                <w:color w:val="000000"/>
                <w:sz w:val="20"/>
              </w:rPr>
              <w:t>─</w:t>
            </w:r>
          </w:p>
        </w:tc>
      </w:tr>
      <w:tr w:rsidR="009819F9" w:rsidRPr="009819F9" w14:paraId="48D1D5D9" w14:textId="77777777" w:rsidTr="006C6993">
        <w:trPr>
          <w:trHeight w:val="78"/>
        </w:trPr>
        <w:tc>
          <w:tcPr>
            <w:tcW w:w="2943" w:type="dxa"/>
          </w:tcPr>
          <w:p w14:paraId="68403C16" w14:textId="77777777" w:rsidR="009819F9" w:rsidRPr="009819F9" w:rsidRDefault="009819F9" w:rsidP="00950C48">
            <w:pPr>
              <w:keepNext/>
              <w:keepLines/>
              <w:autoSpaceDE w:val="0"/>
              <w:autoSpaceDN w:val="0"/>
              <w:adjustRightInd w:val="0"/>
              <w:spacing w:before="0" w:after="0"/>
              <w:rPr>
                <w:rFonts w:eastAsia="Calibri" w:cs="Arial"/>
                <w:color w:val="000000"/>
                <w:sz w:val="20"/>
              </w:rPr>
            </w:pPr>
            <w:r w:rsidRPr="009819F9">
              <w:rPr>
                <w:rFonts w:eastAsia="Calibri" w:cs="Arial"/>
                <w:color w:val="000000"/>
                <w:sz w:val="20"/>
              </w:rPr>
              <w:t xml:space="preserve">Response duration n (%) </w:t>
            </w:r>
          </w:p>
        </w:tc>
        <w:tc>
          <w:tcPr>
            <w:tcW w:w="2127" w:type="dxa"/>
          </w:tcPr>
          <w:p w14:paraId="034E0458" w14:textId="148459E1" w:rsidR="009819F9" w:rsidRPr="009819F9" w:rsidRDefault="009819F9" w:rsidP="00950C48">
            <w:pPr>
              <w:keepNext/>
              <w:keepLines/>
              <w:autoSpaceDE w:val="0"/>
              <w:autoSpaceDN w:val="0"/>
              <w:adjustRightInd w:val="0"/>
              <w:spacing w:before="0" w:after="0"/>
              <w:jc w:val="center"/>
              <w:rPr>
                <w:rFonts w:eastAsia="Calibri"/>
                <w:color w:val="000000"/>
                <w:sz w:val="20"/>
              </w:rPr>
            </w:pPr>
            <w:r w:rsidRPr="009819F9">
              <w:rPr>
                <w:rFonts w:eastAsia="Calibri"/>
                <w:color w:val="000000"/>
                <w:sz w:val="20"/>
              </w:rPr>
              <w:t>─</w:t>
            </w:r>
          </w:p>
        </w:tc>
        <w:tc>
          <w:tcPr>
            <w:tcW w:w="1984" w:type="dxa"/>
          </w:tcPr>
          <w:p w14:paraId="63094A1B" w14:textId="3478D439" w:rsidR="009819F9" w:rsidRPr="009819F9" w:rsidRDefault="009819F9" w:rsidP="00950C48">
            <w:pPr>
              <w:keepNext/>
              <w:keepLines/>
              <w:autoSpaceDE w:val="0"/>
              <w:autoSpaceDN w:val="0"/>
              <w:adjustRightInd w:val="0"/>
              <w:spacing w:before="0" w:after="0"/>
              <w:jc w:val="center"/>
              <w:rPr>
                <w:rFonts w:eastAsia="Calibri"/>
                <w:color w:val="000000"/>
                <w:sz w:val="20"/>
              </w:rPr>
            </w:pPr>
            <w:r w:rsidRPr="009819F9">
              <w:rPr>
                <w:rFonts w:eastAsia="Calibri"/>
                <w:color w:val="000000"/>
                <w:sz w:val="20"/>
              </w:rPr>
              <w:t>─</w:t>
            </w:r>
          </w:p>
        </w:tc>
        <w:tc>
          <w:tcPr>
            <w:tcW w:w="1985" w:type="dxa"/>
          </w:tcPr>
          <w:p w14:paraId="766CD91B" w14:textId="1A7258A0" w:rsidR="009819F9" w:rsidRPr="009819F9" w:rsidRDefault="009819F9" w:rsidP="00950C48">
            <w:pPr>
              <w:keepNext/>
              <w:keepLines/>
              <w:autoSpaceDE w:val="0"/>
              <w:autoSpaceDN w:val="0"/>
              <w:adjustRightInd w:val="0"/>
              <w:spacing w:before="0" w:after="0"/>
              <w:jc w:val="center"/>
              <w:rPr>
                <w:rFonts w:eastAsia="Calibri"/>
                <w:color w:val="000000"/>
                <w:sz w:val="20"/>
              </w:rPr>
            </w:pPr>
            <w:r w:rsidRPr="009819F9">
              <w:rPr>
                <w:rFonts w:eastAsia="Calibri"/>
                <w:color w:val="000000"/>
                <w:sz w:val="20"/>
              </w:rPr>
              <w:t>─</w:t>
            </w:r>
          </w:p>
        </w:tc>
      </w:tr>
      <w:tr w:rsidR="009819F9" w:rsidRPr="009819F9" w14:paraId="05AE3677" w14:textId="77777777" w:rsidTr="006C6993">
        <w:trPr>
          <w:trHeight w:val="79"/>
        </w:trPr>
        <w:tc>
          <w:tcPr>
            <w:tcW w:w="2943" w:type="dxa"/>
          </w:tcPr>
          <w:p w14:paraId="3505B52F" w14:textId="77777777" w:rsidR="009819F9" w:rsidRPr="009819F9" w:rsidRDefault="009819F9" w:rsidP="00950C48">
            <w:pPr>
              <w:keepNext/>
              <w:keepLines/>
              <w:autoSpaceDE w:val="0"/>
              <w:autoSpaceDN w:val="0"/>
              <w:adjustRightInd w:val="0"/>
              <w:spacing w:before="0" w:after="0"/>
              <w:rPr>
                <w:rFonts w:eastAsia="Calibri" w:cs="Arial"/>
                <w:color w:val="000000"/>
                <w:sz w:val="20"/>
              </w:rPr>
            </w:pPr>
            <w:r w:rsidRPr="009819F9">
              <w:rPr>
                <w:rFonts w:eastAsia="Calibri" w:cs="Arial"/>
                <w:color w:val="000000"/>
                <w:sz w:val="20"/>
              </w:rPr>
              <w:t xml:space="preserve">Median </w:t>
            </w:r>
          </w:p>
        </w:tc>
        <w:tc>
          <w:tcPr>
            <w:tcW w:w="2127" w:type="dxa"/>
          </w:tcPr>
          <w:p w14:paraId="37048D43" w14:textId="2FBEC004" w:rsidR="009819F9" w:rsidRPr="009819F9" w:rsidRDefault="009819F9" w:rsidP="00950C48">
            <w:pPr>
              <w:keepNext/>
              <w:keepLines/>
              <w:autoSpaceDE w:val="0"/>
              <w:autoSpaceDN w:val="0"/>
              <w:adjustRightInd w:val="0"/>
              <w:spacing w:before="0" w:after="0"/>
              <w:jc w:val="center"/>
              <w:rPr>
                <w:rFonts w:eastAsia="Calibri"/>
                <w:color w:val="000000"/>
                <w:sz w:val="20"/>
              </w:rPr>
            </w:pPr>
            <w:r w:rsidRPr="009819F9">
              <w:rPr>
                <w:rFonts w:eastAsia="Calibri"/>
                <w:color w:val="000000"/>
                <w:sz w:val="20"/>
              </w:rPr>
              <w:t>─</w:t>
            </w:r>
          </w:p>
        </w:tc>
        <w:tc>
          <w:tcPr>
            <w:tcW w:w="1984" w:type="dxa"/>
          </w:tcPr>
          <w:p w14:paraId="44AC1E3A" w14:textId="43D91908" w:rsidR="009819F9" w:rsidRPr="009819F9" w:rsidRDefault="009819F9" w:rsidP="00950C48">
            <w:pPr>
              <w:keepNext/>
              <w:keepLines/>
              <w:autoSpaceDE w:val="0"/>
              <w:autoSpaceDN w:val="0"/>
              <w:adjustRightInd w:val="0"/>
              <w:spacing w:before="0" w:after="0"/>
              <w:jc w:val="center"/>
              <w:rPr>
                <w:rFonts w:eastAsia="Calibri"/>
                <w:color w:val="000000"/>
                <w:sz w:val="20"/>
              </w:rPr>
            </w:pPr>
            <w:r w:rsidRPr="009819F9">
              <w:rPr>
                <w:rFonts w:eastAsia="Calibri"/>
                <w:color w:val="000000"/>
                <w:sz w:val="20"/>
              </w:rPr>
              <w:t>─</w:t>
            </w:r>
          </w:p>
        </w:tc>
        <w:tc>
          <w:tcPr>
            <w:tcW w:w="1985" w:type="dxa"/>
          </w:tcPr>
          <w:p w14:paraId="1A107D93" w14:textId="7AA2133E" w:rsidR="009819F9" w:rsidRPr="009819F9" w:rsidRDefault="009819F9" w:rsidP="00950C48">
            <w:pPr>
              <w:keepNext/>
              <w:keepLines/>
              <w:autoSpaceDE w:val="0"/>
              <w:autoSpaceDN w:val="0"/>
              <w:adjustRightInd w:val="0"/>
              <w:spacing w:before="0" w:after="0"/>
              <w:jc w:val="center"/>
              <w:rPr>
                <w:rFonts w:eastAsia="Calibri" w:cs="Arial"/>
                <w:color w:val="000000"/>
                <w:sz w:val="20"/>
              </w:rPr>
            </w:pPr>
            <w:r w:rsidRPr="009819F9">
              <w:rPr>
                <w:rFonts w:eastAsia="Calibri" w:cs="Arial"/>
                <w:color w:val="000000"/>
                <w:sz w:val="20"/>
              </w:rPr>
              <w:t>29 ± 24 months</w:t>
            </w:r>
          </w:p>
        </w:tc>
      </w:tr>
      <w:tr w:rsidR="009819F9" w:rsidRPr="009819F9" w14:paraId="28EB391B" w14:textId="77777777" w:rsidTr="006C6993">
        <w:trPr>
          <w:trHeight w:val="78"/>
        </w:trPr>
        <w:tc>
          <w:tcPr>
            <w:tcW w:w="2943" w:type="dxa"/>
          </w:tcPr>
          <w:p w14:paraId="076C2057" w14:textId="77777777" w:rsidR="009819F9" w:rsidRPr="009819F9" w:rsidRDefault="009819F9" w:rsidP="00950C48">
            <w:pPr>
              <w:keepNext/>
              <w:keepLines/>
              <w:autoSpaceDE w:val="0"/>
              <w:autoSpaceDN w:val="0"/>
              <w:adjustRightInd w:val="0"/>
              <w:spacing w:before="0" w:after="0"/>
              <w:rPr>
                <w:rFonts w:eastAsia="Calibri" w:cs="Arial"/>
                <w:color w:val="000000"/>
                <w:sz w:val="20"/>
              </w:rPr>
            </w:pPr>
            <w:r w:rsidRPr="009819F9">
              <w:rPr>
                <w:rFonts w:eastAsia="Calibri" w:cs="Arial"/>
                <w:color w:val="000000"/>
                <w:sz w:val="20"/>
              </w:rPr>
              <w:t xml:space="preserve">Overall response rate n (%) </w:t>
            </w:r>
          </w:p>
        </w:tc>
        <w:tc>
          <w:tcPr>
            <w:tcW w:w="2127" w:type="dxa"/>
          </w:tcPr>
          <w:p w14:paraId="5A216A6B" w14:textId="36C9371F" w:rsidR="009819F9" w:rsidRPr="009819F9" w:rsidRDefault="009819F9" w:rsidP="00950C48">
            <w:pPr>
              <w:keepNext/>
              <w:keepLines/>
              <w:autoSpaceDE w:val="0"/>
              <w:autoSpaceDN w:val="0"/>
              <w:adjustRightInd w:val="0"/>
              <w:spacing w:before="0" w:after="0"/>
              <w:jc w:val="center"/>
              <w:rPr>
                <w:rFonts w:eastAsia="Calibri" w:cs="Arial"/>
                <w:color w:val="000000"/>
                <w:sz w:val="20"/>
              </w:rPr>
            </w:pPr>
            <w:r w:rsidRPr="009819F9">
              <w:rPr>
                <w:rFonts w:eastAsia="Calibri" w:cs="Arial"/>
                <w:color w:val="000000"/>
                <w:sz w:val="20"/>
              </w:rPr>
              <w:t xml:space="preserve">8 </w:t>
            </w:r>
            <w:proofErr w:type="spellStart"/>
            <w:r w:rsidRPr="00C427C3">
              <w:rPr>
                <w:rFonts w:eastAsia="Calibri" w:cs="Arial"/>
                <w:color w:val="000000"/>
                <w:sz w:val="20"/>
                <w:vertAlign w:val="superscript"/>
              </w:rPr>
              <w:t>b</w:t>
            </w:r>
            <w:proofErr w:type="gramStart"/>
            <w:r w:rsidRPr="00C427C3">
              <w:rPr>
                <w:rFonts w:eastAsia="Calibri" w:cs="Arial"/>
                <w:color w:val="000000"/>
                <w:sz w:val="20"/>
                <w:vertAlign w:val="superscript"/>
              </w:rPr>
              <w:t>,c</w:t>
            </w:r>
            <w:proofErr w:type="spellEnd"/>
            <w:proofErr w:type="gramEnd"/>
            <w:r w:rsidRPr="009819F9">
              <w:rPr>
                <w:rFonts w:eastAsia="Calibri" w:cs="Arial"/>
                <w:color w:val="000000"/>
                <w:sz w:val="20"/>
              </w:rPr>
              <w:t xml:space="preserve"> (62%)</w:t>
            </w:r>
          </w:p>
        </w:tc>
        <w:tc>
          <w:tcPr>
            <w:tcW w:w="1984" w:type="dxa"/>
          </w:tcPr>
          <w:p w14:paraId="4EFC6948" w14:textId="60547501" w:rsidR="009819F9" w:rsidRPr="009819F9" w:rsidRDefault="009819F9" w:rsidP="00950C48">
            <w:pPr>
              <w:keepNext/>
              <w:keepLines/>
              <w:autoSpaceDE w:val="0"/>
              <w:autoSpaceDN w:val="0"/>
              <w:adjustRightInd w:val="0"/>
              <w:spacing w:before="0" w:after="0"/>
              <w:jc w:val="center"/>
              <w:rPr>
                <w:rFonts w:eastAsia="Calibri" w:cs="Arial"/>
                <w:color w:val="000000"/>
                <w:sz w:val="20"/>
              </w:rPr>
            </w:pPr>
            <w:r w:rsidRPr="009819F9">
              <w:rPr>
                <w:rFonts w:eastAsia="Calibri" w:cs="Arial"/>
                <w:color w:val="000000"/>
                <w:sz w:val="20"/>
              </w:rPr>
              <w:t>29 (74%)</w:t>
            </w:r>
          </w:p>
        </w:tc>
        <w:tc>
          <w:tcPr>
            <w:tcW w:w="1985" w:type="dxa"/>
          </w:tcPr>
          <w:p w14:paraId="445FC3E6" w14:textId="231991EA" w:rsidR="009819F9" w:rsidRPr="009819F9" w:rsidRDefault="009819F9" w:rsidP="00950C48">
            <w:pPr>
              <w:keepNext/>
              <w:keepLines/>
              <w:autoSpaceDE w:val="0"/>
              <w:autoSpaceDN w:val="0"/>
              <w:adjustRightInd w:val="0"/>
              <w:spacing w:before="0" w:after="0"/>
              <w:jc w:val="center"/>
              <w:rPr>
                <w:rFonts w:eastAsia="Calibri" w:cs="Arial"/>
                <w:color w:val="000000"/>
                <w:sz w:val="20"/>
              </w:rPr>
            </w:pPr>
            <w:r w:rsidRPr="009819F9">
              <w:rPr>
                <w:rFonts w:eastAsia="Calibri" w:cs="Arial"/>
                <w:color w:val="000000"/>
                <w:sz w:val="20"/>
              </w:rPr>
              <w:t>11 (61%)</w:t>
            </w:r>
          </w:p>
        </w:tc>
      </w:tr>
      <w:tr w:rsidR="009819F9" w:rsidRPr="009819F9" w14:paraId="1B74CEA6" w14:textId="77777777" w:rsidTr="006C6993">
        <w:trPr>
          <w:trHeight w:val="78"/>
        </w:trPr>
        <w:tc>
          <w:tcPr>
            <w:tcW w:w="2943" w:type="dxa"/>
          </w:tcPr>
          <w:p w14:paraId="62FA7F86" w14:textId="77777777" w:rsidR="009819F9" w:rsidRPr="009819F9" w:rsidRDefault="009819F9" w:rsidP="00950C48">
            <w:pPr>
              <w:keepNext/>
              <w:keepLines/>
              <w:autoSpaceDE w:val="0"/>
              <w:autoSpaceDN w:val="0"/>
              <w:adjustRightInd w:val="0"/>
              <w:spacing w:before="0" w:after="0"/>
              <w:rPr>
                <w:rFonts w:eastAsia="Calibri" w:cs="Arial"/>
                <w:color w:val="000000"/>
                <w:sz w:val="20"/>
              </w:rPr>
            </w:pPr>
            <w:r w:rsidRPr="009819F9">
              <w:rPr>
                <w:rFonts w:eastAsia="Calibri" w:cs="Arial"/>
                <w:color w:val="000000"/>
                <w:sz w:val="20"/>
              </w:rPr>
              <w:t xml:space="preserve">Complete response n (%) </w:t>
            </w:r>
          </w:p>
        </w:tc>
        <w:tc>
          <w:tcPr>
            <w:tcW w:w="2127" w:type="dxa"/>
          </w:tcPr>
          <w:p w14:paraId="3EFB12CB" w14:textId="26FF7CBA" w:rsidR="009819F9" w:rsidRPr="009819F9" w:rsidRDefault="009819F9" w:rsidP="00950C48">
            <w:pPr>
              <w:keepNext/>
              <w:keepLines/>
              <w:autoSpaceDE w:val="0"/>
              <w:autoSpaceDN w:val="0"/>
              <w:adjustRightInd w:val="0"/>
              <w:spacing w:before="0" w:after="0"/>
              <w:jc w:val="center"/>
              <w:rPr>
                <w:rFonts w:eastAsia="Calibri" w:cs="Arial"/>
                <w:color w:val="000000"/>
                <w:sz w:val="20"/>
              </w:rPr>
            </w:pPr>
            <w:r w:rsidRPr="009819F9">
              <w:rPr>
                <w:rFonts w:eastAsia="Calibri" w:cs="Arial"/>
                <w:color w:val="000000"/>
                <w:sz w:val="20"/>
              </w:rPr>
              <w:t>2 (15%)</w:t>
            </w:r>
          </w:p>
        </w:tc>
        <w:tc>
          <w:tcPr>
            <w:tcW w:w="1984" w:type="dxa"/>
          </w:tcPr>
          <w:p w14:paraId="410CCACA" w14:textId="3260A052" w:rsidR="009819F9" w:rsidRPr="009819F9" w:rsidRDefault="009819F9" w:rsidP="00950C48">
            <w:pPr>
              <w:keepNext/>
              <w:keepLines/>
              <w:autoSpaceDE w:val="0"/>
              <w:autoSpaceDN w:val="0"/>
              <w:adjustRightInd w:val="0"/>
              <w:spacing w:before="0" w:after="0"/>
              <w:jc w:val="center"/>
              <w:rPr>
                <w:rFonts w:eastAsia="Calibri" w:cs="Arial"/>
                <w:color w:val="000000"/>
                <w:sz w:val="20"/>
              </w:rPr>
            </w:pPr>
            <w:r w:rsidRPr="009819F9">
              <w:rPr>
                <w:rFonts w:eastAsia="Calibri" w:cs="Arial"/>
                <w:color w:val="000000"/>
                <w:sz w:val="20"/>
              </w:rPr>
              <w:t>16 (41%)</w:t>
            </w:r>
          </w:p>
        </w:tc>
        <w:tc>
          <w:tcPr>
            <w:tcW w:w="1985" w:type="dxa"/>
          </w:tcPr>
          <w:p w14:paraId="22CC8771" w14:textId="3FF33ED5" w:rsidR="009819F9" w:rsidRPr="009819F9" w:rsidRDefault="009819F9" w:rsidP="00950C48">
            <w:pPr>
              <w:keepNext/>
              <w:keepLines/>
              <w:autoSpaceDE w:val="0"/>
              <w:autoSpaceDN w:val="0"/>
              <w:adjustRightInd w:val="0"/>
              <w:spacing w:before="0" w:after="0"/>
              <w:jc w:val="center"/>
              <w:rPr>
                <w:rFonts w:eastAsia="Calibri" w:cs="Arial"/>
                <w:color w:val="000000"/>
                <w:sz w:val="20"/>
              </w:rPr>
            </w:pPr>
            <w:r w:rsidRPr="009819F9">
              <w:rPr>
                <w:rFonts w:eastAsia="Calibri" w:cs="Arial"/>
                <w:color w:val="000000"/>
                <w:sz w:val="20"/>
              </w:rPr>
              <w:t>5 (28%)</w:t>
            </w:r>
          </w:p>
        </w:tc>
      </w:tr>
      <w:tr w:rsidR="009819F9" w:rsidRPr="009819F9" w14:paraId="1F67AD86" w14:textId="77777777" w:rsidTr="006C6993">
        <w:trPr>
          <w:trHeight w:val="78"/>
        </w:trPr>
        <w:tc>
          <w:tcPr>
            <w:tcW w:w="2943" w:type="dxa"/>
          </w:tcPr>
          <w:p w14:paraId="6B286C8D" w14:textId="77777777" w:rsidR="009819F9" w:rsidRPr="009819F9" w:rsidRDefault="009819F9" w:rsidP="00950C48">
            <w:pPr>
              <w:keepNext/>
              <w:keepLines/>
              <w:autoSpaceDE w:val="0"/>
              <w:autoSpaceDN w:val="0"/>
              <w:adjustRightInd w:val="0"/>
              <w:spacing w:before="0" w:after="0"/>
              <w:rPr>
                <w:rFonts w:eastAsia="Calibri" w:cs="Arial"/>
                <w:color w:val="000000"/>
                <w:sz w:val="20"/>
              </w:rPr>
            </w:pPr>
            <w:r w:rsidRPr="009819F9">
              <w:rPr>
                <w:rFonts w:eastAsia="Calibri" w:cs="Arial"/>
                <w:color w:val="000000"/>
                <w:sz w:val="20"/>
              </w:rPr>
              <w:t xml:space="preserve">Partial response n (%) </w:t>
            </w:r>
          </w:p>
        </w:tc>
        <w:tc>
          <w:tcPr>
            <w:tcW w:w="2127" w:type="dxa"/>
          </w:tcPr>
          <w:p w14:paraId="08D94A8C" w14:textId="71BE516F" w:rsidR="009819F9" w:rsidRPr="009819F9" w:rsidRDefault="009819F9" w:rsidP="00950C48">
            <w:pPr>
              <w:keepNext/>
              <w:keepLines/>
              <w:autoSpaceDE w:val="0"/>
              <w:autoSpaceDN w:val="0"/>
              <w:adjustRightInd w:val="0"/>
              <w:spacing w:before="0" w:after="0"/>
              <w:jc w:val="center"/>
              <w:rPr>
                <w:rFonts w:eastAsia="Calibri" w:cs="Arial"/>
                <w:color w:val="000000"/>
                <w:sz w:val="20"/>
              </w:rPr>
            </w:pPr>
            <w:r w:rsidRPr="009819F9">
              <w:rPr>
                <w:rFonts w:eastAsia="Calibri" w:cs="Arial"/>
                <w:color w:val="000000"/>
                <w:sz w:val="20"/>
              </w:rPr>
              <w:t>6 (46%)</w:t>
            </w:r>
          </w:p>
        </w:tc>
        <w:tc>
          <w:tcPr>
            <w:tcW w:w="1984" w:type="dxa"/>
          </w:tcPr>
          <w:p w14:paraId="130D90F0" w14:textId="2D470A48" w:rsidR="009819F9" w:rsidRPr="009819F9" w:rsidRDefault="009819F9" w:rsidP="00950C48">
            <w:pPr>
              <w:keepNext/>
              <w:keepLines/>
              <w:autoSpaceDE w:val="0"/>
              <w:autoSpaceDN w:val="0"/>
              <w:adjustRightInd w:val="0"/>
              <w:spacing w:before="0" w:after="0"/>
              <w:jc w:val="center"/>
              <w:rPr>
                <w:rFonts w:eastAsia="Calibri" w:cs="Arial"/>
                <w:color w:val="000000"/>
                <w:sz w:val="20"/>
              </w:rPr>
            </w:pPr>
            <w:r w:rsidRPr="009819F9">
              <w:rPr>
                <w:rFonts w:eastAsia="Calibri" w:cs="Arial"/>
                <w:color w:val="000000"/>
                <w:sz w:val="20"/>
              </w:rPr>
              <w:t>13 (33%)</w:t>
            </w:r>
          </w:p>
        </w:tc>
        <w:tc>
          <w:tcPr>
            <w:tcW w:w="1985" w:type="dxa"/>
          </w:tcPr>
          <w:p w14:paraId="0A7E03E2" w14:textId="196248D8" w:rsidR="009819F9" w:rsidRPr="009819F9" w:rsidRDefault="009819F9" w:rsidP="00950C48">
            <w:pPr>
              <w:keepNext/>
              <w:keepLines/>
              <w:autoSpaceDE w:val="0"/>
              <w:autoSpaceDN w:val="0"/>
              <w:adjustRightInd w:val="0"/>
              <w:spacing w:before="0" w:after="0"/>
              <w:jc w:val="center"/>
              <w:rPr>
                <w:rFonts w:eastAsia="Calibri" w:cs="Arial"/>
                <w:color w:val="000000"/>
                <w:sz w:val="20"/>
              </w:rPr>
            </w:pPr>
            <w:r w:rsidRPr="009819F9">
              <w:rPr>
                <w:rFonts w:eastAsia="Calibri" w:cs="Arial"/>
                <w:color w:val="000000"/>
                <w:sz w:val="20"/>
              </w:rPr>
              <w:t>6 (33%)</w:t>
            </w:r>
          </w:p>
        </w:tc>
      </w:tr>
      <w:tr w:rsidR="009819F9" w:rsidRPr="009819F9" w14:paraId="6314F5D8" w14:textId="77777777" w:rsidTr="006C6993">
        <w:trPr>
          <w:trHeight w:val="78"/>
        </w:trPr>
        <w:tc>
          <w:tcPr>
            <w:tcW w:w="2943" w:type="dxa"/>
          </w:tcPr>
          <w:p w14:paraId="6778BEE6" w14:textId="77777777" w:rsidR="009819F9" w:rsidRPr="009819F9" w:rsidRDefault="009819F9" w:rsidP="00950C48">
            <w:pPr>
              <w:keepNext/>
              <w:keepLines/>
              <w:autoSpaceDE w:val="0"/>
              <w:autoSpaceDN w:val="0"/>
              <w:adjustRightInd w:val="0"/>
              <w:spacing w:before="0" w:after="0"/>
              <w:rPr>
                <w:rFonts w:eastAsia="Calibri" w:cs="Arial"/>
                <w:color w:val="000000"/>
                <w:sz w:val="20"/>
              </w:rPr>
            </w:pPr>
            <w:r w:rsidRPr="009819F9">
              <w:rPr>
                <w:rFonts w:eastAsia="Calibri" w:cs="Arial"/>
                <w:color w:val="000000"/>
                <w:sz w:val="20"/>
              </w:rPr>
              <w:t xml:space="preserve">Non-responders n (%) </w:t>
            </w:r>
          </w:p>
        </w:tc>
        <w:tc>
          <w:tcPr>
            <w:tcW w:w="2127" w:type="dxa"/>
          </w:tcPr>
          <w:p w14:paraId="1E4079DD" w14:textId="6A915464" w:rsidR="009819F9" w:rsidRPr="009819F9" w:rsidRDefault="009819F9" w:rsidP="00950C48">
            <w:pPr>
              <w:keepNext/>
              <w:keepLines/>
              <w:autoSpaceDE w:val="0"/>
              <w:autoSpaceDN w:val="0"/>
              <w:adjustRightInd w:val="0"/>
              <w:spacing w:before="0" w:after="0"/>
              <w:jc w:val="center"/>
              <w:rPr>
                <w:rFonts w:eastAsia="Calibri" w:cs="Arial"/>
                <w:color w:val="000000"/>
                <w:sz w:val="20"/>
              </w:rPr>
            </w:pPr>
            <w:r w:rsidRPr="009819F9">
              <w:rPr>
                <w:rFonts w:eastAsia="Calibri" w:cs="Arial"/>
                <w:color w:val="000000"/>
                <w:sz w:val="20"/>
              </w:rPr>
              <w:t>5 (38%)</w:t>
            </w:r>
          </w:p>
        </w:tc>
        <w:tc>
          <w:tcPr>
            <w:tcW w:w="1984" w:type="dxa"/>
          </w:tcPr>
          <w:p w14:paraId="2A8FD3E0" w14:textId="645F7CEF" w:rsidR="009819F9" w:rsidRPr="009819F9" w:rsidRDefault="009819F9" w:rsidP="00950C48">
            <w:pPr>
              <w:keepNext/>
              <w:keepLines/>
              <w:autoSpaceDE w:val="0"/>
              <w:autoSpaceDN w:val="0"/>
              <w:adjustRightInd w:val="0"/>
              <w:spacing w:before="0" w:after="0"/>
              <w:jc w:val="center"/>
              <w:rPr>
                <w:rFonts w:eastAsia="Calibri" w:cs="Arial"/>
                <w:color w:val="000000"/>
                <w:sz w:val="20"/>
              </w:rPr>
            </w:pPr>
            <w:r w:rsidRPr="009819F9">
              <w:rPr>
                <w:rFonts w:eastAsia="Calibri" w:cs="Arial"/>
                <w:color w:val="000000"/>
                <w:sz w:val="20"/>
              </w:rPr>
              <w:t>10 (26%)</w:t>
            </w:r>
          </w:p>
        </w:tc>
        <w:tc>
          <w:tcPr>
            <w:tcW w:w="1985" w:type="dxa"/>
          </w:tcPr>
          <w:p w14:paraId="6AC001E1" w14:textId="3E48B949" w:rsidR="009819F9" w:rsidRPr="009819F9" w:rsidRDefault="009819F9" w:rsidP="00950C48">
            <w:pPr>
              <w:keepNext/>
              <w:keepLines/>
              <w:autoSpaceDE w:val="0"/>
              <w:autoSpaceDN w:val="0"/>
              <w:adjustRightInd w:val="0"/>
              <w:spacing w:before="0" w:after="0"/>
              <w:jc w:val="center"/>
              <w:rPr>
                <w:rFonts w:eastAsia="Calibri" w:cs="Arial"/>
                <w:color w:val="000000"/>
                <w:sz w:val="20"/>
              </w:rPr>
            </w:pPr>
            <w:r w:rsidRPr="009819F9">
              <w:rPr>
                <w:rFonts w:eastAsia="Calibri" w:cs="Arial"/>
                <w:color w:val="000000"/>
                <w:sz w:val="20"/>
              </w:rPr>
              <w:t>7 (39%)</w:t>
            </w:r>
          </w:p>
        </w:tc>
      </w:tr>
    </w:tbl>
    <w:p w14:paraId="287DCCDE" w14:textId="77777777" w:rsidR="00CF42FA" w:rsidRPr="00CF42FA" w:rsidRDefault="00CF42FA" w:rsidP="00950C48">
      <w:pPr>
        <w:pStyle w:val="Default"/>
        <w:keepNext/>
        <w:keepLines/>
        <w:rPr>
          <w:rFonts w:ascii="Arial Narrow" w:hAnsi="Arial Narrow"/>
          <w:sz w:val="20"/>
          <w:szCs w:val="20"/>
        </w:rPr>
      </w:pPr>
      <w:proofErr w:type="spellStart"/>
      <w:proofErr w:type="gramStart"/>
      <w:r w:rsidRPr="00CF42FA">
        <w:rPr>
          <w:rFonts w:ascii="Arial Narrow" w:hAnsi="Arial Narrow"/>
          <w:sz w:val="20"/>
          <w:szCs w:val="20"/>
        </w:rPr>
        <w:t>a</w:t>
      </w:r>
      <w:proofErr w:type="spellEnd"/>
      <w:proofErr w:type="gramEnd"/>
      <w:r w:rsidRPr="00CF42FA">
        <w:rPr>
          <w:rFonts w:ascii="Arial Narrow" w:hAnsi="Arial Narrow"/>
          <w:sz w:val="20"/>
          <w:szCs w:val="20"/>
        </w:rPr>
        <w:t xml:space="preserve"> After 12 months, 60% of patients continued to respond to ECP treatment</w:t>
      </w:r>
    </w:p>
    <w:p w14:paraId="7D29237B" w14:textId="77777777" w:rsidR="00CF42FA" w:rsidRPr="00CF42FA" w:rsidRDefault="00CF42FA" w:rsidP="00950C48">
      <w:pPr>
        <w:pStyle w:val="Default"/>
        <w:keepNext/>
        <w:keepLines/>
        <w:rPr>
          <w:rFonts w:ascii="Arial Narrow" w:hAnsi="Arial Narrow"/>
          <w:sz w:val="20"/>
          <w:szCs w:val="20"/>
        </w:rPr>
      </w:pPr>
      <w:proofErr w:type="gramStart"/>
      <w:r w:rsidRPr="00CF42FA">
        <w:rPr>
          <w:rFonts w:ascii="Arial Narrow" w:hAnsi="Arial Narrow"/>
          <w:sz w:val="20"/>
          <w:szCs w:val="20"/>
        </w:rPr>
        <w:t>b</w:t>
      </w:r>
      <w:proofErr w:type="gramEnd"/>
      <w:r w:rsidRPr="00CF42FA">
        <w:rPr>
          <w:rFonts w:ascii="Arial Narrow" w:hAnsi="Arial Narrow"/>
          <w:sz w:val="20"/>
          <w:szCs w:val="20"/>
        </w:rPr>
        <w:t xml:space="preserve"> Of the patients that responded (complete and partial), 88% were on concomitant systematic treatments</w:t>
      </w:r>
    </w:p>
    <w:p w14:paraId="42814279" w14:textId="01CD0D65" w:rsidR="009819F9" w:rsidRPr="0097460D" w:rsidRDefault="00CF42FA" w:rsidP="0097460D">
      <w:pPr>
        <w:pStyle w:val="Default"/>
        <w:keepNext/>
        <w:keepLines/>
        <w:rPr>
          <w:rFonts w:ascii="Arial Narrow" w:eastAsiaTheme="minorHAnsi" w:hAnsi="Arial Narrow"/>
          <w:sz w:val="20"/>
          <w:szCs w:val="20"/>
        </w:rPr>
      </w:pPr>
      <w:proofErr w:type="gramStart"/>
      <w:r w:rsidRPr="00CF42FA">
        <w:rPr>
          <w:rFonts w:ascii="Arial Narrow" w:hAnsi="Arial Narrow"/>
          <w:sz w:val="20"/>
          <w:szCs w:val="20"/>
        </w:rPr>
        <w:t>c</w:t>
      </w:r>
      <w:proofErr w:type="gramEnd"/>
      <w:r w:rsidRPr="00CF42FA">
        <w:rPr>
          <w:rFonts w:ascii="Arial Narrow" w:hAnsi="Arial Narrow"/>
          <w:sz w:val="20"/>
          <w:szCs w:val="20"/>
        </w:rPr>
        <w:t xml:space="preserve"> 100% of patients had </w:t>
      </w:r>
      <w:proofErr w:type="spellStart"/>
      <w:r w:rsidR="009819F9" w:rsidRPr="009819F9">
        <w:rPr>
          <w:rFonts w:ascii="Arial Narrow" w:hAnsi="Arial Narrow"/>
          <w:sz w:val="20"/>
          <w:szCs w:val="20"/>
        </w:rPr>
        <w:t>Sezary</w:t>
      </w:r>
      <w:proofErr w:type="spellEnd"/>
      <w:r w:rsidR="009819F9" w:rsidRPr="009819F9">
        <w:rPr>
          <w:rFonts w:ascii="Arial Narrow" w:hAnsi="Arial Narrow"/>
          <w:sz w:val="20"/>
          <w:szCs w:val="20"/>
        </w:rPr>
        <w:t xml:space="preserve"> syndrome</w:t>
      </w:r>
    </w:p>
    <w:p w14:paraId="73DFE828" w14:textId="0479045F" w:rsidR="009819F9" w:rsidRDefault="009819F9" w:rsidP="0097460D">
      <w:pPr>
        <w:pStyle w:val="Default"/>
        <w:spacing w:before="240"/>
        <w:rPr>
          <w:rFonts w:eastAsiaTheme="minorHAnsi"/>
        </w:rPr>
      </w:pPr>
      <w:r w:rsidRPr="009819F9">
        <w:rPr>
          <w:rFonts w:eastAsiaTheme="minorHAnsi"/>
        </w:rPr>
        <w:t>The results showed that the median time to respond to ECP treatment was 10 months (</w:t>
      </w:r>
      <w:proofErr w:type="spellStart"/>
      <w:r w:rsidRPr="009819F9">
        <w:rPr>
          <w:rFonts w:eastAsiaTheme="minorHAnsi"/>
        </w:rPr>
        <w:t>Arulogun</w:t>
      </w:r>
      <w:proofErr w:type="spellEnd"/>
      <w:r w:rsidRPr="009819F9">
        <w:rPr>
          <w:rFonts w:eastAsiaTheme="minorHAnsi"/>
        </w:rPr>
        <w:t xml:space="preserve"> et al 2008) and time to response was longer for patients with ≥ 90% response compared with patients with 50-90% response (20 months vs. 7 months respectively). The median duration of response to ECP treatment was 29 months (</w:t>
      </w:r>
      <w:proofErr w:type="spellStart"/>
      <w:r w:rsidRPr="009819F9">
        <w:rPr>
          <w:rFonts w:eastAsiaTheme="minorHAnsi"/>
        </w:rPr>
        <w:t>Siakantaris</w:t>
      </w:r>
      <w:proofErr w:type="spellEnd"/>
      <w:r w:rsidRPr="009819F9">
        <w:rPr>
          <w:rFonts w:eastAsiaTheme="minorHAnsi"/>
        </w:rPr>
        <w:t xml:space="preserve"> et al 2012). Additionally, ECP treatment resulted in 61-74% of patients achieving overall response.</w:t>
      </w:r>
    </w:p>
    <w:p w14:paraId="6E970B68" w14:textId="0A38F106" w:rsidR="00390C3A" w:rsidRPr="00390C3A" w:rsidRDefault="00390C3A" w:rsidP="00FD1472">
      <w:pPr>
        <w:pStyle w:val="Default"/>
        <w:spacing w:before="240"/>
        <w:rPr>
          <w:rFonts w:eastAsiaTheme="minorHAnsi"/>
        </w:rPr>
      </w:pPr>
      <w:r>
        <w:rPr>
          <w:rFonts w:eastAsiaTheme="minorHAnsi"/>
        </w:rPr>
        <w:t xml:space="preserve">MSAC considered that these other three single-arm studies had </w:t>
      </w:r>
      <w:r w:rsidRPr="00390C3A">
        <w:rPr>
          <w:rFonts w:eastAsiaTheme="minorHAnsi"/>
        </w:rPr>
        <w:t>several limitations re</w:t>
      </w:r>
      <w:r>
        <w:rPr>
          <w:rFonts w:eastAsiaTheme="minorHAnsi"/>
        </w:rPr>
        <w:t>garding their</w:t>
      </w:r>
      <w:r w:rsidRPr="00390C3A">
        <w:rPr>
          <w:rFonts w:eastAsiaTheme="minorHAnsi"/>
        </w:rPr>
        <w:t xml:space="preserve"> applicability</w:t>
      </w:r>
      <w:r>
        <w:rPr>
          <w:rFonts w:eastAsiaTheme="minorHAnsi"/>
        </w:rPr>
        <w:t xml:space="preserve"> to </w:t>
      </w:r>
      <w:r w:rsidR="00A34382">
        <w:rPr>
          <w:rFonts w:eastAsiaTheme="minorHAnsi"/>
        </w:rPr>
        <w:t xml:space="preserve">estimating the likely extent of benefit of ECP in </w:t>
      </w:r>
      <w:r>
        <w:rPr>
          <w:rFonts w:eastAsiaTheme="minorHAnsi"/>
        </w:rPr>
        <w:t>the requested MBS listing</w:t>
      </w:r>
      <w:r w:rsidRPr="00390C3A">
        <w:rPr>
          <w:rFonts w:eastAsiaTheme="minorHAnsi"/>
        </w:rPr>
        <w:t>:</w:t>
      </w:r>
    </w:p>
    <w:p w14:paraId="7C742324" w14:textId="0A2CCE10" w:rsidR="00390C3A" w:rsidRDefault="00390C3A" w:rsidP="00FD1472">
      <w:pPr>
        <w:pStyle w:val="ListParagraph"/>
        <w:numPr>
          <w:ilvl w:val="0"/>
          <w:numId w:val="25"/>
        </w:numPr>
        <w:rPr>
          <w:rFonts w:eastAsiaTheme="minorHAnsi"/>
        </w:rPr>
      </w:pPr>
      <w:proofErr w:type="spellStart"/>
      <w:r w:rsidRPr="00390C3A">
        <w:rPr>
          <w:rFonts w:eastAsiaTheme="minorHAnsi"/>
        </w:rPr>
        <w:t>Arulogun</w:t>
      </w:r>
      <w:proofErr w:type="spellEnd"/>
      <w:r>
        <w:rPr>
          <w:rFonts w:eastAsiaTheme="minorHAnsi"/>
        </w:rPr>
        <w:t xml:space="preserve"> et al 2008</w:t>
      </w:r>
      <w:r w:rsidRPr="00390C3A">
        <w:rPr>
          <w:rFonts w:eastAsiaTheme="minorHAnsi"/>
        </w:rPr>
        <w:t xml:space="preserve">: all patients had SS, and 7/8 patients who responded received concomitant systemic </w:t>
      </w:r>
      <w:r>
        <w:rPr>
          <w:rFonts w:eastAsiaTheme="minorHAnsi"/>
        </w:rPr>
        <w:t>therapy</w:t>
      </w:r>
      <w:r w:rsidR="00A34382">
        <w:rPr>
          <w:rFonts w:eastAsiaTheme="minorHAnsi"/>
        </w:rPr>
        <w:t xml:space="preserve"> </w:t>
      </w:r>
      <w:r w:rsidR="00A34382" w:rsidRPr="00390C3A">
        <w:rPr>
          <w:rFonts w:eastAsiaTheme="minorHAnsi"/>
        </w:rPr>
        <w:t xml:space="preserve">(Table </w:t>
      </w:r>
      <w:r w:rsidR="00A34382">
        <w:rPr>
          <w:rFonts w:eastAsiaTheme="minorHAnsi"/>
        </w:rPr>
        <w:t>4, footnote b</w:t>
      </w:r>
      <w:r w:rsidR="00A34382" w:rsidRPr="00390C3A">
        <w:rPr>
          <w:rFonts w:eastAsiaTheme="minorHAnsi"/>
        </w:rPr>
        <w:t>)</w:t>
      </w:r>
    </w:p>
    <w:p w14:paraId="2597F861" w14:textId="6B4D5486" w:rsidR="00390C3A" w:rsidRDefault="00390C3A" w:rsidP="00FD1472">
      <w:pPr>
        <w:pStyle w:val="ListParagraph"/>
        <w:numPr>
          <w:ilvl w:val="0"/>
          <w:numId w:val="25"/>
        </w:numPr>
        <w:rPr>
          <w:rFonts w:eastAsiaTheme="minorHAnsi"/>
        </w:rPr>
      </w:pPr>
      <w:proofErr w:type="spellStart"/>
      <w:r w:rsidRPr="00390C3A">
        <w:rPr>
          <w:rFonts w:eastAsiaTheme="minorHAnsi"/>
        </w:rPr>
        <w:t>Siakantaris</w:t>
      </w:r>
      <w:proofErr w:type="spellEnd"/>
      <w:r w:rsidRPr="00390C3A">
        <w:rPr>
          <w:rFonts w:eastAsiaTheme="minorHAnsi"/>
        </w:rPr>
        <w:t xml:space="preserve"> et al 2012: 17/18 patients received concomitant systemic </w:t>
      </w:r>
      <w:r w:rsidR="00A34382">
        <w:rPr>
          <w:rFonts w:eastAsiaTheme="minorHAnsi"/>
        </w:rPr>
        <w:t>therapy</w:t>
      </w:r>
      <w:r w:rsidRPr="00390C3A">
        <w:rPr>
          <w:rFonts w:eastAsiaTheme="minorHAnsi"/>
        </w:rPr>
        <w:t xml:space="preserve"> (Table 3, footnote a)</w:t>
      </w:r>
    </w:p>
    <w:p w14:paraId="0FB14AE1" w14:textId="1013A38C" w:rsidR="00FD1472" w:rsidRPr="0097460D" w:rsidRDefault="00390C3A" w:rsidP="0097460D">
      <w:pPr>
        <w:pStyle w:val="ListParagraph"/>
        <w:numPr>
          <w:ilvl w:val="0"/>
          <w:numId w:val="25"/>
        </w:numPr>
        <w:spacing w:after="240"/>
        <w:rPr>
          <w:rFonts w:eastAsiaTheme="minorHAnsi"/>
        </w:rPr>
      </w:pPr>
      <w:proofErr w:type="spellStart"/>
      <w:r w:rsidRPr="00FD1472">
        <w:rPr>
          <w:rFonts w:eastAsiaTheme="minorHAnsi"/>
        </w:rPr>
        <w:t>Knobler</w:t>
      </w:r>
      <w:proofErr w:type="spellEnd"/>
      <w:r w:rsidRPr="00FD1472">
        <w:rPr>
          <w:rFonts w:eastAsiaTheme="minorHAnsi"/>
        </w:rPr>
        <w:t xml:space="preserve"> et al 2012: used oral (not extracorporeal) methoxsalen.</w:t>
      </w:r>
    </w:p>
    <w:p w14:paraId="50D563B4" w14:textId="2DFEF23B" w:rsidR="00F37B9C" w:rsidRDefault="00F37B9C" w:rsidP="00FD1472">
      <w:pPr>
        <w:tabs>
          <w:tab w:val="left" w:pos="720"/>
          <w:tab w:val="left" w:pos="1140"/>
        </w:tabs>
        <w:rPr>
          <w:b/>
          <w:szCs w:val="24"/>
        </w:rPr>
      </w:pPr>
      <w:r w:rsidRPr="00F37B9C">
        <w:rPr>
          <w:b/>
          <w:szCs w:val="24"/>
        </w:rPr>
        <w:t xml:space="preserve">Clinical </w:t>
      </w:r>
      <w:r w:rsidR="00EB162C">
        <w:rPr>
          <w:b/>
          <w:szCs w:val="24"/>
        </w:rPr>
        <w:t>c</w:t>
      </w:r>
      <w:r w:rsidRPr="00F37B9C">
        <w:rPr>
          <w:b/>
          <w:szCs w:val="24"/>
        </w:rPr>
        <w:t>laim</w:t>
      </w:r>
    </w:p>
    <w:p w14:paraId="255ED612" w14:textId="3F3ADD70" w:rsidR="00D6587C" w:rsidRDefault="00D6587C" w:rsidP="009819F9">
      <w:pPr>
        <w:rPr>
          <w:b/>
          <w:szCs w:val="24"/>
        </w:rPr>
      </w:pPr>
      <w:r w:rsidRPr="00D6587C">
        <w:rPr>
          <w:szCs w:val="24"/>
        </w:rPr>
        <w:t>Acknowledging limitations in</w:t>
      </w:r>
      <w:r w:rsidR="009819F9">
        <w:rPr>
          <w:szCs w:val="24"/>
        </w:rPr>
        <w:t xml:space="preserve"> the evidence base for ECP, the</w:t>
      </w:r>
      <w:r w:rsidRPr="00D6587C">
        <w:rPr>
          <w:szCs w:val="24"/>
        </w:rPr>
        <w:t xml:space="preserve"> submission claim</w:t>
      </w:r>
      <w:r w:rsidR="00596BFB">
        <w:rPr>
          <w:szCs w:val="24"/>
        </w:rPr>
        <w:t>ed that the</w:t>
      </w:r>
      <w:r w:rsidRPr="00D6587C">
        <w:rPr>
          <w:szCs w:val="24"/>
        </w:rPr>
        <w:t xml:space="preserve"> integrated, closed</w:t>
      </w:r>
      <w:r w:rsidR="0084645D">
        <w:rPr>
          <w:szCs w:val="24"/>
        </w:rPr>
        <w:t xml:space="preserve"> ECP </w:t>
      </w:r>
      <w:r w:rsidRPr="00D6587C">
        <w:rPr>
          <w:szCs w:val="24"/>
        </w:rPr>
        <w:t>system has at least non-inferior efficacy and superior safety relative to methotrexate, IFN-α2</w:t>
      </w:r>
      <w:r w:rsidR="00B35105">
        <w:rPr>
          <w:szCs w:val="24"/>
        </w:rPr>
        <w:t xml:space="preserve">b </w:t>
      </w:r>
      <w:r w:rsidRPr="00D6587C">
        <w:rPr>
          <w:szCs w:val="24"/>
        </w:rPr>
        <w:t>and alemtuzumab – for the treatment of refractory erythrodermic (Stage T</w:t>
      </w:r>
      <w:r w:rsidRPr="00C427C3">
        <w:rPr>
          <w:szCs w:val="24"/>
          <w:vertAlign w:val="subscript"/>
        </w:rPr>
        <w:t>4</w:t>
      </w:r>
      <w:r w:rsidRPr="00D6587C">
        <w:rPr>
          <w:szCs w:val="24"/>
        </w:rPr>
        <w:t xml:space="preserve"> and M</w:t>
      </w:r>
      <w:r w:rsidRPr="00C427C3">
        <w:rPr>
          <w:szCs w:val="24"/>
          <w:vertAlign w:val="subscript"/>
        </w:rPr>
        <w:t>0</w:t>
      </w:r>
      <w:r w:rsidR="0097460D">
        <w:rPr>
          <w:szCs w:val="24"/>
        </w:rPr>
        <w:t>) CTCL.</w:t>
      </w:r>
    </w:p>
    <w:p w14:paraId="424736AC" w14:textId="77777777" w:rsidR="00BC1364" w:rsidRPr="00F715D1" w:rsidRDefault="00BC1364" w:rsidP="00F715D1">
      <w:pPr>
        <w:pStyle w:val="Heading1"/>
      </w:pPr>
      <w:r w:rsidRPr="00F715D1">
        <w:t>Economic evaluation</w:t>
      </w:r>
    </w:p>
    <w:p w14:paraId="41093EEC" w14:textId="50804882" w:rsidR="007978C7" w:rsidRPr="00210BCB" w:rsidRDefault="007978C7" w:rsidP="007978C7">
      <w:pPr>
        <w:tabs>
          <w:tab w:val="num" w:pos="567"/>
        </w:tabs>
        <w:spacing w:before="120"/>
        <w:rPr>
          <w:szCs w:val="24"/>
        </w:rPr>
      </w:pPr>
      <w:r w:rsidRPr="00210BCB">
        <w:rPr>
          <w:szCs w:val="24"/>
        </w:rPr>
        <w:t xml:space="preserve">Due to limited evidence, a simple model design was used to calculate the costs and benefits of an integrated, closed ECP system when compared with </w:t>
      </w:r>
      <w:proofErr w:type="gramStart"/>
      <w:r w:rsidRPr="00210BCB">
        <w:rPr>
          <w:szCs w:val="24"/>
        </w:rPr>
        <w:t xml:space="preserve">either </w:t>
      </w:r>
      <w:r>
        <w:rPr>
          <w:szCs w:val="24"/>
        </w:rPr>
        <w:t>interferon</w:t>
      </w:r>
      <w:proofErr w:type="gramEnd"/>
      <w:r w:rsidRPr="00210BCB">
        <w:rPr>
          <w:szCs w:val="24"/>
        </w:rPr>
        <w:t>-α2</w:t>
      </w:r>
      <w:r>
        <w:rPr>
          <w:szCs w:val="24"/>
        </w:rPr>
        <w:t>b</w:t>
      </w:r>
      <w:r w:rsidRPr="00210BCB">
        <w:rPr>
          <w:szCs w:val="24"/>
        </w:rPr>
        <w:t xml:space="preserve">, methotrexate or alemtuzumab. </w:t>
      </w:r>
    </w:p>
    <w:p w14:paraId="1ABFC6CB" w14:textId="62A89B58" w:rsidR="007978C7" w:rsidRPr="00210BCB" w:rsidRDefault="007978C7" w:rsidP="007978C7">
      <w:pPr>
        <w:tabs>
          <w:tab w:val="num" w:pos="567"/>
        </w:tabs>
        <w:spacing w:before="120"/>
        <w:rPr>
          <w:szCs w:val="24"/>
        </w:rPr>
      </w:pPr>
      <w:r w:rsidRPr="00210BCB">
        <w:rPr>
          <w:szCs w:val="24"/>
        </w:rPr>
        <w:t xml:space="preserve">The economic model has two core health states for patients who receive usual second line treatment and usual third line treatment. Second line treatments include patients receiving integrated, closed ECP, </w:t>
      </w:r>
      <w:r>
        <w:rPr>
          <w:szCs w:val="24"/>
        </w:rPr>
        <w:t>interferon</w:t>
      </w:r>
      <w:r w:rsidRPr="00210BCB">
        <w:rPr>
          <w:szCs w:val="24"/>
        </w:rPr>
        <w:t>-α2</w:t>
      </w:r>
      <w:r>
        <w:rPr>
          <w:szCs w:val="24"/>
        </w:rPr>
        <w:t>b</w:t>
      </w:r>
      <w:r w:rsidRPr="00210BCB">
        <w:rPr>
          <w:szCs w:val="24"/>
        </w:rPr>
        <w:t xml:space="preserve">, methotrexate or alemtuzumab. Subsequently all patients </w:t>
      </w:r>
      <w:r>
        <w:rPr>
          <w:szCs w:val="24"/>
        </w:rPr>
        <w:t xml:space="preserve">who fail second line treatment </w:t>
      </w:r>
      <w:r w:rsidRPr="00210BCB">
        <w:rPr>
          <w:szCs w:val="24"/>
        </w:rPr>
        <w:t>are assumed to receive gemcitabine monotherapy as a usual third line treatment.</w:t>
      </w:r>
    </w:p>
    <w:p w14:paraId="30D7CCD8" w14:textId="1D636FD8" w:rsidR="003B0F99" w:rsidRPr="00210BCB" w:rsidRDefault="007978C7" w:rsidP="00BA446D">
      <w:pPr>
        <w:tabs>
          <w:tab w:val="num" w:pos="567"/>
        </w:tabs>
        <w:spacing w:before="120" w:after="240"/>
      </w:pPr>
      <w:r w:rsidRPr="00210BCB">
        <w:t xml:space="preserve">The overall costs and outcomes, and incremental costs and outcomes as calculated for the intervention and comparator in the model, with the base case assumptions, are shown in Table </w:t>
      </w:r>
      <w:r w:rsidR="00B669B2">
        <w:t>5.</w:t>
      </w:r>
    </w:p>
    <w:p w14:paraId="61DA5069" w14:textId="77777777" w:rsidR="007978C7" w:rsidRPr="006C6993" w:rsidRDefault="00B669B2" w:rsidP="006C6993">
      <w:pPr>
        <w:keepNext/>
        <w:keepLines/>
        <w:rPr>
          <w:rFonts w:ascii="Arial Narrow" w:hAnsi="Arial Narrow"/>
          <w:b/>
          <w:sz w:val="20"/>
        </w:rPr>
      </w:pPr>
      <w:bookmarkStart w:id="2" w:name="_Toc474151530"/>
      <w:r w:rsidRPr="006C6993">
        <w:rPr>
          <w:rFonts w:ascii="Arial Narrow" w:hAnsi="Arial Narrow"/>
          <w:b/>
          <w:sz w:val="20"/>
        </w:rPr>
        <w:lastRenderedPageBreak/>
        <w:t>Table 5</w:t>
      </w:r>
      <w:r w:rsidR="007978C7" w:rsidRPr="006C6993">
        <w:rPr>
          <w:rFonts w:ascii="Arial Narrow" w:hAnsi="Arial Narrow"/>
          <w:b/>
          <w:sz w:val="20"/>
        </w:rPr>
        <w:t>:  ICER results (discounted) including third line treatments</w:t>
      </w:r>
      <w:bookmarkEnd w:id="2"/>
    </w:p>
    <w:tbl>
      <w:tblPr>
        <w:tblStyle w:val="TableGrid2"/>
        <w:tblW w:w="9214" w:type="dxa"/>
        <w:tblInd w:w="108" w:type="dxa"/>
        <w:tblLayout w:type="fixed"/>
        <w:tblLook w:val="04A0" w:firstRow="1" w:lastRow="0" w:firstColumn="1" w:lastColumn="0" w:noHBand="0" w:noVBand="1"/>
        <w:tblDescription w:val="ICER results (discounted) including third line treatments"/>
      </w:tblPr>
      <w:tblGrid>
        <w:gridCol w:w="2410"/>
        <w:gridCol w:w="1276"/>
        <w:gridCol w:w="1374"/>
        <w:gridCol w:w="1461"/>
        <w:gridCol w:w="1417"/>
        <w:gridCol w:w="1276"/>
      </w:tblGrid>
      <w:tr w:rsidR="007978C7" w:rsidRPr="008E243D" w14:paraId="502E58F6" w14:textId="77777777" w:rsidTr="005423D4">
        <w:trPr>
          <w:cnfStyle w:val="100000000000" w:firstRow="1" w:lastRow="0" w:firstColumn="0" w:lastColumn="0" w:oddVBand="0" w:evenVBand="0" w:oddHBand="0" w:evenHBand="0" w:firstRowFirstColumn="0" w:firstRowLastColumn="0" w:lastRowFirstColumn="0" w:lastRowLastColumn="0"/>
          <w:tblHeader/>
        </w:trPr>
        <w:tc>
          <w:tcPr>
            <w:tcW w:w="2410" w:type="dxa"/>
            <w:tcBorders>
              <w:bottom w:val="single" w:sz="4" w:space="0" w:color="auto"/>
            </w:tcBorders>
          </w:tcPr>
          <w:p w14:paraId="0F4BB319" w14:textId="77777777" w:rsidR="007978C7" w:rsidRPr="008E243D" w:rsidRDefault="007978C7" w:rsidP="006C6993">
            <w:pPr>
              <w:pStyle w:val="TableHeadingcentered"/>
              <w:keepLines/>
              <w:spacing w:before="0" w:after="0" w:line="240" w:lineRule="auto"/>
              <w:rPr>
                <w:rFonts w:ascii="Arial Narrow" w:hAnsi="Arial Narrow" w:cs="Times New Roman"/>
                <w:sz w:val="20"/>
                <w:szCs w:val="20"/>
                <w:lang w:val="en-AU"/>
              </w:rPr>
            </w:pPr>
          </w:p>
        </w:tc>
        <w:tc>
          <w:tcPr>
            <w:tcW w:w="1276" w:type="dxa"/>
            <w:tcBorders>
              <w:bottom w:val="single" w:sz="4" w:space="0" w:color="auto"/>
            </w:tcBorders>
          </w:tcPr>
          <w:p w14:paraId="66228F96" w14:textId="77777777" w:rsidR="007978C7" w:rsidRPr="008E243D" w:rsidRDefault="007978C7" w:rsidP="006C6993">
            <w:pPr>
              <w:pStyle w:val="TableHeading9ptCent"/>
              <w:keepLines/>
              <w:spacing w:before="0" w:after="0"/>
              <w:rPr>
                <w:rFonts w:cs="Times New Roman"/>
                <w:sz w:val="20"/>
              </w:rPr>
            </w:pPr>
            <w:r w:rsidRPr="008E243D">
              <w:rPr>
                <w:rFonts w:cs="Times New Roman"/>
                <w:sz w:val="20"/>
              </w:rPr>
              <w:t>Cost</w:t>
            </w:r>
          </w:p>
        </w:tc>
        <w:tc>
          <w:tcPr>
            <w:tcW w:w="1374" w:type="dxa"/>
            <w:tcBorders>
              <w:bottom w:val="single" w:sz="4" w:space="0" w:color="auto"/>
            </w:tcBorders>
          </w:tcPr>
          <w:p w14:paraId="56EB4E99" w14:textId="77777777" w:rsidR="007978C7" w:rsidRPr="008E243D" w:rsidRDefault="007978C7" w:rsidP="006C6993">
            <w:pPr>
              <w:pStyle w:val="TableHeading9ptCent"/>
              <w:keepLines/>
              <w:spacing w:before="0" w:after="0"/>
              <w:rPr>
                <w:rFonts w:cs="Times New Roman"/>
                <w:sz w:val="20"/>
              </w:rPr>
            </w:pPr>
            <w:r w:rsidRPr="008E243D">
              <w:rPr>
                <w:rFonts w:cs="Times New Roman"/>
                <w:sz w:val="20"/>
              </w:rPr>
              <w:t>Incremental cost</w:t>
            </w:r>
          </w:p>
        </w:tc>
        <w:tc>
          <w:tcPr>
            <w:tcW w:w="1461" w:type="dxa"/>
            <w:tcBorders>
              <w:bottom w:val="single" w:sz="4" w:space="0" w:color="auto"/>
            </w:tcBorders>
          </w:tcPr>
          <w:p w14:paraId="1C332D02" w14:textId="77777777" w:rsidR="007978C7" w:rsidRPr="008E243D" w:rsidRDefault="007978C7" w:rsidP="006C6993">
            <w:pPr>
              <w:pStyle w:val="TableHeading9ptCent"/>
              <w:keepLines/>
              <w:spacing w:before="0" w:after="0"/>
              <w:rPr>
                <w:rFonts w:cs="Times New Roman"/>
                <w:sz w:val="20"/>
              </w:rPr>
            </w:pPr>
            <w:r w:rsidRPr="008E243D">
              <w:rPr>
                <w:rFonts w:cs="Times New Roman"/>
                <w:sz w:val="20"/>
              </w:rPr>
              <w:t>Effectiveness (QALYs)</w:t>
            </w:r>
          </w:p>
        </w:tc>
        <w:tc>
          <w:tcPr>
            <w:tcW w:w="1417" w:type="dxa"/>
            <w:tcBorders>
              <w:bottom w:val="single" w:sz="4" w:space="0" w:color="auto"/>
            </w:tcBorders>
          </w:tcPr>
          <w:p w14:paraId="72526F01" w14:textId="77777777" w:rsidR="007978C7" w:rsidRPr="008E243D" w:rsidRDefault="007978C7" w:rsidP="006C6993">
            <w:pPr>
              <w:pStyle w:val="TableHeading9ptCent"/>
              <w:keepLines/>
              <w:spacing w:before="0" w:after="0"/>
              <w:rPr>
                <w:rFonts w:cs="Times New Roman"/>
                <w:sz w:val="20"/>
              </w:rPr>
            </w:pPr>
            <w:r w:rsidRPr="008E243D">
              <w:rPr>
                <w:rFonts w:cs="Times New Roman"/>
                <w:sz w:val="20"/>
              </w:rPr>
              <w:t>Incremental effectiveness</w:t>
            </w:r>
          </w:p>
        </w:tc>
        <w:tc>
          <w:tcPr>
            <w:tcW w:w="1276" w:type="dxa"/>
            <w:tcBorders>
              <w:bottom w:val="single" w:sz="4" w:space="0" w:color="auto"/>
            </w:tcBorders>
          </w:tcPr>
          <w:p w14:paraId="5F796BED" w14:textId="3466A645" w:rsidR="007978C7" w:rsidRPr="008E243D" w:rsidRDefault="007978C7" w:rsidP="006C6993">
            <w:pPr>
              <w:pStyle w:val="TableHeading9ptCent"/>
              <w:keepLines/>
              <w:spacing w:before="0" w:after="0"/>
              <w:rPr>
                <w:rFonts w:cs="Times New Roman"/>
                <w:sz w:val="20"/>
              </w:rPr>
            </w:pPr>
            <w:r w:rsidRPr="008E243D">
              <w:rPr>
                <w:rFonts w:cs="Times New Roman"/>
                <w:sz w:val="20"/>
              </w:rPr>
              <w:t>ICER</w:t>
            </w:r>
            <w:r w:rsidR="00EB162C" w:rsidRPr="008E243D">
              <w:rPr>
                <w:rFonts w:cs="Times New Roman"/>
                <w:sz w:val="20"/>
              </w:rPr>
              <w:t xml:space="preserve"> per QALY</w:t>
            </w:r>
          </w:p>
        </w:tc>
      </w:tr>
      <w:tr w:rsidR="007978C7" w:rsidRPr="008E243D" w14:paraId="436FDE56" w14:textId="77777777" w:rsidTr="005423D4">
        <w:trPr>
          <w:trHeight w:val="141"/>
        </w:trPr>
        <w:tc>
          <w:tcPr>
            <w:tcW w:w="2410" w:type="dxa"/>
            <w:vAlign w:val="center"/>
          </w:tcPr>
          <w:p w14:paraId="1D17A47E" w14:textId="2A3B54C8" w:rsidR="007978C7" w:rsidRPr="008E243D" w:rsidRDefault="00EB162C" w:rsidP="006C6993">
            <w:pPr>
              <w:pStyle w:val="Tabletext33"/>
              <w:keepLines/>
              <w:spacing w:before="0" w:after="0"/>
            </w:pPr>
            <w:r w:rsidRPr="008E243D">
              <w:t>I</w:t>
            </w:r>
            <w:r w:rsidR="007978C7" w:rsidRPr="008E243D">
              <w:t>ntegrated</w:t>
            </w:r>
            <w:r w:rsidRPr="008E243D">
              <w:t>, closed</w:t>
            </w:r>
            <w:r w:rsidR="007978C7" w:rsidRPr="008E243D">
              <w:t xml:space="preserve"> ECP system</w:t>
            </w:r>
          </w:p>
        </w:tc>
        <w:tc>
          <w:tcPr>
            <w:tcW w:w="1276" w:type="dxa"/>
            <w:vAlign w:val="center"/>
          </w:tcPr>
          <w:p w14:paraId="2F0E486C" w14:textId="53120F0A" w:rsidR="007978C7" w:rsidRPr="008E243D" w:rsidRDefault="007978C7" w:rsidP="006C6993">
            <w:pPr>
              <w:keepNext/>
              <w:keepLines/>
              <w:spacing w:before="0" w:after="0"/>
              <w:jc w:val="center"/>
              <w:rPr>
                <w:b/>
                <w:sz w:val="20"/>
              </w:rPr>
            </w:pPr>
            <w:r w:rsidRPr="008E243D">
              <w:rPr>
                <w:b/>
                <w:sz w:val="20"/>
                <w:lang w:eastAsia="en-US"/>
              </w:rPr>
              <w:t>$</w:t>
            </w:r>
            <w:r w:rsidR="007122EF" w:rsidRPr="008E243D">
              <w:rPr>
                <w:b/>
                <w:sz w:val="20"/>
                <w:lang w:eastAsia="en-US"/>
              </w:rPr>
              <w:t>redacted</w:t>
            </w:r>
          </w:p>
        </w:tc>
        <w:tc>
          <w:tcPr>
            <w:tcW w:w="1374" w:type="dxa"/>
            <w:vAlign w:val="center"/>
          </w:tcPr>
          <w:p w14:paraId="51FD181F" w14:textId="77777777" w:rsidR="007978C7" w:rsidRPr="008E243D" w:rsidRDefault="007978C7" w:rsidP="006C6993">
            <w:pPr>
              <w:pStyle w:val="Tabletext33cemt"/>
              <w:keepLines/>
              <w:spacing w:before="0" w:after="0"/>
            </w:pPr>
          </w:p>
        </w:tc>
        <w:tc>
          <w:tcPr>
            <w:tcW w:w="1461" w:type="dxa"/>
            <w:vAlign w:val="center"/>
          </w:tcPr>
          <w:p w14:paraId="759342A3" w14:textId="77777777" w:rsidR="007978C7" w:rsidRPr="008E243D" w:rsidRDefault="007978C7" w:rsidP="006C6993">
            <w:pPr>
              <w:pStyle w:val="Tabletext33cemt"/>
              <w:keepLines/>
              <w:spacing w:before="0" w:after="0"/>
            </w:pPr>
            <w:r w:rsidRPr="008E243D">
              <w:t>1.79</w:t>
            </w:r>
          </w:p>
        </w:tc>
        <w:tc>
          <w:tcPr>
            <w:tcW w:w="1417" w:type="dxa"/>
            <w:vAlign w:val="center"/>
          </w:tcPr>
          <w:p w14:paraId="2D705E34" w14:textId="77777777" w:rsidR="007978C7" w:rsidRPr="008E243D" w:rsidRDefault="007978C7" w:rsidP="006C6993">
            <w:pPr>
              <w:pStyle w:val="Tabletext33cemt"/>
              <w:keepLines/>
              <w:spacing w:before="0" w:after="0"/>
            </w:pPr>
          </w:p>
        </w:tc>
        <w:tc>
          <w:tcPr>
            <w:tcW w:w="1276" w:type="dxa"/>
            <w:vAlign w:val="center"/>
          </w:tcPr>
          <w:p w14:paraId="4ADAB573" w14:textId="77777777" w:rsidR="007978C7" w:rsidRPr="008E243D" w:rsidRDefault="007978C7" w:rsidP="006C6993">
            <w:pPr>
              <w:pStyle w:val="Tabletext33cemt"/>
              <w:keepLines/>
              <w:spacing w:before="0" w:after="0"/>
            </w:pPr>
          </w:p>
        </w:tc>
      </w:tr>
      <w:tr w:rsidR="007978C7" w:rsidRPr="008E243D" w14:paraId="38F26DA6" w14:textId="77777777" w:rsidTr="005423D4">
        <w:trPr>
          <w:trHeight w:val="104"/>
        </w:trPr>
        <w:tc>
          <w:tcPr>
            <w:tcW w:w="2410" w:type="dxa"/>
            <w:vAlign w:val="center"/>
          </w:tcPr>
          <w:p w14:paraId="35B14FC0" w14:textId="77777777" w:rsidR="007978C7" w:rsidRPr="008E243D" w:rsidRDefault="007978C7" w:rsidP="006C6993">
            <w:pPr>
              <w:pStyle w:val="Tabletext33"/>
              <w:keepLines/>
              <w:spacing w:before="0" w:after="0"/>
            </w:pPr>
            <w:r w:rsidRPr="008E243D">
              <w:t>Methotrexate</w:t>
            </w:r>
          </w:p>
        </w:tc>
        <w:tc>
          <w:tcPr>
            <w:tcW w:w="1276" w:type="dxa"/>
            <w:vAlign w:val="center"/>
          </w:tcPr>
          <w:p w14:paraId="6E4D4FAA" w14:textId="77777777" w:rsidR="007978C7" w:rsidRPr="008E243D" w:rsidRDefault="007978C7" w:rsidP="006C6993">
            <w:pPr>
              <w:pStyle w:val="Tabletext33cemt"/>
              <w:keepLines/>
              <w:spacing w:before="0" w:after="0"/>
            </w:pPr>
            <w:r w:rsidRPr="008E243D">
              <w:t>$22,639</w:t>
            </w:r>
          </w:p>
        </w:tc>
        <w:tc>
          <w:tcPr>
            <w:tcW w:w="1374" w:type="dxa"/>
            <w:vAlign w:val="center"/>
          </w:tcPr>
          <w:p w14:paraId="26F62193" w14:textId="76D7E3D9" w:rsidR="007978C7" w:rsidRPr="008E243D" w:rsidRDefault="007978C7" w:rsidP="006C6993">
            <w:pPr>
              <w:pStyle w:val="Tabletext33cemt"/>
              <w:keepLines/>
              <w:spacing w:before="0" w:after="0"/>
            </w:pPr>
            <w:r w:rsidRPr="008E243D">
              <w:t>$</w:t>
            </w:r>
            <w:r w:rsidR="007122EF" w:rsidRPr="008E243D">
              <w:t>redacted</w:t>
            </w:r>
          </w:p>
        </w:tc>
        <w:tc>
          <w:tcPr>
            <w:tcW w:w="1461" w:type="dxa"/>
            <w:vAlign w:val="center"/>
          </w:tcPr>
          <w:p w14:paraId="4B72BEC5" w14:textId="77777777" w:rsidR="007978C7" w:rsidRPr="008E243D" w:rsidRDefault="007978C7" w:rsidP="006C6993">
            <w:pPr>
              <w:pStyle w:val="Tabletext33cemt"/>
              <w:keepLines/>
              <w:spacing w:before="0" w:after="0"/>
            </w:pPr>
            <w:r w:rsidRPr="008E243D">
              <w:t>1.04</w:t>
            </w:r>
          </w:p>
        </w:tc>
        <w:tc>
          <w:tcPr>
            <w:tcW w:w="1417" w:type="dxa"/>
            <w:vAlign w:val="center"/>
          </w:tcPr>
          <w:p w14:paraId="0C0D7884" w14:textId="77777777" w:rsidR="007978C7" w:rsidRPr="008E243D" w:rsidRDefault="007978C7" w:rsidP="006C6993">
            <w:pPr>
              <w:pStyle w:val="Tabletext33cemt"/>
              <w:keepLines/>
              <w:spacing w:before="0" w:after="0"/>
            </w:pPr>
            <w:r w:rsidRPr="008E243D">
              <w:t>0.72</w:t>
            </w:r>
          </w:p>
        </w:tc>
        <w:tc>
          <w:tcPr>
            <w:tcW w:w="1276" w:type="dxa"/>
            <w:vAlign w:val="center"/>
          </w:tcPr>
          <w:p w14:paraId="7BD51779" w14:textId="534CE747" w:rsidR="007978C7" w:rsidRPr="008E243D" w:rsidRDefault="00EB162C" w:rsidP="006C6993">
            <w:pPr>
              <w:pStyle w:val="Tabletext33cemt"/>
              <w:keepLines/>
              <w:spacing w:before="0" w:after="0"/>
            </w:pPr>
            <w:r w:rsidRPr="008E243D">
              <w:t>$</w:t>
            </w:r>
            <w:r w:rsidR="007122EF" w:rsidRPr="008E243D">
              <w:t>redacted</w:t>
            </w:r>
          </w:p>
        </w:tc>
      </w:tr>
      <w:tr w:rsidR="007978C7" w:rsidRPr="008E243D" w14:paraId="4E4745B0" w14:textId="77777777" w:rsidTr="005423D4">
        <w:trPr>
          <w:trHeight w:val="150"/>
        </w:trPr>
        <w:tc>
          <w:tcPr>
            <w:tcW w:w="2410" w:type="dxa"/>
            <w:vAlign w:val="center"/>
          </w:tcPr>
          <w:p w14:paraId="47655A56" w14:textId="77777777" w:rsidR="007978C7" w:rsidRPr="008E243D" w:rsidRDefault="007978C7" w:rsidP="006C6993">
            <w:pPr>
              <w:pStyle w:val="Tabletext33"/>
              <w:keepLines/>
              <w:spacing w:before="0" w:after="0"/>
            </w:pPr>
            <w:r w:rsidRPr="008E243D">
              <w:t>Interferon-α2b</w:t>
            </w:r>
          </w:p>
        </w:tc>
        <w:tc>
          <w:tcPr>
            <w:tcW w:w="1276" w:type="dxa"/>
            <w:vAlign w:val="center"/>
          </w:tcPr>
          <w:p w14:paraId="164777B3" w14:textId="77777777" w:rsidR="007978C7" w:rsidRPr="008E243D" w:rsidRDefault="007978C7" w:rsidP="006C6993">
            <w:pPr>
              <w:pStyle w:val="Tabletext33cemt"/>
              <w:keepLines/>
              <w:spacing w:before="0" w:after="0"/>
            </w:pPr>
            <w:r w:rsidRPr="008E243D">
              <w:t>$51,022</w:t>
            </w:r>
          </w:p>
        </w:tc>
        <w:tc>
          <w:tcPr>
            <w:tcW w:w="1374" w:type="dxa"/>
            <w:vAlign w:val="center"/>
          </w:tcPr>
          <w:p w14:paraId="4EC7DB6D" w14:textId="48517AC4" w:rsidR="007978C7" w:rsidRPr="008E243D" w:rsidRDefault="007978C7" w:rsidP="006C6993">
            <w:pPr>
              <w:pStyle w:val="Tabletext33cemt"/>
              <w:keepLines/>
              <w:spacing w:before="0" w:after="0"/>
            </w:pPr>
            <w:r w:rsidRPr="008E243D">
              <w:t>$</w:t>
            </w:r>
            <w:r w:rsidR="007122EF" w:rsidRPr="008E243D">
              <w:t>redacted</w:t>
            </w:r>
          </w:p>
        </w:tc>
        <w:tc>
          <w:tcPr>
            <w:tcW w:w="1461" w:type="dxa"/>
            <w:vAlign w:val="center"/>
          </w:tcPr>
          <w:p w14:paraId="6439D6C9" w14:textId="77777777" w:rsidR="007978C7" w:rsidRPr="008E243D" w:rsidRDefault="007978C7" w:rsidP="006C6993">
            <w:pPr>
              <w:pStyle w:val="Tabletext33cemt"/>
              <w:keepLines/>
              <w:spacing w:before="0" w:after="0"/>
            </w:pPr>
            <w:r w:rsidRPr="008E243D">
              <w:t>1.64</w:t>
            </w:r>
          </w:p>
        </w:tc>
        <w:tc>
          <w:tcPr>
            <w:tcW w:w="1417" w:type="dxa"/>
            <w:vAlign w:val="center"/>
          </w:tcPr>
          <w:p w14:paraId="19F1D655" w14:textId="77777777" w:rsidR="007978C7" w:rsidRPr="008E243D" w:rsidRDefault="007978C7" w:rsidP="006C6993">
            <w:pPr>
              <w:pStyle w:val="Tabletext33cemt"/>
              <w:keepLines/>
              <w:spacing w:before="0" w:after="0"/>
            </w:pPr>
            <w:r w:rsidRPr="008E243D">
              <w:t>0.14</w:t>
            </w:r>
          </w:p>
        </w:tc>
        <w:tc>
          <w:tcPr>
            <w:tcW w:w="1276" w:type="dxa"/>
            <w:vAlign w:val="center"/>
          </w:tcPr>
          <w:p w14:paraId="6DB83146" w14:textId="78DF8139" w:rsidR="007978C7" w:rsidRPr="008E243D" w:rsidRDefault="00EB162C" w:rsidP="006C6993">
            <w:pPr>
              <w:pStyle w:val="Tabletext33cemt"/>
              <w:keepLines/>
              <w:spacing w:before="0" w:after="0"/>
            </w:pPr>
            <w:r w:rsidRPr="008E243D">
              <w:t>$</w:t>
            </w:r>
            <w:r w:rsidR="007122EF" w:rsidRPr="008E243D">
              <w:t>redacted</w:t>
            </w:r>
          </w:p>
        </w:tc>
      </w:tr>
      <w:tr w:rsidR="007978C7" w:rsidRPr="008E243D" w14:paraId="29DB75ED" w14:textId="77777777" w:rsidTr="005423D4">
        <w:trPr>
          <w:trHeight w:val="70"/>
        </w:trPr>
        <w:tc>
          <w:tcPr>
            <w:tcW w:w="2410" w:type="dxa"/>
            <w:vAlign w:val="center"/>
          </w:tcPr>
          <w:p w14:paraId="1F494323" w14:textId="77777777" w:rsidR="007978C7" w:rsidRPr="008E243D" w:rsidRDefault="007978C7" w:rsidP="006C6993">
            <w:pPr>
              <w:pStyle w:val="Tabletext33"/>
              <w:keepLines/>
              <w:spacing w:before="0" w:after="0"/>
            </w:pPr>
            <w:r w:rsidRPr="008E243D">
              <w:t>Alemtuzumab</w:t>
            </w:r>
          </w:p>
        </w:tc>
        <w:tc>
          <w:tcPr>
            <w:tcW w:w="1276" w:type="dxa"/>
            <w:vAlign w:val="center"/>
          </w:tcPr>
          <w:p w14:paraId="58A15328" w14:textId="77777777" w:rsidR="007978C7" w:rsidRPr="008E243D" w:rsidRDefault="007978C7" w:rsidP="006C6993">
            <w:pPr>
              <w:pStyle w:val="Tabletext33cemt"/>
              <w:keepLines/>
              <w:spacing w:before="0" w:after="0"/>
            </w:pPr>
            <w:r w:rsidRPr="008E243D">
              <w:t>$1,790,509</w:t>
            </w:r>
          </w:p>
        </w:tc>
        <w:tc>
          <w:tcPr>
            <w:tcW w:w="1374" w:type="dxa"/>
            <w:vAlign w:val="center"/>
          </w:tcPr>
          <w:p w14:paraId="3FFFFD46" w14:textId="4D2CA7E8" w:rsidR="007978C7" w:rsidRPr="008E243D" w:rsidRDefault="007978C7" w:rsidP="006C6993">
            <w:pPr>
              <w:pStyle w:val="Tabletext33cemt"/>
              <w:keepLines/>
              <w:spacing w:before="0" w:after="0"/>
            </w:pPr>
            <w:r w:rsidRPr="008E243D">
              <w:t>$</w:t>
            </w:r>
            <w:r w:rsidR="007122EF" w:rsidRPr="008E243D">
              <w:t>redacted</w:t>
            </w:r>
          </w:p>
        </w:tc>
        <w:tc>
          <w:tcPr>
            <w:tcW w:w="1461" w:type="dxa"/>
            <w:vAlign w:val="center"/>
          </w:tcPr>
          <w:p w14:paraId="5AA434CE" w14:textId="77777777" w:rsidR="007978C7" w:rsidRPr="008E243D" w:rsidRDefault="007978C7" w:rsidP="006C6993">
            <w:pPr>
              <w:pStyle w:val="Tabletext33cemt"/>
              <w:keepLines/>
              <w:spacing w:before="0" w:after="0"/>
            </w:pPr>
            <w:r w:rsidRPr="008E243D">
              <w:t>1.16</w:t>
            </w:r>
          </w:p>
        </w:tc>
        <w:tc>
          <w:tcPr>
            <w:tcW w:w="1417" w:type="dxa"/>
            <w:vAlign w:val="center"/>
          </w:tcPr>
          <w:p w14:paraId="688A9C86" w14:textId="77777777" w:rsidR="007978C7" w:rsidRPr="008E243D" w:rsidRDefault="007978C7" w:rsidP="006C6993">
            <w:pPr>
              <w:pStyle w:val="Tabletext33cemt"/>
              <w:keepLines/>
              <w:spacing w:before="0" w:after="0"/>
            </w:pPr>
            <w:r w:rsidRPr="008E243D">
              <w:t>0.60</w:t>
            </w:r>
          </w:p>
        </w:tc>
        <w:tc>
          <w:tcPr>
            <w:tcW w:w="1276" w:type="dxa"/>
            <w:vAlign w:val="center"/>
          </w:tcPr>
          <w:p w14:paraId="28A3AAC8" w14:textId="77777777" w:rsidR="007978C7" w:rsidRPr="008E243D" w:rsidRDefault="007978C7" w:rsidP="006C6993">
            <w:pPr>
              <w:pStyle w:val="Tabletext33cemt"/>
              <w:keepLines/>
              <w:spacing w:before="0" w:after="0"/>
            </w:pPr>
            <w:r w:rsidRPr="008E243D">
              <w:t>Dominant</w:t>
            </w:r>
          </w:p>
        </w:tc>
      </w:tr>
      <w:tr w:rsidR="007978C7" w:rsidRPr="008E243D" w14:paraId="014AF434" w14:textId="77777777" w:rsidTr="005423D4">
        <w:trPr>
          <w:trHeight w:val="100"/>
        </w:trPr>
        <w:tc>
          <w:tcPr>
            <w:tcW w:w="2410" w:type="dxa"/>
            <w:vAlign w:val="center"/>
          </w:tcPr>
          <w:p w14:paraId="6347D292" w14:textId="77777777" w:rsidR="007978C7" w:rsidRPr="008E243D" w:rsidRDefault="007978C7" w:rsidP="006C6993">
            <w:pPr>
              <w:pStyle w:val="Tabletext33"/>
              <w:keepLines/>
              <w:spacing w:before="0" w:after="0"/>
            </w:pPr>
            <w:r w:rsidRPr="008E243D">
              <w:t>Weighted</w:t>
            </w:r>
          </w:p>
        </w:tc>
        <w:tc>
          <w:tcPr>
            <w:tcW w:w="1276" w:type="dxa"/>
            <w:vAlign w:val="center"/>
          </w:tcPr>
          <w:p w14:paraId="55662432" w14:textId="77777777" w:rsidR="007978C7" w:rsidRPr="008E243D" w:rsidRDefault="007978C7" w:rsidP="006C6993">
            <w:pPr>
              <w:pStyle w:val="Tabletext33cemt"/>
              <w:keepLines/>
              <w:spacing w:before="0" w:after="0"/>
            </w:pPr>
            <w:r w:rsidRPr="008E243D">
              <w:t>$417,691</w:t>
            </w:r>
          </w:p>
        </w:tc>
        <w:tc>
          <w:tcPr>
            <w:tcW w:w="1374" w:type="dxa"/>
            <w:vAlign w:val="center"/>
          </w:tcPr>
          <w:p w14:paraId="4A87875A" w14:textId="389E743B" w:rsidR="007978C7" w:rsidRPr="008E243D" w:rsidRDefault="007978C7" w:rsidP="006C6993">
            <w:pPr>
              <w:keepNext/>
              <w:keepLines/>
              <w:spacing w:before="0" w:after="0"/>
              <w:jc w:val="center"/>
              <w:rPr>
                <w:sz w:val="20"/>
              </w:rPr>
            </w:pPr>
            <w:r w:rsidRPr="008E243D">
              <w:rPr>
                <w:sz w:val="20"/>
                <w:lang w:eastAsia="en-US"/>
              </w:rPr>
              <w:t>$</w:t>
            </w:r>
            <w:r w:rsidR="007122EF" w:rsidRPr="008E243D">
              <w:rPr>
                <w:b/>
                <w:sz w:val="20"/>
                <w:lang w:eastAsia="en-US"/>
              </w:rPr>
              <w:t>redacted</w:t>
            </w:r>
          </w:p>
        </w:tc>
        <w:tc>
          <w:tcPr>
            <w:tcW w:w="1461" w:type="dxa"/>
            <w:vAlign w:val="center"/>
          </w:tcPr>
          <w:p w14:paraId="4C6064D5" w14:textId="77777777" w:rsidR="007978C7" w:rsidRPr="008E243D" w:rsidRDefault="007978C7" w:rsidP="006C6993">
            <w:pPr>
              <w:pStyle w:val="Tabletext33cemt"/>
              <w:keepLines/>
              <w:spacing w:before="0" w:after="0"/>
            </w:pPr>
            <w:r w:rsidRPr="008E243D">
              <w:t>1.34</w:t>
            </w:r>
          </w:p>
        </w:tc>
        <w:tc>
          <w:tcPr>
            <w:tcW w:w="1417" w:type="dxa"/>
            <w:vAlign w:val="center"/>
          </w:tcPr>
          <w:p w14:paraId="290910C1" w14:textId="77777777" w:rsidR="007978C7" w:rsidRPr="008E243D" w:rsidRDefault="007978C7" w:rsidP="006C6993">
            <w:pPr>
              <w:pStyle w:val="Tabletext33cemt"/>
              <w:keepLines/>
              <w:spacing w:before="0" w:after="0"/>
            </w:pPr>
            <w:r w:rsidRPr="008E243D">
              <w:t>0.43</w:t>
            </w:r>
          </w:p>
        </w:tc>
        <w:tc>
          <w:tcPr>
            <w:tcW w:w="1276" w:type="dxa"/>
            <w:vAlign w:val="center"/>
          </w:tcPr>
          <w:p w14:paraId="5BD479A1" w14:textId="77777777" w:rsidR="007978C7" w:rsidRPr="008E243D" w:rsidRDefault="007978C7" w:rsidP="006C6993">
            <w:pPr>
              <w:pStyle w:val="Tabletext33cemt"/>
              <w:keepLines/>
              <w:spacing w:before="0" w:after="0"/>
            </w:pPr>
            <w:r w:rsidRPr="008E243D">
              <w:t>Dominant</w:t>
            </w:r>
          </w:p>
        </w:tc>
      </w:tr>
    </w:tbl>
    <w:p w14:paraId="338712C8" w14:textId="77777777" w:rsidR="007978C7" w:rsidRPr="00B669B2" w:rsidRDefault="007978C7" w:rsidP="006C6993">
      <w:pPr>
        <w:pStyle w:val="Tablenotes"/>
        <w:keepNext/>
        <w:keepLines/>
      </w:pPr>
      <w:r w:rsidRPr="00B669B2">
        <w:t>ICER = Incremental Cost Effectiveness Ratio, note difference due to rounding</w:t>
      </w:r>
    </w:p>
    <w:p w14:paraId="7039F0EB" w14:textId="504DF4AB" w:rsidR="003B0F99" w:rsidRDefault="007978C7" w:rsidP="0097460D">
      <w:pPr>
        <w:pStyle w:val="Default"/>
        <w:spacing w:before="240" w:after="120"/>
      </w:pPr>
      <w:r w:rsidRPr="00210BCB">
        <w:t xml:space="preserve">The </w:t>
      </w:r>
      <w:r w:rsidR="005423D4">
        <w:t xml:space="preserve">critique stated that the </w:t>
      </w:r>
      <w:r w:rsidRPr="00210BCB">
        <w:t>submission’s base case economic comparator was not appropriate (weighted comparator: 46% methotrexate; 32% interferon-α2</w:t>
      </w:r>
      <w:r>
        <w:t>b</w:t>
      </w:r>
      <w:r w:rsidRPr="00210BCB">
        <w:t xml:space="preserve">; and 22% alemtuzumab). Specifically, the weighting of alemtuzumab was overestimated (significantly favoured ECP). </w:t>
      </w:r>
    </w:p>
    <w:p w14:paraId="79DC6972" w14:textId="77777777" w:rsidR="007978C7" w:rsidRPr="00210BCB" w:rsidRDefault="007978C7" w:rsidP="007978C7">
      <w:pPr>
        <w:pStyle w:val="Default"/>
      </w:pPr>
      <w:r w:rsidRPr="00210BCB">
        <w:t>The model structure was overly simplified and did not align with the proposed treatment algorithm where ECP would add to the list of treatment options for patients with refractory erythrodermic (T</w:t>
      </w:r>
      <w:r w:rsidRPr="00763576">
        <w:rPr>
          <w:vertAlign w:val="subscript"/>
        </w:rPr>
        <w:t>4</w:t>
      </w:r>
      <w:r>
        <w:t>,</w:t>
      </w:r>
      <w:r w:rsidRPr="00210BCB">
        <w:t xml:space="preserve"> M</w:t>
      </w:r>
      <w:r w:rsidRPr="00763576">
        <w:rPr>
          <w:vertAlign w:val="subscript"/>
        </w:rPr>
        <w:t>0</w:t>
      </w:r>
      <w:r w:rsidRPr="00210BCB">
        <w:t xml:space="preserve">) CTCL. Specifically, the inclusion of gemcitabine as the only third-line treatment option was not appropriate (and favoured ECP). </w:t>
      </w:r>
    </w:p>
    <w:p w14:paraId="17C620D8" w14:textId="265A0F75" w:rsidR="007978C7" w:rsidRDefault="007978C7" w:rsidP="007978C7">
      <w:pPr>
        <w:tabs>
          <w:tab w:val="num" w:pos="567"/>
        </w:tabs>
        <w:spacing w:before="120"/>
        <w:rPr>
          <w:szCs w:val="24"/>
        </w:rPr>
      </w:pPr>
      <w:r w:rsidRPr="00210BCB">
        <w:rPr>
          <w:szCs w:val="24"/>
        </w:rPr>
        <w:t>The unit of measure used in the critique for estimating the cost of treatment with ECP was treatment cost/patient/course. This value was estimated at $</w:t>
      </w:r>
      <w:r w:rsidR="007122EF" w:rsidRPr="007122EF">
        <w:rPr>
          <w:b/>
          <w:szCs w:val="24"/>
        </w:rPr>
        <w:t>redacted</w:t>
      </w:r>
      <w:r w:rsidR="007122EF" w:rsidRPr="00210BCB" w:rsidDel="007122EF">
        <w:rPr>
          <w:szCs w:val="24"/>
        </w:rPr>
        <w:t xml:space="preserve"> </w:t>
      </w:r>
      <w:r w:rsidRPr="00210BCB">
        <w:rPr>
          <w:szCs w:val="24"/>
        </w:rPr>
        <w:t>for a treatment regime</w:t>
      </w:r>
      <w:r>
        <w:rPr>
          <w:szCs w:val="24"/>
        </w:rPr>
        <w:t>n</w:t>
      </w:r>
      <w:r w:rsidRPr="00210BCB">
        <w:rPr>
          <w:szCs w:val="24"/>
        </w:rPr>
        <w:t xml:space="preserve"> of 16 ECP sessi</w:t>
      </w:r>
      <w:r w:rsidR="005423D4">
        <w:rPr>
          <w:szCs w:val="24"/>
        </w:rPr>
        <w:t>ons. However, the critique noted</w:t>
      </w:r>
      <w:r w:rsidRPr="00210BCB">
        <w:rPr>
          <w:szCs w:val="24"/>
        </w:rPr>
        <w:t xml:space="preserve"> that the submission did not validate the assumption of 16 ECP sessions per treatment regime</w:t>
      </w:r>
      <w:r>
        <w:rPr>
          <w:szCs w:val="24"/>
        </w:rPr>
        <w:t>n</w:t>
      </w:r>
      <w:r w:rsidRPr="00210BCB">
        <w:rPr>
          <w:szCs w:val="24"/>
        </w:rPr>
        <w:t xml:space="preserve">. </w:t>
      </w:r>
      <w:r>
        <w:rPr>
          <w:szCs w:val="24"/>
        </w:rPr>
        <w:t>B</w:t>
      </w:r>
      <w:r w:rsidRPr="00210BCB">
        <w:rPr>
          <w:szCs w:val="24"/>
        </w:rPr>
        <w:t>ased on a 21 month median duration of ECP treatment, the treatment cost per patient course was estimated at $</w:t>
      </w:r>
      <w:r w:rsidR="007122EF" w:rsidRPr="007122EF">
        <w:rPr>
          <w:b/>
          <w:szCs w:val="24"/>
        </w:rPr>
        <w:t>redacted</w:t>
      </w:r>
      <w:r w:rsidRPr="00210BCB">
        <w:rPr>
          <w:szCs w:val="24"/>
        </w:rPr>
        <w:t>.</w:t>
      </w:r>
    </w:p>
    <w:p w14:paraId="26E6BDA3" w14:textId="680FC049" w:rsidR="0022077D" w:rsidRPr="00210BCB" w:rsidRDefault="0022077D" w:rsidP="007978C7">
      <w:pPr>
        <w:tabs>
          <w:tab w:val="num" w:pos="567"/>
        </w:tabs>
        <w:spacing w:before="120"/>
        <w:rPr>
          <w:szCs w:val="24"/>
        </w:rPr>
      </w:pPr>
      <w:r>
        <w:rPr>
          <w:szCs w:val="24"/>
        </w:rPr>
        <w:t xml:space="preserve">In </w:t>
      </w:r>
      <w:r w:rsidR="00EB162C">
        <w:rPr>
          <w:szCs w:val="24"/>
        </w:rPr>
        <w:t>its</w:t>
      </w:r>
      <w:r>
        <w:rPr>
          <w:szCs w:val="24"/>
        </w:rPr>
        <w:t xml:space="preserve"> pre-MSAC response, the applicant provided a revised </w:t>
      </w:r>
      <w:r w:rsidRPr="00B04294">
        <w:t>incremental cost-effectiveness ratio of $148,871.39 per QALY</w:t>
      </w:r>
      <w:r w:rsidR="0064287F">
        <w:t>. This</w:t>
      </w:r>
      <w:r w:rsidRPr="00B04294">
        <w:t xml:space="preserve"> was calculated using incremental costs of $</w:t>
      </w:r>
      <w:r w:rsidR="007122EF" w:rsidRPr="007122EF">
        <w:rPr>
          <w:b/>
          <w:szCs w:val="24"/>
        </w:rPr>
        <w:t>redacted</w:t>
      </w:r>
      <w:r w:rsidRPr="00B04294">
        <w:t xml:space="preserve"> and incremental QALY gains of 0.153.</w:t>
      </w:r>
      <w:r w:rsidR="0064287F">
        <w:t xml:space="preserve"> The applicant considered that the recalculated ICER was not unreasonable in the context of a rare, debilitating disease with high clinical need and no curative treatment options.</w:t>
      </w:r>
    </w:p>
    <w:p w14:paraId="7D05CE68" w14:textId="77777777" w:rsidR="00BC1364" w:rsidRPr="00F715D1" w:rsidRDefault="00BC1364" w:rsidP="00F715D1">
      <w:pPr>
        <w:pStyle w:val="Heading1"/>
      </w:pPr>
      <w:r w:rsidRPr="00F715D1">
        <w:t>Financial/budgetary impacts</w:t>
      </w:r>
    </w:p>
    <w:p w14:paraId="62CC74D3" w14:textId="15ED1D58" w:rsidR="007978C7" w:rsidRDefault="007978C7" w:rsidP="005423D4">
      <w:pPr>
        <w:tabs>
          <w:tab w:val="num" w:pos="567"/>
        </w:tabs>
        <w:spacing w:after="240"/>
        <w:rPr>
          <w:szCs w:val="24"/>
        </w:rPr>
      </w:pPr>
      <w:r w:rsidRPr="007176AF">
        <w:rPr>
          <w:szCs w:val="24"/>
        </w:rPr>
        <w:t>An epidemiological approach was taken to develop the utilisation and financial estimates for the proposed listing of an integrated, closed ECP system. The financial impact to both the PBS an</w:t>
      </w:r>
      <w:r w:rsidR="005423D4">
        <w:rPr>
          <w:szCs w:val="24"/>
        </w:rPr>
        <w:t>d the MBS is outlined in Table 6.</w:t>
      </w:r>
      <w:r w:rsidRPr="007176AF">
        <w:rPr>
          <w:szCs w:val="24"/>
        </w:rPr>
        <w:t xml:space="preserve"> The net financial impact to the Government in 2017 </w:t>
      </w:r>
      <w:r w:rsidR="00FC718B">
        <w:rPr>
          <w:szCs w:val="24"/>
        </w:rPr>
        <w:t>wa</w:t>
      </w:r>
      <w:r w:rsidRPr="007176AF">
        <w:rPr>
          <w:szCs w:val="24"/>
        </w:rPr>
        <w:t>s estimated as $</w:t>
      </w:r>
      <w:r w:rsidR="007122EF" w:rsidRPr="007122EF">
        <w:rPr>
          <w:b/>
          <w:szCs w:val="24"/>
        </w:rPr>
        <w:t>redacted</w:t>
      </w:r>
      <w:r w:rsidRPr="007176AF">
        <w:rPr>
          <w:szCs w:val="24"/>
        </w:rPr>
        <w:t>, comprised of a net cost to the PBS of $</w:t>
      </w:r>
      <w:r w:rsidR="007122EF" w:rsidRPr="007122EF">
        <w:rPr>
          <w:b/>
          <w:szCs w:val="24"/>
        </w:rPr>
        <w:t>redacted</w:t>
      </w:r>
      <w:r w:rsidR="007122EF" w:rsidRPr="007176AF" w:rsidDel="007122EF">
        <w:rPr>
          <w:szCs w:val="24"/>
        </w:rPr>
        <w:t xml:space="preserve"> </w:t>
      </w:r>
      <w:r w:rsidRPr="007176AF">
        <w:rPr>
          <w:szCs w:val="24"/>
        </w:rPr>
        <w:t>and a net cost to the MBS of $</w:t>
      </w:r>
      <w:r w:rsidR="007122EF" w:rsidRPr="007122EF">
        <w:rPr>
          <w:b/>
          <w:szCs w:val="24"/>
        </w:rPr>
        <w:t>redacted</w:t>
      </w:r>
      <w:r w:rsidRPr="007176AF">
        <w:rPr>
          <w:szCs w:val="24"/>
        </w:rPr>
        <w:t xml:space="preserve">. </w:t>
      </w:r>
    </w:p>
    <w:p w14:paraId="258A10B4" w14:textId="7ABDFA53" w:rsidR="003B0F99" w:rsidRPr="007176AF" w:rsidRDefault="007978C7" w:rsidP="007978C7">
      <w:pPr>
        <w:tabs>
          <w:tab w:val="num" w:pos="567"/>
        </w:tabs>
        <w:rPr>
          <w:szCs w:val="24"/>
        </w:rPr>
      </w:pPr>
      <w:r w:rsidRPr="007176AF">
        <w:rPr>
          <w:szCs w:val="24"/>
        </w:rPr>
        <w:t>This net cost to the Government is expected to increase initially then reduce to $</w:t>
      </w:r>
      <w:r w:rsidR="007122EF" w:rsidRPr="007122EF">
        <w:rPr>
          <w:b/>
          <w:szCs w:val="24"/>
        </w:rPr>
        <w:t>redacted</w:t>
      </w:r>
      <w:r w:rsidR="007122EF" w:rsidRPr="007176AF" w:rsidDel="007122EF">
        <w:rPr>
          <w:szCs w:val="24"/>
        </w:rPr>
        <w:t xml:space="preserve"> </w:t>
      </w:r>
      <w:r w:rsidRPr="007176AF">
        <w:rPr>
          <w:szCs w:val="24"/>
        </w:rPr>
        <w:t xml:space="preserve">by 2021. The costs associated with other treatments </w:t>
      </w:r>
      <w:r w:rsidR="00FC718B">
        <w:rPr>
          <w:szCs w:val="24"/>
        </w:rPr>
        <w:t>were</w:t>
      </w:r>
      <w:r w:rsidRPr="007176AF">
        <w:rPr>
          <w:szCs w:val="24"/>
        </w:rPr>
        <w:t xml:space="preserve"> not incorporated into this financial analysis as the applicant claim</w:t>
      </w:r>
      <w:r w:rsidR="00FC718B">
        <w:rPr>
          <w:szCs w:val="24"/>
        </w:rPr>
        <w:t>ed</w:t>
      </w:r>
      <w:r w:rsidRPr="007176AF">
        <w:rPr>
          <w:szCs w:val="24"/>
        </w:rPr>
        <w:t xml:space="preserve"> that integrated, closed ECP </w:t>
      </w:r>
      <w:r w:rsidR="00EB162C">
        <w:rPr>
          <w:szCs w:val="24"/>
        </w:rPr>
        <w:t xml:space="preserve">systems </w:t>
      </w:r>
      <w:r w:rsidR="00FC718B">
        <w:rPr>
          <w:szCs w:val="24"/>
        </w:rPr>
        <w:t>would</w:t>
      </w:r>
      <w:r w:rsidRPr="007176AF">
        <w:rPr>
          <w:szCs w:val="24"/>
        </w:rPr>
        <w:t xml:space="preserve"> not </w:t>
      </w:r>
      <w:r w:rsidR="00FC718B">
        <w:rPr>
          <w:szCs w:val="24"/>
        </w:rPr>
        <w:t xml:space="preserve">be </w:t>
      </w:r>
      <w:r w:rsidRPr="007176AF">
        <w:rPr>
          <w:szCs w:val="24"/>
        </w:rPr>
        <w:t xml:space="preserve">expected to </w:t>
      </w:r>
      <w:r w:rsidR="00FC718B">
        <w:rPr>
          <w:szCs w:val="24"/>
        </w:rPr>
        <w:t>re</w:t>
      </w:r>
      <w:r w:rsidRPr="007176AF">
        <w:rPr>
          <w:szCs w:val="24"/>
        </w:rPr>
        <w:t>place any other funded treatments for patients with T</w:t>
      </w:r>
      <w:r w:rsidRPr="00C427C3">
        <w:rPr>
          <w:szCs w:val="24"/>
          <w:vertAlign w:val="subscript"/>
        </w:rPr>
        <w:t>4</w:t>
      </w:r>
      <w:r w:rsidRPr="007176AF">
        <w:rPr>
          <w:szCs w:val="24"/>
        </w:rPr>
        <w:t>M</w:t>
      </w:r>
      <w:r w:rsidRPr="00C427C3">
        <w:rPr>
          <w:szCs w:val="24"/>
          <w:vertAlign w:val="subscript"/>
        </w:rPr>
        <w:t>0</w:t>
      </w:r>
      <w:r w:rsidRPr="007176AF">
        <w:rPr>
          <w:szCs w:val="24"/>
        </w:rPr>
        <w:t xml:space="preserve"> CTCL.</w:t>
      </w:r>
    </w:p>
    <w:p w14:paraId="3CAF9957" w14:textId="314274D6" w:rsidR="007978C7" w:rsidRPr="006C6993" w:rsidRDefault="007978C7" w:rsidP="006C6993">
      <w:pPr>
        <w:keepNext/>
        <w:keepLines/>
        <w:rPr>
          <w:rFonts w:ascii="Arial Narrow" w:hAnsi="Arial Narrow"/>
          <w:b/>
          <w:sz w:val="20"/>
        </w:rPr>
      </w:pPr>
      <w:bookmarkStart w:id="3" w:name="_Toc474151531"/>
      <w:r w:rsidRPr="006C6993">
        <w:rPr>
          <w:rFonts w:ascii="Arial Narrow" w:hAnsi="Arial Narrow"/>
          <w:b/>
          <w:sz w:val="20"/>
        </w:rPr>
        <w:lastRenderedPageBreak/>
        <w:t xml:space="preserve">Table </w:t>
      </w:r>
      <w:r w:rsidR="00FD1472" w:rsidRPr="006C6993">
        <w:rPr>
          <w:rFonts w:ascii="Arial Narrow" w:hAnsi="Arial Narrow"/>
          <w:b/>
          <w:sz w:val="20"/>
        </w:rPr>
        <w:t>6</w:t>
      </w:r>
      <w:r w:rsidRPr="006C6993">
        <w:rPr>
          <w:rFonts w:ascii="Arial Narrow" w:hAnsi="Arial Narrow"/>
          <w:b/>
          <w:sz w:val="20"/>
        </w:rPr>
        <w:t xml:space="preserve">: </w:t>
      </w:r>
      <w:r w:rsidR="00FD1472" w:rsidRPr="006C6993">
        <w:rPr>
          <w:rFonts w:ascii="Arial Narrow" w:hAnsi="Arial Narrow"/>
          <w:b/>
          <w:sz w:val="20"/>
        </w:rPr>
        <w:t xml:space="preserve"> </w:t>
      </w:r>
      <w:r w:rsidRPr="006C6993">
        <w:rPr>
          <w:rFonts w:ascii="Arial Narrow" w:hAnsi="Arial Narrow"/>
          <w:b/>
          <w:sz w:val="20"/>
        </w:rPr>
        <w:t>Net cost to Government</w:t>
      </w:r>
      <w:bookmarkEnd w:id="3"/>
    </w:p>
    <w:tbl>
      <w:tblPr>
        <w:tblStyle w:val="TableGrid2"/>
        <w:tblW w:w="5043" w:type="pct"/>
        <w:tblLayout w:type="fixed"/>
        <w:tblLook w:val="04A0" w:firstRow="1" w:lastRow="0" w:firstColumn="1" w:lastColumn="0" w:noHBand="0" w:noVBand="1"/>
        <w:tblDescription w:val="Summary of the estimated net costs to the PBS, MBS and Government"/>
      </w:tblPr>
      <w:tblGrid>
        <w:gridCol w:w="2659"/>
        <w:gridCol w:w="1277"/>
        <w:gridCol w:w="1417"/>
        <w:gridCol w:w="1418"/>
        <w:gridCol w:w="1332"/>
        <w:gridCol w:w="1218"/>
      </w:tblGrid>
      <w:tr w:rsidR="007978C7" w:rsidRPr="005423D4" w14:paraId="64285C23" w14:textId="77777777" w:rsidTr="00F4483A">
        <w:trPr>
          <w:cnfStyle w:val="100000000000" w:firstRow="1" w:lastRow="0" w:firstColumn="0" w:lastColumn="0" w:oddVBand="0" w:evenVBand="0" w:oddHBand="0" w:evenHBand="0" w:firstRowFirstColumn="0" w:firstRowLastColumn="0" w:lastRowFirstColumn="0" w:lastRowLastColumn="0"/>
          <w:trHeight w:val="288"/>
          <w:tblHeader/>
        </w:trPr>
        <w:tc>
          <w:tcPr>
            <w:tcW w:w="2659" w:type="dxa"/>
            <w:noWrap/>
            <w:hideMark/>
          </w:tcPr>
          <w:p w14:paraId="379A712D" w14:textId="77777777" w:rsidR="007978C7" w:rsidRPr="005423D4" w:rsidRDefault="007978C7" w:rsidP="006C6993">
            <w:pPr>
              <w:pStyle w:val="TableHeadingcentered"/>
              <w:keepLines/>
              <w:spacing w:before="0" w:after="0" w:line="240" w:lineRule="auto"/>
              <w:rPr>
                <w:rFonts w:ascii="Arial Narrow" w:hAnsi="Arial Narrow" w:cs="Times New Roman"/>
                <w:sz w:val="20"/>
                <w:szCs w:val="20"/>
                <w:lang w:val="en-AU"/>
              </w:rPr>
            </w:pPr>
            <w:r w:rsidRPr="005423D4">
              <w:rPr>
                <w:rFonts w:ascii="Arial Narrow" w:hAnsi="Arial Narrow" w:cs="Times New Roman"/>
                <w:sz w:val="20"/>
                <w:szCs w:val="20"/>
                <w:lang w:val="en-AU"/>
              </w:rPr>
              <w:t> </w:t>
            </w:r>
          </w:p>
        </w:tc>
        <w:tc>
          <w:tcPr>
            <w:tcW w:w="1277" w:type="dxa"/>
            <w:noWrap/>
            <w:hideMark/>
          </w:tcPr>
          <w:p w14:paraId="3AF4ABA2" w14:textId="77777777" w:rsidR="007978C7" w:rsidRPr="005423D4" w:rsidRDefault="007978C7" w:rsidP="006C6993">
            <w:pPr>
              <w:pStyle w:val="TableHeading9ptCent"/>
              <w:keepLines/>
              <w:spacing w:before="0" w:after="0"/>
              <w:rPr>
                <w:rFonts w:cs="Times New Roman"/>
                <w:sz w:val="20"/>
              </w:rPr>
            </w:pPr>
            <w:r w:rsidRPr="005423D4">
              <w:rPr>
                <w:rFonts w:cs="Times New Roman"/>
                <w:sz w:val="20"/>
              </w:rPr>
              <w:t>2017</w:t>
            </w:r>
          </w:p>
        </w:tc>
        <w:tc>
          <w:tcPr>
            <w:tcW w:w="1417" w:type="dxa"/>
            <w:noWrap/>
            <w:hideMark/>
          </w:tcPr>
          <w:p w14:paraId="576928FC" w14:textId="77777777" w:rsidR="007978C7" w:rsidRPr="005423D4" w:rsidRDefault="007978C7" w:rsidP="006C6993">
            <w:pPr>
              <w:pStyle w:val="TableHeading9ptCent"/>
              <w:keepLines/>
              <w:spacing w:before="0" w:after="0"/>
              <w:rPr>
                <w:rFonts w:cs="Times New Roman"/>
                <w:sz w:val="20"/>
              </w:rPr>
            </w:pPr>
            <w:r w:rsidRPr="005423D4">
              <w:rPr>
                <w:rFonts w:cs="Times New Roman"/>
                <w:sz w:val="20"/>
              </w:rPr>
              <w:t>2018</w:t>
            </w:r>
          </w:p>
        </w:tc>
        <w:tc>
          <w:tcPr>
            <w:tcW w:w="1418" w:type="dxa"/>
            <w:noWrap/>
            <w:hideMark/>
          </w:tcPr>
          <w:p w14:paraId="78564228" w14:textId="77777777" w:rsidR="007978C7" w:rsidRPr="005423D4" w:rsidRDefault="007978C7" w:rsidP="006C6993">
            <w:pPr>
              <w:pStyle w:val="TableHeading9ptCent"/>
              <w:keepLines/>
              <w:spacing w:before="0" w:after="0"/>
              <w:rPr>
                <w:rFonts w:cs="Times New Roman"/>
                <w:sz w:val="20"/>
              </w:rPr>
            </w:pPr>
            <w:r w:rsidRPr="005423D4">
              <w:rPr>
                <w:rFonts w:cs="Times New Roman"/>
                <w:sz w:val="20"/>
              </w:rPr>
              <w:t>2019</w:t>
            </w:r>
          </w:p>
        </w:tc>
        <w:tc>
          <w:tcPr>
            <w:tcW w:w="1332" w:type="dxa"/>
            <w:noWrap/>
            <w:hideMark/>
          </w:tcPr>
          <w:p w14:paraId="2034E6FA" w14:textId="77777777" w:rsidR="007978C7" w:rsidRPr="005423D4" w:rsidRDefault="007978C7" w:rsidP="006C6993">
            <w:pPr>
              <w:pStyle w:val="TableHeading9ptCent"/>
              <w:keepLines/>
              <w:spacing w:before="0" w:after="0"/>
              <w:rPr>
                <w:rFonts w:cs="Times New Roman"/>
                <w:sz w:val="20"/>
              </w:rPr>
            </w:pPr>
            <w:r w:rsidRPr="005423D4">
              <w:rPr>
                <w:rFonts w:cs="Times New Roman"/>
                <w:sz w:val="20"/>
              </w:rPr>
              <w:t>2020</w:t>
            </w:r>
          </w:p>
        </w:tc>
        <w:tc>
          <w:tcPr>
            <w:tcW w:w="1218" w:type="dxa"/>
            <w:noWrap/>
            <w:hideMark/>
          </w:tcPr>
          <w:p w14:paraId="288DD4C5" w14:textId="77777777" w:rsidR="007978C7" w:rsidRPr="005423D4" w:rsidRDefault="007978C7" w:rsidP="006C6993">
            <w:pPr>
              <w:pStyle w:val="TableHeading9ptCent"/>
              <w:keepLines/>
              <w:spacing w:before="0" w:after="0"/>
              <w:rPr>
                <w:rFonts w:cs="Times New Roman"/>
                <w:sz w:val="20"/>
              </w:rPr>
            </w:pPr>
            <w:r w:rsidRPr="005423D4">
              <w:rPr>
                <w:rFonts w:cs="Times New Roman"/>
                <w:sz w:val="20"/>
              </w:rPr>
              <w:t>2021</w:t>
            </w:r>
          </w:p>
        </w:tc>
      </w:tr>
      <w:tr w:rsidR="007978C7" w:rsidRPr="005423D4" w14:paraId="72FCE765" w14:textId="77777777" w:rsidTr="006C6993">
        <w:trPr>
          <w:trHeight w:val="397"/>
        </w:trPr>
        <w:tc>
          <w:tcPr>
            <w:tcW w:w="2659" w:type="dxa"/>
            <w:noWrap/>
          </w:tcPr>
          <w:p w14:paraId="7B638AFF" w14:textId="77777777" w:rsidR="007978C7" w:rsidRPr="005423D4" w:rsidRDefault="007978C7" w:rsidP="006C6993">
            <w:pPr>
              <w:pStyle w:val="Tabletext33"/>
              <w:keepLines/>
              <w:spacing w:before="0" w:after="0"/>
            </w:pPr>
            <w:r w:rsidRPr="005423D4">
              <w:t>Total patients with CTCL (Both incident and prevalent populations)</w:t>
            </w:r>
          </w:p>
        </w:tc>
        <w:tc>
          <w:tcPr>
            <w:tcW w:w="1277" w:type="dxa"/>
            <w:noWrap/>
          </w:tcPr>
          <w:p w14:paraId="34D84223" w14:textId="77777777" w:rsidR="007978C7" w:rsidRPr="005423D4" w:rsidRDefault="007978C7" w:rsidP="006C6993">
            <w:pPr>
              <w:pStyle w:val="TableText9ptcentered"/>
              <w:keepLines/>
              <w:spacing w:before="0" w:after="0"/>
              <w:rPr>
                <w:rFonts w:cs="Times New Roman"/>
                <w:sz w:val="20"/>
                <w:szCs w:val="20"/>
              </w:rPr>
            </w:pPr>
            <w:r w:rsidRPr="005423D4">
              <w:rPr>
                <w:rFonts w:cs="Times New Roman"/>
                <w:sz w:val="20"/>
                <w:szCs w:val="20"/>
              </w:rPr>
              <w:t>388</w:t>
            </w:r>
          </w:p>
        </w:tc>
        <w:tc>
          <w:tcPr>
            <w:tcW w:w="1417" w:type="dxa"/>
            <w:noWrap/>
          </w:tcPr>
          <w:p w14:paraId="676E08F6" w14:textId="77777777" w:rsidR="007978C7" w:rsidRPr="005423D4" w:rsidRDefault="007978C7" w:rsidP="006C6993">
            <w:pPr>
              <w:pStyle w:val="TableText9ptcentered"/>
              <w:keepLines/>
              <w:spacing w:before="0" w:after="0"/>
              <w:rPr>
                <w:rFonts w:cs="Times New Roman"/>
                <w:sz w:val="20"/>
                <w:szCs w:val="20"/>
              </w:rPr>
            </w:pPr>
            <w:r w:rsidRPr="005423D4">
              <w:rPr>
                <w:rFonts w:cs="Times New Roman"/>
                <w:sz w:val="20"/>
                <w:szCs w:val="20"/>
              </w:rPr>
              <w:t>324</w:t>
            </w:r>
          </w:p>
        </w:tc>
        <w:tc>
          <w:tcPr>
            <w:tcW w:w="1418" w:type="dxa"/>
            <w:noWrap/>
          </w:tcPr>
          <w:p w14:paraId="035AB3D1" w14:textId="77777777" w:rsidR="007978C7" w:rsidRPr="005423D4" w:rsidRDefault="007978C7" w:rsidP="006C6993">
            <w:pPr>
              <w:pStyle w:val="TableText9ptcentered"/>
              <w:keepLines/>
              <w:spacing w:before="0" w:after="0"/>
              <w:rPr>
                <w:rFonts w:cs="Times New Roman"/>
                <w:sz w:val="20"/>
                <w:szCs w:val="20"/>
              </w:rPr>
            </w:pPr>
            <w:r w:rsidRPr="005423D4">
              <w:rPr>
                <w:rFonts w:cs="Times New Roman"/>
                <w:sz w:val="20"/>
                <w:szCs w:val="20"/>
              </w:rPr>
              <w:t>241</w:t>
            </w:r>
          </w:p>
        </w:tc>
        <w:tc>
          <w:tcPr>
            <w:tcW w:w="1332" w:type="dxa"/>
            <w:noWrap/>
          </w:tcPr>
          <w:p w14:paraId="49B1025C" w14:textId="77777777" w:rsidR="007978C7" w:rsidRPr="005423D4" w:rsidRDefault="007978C7" w:rsidP="006C6993">
            <w:pPr>
              <w:pStyle w:val="TableText9ptcentered"/>
              <w:keepLines/>
              <w:spacing w:before="0" w:after="0"/>
              <w:rPr>
                <w:rFonts w:cs="Times New Roman"/>
                <w:sz w:val="20"/>
                <w:szCs w:val="20"/>
              </w:rPr>
            </w:pPr>
            <w:r w:rsidRPr="005423D4">
              <w:rPr>
                <w:rFonts w:cs="Times New Roman"/>
                <w:sz w:val="20"/>
                <w:szCs w:val="20"/>
              </w:rPr>
              <w:t>159</w:t>
            </w:r>
          </w:p>
        </w:tc>
        <w:tc>
          <w:tcPr>
            <w:tcW w:w="1218" w:type="dxa"/>
            <w:noWrap/>
          </w:tcPr>
          <w:p w14:paraId="26B46E6C" w14:textId="77777777" w:rsidR="007978C7" w:rsidRPr="005423D4" w:rsidRDefault="007978C7" w:rsidP="006C6993">
            <w:pPr>
              <w:pStyle w:val="TableText9ptcentered"/>
              <w:keepLines/>
              <w:spacing w:before="0" w:after="0"/>
              <w:rPr>
                <w:rFonts w:cs="Times New Roman"/>
                <w:sz w:val="20"/>
                <w:szCs w:val="20"/>
              </w:rPr>
            </w:pPr>
            <w:r w:rsidRPr="005423D4">
              <w:rPr>
                <w:rFonts w:cs="Times New Roman"/>
                <w:sz w:val="20"/>
                <w:szCs w:val="20"/>
              </w:rPr>
              <w:t>93</w:t>
            </w:r>
          </w:p>
        </w:tc>
      </w:tr>
      <w:tr w:rsidR="007978C7" w:rsidRPr="005423D4" w14:paraId="634830A6" w14:textId="77777777" w:rsidTr="006C6993">
        <w:trPr>
          <w:trHeight w:val="397"/>
        </w:trPr>
        <w:tc>
          <w:tcPr>
            <w:tcW w:w="2659" w:type="dxa"/>
            <w:noWrap/>
          </w:tcPr>
          <w:p w14:paraId="6B45F670" w14:textId="77777777" w:rsidR="007978C7" w:rsidRPr="005423D4" w:rsidRDefault="007978C7" w:rsidP="006C6993">
            <w:pPr>
              <w:pStyle w:val="Tabletext33"/>
              <w:keepLines/>
              <w:spacing w:before="0" w:after="0"/>
            </w:pPr>
            <w:r w:rsidRPr="005423D4">
              <w:t>Proportion of patients treated per year</w:t>
            </w:r>
          </w:p>
        </w:tc>
        <w:tc>
          <w:tcPr>
            <w:tcW w:w="1277" w:type="dxa"/>
            <w:noWrap/>
          </w:tcPr>
          <w:p w14:paraId="760C247D" w14:textId="77777777" w:rsidR="007978C7" w:rsidRPr="005423D4" w:rsidRDefault="007978C7" w:rsidP="006C6993">
            <w:pPr>
              <w:pStyle w:val="TableText9ptcentered"/>
              <w:keepLines/>
              <w:spacing w:before="0" w:after="0"/>
              <w:rPr>
                <w:rFonts w:cs="Times New Roman"/>
                <w:sz w:val="20"/>
                <w:szCs w:val="20"/>
              </w:rPr>
            </w:pPr>
            <w:r w:rsidRPr="005423D4">
              <w:rPr>
                <w:rFonts w:cs="Times New Roman"/>
                <w:sz w:val="20"/>
                <w:szCs w:val="20"/>
              </w:rPr>
              <w:t>20%</w:t>
            </w:r>
          </w:p>
        </w:tc>
        <w:tc>
          <w:tcPr>
            <w:tcW w:w="1417" w:type="dxa"/>
            <w:noWrap/>
          </w:tcPr>
          <w:p w14:paraId="4AE0CEB7" w14:textId="77777777" w:rsidR="007978C7" w:rsidRPr="005423D4" w:rsidRDefault="007978C7" w:rsidP="006C6993">
            <w:pPr>
              <w:pStyle w:val="TableText9ptcentered"/>
              <w:keepLines/>
              <w:spacing w:before="0" w:after="0"/>
              <w:rPr>
                <w:rFonts w:cs="Times New Roman"/>
                <w:sz w:val="20"/>
                <w:szCs w:val="20"/>
              </w:rPr>
            </w:pPr>
            <w:r w:rsidRPr="005423D4">
              <w:rPr>
                <w:rFonts w:cs="Times New Roman"/>
                <w:sz w:val="20"/>
                <w:szCs w:val="20"/>
              </w:rPr>
              <w:t>30%</w:t>
            </w:r>
          </w:p>
        </w:tc>
        <w:tc>
          <w:tcPr>
            <w:tcW w:w="1418" w:type="dxa"/>
            <w:noWrap/>
          </w:tcPr>
          <w:p w14:paraId="2D670D56" w14:textId="77777777" w:rsidR="007978C7" w:rsidRPr="005423D4" w:rsidRDefault="007978C7" w:rsidP="006C6993">
            <w:pPr>
              <w:pStyle w:val="TableText9ptcentered"/>
              <w:keepLines/>
              <w:spacing w:before="0" w:after="0"/>
              <w:rPr>
                <w:rFonts w:cs="Times New Roman"/>
                <w:sz w:val="20"/>
                <w:szCs w:val="20"/>
              </w:rPr>
            </w:pPr>
            <w:r w:rsidRPr="005423D4">
              <w:rPr>
                <w:rFonts w:cs="Times New Roman"/>
                <w:sz w:val="20"/>
                <w:szCs w:val="20"/>
              </w:rPr>
              <w:t>40%</w:t>
            </w:r>
          </w:p>
        </w:tc>
        <w:tc>
          <w:tcPr>
            <w:tcW w:w="1332" w:type="dxa"/>
            <w:noWrap/>
          </w:tcPr>
          <w:p w14:paraId="65776153" w14:textId="77777777" w:rsidR="007978C7" w:rsidRPr="005423D4" w:rsidRDefault="007978C7" w:rsidP="006C6993">
            <w:pPr>
              <w:pStyle w:val="TableText9ptcentered"/>
              <w:keepLines/>
              <w:spacing w:before="0" w:after="0"/>
              <w:rPr>
                <w:rFonts w:cs="Times New Roman"/>
                <w:sz w:val="20"/>
                <w:szCs w:val="20"/>
              </w:rPr>
            </w:pPr>
            <w:r w:rsidRPr="005423D4">
              <w:rPr>
                <w:rFonts w:cs="Times New Roman"/>
                <w:sz w:val="20"/>
                <w:szCs w:val="20"/>
              </w:rPr>
              <w:t>50%</w:t>
            </w:r>
          </w:p>
        </w:tc>
        <w:tc>
          <w:tcPr>
            <w:tcW w:w="1218" w:type="dxa"/>
            <w:noWrap/>
          </w:tcPr>
          <w:p w14:paraId="2FDD9920" w14:textId="77777777" w:rsidR="007978C7" w:rsidRPr="005423D4" w:rsidRDefault="007978C7" w:rsidP="006C6993">
            <w:pPr>
              <w:pStyle w:val="TableText9ptcentered"/>
              <w:keepLines/>
              <w:spacing w:before="0" w:after="0"/>
              <w:rPr>
                <w:rFonts w:cs="Times New Roman"/>
                <w:sz w:val="20"/>
                <w:szCs w:val="20"/>
              </w:rPr>
            </w:pPr>
            <w:r w:rsidRPr="005423D4">
              <w:rPr>
                <w:rFonts w:cs="Times New Roman"/>
                <w:sz w:val="20"/>
                <w:szCs w:val="20"/>
              </w:rPr>
              <w:t>60%</w:t>
            </w:r>
          </w:p>
        </w:tc>
      </w:tr>
      <w:tr w:rsidR="007978C7" w:rsidRPr="005423D4" w14:paraId="2A62353E" w14:textId="77777777" w:rsidTr="006C6993">
        <w:trPr>
          <w:trHeight w:val="397"/>
        </w:trPr>
        <w:tc>
          <w:tcPr>
            <w:tcW w:w="2659" w:type="dxa"/>
            <w:noWrap/>
          </w:tcPr>
          <w:p w14:paraId="637F29D8" w14:textId="77777777" w:rsidR="007978C7" w:rsidRPr="005423D4" w:rsidRDefault="007978C7" w:rsidP="006C6993">
            <w:pPr>
              <w:pStyle w:val="Tabletext33"/>
              <w:keepLines/>
              <w:spacing w:before="0" w:after="0"/>
            </w:pPr>
            <w:r w:rsidRPr="005423D4">
              <w:t>Prevalent patients treated per year</w:t>
            </w:r>
          </w:p>
        </w:tc>
        <w:tc>
          <w:tcPr>
            <w:tcW w:w="1277" w:type="dxa"/>
            <w:noWrap/>
          </w:tcPr>
          <w:p w14:paraId="20751FA2" w14:textId="77777777" w:rsidR="007978C7" w:rsidRPr="005423D4" w:rsidRDefault="007978C7" w:rsidP="006C6993">
            <w:pPr>
              <w:pStyle w:val="TableText9ptcentered"/>
              <w:keepLines/>
              <w:spacing w:before="0" w:after="0"/>
              <w:rPr>
                <w:rFonts w:cs="Times New Roman"/>
                <w:b/>
                <w:sz w:val="20"/>
                <w:szCs w:val="20"/>
              </w:rPr>
            </w:pPr>
            <w:r w:rsidRPr="005423D4">
              <w:rPr>
                <w:rFonts w:cs="Times New Roman"/>
                <w:b/>
                <w:sz w:val="20"/>
                <w:szCs w:val="20"/>
              </w:rPr>
              <w:t>78</w:t>
            </w:r>
          </w:p>
        </w:tc>
        <w:tc>
          <w:tcPr>
            <w:tcW w:w="1417" w:type="dxa"/>
            <w:noWrap/>
          </w:tcPr>
          <w:p w14:paraId="484B4D5D" w14:textId="77777777" w:rsidR="007978C7" w:rsidRPr="005423D4" w:rsidRDefault="007978C7" w:rsidP="006C6993">
            <w:pPr>
              <w:pStyle w:val="TableText9ptcentered"/>
              <w:keepLines/>
              <w:spacing w:before="0" w:after="0"/>
              <w:rPr>
                <w:rFonts w:cs="Times New Roman"/>
                <w:b/>
                <w:sz w:val="20"/>
                <w:szCs w:val="20"/>
              </w:rPr>
            </w:pPr>
            <w:r w:rsidRPr="005423D4">
              <w:rPr>
                <w:rFonts w:cs="Times New Roman"/>
                <w:b/>
                <w:sz w:val="20"/>
                <w:szCs w:val="20"/>
              </w:rPr>
              <w:t>97</w:t>
            </w:r>
          </w:p>
        </w:tc>
        <w:tc>
          <w:tcPr>
            <w:tcW w:w="1418" w:type="dxa"/>
            <w:noWrap/>
          </w:tcPr>
          <w:p w14:paraId="0BE3B584" w14:textId="77777777" w:rsidR="007978C7" w:rsidRPr="005423D4" w:rsidRDefault="007978C7" w:rsidP="006C6993">
            <w:pPr>
              <w:pStyle w:val="TableText9ptcentered"/>
              <w:keepLines/>
              <w:spacing w:before="0" w:after="0"/>
              <w:rPr>
                <w:rFonts w:cs="Times New Roman"/>
                <w:b/>
                <w:sz w:val="20"/>
                <w:szCs w:val="20"/>
              </w:rPr>
            </w:pPr>
            <w:r w:rsidRPr="005423D4">
              <w:rPr>
                <w:rFonts w:cs="Times New Roman"/>
                <w:b/>
                <w:sz w:val="20"/>
                <w:szCs w:val="20"/>
              </w:rPr>
              <w:t>96</w:t>
            </w:r>
          </w:p>
        </w:tc>
        <w:tc>
          <w:tcPr>
            <w:tcW w:w="1332" w:type="dxa"/>
            <w:noWrap/>
          </w:tcPr>
          <w:p w14:paraId="39B73C6E" w14:textId="77777777" w:rsidR="007978C7" w:rsidRPr="005423D4" w:rsidRDefault="007978C7" w:rsidP="006C6993">
            <w:pPr>
              <w:pStyle w:val="TableText9ptcentered"/>
              <w:keepLines/>
              <w:spacing w:before="0" w:after="0"/>
              <w:rPr>
                <w:rFonts w:cs="Times New Roman"/>
                <w:b/>
                <w:sz w:val="20"/>
                <w:szCs w:val="20"/>
              </w:rPr>
            </w:pPr>
            <w:r w:rsidRPr="005423D4">
              <w:rPr>
                <w:rFonts w:cs="Times New Roman"/>
                <w:b/>
                <w:sz w:val="20"/>
                <w:szCs w:val="20"/>
              </w:rPr>
              <w:t>79</w:t>
            </w:r>
          </w:p>
        </w:tc>
        <w:tc>
          <w:tcPr>
            <w:tcW w:w="1218" w:type="dxa"/>
            <w:noWrap/>
          </w:tcPr>
          <w:p w14:paraId="459619A2" w14:textId="77777777" w:rsidR="007978C7" w:rsidRPr="005423D4" w:rsidRDefault="007978C7" w:rsidP="006C6993">
            <w:pPr>
              <w:pStyle w:val="TableText9ptcentered"/>
              <w:keepLines/>
              <w:spacing w:before="0" w:after="0"/>
              <w:rPr>
                <w:rFonts w:cs="Times New Roman"/>
                <w:b/>
                <w:sz w:val="20"/>
                <w:szCs w:val="20"/>
              </w:rPr>
            </w:pPr>
            <w:r w:rsidRPr="005423D4">
              <w:rPr>
                <w:rFonts w:cs="Times New Roman"/>
                <w:b/>
                <w:sz w:val="20"/>
                <w:szCs w:val="20"/>
              </w:rPr>
              <w:t>56</w:t>
            </w:r>
          </w:p>
        </w:tc>
      </w:tr>
      <w:tr w:rsidR="007978C7" w:rsidRPr="005423D4" w14:paraId="11B22677" w14:textId="77777777" w:rsidTr="006C6993">
        <w:trPr>
          <w:trHeight w:val="397"/>
        </w:trPr>
        <w:tc>
          <w:tcPr>
            <w:tcW w:w="2659" w:type="dxa"/>
            <w:noWrap/>
            <w:hideMark/>
          </w:tcPr>
          <w:p w14:paraId="14A159C0" w14:textId="77777777" w:rsidR="007978C7" w:rsidRPr="005423D4" w:rsidRDefault="007978C7" w:rsidP="006C6993">
            <w:pPr>
              <w:pStyle w:val="Tabletext33"/>
              <w:keepLines/>
              <w:spacing w:before="0" w:after="0"/>
            </w:pPr>
            <w:r w:rsidRPr="005423D4">
              <w:t>Net cost to the PBS of the proposed listing</w:t>
            </w:r>
          </w:p>
        </w:tc>
        <w:tc>
          <w:tcPr>
            <w:tcW w:w="1277" w:type="dxa"/>
            <w:noWrap/>
            <w:hideMark/>
          </w:tcPr>
          <w:p w14:paraId="0CFCE682" w14:textId="3641A6C4" w:rsidR="007978C7" w:rsidRPr="005423D4" w:rsidRDefault="007978C7" w:rsidP="006C6993">
            <w:pPr>
              <w:pStyle w:val="Tabletext33cemt"/>
              <w:keepLines/>
              <w:spacing w:before="0" w:after="0"/>
            </w:pPr>
            <w:r w:rsidRPr="005423D4">
              <w:t>$</w:t>
            </w:r>
            <w:r w:rsidR="007122EF" w:rsidRPr="007122EF">
              <w:t>redacted</w:t>
            </w:r>
          </w:p>
        </w:tc>
        <w:tc>
          <w:tcPr>
            <w:tcW w:w="1417" w:type="dxa"/>
            <w:noWrap/>
            <w:hideMark/>
          </w:tcPr>
          <w:p w14:paraId="5D23AED7" w14:textId="0FA77271" w:rsidR="007978C7" w:rsidRPr="005423D4" w:rsidRDefault="007978C7" w:rsidP="006C6993">
            <w:pPr>
              <w:pStyle w:val="Tabletext33cemt"/>
              <w:keepLines/>
              <w:spacing w:before="0" w:after="0"/>
            </w:pPr>
            <w:r w:rsidRPr="005423D4">
              <w:t>$</w:t>
            </w:r>
            <w:r w:rsidR="007122EF" w:rsidRPr="007122EF">
              <w:t>redacted</w:t>
            </w:r>
          </w:p>
        </w:tc>
        <w:tc>
          <w:tcPr>
            <w:tcW w:w="1418" w:type="dxa"/>
            <w:noWrap/>
            <w:hideMark/>
          </w:tcPr>
          <w:p w14:paraId="3CF74EFD" w14:textId="25DE063C" w:rsidR="007978C7" w:rsidRPr="005423D4" w:rsidRDefault="007978C7" w:rsidP="006C6993">
            <w:pPr>
              <w:pStyle w:val="Tabletext33cemt"/>
              <w:keepLines/>
              <w:spacing w:before="0" w:after="0"/>
            </w:pPr>
            <w:r w:rsidRPr="005423D4">
              <w:t>$</w:t>
            </w:r>
            <w:r w:rsidR="007122EF" w:rsidRPr="007122EF">
              <w:t>redacted</w:t>
            </w:r>
          </w:p>
        </w:tc>
        <w:tc>
          <w:tcPr>
            <w:tcW w:w="1332" w:type="dxa"/>
            <w:noWrap/>
            <w:hideMark/>
          </w:tcPr>
          <w:p w14:paraId="769E146D" w14:textId="51A1F394" w:rsidR="007978C7" w:rsidRPr="005423D4" w:rsidRDefault="007978C7" w:rsidP="006C6993">
            <w:pPr>
              <w:pStyle w:val="Tabletext33cemt"/>
              <w:keepLines/>
              <w:spacing w:before="0" w:after="0"/>
            </w:pPr>
            <w:r w:rsidRPr="005423D4">
              <w:t>$</w:t>
            </w:r>
            <w:r w:rsidR="007122EF" w:rsidRPr="007122EF">
              <w:t>redacted</w:t>
            </w:r>
          </w:p>
        </w:tc>
        <w:tc>
          <w:tcPr>
            <w:tcW w:w="1218" w:type="dxa"/>
            <w:noWrap/>
            <w:hideMark/>
          </w:tcPr>
          <w:p w14:paraId="2982959B" w14:textId="4D0A4F0E" w:rsidR="007978C7" w:rsidRPr="005423D4" w:rsidRDefault="007978C7" w:rsidP="006C6993">
            <w:pPr>
              <w:pStyle w:val="Tabletext33cemt"/>
              <w:keepLines/>
              <w:spacing w:before="0" w:after="0"/>
            </w:pPr>
            <w:r w:rsidRPr="005423D4">
              <w:t>$</w:t>
            </w:r>
            <w:r w:rsidR="007122EF" w:rsidRPr="007122EF">
              <w:t>redacted</w:t>
            </w:r>
          </w:p>
        </w:tc>
      </w:tr>
      <w:tr w:rsidR="007978C7" w:rsidRPr="005423D4" w14:paraId="039895D7" w14:textId="77777777" w:rsidTr="006C6993">
        <w:trPr>
          <w:trHeight w:val="397"/>
        </w:trPr>
        <w:tc>
          <w:tcPr>
            <w:tcW w:w="2659" w:type="dxa"/>
            <w:noWrap/>
            <w:hideMark/>
          </w:tcPr>
          <w:p w14:paraId="7A7A5DD2" w14:textId="77777777" w:rsidR="007978C7" w:rsidRPr="005423D4" w:rsidRDefault="007978C7" w:rsidP="006C6993">
            <w:pPr>
              <w:pStyle w:val="Tabletext33"/>
              <w:keepLines/>
              <w:spacing w:before="0" w:after="0"/>
            </w:pPr>
            <w:r w:rsidRPr="005423D4">
              <w:t>Net cost to the MBS of the proposed listing</w:t>
            </w:r>
          </w:p>
        </w:tc>
        <w:tc>
          <w:tcPr>
            <w:tcW w:w="1277" w:type="dxa"/>
            <w:noWrap/>
            <w:hideMark/>
          </w:tcPr>
          <w:p w14:paraId="436E4324" w14:textId="1F87A135" w:rsidR="007978C7" w:rsidRPr="005423D4" w:rsidRDefault="007978C7" w:rsidP="006C6993">
            <w:pPr>
              <w:pStyle w:val="Tabletext33cemt"/>
              <w:keepLines/>
              <w:spacing w:before="0" w:after="0"/>
            </w:pPr>
            <w:r w:rsidRPr="005423D4">
              <w:t>$</w:t>
            </w:r>
            <w:r w:rsidR="007122EF" w:rsidRPr="007122EF">
              <w:t>redacted</w:t>
            </w:r>
          </w:p>
        </w:tc>
        <w:tc>
          <w:tcPr>
            <w:tcW w:w="1417" w:type="dxa"/>
            <w:noWrap/>
            <w:hideMark/>
          </w:tcPr>
          <w:p w14:paraId="78128DAC" w14:textId="31402EEB" w:rsidR="007978C7" w:rsidRPr="005423D4" w:rsidRDefault="007978C7" w:rsidP="006C6993">
            <w:pPr>
              <w:pStyle w:val="Tabletext33cemt"/>
              <w:keepLines/>
              <w:spacing w:before="0" w:after="0"/>
            </w:pPr>
            <w:r w:rsidRPr="005423D4">
              <w:t>$</w:t>
            </w:r>
            <w:r w:rsidR="007122EF" w:rsidRPr="007122EF">
              <w:t>redacted</w:t>
            </w:r>
          </w:p>
        </w:tc>
        <w:tc>
          <w:tcPr>
            <w:tcW w:w="1418" w:type="dxa"/>
            <w:noWrap/>
            <w:hideMark/>
          </w:tcPr>
          <w:p w14:paraId="7AD1F844" w14:textId="0654BDD9" w:rsidR="007978C7" w:rsidRPr="005423D4" w:rsidRDefault="007978C7" w:rsidP="006C6993">
            <w:pPr>
              <w:pStyle w:val="Tabletext33cemt"/>
              <w:keepLines/>
              <w:spacing w:before="0" w:after="0"/>
            </w:pPr>
            <w:r w:rsidRPr="005423D4">
              <w:t>$</w:t>
            </w:r>
            <w:r w:rsidR="007122EF" w:rsidRPr="007122EF">
              <w:t>redacted</w:t>
            </w:r>
          </w:p>
        </w:tc>
        <w:tc>
          <w:tcPr>
            <w:tcW w:w="1332" w:type="dxa"/>
            <w:noWrap/>
            <w:hideMark/>
          </w:tcPr>
          <w:p w14:paraId="642E4169" w14:textId="7C03E474" w:rsidR="007978C7" w:rsidRPr="005423D4" w:rsidRDefault="007978C7" w:rsidP="006C6993">
            <w:pPr>
              <w:pStyle w:val="Tabletext33cemt"/>
              <w:keepLines/>
              <w:spacing w:before="0" w:after="0"/>
            </w:pPr>
            <w:r w:rsidRPr="005423D4">
              <w:t>$</w:t>
            </w:r>
            <w:r w:rsidR="007122EF" w:rsidRPr="007122EF">
              <w:t>redacted</w:t>
            </w:r>
          </w:p>
        </w:tc>
        <w:tc>
          <w:tcPr>
            <w:tcW w:w="1218" w:type="dxa"/>
            <w:noWrap/>
            <w:hideMark/>
          </w:tcPr>
          <w:p w14:paraId="5D904AF6" w14:textId="3C601FF1" w:rsidR="007978C7" w:rsidRPr="005423D4" w:rsidRDefault="007978C7" w:rsidP="006C6993">
            <w:pPr>
              <w:pStyle w:val="Tabletext33cemt"/>
              <w:keepLines/>
              <w:spacing w:before="0" w:after="0"/>
            </w:pPr>
            <w:r w:rsidRPr="005423D4">
              <w:t>$</w:t>
            </w:r>
            <w:r w:rsidR="007122EF" w:rsidRPr="007122EF">
              <w:t>redacted</w:t>
            </w:r>
          </w:p>
        </w:tc>
      </w:tr>
      <w:tr w:rsidR="007978C7" w:rsidRPr="005423D4" w14:paraId="227AB437" w14:textId="77777777" w:rsidTr="006C6993">
        <w:trPr>
          <w:trHeight w:val="397"/>
        </w:trPr>
        <w:tc>
          <w:tcPr>
            <w:tcW w:w="2659" w:type="dxa"/>
            <w:noWrap/>
            <w:hideMark/>
          </w:tcPr>
          <w:p w14:paraId="0FB8FDC0" w14:textId="77777777" w:rsidR="007978C7" w:rsidRPr="005423D4" w:rsidRDefault="007978C7" w:rsidP="006C6993">
            <w:pPr>
              <w:pStyle w:val="Tabletext33"/>
              <w:keepLines/>
              <w:spacing w:before="0" w:after="0"/>
            </w:pPr>
            <w:r w:rsidRPr="005423D4">
              <w:t>Net cost to the Government of the proposed listing</w:t>
            </w:r>
          </w:p>
        </w:tc>
        <w:tc>
          <w:tcPr>
            <w:tcW w:w="1277" w:type="dxa"/>
            <w:noWrap/>
            <w:hideMark/>
          </w:tcPr>
          <w:p w14:paraId="46EB5B68" w14:textId="4EB6264F" w:rsidR="007978C7" w:rsidRPr="005423D4" w:rsidRDefault="007978C7" w:rsidP="006C6993">
            <w:pPr>
              <w:pStyle w:val="Tabletext33cemt"/>
              <w:keepLines/>
              <w:spacing w:before="0" w:after="0"/>
            </w:pPr>
            <w:r w:rsidRPr="005423D4">
              <w:t>$</w:t>
            </w:r>
            <w:r w:rsidR="007122EF" w:rsidRPr="007122EF">
              <w:t>redacted</w:t>
            </w:r>
          </w:p>
        </w:tc>
        <w:tc>
          <w:tcPr>
            <w:tcW w:w="1417" w:type="dxa"/>
            <w:noWrap/>
            <w:hideMark/>
          </w:tcPr>
          <w:p w14:paraId="4E1E8883" w14:textId="3CE882A9" w:rsidR="007978C7" w:rsidRPr="005423D4" w:rsidRDefault="007978C7" w:rsidP="006C6993">
            <w:pPr>
              <w:pStyle w:val="Tabletext33cemt"/>
              <w:keepLines/>
              <w:spacing w:before="0" w:after="0"/>
            </w:pPr>
            <w:r w:rsidRPr="005423D4">
              <w:t>$</w:t>
            </w:r>
            <w:r w:rsidR="007122EF" w:rsidRPr="007122EF">
              <w:t>redacted</w:t>
            </w:r>
          </w:p>
        </w:tc>
        <w:tc>
          <w:tcPr>
            <w:tcW w:w="1418" w:type="dxa"/>
            <w:noWrap/>
            <w:hideMark/>
          </w:tcPr>
          <w:p w14:paraId="0467DA5E" w14:textId="3EE95EB1" w:rsidR="007978C7" w:rsidRPr="005423D4" w:rsidRDefault="007978C7" w:rsidP="006C6993">
            <w:pPr>
              <w:pStyle w:val="Tabletext33cemt"/>
              <w:keepLines/>
              <w:spacing w:before="0" w:after="0"/>
            </w:pPr>
            <w:r w:rsidRPr="005423D4">
              <w:t>$</w:t>
            </w:r>
            <w:r w:rsidR="007122EF" w:rsidRPr="007122EF">
              <w:t>redacted</w:t>
            </w:r>
          </w:p>
        </w:tc>
        <w:tc>
          <w:tcPr>
            <w:tcW w:w="1332" w:type="dxa"/>
            <w:noWrap/>
            <w:hideMark/>
          </w:tcPr>
          <w:p w14:paraId="1F30F449" w14:textId="19E28937" w:rsidR="007978C7" w:rsidRPr="005423D4" w:rsidRDefault="007978C7" w:rsidP="006C6993">
            <w:pPr>
              <w:pStyle w:val="Tabletext33cemt"/>
              <w:keepLines/>
              <w:spacing w:before="0" w:after="0"/>
            </w:pPr>
            <w:r w:rsidRPr="005423D4">
              <w:t>$</w:t>
            </w:r>
            <w:r w:rsidR="007122EF" w:rsidRPr="007122EF">
              <w:t>redacted</w:t>
            </w:r>
          </w:p>
        </w:tc>
        <w:tc>
          <w:tcPr>
            <w:tcW w:w="1218" w:type="dxa"/>
            <w:noWrap/>
            <w:hideMark/>
          </w:tcPr>
          <w:p w14:paraId="34184779" w14:textId="22B6BF73" w:rsidR="007978C7" w:rsidRPr="005423D4" w:rsidRDefault="007978C7" w:rsidP="006C6993">
            <w:pPr>
              <w:pStyle w:val="Tabletext33cemt"/>
              <w:keepLines/>
              <w:spacing w:before="0" w:after="0"/>
            </w:pPr>
            <w:r w:rsidRPr="005423D4">
              <w:t>$</w:t>
            </w:r>
            <w:r w:rsidR="007122EF" w:rsidRPr="007122EF">
              <w:t>redacted</w:t>
            </w:r>
          </w:p>
        </w:tc>
      </w:tr>
    </w:tbl>
    <w:p w14:paraId="06FCAA2A" w14:textId="77777777" w:rsidR="006A0D97" w:rsidRPr="00F715D1" w:rsidRDefault="006A0D97" w:rsidP="00F715D1">
      <w:pPr>
        <w:pStyle w:val="Heading1"/>
      </w:pPr>
      <w:r w:rsidRPr="00F715D1">
        <w:t>Key issues from ESC for MSAC</w:t>
      </w:r>
    </w:p>
    <w:p w14:paraId="2618CB4D" w14:textId="77777777" w:rsidR="00834AE3" w:rsidRPr="00834AE3" w:rsidRDefault="00834AE3" w:rsidP="005423D4">
      <w:pPr>
        <w:spacing w:before="180"/>
        <w:rPr>
          <w:szCs w:val="24"/>
        </w:rPr>
      </w:pPr>
      <w:r w:rsidRPr="00834AE3">
        <w:rPr>
          <w:szCs w:val="24"/>
        </w:rPr>
        <w:t>ESC noted that cutaneous T-cell lymphoma (CTCL) was a rare disease affecting a small number of patients and as such, the evidence base for the submission was limited.</w:t>
      </w:r>
    </w:p>
    <w:p w14:paraId="203C0BBC" w14:textId="5D890683" w:rsidR="00834AE3" w:rsidRPr="00834AE3" w:rsidRDefault="00834AE3" w:rsidP="005423D4">
      <w:pPr>
        <w:spacing w:before="180"/>
        <w:rPr>
          <w:szCs w:val="24"/>
        </w:rPr>
      </w:pPr>
      <w:r w:rsidRPr="00834AE3">
        <w:rPr>
          <w:szCs w:val="24"/>
        </w:rPr>
        <w:t>ESC noted that the submission relied upon Hughes et al 2015 as the primary study. This Australian study was a retrospective analysis of data collected from 198 patients with CTCL who underwent systemic therapies between 1975 and 2014. The various systemic therapies included, among others, extracorporeal photopheresis (ECP) and use of interferon-α2b, methotrexate, alemtuzumab and histone deacetylase inhibitors (which include vorinostat). ESC noted that this study was likely to be at high risk of bias because:</w:t>
      </w:r>
    </w:p>
    <w:p w14:paraId="3A9AFF11" w14:textId="77777777" w:rsidR="00834AE3" w:rsidRPr="00834AE3" w:rsidRDefault="00834AE3" w:rsidP="005423D4">
      <w:pPr>
        <w:numPr>
          <w:ilvl w:val="0"/>
          <w:numId w:val="28"/>
        </w:numPr>
        <w:spacing w:before="180"/>
        <w:rPr>
          <w:szCs w:val="24"/>
        </w:rPr>
      </w:pPr>
      <w:r w:rsidRPr="00834AE3">
        <w:rPr>
          <w:szCs w:val="24"/>
        </w:rPr>
        <w:t xml:space="preserve">it included a highly heterogeneous mix of patients in terms of their baseline and prognostic factors; </w:t>
      </w:r>
    </w:p>
    <w:p w14:paraId="67380BDC" w14:textId="77777777" w:rsidR="00834AE3" w:rsidRPr="00834AE3" w:rsidRDefault="00834AE3" w:rsidP="005423D4">
      <w:pPr>
        <w:numPr>
          <w:ilvl w:val="0"/>
          <w:numId w:val="28"/>
        </w:numPr>
        <w:ind w:left="714" w:hanging="357"/>
        <w:rPr>
          <w:szCs w:val="24"/>
        </w:rPr>
      </w:pPr>
      <w:r w:rsidRPr="00834AE3">
        <w:rPr>
          <w:szCs w:val="24"/>
        </w:rPr>
        <w:t>it compared patients who had failed many different types of treatment with those who had failed only one or two types of treatment; and</w:t>
      </w:r>
    </w:p>
    <w:p w14:paraId="6C2BEB35" w14:textId="77777777" w:rsidR="00834AE3" w:rsidRPr="00834AE3" w:rsidRDefault="00834AE3" w:rsidP="005423D4">
      <w:pPr>
        <w:numPr>
          <w:ilvl w:val="0"/>
          <w:numId w:val="28"/>
        </w:numPr>
        <w:ind w:left="714" w:hanging="357"/>
        <w:rPr>
          <w:szCs w:val="24"/>
        </w:rPr>
      </w:pPr>
      <w:proofErr w:type="gramStart"/>
      <w:r w:rsidRPr="00834AE3">
        <w:rPr>
          <w:szCs w:val="24"/>
        </w:rPr>
        <w:t>data</w:t>
      </w:r>
      <w:proofErr w:type="gramEnd"/>
      <w:r w:rsidRPr="00834AE3">
        <w:rPr>
          <w:szCs w:val="24"/>
        </w:rPr>
        <w:t xml:space="preserve"> were collected over a long period of time and treatment pathways were likely to have changed during that time.</w:t>
      </w:r>
    </w:p>
    <w:p w14:paraId="6BEB4CDB" w14:textId="77777777" w:rsidR="00834AE3" w:rsidRPr="00834AE3" w:rsidRDefault="00834AE3" w:rsidP="005423D4">
      <w:pPr>
        <w:spacing w:before="180"/>
        <w:rPr>
          <w:szCs w:val="24"/>
        </w:rPr>
      </w:pPr>
      <w:r w:rsidRPr="00834AE3">
        <w:rPr>
          <w:szCs w:val="24"/>
        </w:rPr>
        <w:t>ESC noted that there were no comparative safety data on the use of ECP in refractory stage CTCL and the safety data were taken from studies that enrolled patients with early stage CTCL, advanced CTCL and rheumatoid arthritis. This evidence suggested that ECP may be associated with fewer adverse events than interferon-α2b or alemtuzumab, and may have a safety profile similar to or better than methotrexate.</w:t>
      </w:r>
    </w:p>
    <w:p w14:paraId="3CF07075" w14:textId="77777777" w:rsidR="00834AE3" w:rsidRPr="00834AE3" w:rsidRDefault="00834AE3" w:rsidP="005423D4">
      <w:pPr>
        <w:spacing w:before="180"/>
        <w:rPr>
          <w:szCs w:val="24"/>
        </w:rPr>
      </w:pPr>
      <w:r w:rsidRPr="00834AE3">
        <w:rPr>
          <w:szCs w:val="24"/>
        </w:rPr>
        <w:t xml:space="preserve">ESC noted that a procedural outcome, time to next systemic treatment (TTNT) measured in the Hughes study, was used as the primary measure of comparative effectiveness. The submission asserted that TTNT is a good proxy measure for patient quality of life. However, ESC considered that TTNT is influenced by a variety of factors that may have had little to do with the efficacy of treatment. These factors included the availability of other treatments, patient treatment preferences, and the order in which other treatments have been used. ESC also considered that the use of a procedural outcome to measure effectiveness in an </w:t>
      </w:r>
      <w:proofErr w:type="spellStart"/>
      <w:r w:rsidRPr="00834AE3">
        <w:rPr>
          <w:szCs w:val="24"/>
        </w:rPr>
        <w:t>unblinded</w:t>
      </w:r>
      <w:proofErr w:type="spellEnd"/>
      <w:r w:rsidRPr="00834AE3">
        <w:rPr>
          <w:szCs w:val="24"/>
        </w:rPr>
        <w:t xml:space="preserve"> study increased the risk of bias.</w:t>
      </w:r>
    </w:p>
    <w:p w14:paraId="6F171EEE" w14:textId="77777777" w:rsidR="00834AE3" w:rsidRPr="00834AE3" w:rsidRDefault="00834AE3" w:rsidP="005423D4">
      <w:pPr>
        <w:spacing w:before="180"/>
        <w:rPr>
          <w:szCs w:val="24"/>
        </w:rPr>
      </w:pPr>
      <w:r w:rsidRPr="00834AE3">
        <w:rPr>
          <w:szCs w:val="24"/>
        </w:rPr>
        <w:t xml:space="preserve">ESC noted that the Hughes study reported no significant difference in TTNT between ECP and comparators other than chemotherapy, which was likely to be used as third line or later treatment. </w:t>
      </w:r>
    </w:p>
    <w:p w14:paraId="650A75E9" w14:textId="77777777" w:rsidR="00834AE3" w:rsidRPr="00834AE3" w:rsidRDefault="00834AE3" w:rsidP="005423D4">
      <w:pPr>
        <w:spacing w:before="180"/>
        <w:rPr>
          <w:szCs w:val="24"/>
        </w:rPr>
      </w:pPr>
      <w:r w:rsidRPr="00834AE3">
        <w:rPr>
          <w:szCs w:val="24"/>
        </w:rPr>
        <w:t xml:space="preserve">The committee noted that the comparator included in the economic model was a weighted basket of second line treatments including methotrexate (46%), interferon-α2b (32%) and </w:t>
      </w:r>
      <w:r w:rsidRPr="00834AE3">
        <w:rPr>
          <w:szCs w:val="24"/>
        </w:rPr>
        <w:lastRenderedPageBreak/>
        <w:t xml:space="preserve">alemtuzumab (22%) and that the relative weight of each treatment was based upon the responses of 20 Australian clinicians to a survey rather than the published literature. </w:t>
      </w:r>
    </w:p>
    <w:p w14:paraId="5D5A69BF" w14:textId="02C408FB" w:rsidR="00834AE3" w:rsidRPr="00834AE3" w:rsidRDefault="00834AE3" w:rsidP="005423D4">
      <w:pPr>
        <w:spacing w:before="180"/>
        <w:rPr>
          <w:szCs w:val="24"/>
        </w:rPr>
      </w:pPr>
      <w:r w:rsidRPr="00834AE3">
        <w:rPr>
          <w:szCs w:val="24"/>
        </w:rPr>
        <w:t>ESC considered that the economic model was simplistic and based upon implausible clinical assumptions. ESC noted that the Hughes study had concluded that chemotherapy should only be used once all other treatment options had been exhausted. However, despite the availability of a range of different second line treatments, the model assumed all patients only tried one type of second line therapy before moving immediately on to third line chemotherapy. As a result, the majority of people in the model had progressed to chemotherapy within one year. ESC also noted that the model did not consider the possibility that ECP and/or other treatment options may be used together as combination therapy. ESC noted that the applicant assert</w:t>
      </w:r>
      <w:r w:rsidR="00FC718B">
        <w:rPr>
          <w:szCs w:val="24"/>
        </w:rPr>
        <w:t>ed</w:t>
      </w:r>
      <w:r w:rsidRPr="00834AE3">
        <w:rPr>
          <w:szCs w:val="24"/>
        </w:rPr>
        <w:t xml:space="preserve"> that ECP w</w:t>
      </w:r>
      <w:r w:rsidR="00FC718B">
        <w:rPr>
          <w:szCs w:val="24"/>
        </w:rPr>
        <w:t>ould</w:t>
      </w:r>
      <w:r w:rsidRPr="00834AE3">
        <w:rPr>
          <w:szCs w:val="24"/>
        </w:rPr>
        <w:t xml:space="preserve"> replace other second-line treatments, but ESC considered it was more likely that ECP would </w:t>
      </w:r>
      <w:r w:rsidRPr="00834AE3">
        <w:rPr>
          <w:i/>
          <w:szCs w:val="24"/>
        </w:rPr>
        <w:t>displace</w:t>
      </w:r>
      <w:r w:rsidRPr="00834AE3">
        <w:rPr>
          <w:szCs w:val="24"/>
        </w:rPr>
        <w:t xml:space="preserve"> other treatments and this scenario </w:t>
      </w:r>
      <w:r w:rsidR="00FC718B">
        <w:rPr>
          <w:szCs w:val="24"/>
        </w:rPr>
        <w:t>wa</w:t>
      </w:r>
      <w:r w:rsidRPr="00834AE3">
        <w:rPr>
          <w:szCs w:val="24"/>
        </w:rPr>
        <w:t>s not captured in the economic model.</w:t>
      </w:r>
    </w:p>
    <w:p w14:paraId="7097B91F" w14:textId="77777777" w:rsidR="00834AE3" w:rsidRPr="00834AE3" w:rsidRDefault="00834AE3" w:rsidP="005423D4">
      <w:pPr>
        <w:spacing w:before="180"/>
        <w:rPr>
          <w:szCs w:val="24"/>
        </w:rPr>
      </w:pPr>
      <w:r w:rsidRPr="00834AE3">
        <w:rPr>
          <w:szCs w:val="24"/>
        </w:rPr>
        <w:t xml:space="preserve">ESC questioned the appropriateness of generating an exponential survival curve to model ‘time on treatment’ using median TTNT and the proportion of patients free from further treatment at one and two years. ESC noted that this inappropriately combined different measures and combined three point estimates to generate continuous measures over time. ESC noted that there were relevant Kaplan Meier </w:t>
      </w:r>
      <w:proofErr w:type="gramStart"/>
      <w:r w:rsidRPr="00834AE3">
        <w:rPr>
          <w:szCs w:val="24"/>
        </w:rPr>
        <w:t>survival</w:t>
      </w:r>
      <w:proofErr w:type="gramEnd"/>
      <w:r w:rsidRPr="00834AE3">
        <w:rPr>
          <w:szCs w:val="24"/>
        </w:rPr>
        <w:t xml:space="preserve"> curves presented in the Hughes study and suggested that using these to inform the model more would be more appropriate. </w:t>
      </w:r>
    </w:p>
    <w:p w14:paraId="07A5DA51" w14:textId="35992EB2" w:rsidR="00834AE3" w:rsidRPr="00834AE3" w:rsidRDefault="00834AE3" w:rsidP="005423D4">
      <w:pPr>
        <w:spacing w:before="180"/>
        <w:rPr>
          <w:szCs w:val="24"/>
        </w:rPr>
      </w:pPr>
      <w:r w:rsidRPr="00834AE3">
        <w:rPr>
          <w:szCs w:val="24"/>
        </w:rPr>
        <w:t>ESC questioned whether including alemtuzumab in the basket of second line comparators was appropriate and noted that, in the Hughes study, alemtuzumab was indicated to be a later line therapy (median line of therapy 3.5). In contrast, the Hughes study indicated that interferon-α2b, methotrexate and ECP were all second line therapies (median line of therapy 2). The committee noted that inclusion of alemtuzumab in the basket of comparators significantly favour</w:t>
      </w:r>
      <w:r w:rsidR="00FC718B">
        <w:rPr>
          <w:szCs w:val="24"/>
        </w:rPr>
        <w:t>ed</w:t>
      </w:r>
      <w:r w:rsidRPr="00834AE3">
        <w:rPr>
          <w:szCs w:val="24"/>
        </w:rPr>
        <w:t xml:space="preserve"> ECP due its high cost. The cost of a fortnight’s supply of alemtuzumab was ~$68,000 compared with ~$2,200 for ECP, ~$1,000 for interferon-α2b and $6 for methotrexate.</w:t>
      </w:r>
    </w:p>
    <w:p w14:paraId="00B5193D" w14:textId="77777777" w:rsidR="00834AE3" w:rsidRPr="00834AE3" w:rsidRDefault="00834AE3" w:rsidP="005423D4">
      <w:pPr>
        <w:spacing w:before="180"/>
        <w:rPr>
          <w:szCs w:val="24"/>
        </w:rPr>
      </w:pPr>
      <w:r w:rsidRPr="00834AE3">
        <w:rPr>
          <w:szCs w:val="24"/>
        </w:rPr>
        <w:t xml:space="preserve">In addition, ESC noted that the effectiveness and cost-effectiveness of alemtuzumab or interferon-α2b have not been established in the Australian context for the treatment of CTCL, given that neither is TGA registered nor PBS listed for this indication. If MSAC were to agree that either were a relevant comparator, then MSAC would also need a basis to establish the cost-effectiveness of these alternatives before using them as a basis for considering the cost-effectiveness of ECP. For example, asserting dominance of ECP over alemtuzumab is not a compelling argument for an MBS listing of ECP if alemtuzumab is not itself acceptably cost-effective in treating CTCL. </w:t>
      </w:r>
    </w:p>
    <w:p w14:paraId="3E95FB66" w14:textId="77777777" w:rsidR="00834AE3" w:rsidRPr="00834AE3" w:rsidRDefault="00834AE3" w:rsidP="005423D4">
      <w:pPr>
        <w:spacing w:before="180"/>
        <w:rPr>
          <w:szCs w:val="24"/>
        </w:rPr>
      </w:pPr>
      <w:r w:rsidRPr="00834AE3">
        <w:rPr>
          <w:szCs w:val="24"/>
        </w:rPr>
        <w:t>By contrast, methotrexate is PBS-listed without restriction, and so there is an implicit acceptance of its cost-effectiveness for this therapeutic use.</w:t>
      </w:r>
    </w:p>
    <w:p w14:paraId="1ADA416A" w14:textId="77777777" w:rsidR="00834AE3" w:rsidRPr="00834AE3" w:rsidRDefault="00834AE3" w:rsidP="005423D4">
      <w:pPr>
        <w:spacing w:before="180"/>
        <w:rPr>
          <w:szCs w:val="24"/>
        </w:rPr>
      </w:pPr>
      <w:r w:rsidRPr="00834AE3">
        <w:rPr>
          <w:szCs w:val="24"/>
        </w:rPr>
        <w:t>ESC considered that the March 2017 recommendation by the PBAC to list vorinostat on the PBS for the treatment of CTCL would impact upon the clinical algorithm and economic model included in the submission.</w:t>
      </w:r>
    </w:p>
    <w:p w14:paraId="420C37C7" w14:textId="5278E21C" w:rsidR="00834AE3" w:rsidRPr="00834AE3" w:rsidRDefault="00834AE3" w:rsidP="005423D4">
      <w:pPr>
        <w:spacing w:before="180"/>
        <w:rPr>
          <w:szCs w:val="24"/>
        </w:rPr>
      </w:pPr>
      <w:r w:rsidRPr="00834AE3">
        <w:rPr>
          <w:szCs w:val="24"/>
        </w:rPr>
        <w:t xml:space="preserve">ESC considered that the way utility and disutility values had been derived was inadequately described and/or justified. ESC accepted that using utility values for psoriasis (Zug et al 1995) as a proxy appeared to be reasonable, but questioned the way they had been applied. Health states corresponding to having mild, moderate and severe psoriasis had been mapped to response to ECP treatment (complete/partial/non-response; </w:t>
      </w:r>
      <w:proofErr w:type="spellStart"/>
      <w:r w:rsidRPr="00834AE3">
        <w:rPr>
          <w:szCs w:val="24"/>
        </w:rPr>
        <w:t>Arulogun</w:t>
      </w:r>
      <w:proofErr w:type="spellEnd"/>
      <w:r w:rsidRPr="00834AE3">
        <w:rPr>
          <w:szCs w:val="24"/>
        </w:rPr>
        <w:t xml:space="preserve"> et al 2008) without justifying this approach. The application of the resulting utility weight (0.71) to all patients </w:t>
      </w:r>
      <w:r w:rsidRPr="00834AE3">
        <w:rPr>
          <w:szCs w:val="24"/>
        </w:rPr>
        <w:lastRenderedPageBreak/>
        <w:t xml:space="preserve">on the basis that the response profile for each type of second line treatment would be identical was also questioned by ESC. </w:t>
      </w:r>
    </w:p>
    <w:p w14:paraId="69C4B6F1" w14:textId="77777777" w:rsidR="00834AE3" w:rsidRPr="00834AE3" w:rsidRDefault="00834AE3" w:rsidP="005423D4">
      <w:pPr>
        <w:spacing w:before="180"/>
        <w:rPr>
          <w:szCs w:val="24"/>
        </w:rPr>
      </w:pPr>
      <w:r w:rsidRPr="00834AE3">
        <w:rPr>
          <w:szCs w:val="24"/>
        </w:rPr>
        <w:t>ESC noted that disutility due to the adverse effects associated with the comparators was derived from a study of interferon-α2b treatment in Stage III cutaneous melanoma (</w:t>
      </w:r>
      <w:proofErr w:type="spellStart"/>
      <w:r w:rsidRPr="00834AE3">
        <w:rPr>
          <w:szCs w:val="24"/>
        </w:rPr>
        <w:t>Crott</w:t>
      </w:r>
      <w:proofErr w:type="spellEnd"/>
      <w:r w:rsidRPr="00834AE3">
        <w:rPr>
          <w:szCs w:val="24"/>
        </w:rPr>
        <w:t xml:space="preserve"> et al 2004), but considered its use has not been adequately justified. In addition, ESC noted that the disutility value (0.13) calculated from this study was applied identically to all three of the comparators in the economic model. ESC questioned the assumption that the disutility caused by adverse effects as a result of treatment with interferon-α2b, methotrexate and alemtuzumab would be of similar magnitude given the likely differences in safety profile of the three agents.</w:t>
      </w:r>
    </w:p>
    <w:p w14:paraId="3AAB19BC" w14:textId="77777777" w:rsidR="00834AE3" w:rsidRPr="00834AE3" w:rsidRDefault="00834AE3" w:rsidP="005423D4">
      <w:pPr>
        <w:spacing w:before="180"/>
        <w:rPr>
          <w:szCs w:val="24"/>
        </w:rPr>
      </w:pPr>
      <w:r w:rsidRPr="00834AE3">
        <w:rPr>
          <w:szCs w:val="24"/>
        </w:rPr>
        <w:t>Other issues with the economic model included the incorrect use of specialist fees (MBS items 104 and 105) instead of consultant physician fees (MBS items 110 and 116); a lack of consideration of capital costs for the ECP machine; the cost of consumables, the need for vascular access (e.g. PICC/central line); the costs of infection prophylaxis in patients receiving alemtuzumab; monitoring costs; and the cost of treating adverse events.</w:t>
      </w:r>
    </w:p>
    <w:p w14:paraId="51072780" w14:textId="77777777" w:rsidR="00834AE3" w:rsidRPr="00834AE3" w:rsidRDefault="00834AE3" w:rsidP="005423D4">
      <w:pPr>
        <w:spacing w:before="180"/>
        <w:rPr>
          <w:szCs w:val="24"/>
        </w:rPr>
      </w:pPr>
      <w:r w:rsidRPr="00834AE3">
        <w:rPr>
          <w:szCs w:val="24"/>
        </w:rPr>
        <w:t>Given these issues with the economic modelling, ESC considered the economic model to be unreliable and the claim that ECP dominated other second line treatments to be highly uncertain. ESC considered the economic model did not adequately reflect clinical practice or the impact of listing the service upon the MBS. ESC suggested that the economic model be redesigned to:</w:t>
      </w:r>
    </w:p>
    <w:p w14:paraId="1A832A0D" w14:textId="77777777" w:rsidR="00834AE3" w:rsidRPr="00834AE3" w:rsidRDefault="00834AE3" w:rsidP="005423D4">
      <w:pPr>
        <w:numPr>
          <w:ilvl w:val="0"/>
          <w:numId w:val="27"/>
        </w:numPr>
        <w:spacing w:before="180"/>
        <w:rPr>
          <w:szCs w:val="24"/>
        </w:rPr>
      </w:pPr>
      <w:r w:rsidRPr="00834AE3">
        <w:rPr>
          <w:szCs w:val="24"/>
        </w:rPr>
        <w:t>allow use of multiple second line treatments before the use of vorinostat (PBAC approved) or alemtuzumab (not approved) followed by chemotherapy (i.e., allowing for displacement of other therapies);</w:t>
      </w:r>
    </w:p>
    <w:p w14:paraId="34F0F251" w14:textId="77777777" w:rsidR="00834AE3" w:rsidRPr="00834AE3" w:rsidRDefault="00834AE3" w:rsidP="005423D4">
      <w:pPr>
        <w:numPr>
          <w:ilvl w:val="0"/>
          <w:numId w:val="27"/>
        </w:numPr>
        <w:ind w:left="788" w:hanging="357"/>
        <w:rPr>
          <w:szCs w:val="24"/>
        </w:rPr>
      </w:pPr>
      <w:r w:rsidRPr="00834AE3">
        <w:rPr>
          <w:szCs w:val="24"/>
        </w:rPr>
        <w:t>use the true survival analyses of TTNT presented in the Hughes study to inform estimates of time on treatment; and</w:t>
      </w:r>
    </w:p>
    <w:p w14:paraId="1A8CCCBE" w14:textId="77777777" w:rsidR="00834AE3" w:rsidRPr="00834AE3" w:rsidRDefault="00834AE3" w:rsidP="005423D4">
      <w:pPr>
        <w:numPr>
          <w:ilvl w:val="0"/>
          <w:numId w:val="27"/>
        </w:numPr>
        <w:ind w:left="788" w:hanging="357"/>
        <w:rPr>
          <w:szCs w:val="24"/>
        </w:rPr>
      </w:pPr>
      <w:proofErr w:type="gramStart"/>
      <w:r w:rsidRPr="00834AE3">
        <w:rPr>
          <w:szCs w:val="24"/>
        </w:rPr>
        <w:t>reconsider</w:t>
      </w:r>
      <w:proofErr w:type="gramEnd"/>
      <w:r w:rsidRPr="00834AE3">
        <w:rPr>
          <w:szCs w:val="24"/>
        </w:rPr>
        <w:t xml:space="preserve"> the utility (and disutility) values used in the model and provide adequate justification of any values subsequently used in the modelling.</w:t>
      </w:r>
    </w:p>
    <w:p w14:paraId="26975B28" w14:textId="4C8ED48F" w:rsidR="00834AE3" w:rsidRPr="00834AE3" w:rsidRDefault="00834AE3" w:rsidP="005423D4">
      <w:pPr>
        <w:spacing w:before="180"/>
        <w:rPr>
          <w:szCs w:val="24"/>
        </w:rPr>
      </w:pPr>
      <w:r w:rsidRPr="00834AE3">
        <w:rPr>
          <w:szCs w:val="24"/>
        </w:rPr>
        <w:t>ESC noted that there is a strong possibility of unintended utilisation if ECP is used as first line therapy. ESC noted that in the Hughes study, ECP was used first line in 29.9% of patients with T</w:t>
      </w:r>
      <w:r w:rsidRPr="00C427C3">
        <w:rPr>
          <w:szCs w:val="24"/>
          <w:vertAlign w:val="subscript"/>
        </w:rPr>
        <w:t>4</w:t>
      </w:r>
      <w:r w:rsidRPr="00834AE3">
        <w:rPr>
          <w:szCs w:val="24"/>
        </w:rPr>
        <w:t xml:space="preserve"> disease and that it is listed as a first line treatment option in the 2005 </w:t>
      </w:r>
      <w:hyperlink r:id="rId11" w:tooltip="Link to NHMRC Clinical Practice Guidelines for the Diagnosis and Managment of Lymphoma" w:history="1">
        <w:r w:rsidRPr="00834AE3">
          <w:rPr>
            <w:color w:val="0000FF"/>
            <w:szCs w:val="24"/>
            <w:u w:val="single"/>
          </w:rPr>
          <w:t>Australian Clinical Practice Guidelines for the Diagnosis and Management of Lymphoma</w:t>
        </w:r>
      </w:hyperlink>
      <w:r w:rsidRPr="00834AE3">
        <w:rPr>
          <w:szCs w:val="24"/>
        </w:rPr>
        <w:t>.</w:t>
      </w:r>
    </w:p>
    <w:p w14:paraId="1790E7F9" w14:textId="02872C3C" w:rsidR="00834AE3" w:rsidRPr="00834AE3" w:rsidRDefault="00834AE3" w:rsidP="005423D4">
      <w:pPr>
        <w:spacing w:before="180"/>
        <w:rPr>
          <w:szCs w:val="24"/>
        </w:rPr>
      </w:pPr>
      <w:r w:rsidRPr="00834AE3">
        <w:rPr>
          <w:szCs w:val="24"/>
        </w:rPr>
        <w:t>ESC noted that the ECP treatment regimen is not well-standardised. The treatment regimen (number, frequency and duration of treatment sessions) set out in the submission differed from the Journal of the European Academy of Dermatology and Venereology (JEADV) guidelines (</w:t>
      </w:r>
      <w:proofErr w:type="spellStart"/>
      <w:r w:rsidRPr="00834AE3">
        <w:rPr>
          <w:szCs w:val="24"/>
        </w:rPr>
        <w:t>Knobler</w:t>
      </w:r>
      <w:proofErr w:type="spellEnd"/>
      <w:r w:rsidRPr="00834AE3">
        <w:rPr>
          <w:szCs w:val="24"/>
        </w:rPr>
        <w:t xml:space="preserve"> et al 2014). ESC noted that if the proposed MBS fee were payable per treatment session, the frequency and duration of treatment would impact upon the cost of providing the service.</w:t>
      </w:r>
    </w:p>
    <w:p w14:paraId="2D1FF827" w14:textId="57DB68A8" w:rsidR="00834AE3" w:rsidRPr="00834AE3" w:rsidRDefault="00834AE3" w:rsidP="005423D4">
      <w:pPr>
        <w:spacing w:before="180"/>
        <w:rPr>
          <w:szCs w:val="24"/>
        </w:rPr>
      </w:pPr>
      <w:r w:rsidRPr="00834AE3">
        <w:rPr>
          <w:szCs w:val="24"/>
        </w:rPr>
        <w:t>ESC noted that the cost of the consumables for the ECP service were high (~$</w:t>
      </w:r>
      <w:r w:rsidR="007122EF" w:rsidRPr="007122EF">
        <w:rPr>
          <w:b/>
          <w:szCs w:val="24"/>
        </w:rPr>
        <w:t>redacted</w:t>
      </w:r>
      <w:r w:rsidRPr="00834AE3">
        <w:rPr>
          <w:szCs w:val="24"/>
        </w:rPr>
        <w:t>). ESC noted that, while the applicant had provided a diagram of the procedural kit used during the service in the pre-ESC response, there was still no justification or breakdown of the costs associated with this kit.</w:t>
      </w:r>
    </w:p>
    <w:p w14:paraId="3E7FA897" w14:textId="77777777" w:rsidR="00834AE3" w:rsidRPr="00834AE3" w:rsidRDefault="00834AE3" w:rsidP="005423D4">
      <w:pPr>
        <w:spacing w:before="180"/>
        <w:rPr>
          <w:szCs w:val="24"/>
        </w:rPr>
      </w:pPr>
      <w:r w:rsidRPr="00834AE3">
        <w:rPr>
          <w:szCs w:val="24"/>
        </w:rPr>
        <w:t xml:space="preserve">ESC considered that listing ECP on the MBS would not address all access and equity issues. ESC noted that the small patient population, high capital costs and specialist training to deliver the procedure of ECP meant that the service would likely remain limited to major metropolitan settings, even if the application were successful. ESC noted that centralised treatment in a specialised facility is best in situations where there is a small patient volume </w:t>
      </w:r>
      <w:r w:rsidRPr="00834AE3">
        <w:rPr>
          <w:szCs w:val="24"/>
        </w:rPr>
        <w:lastRenderedPageBreak/>
        <w:t>and a high level of treatment complexity. Moreover, ESC noted that MBS funding cannot be used to reimburse administrative and travel costs and therefore could not be used to subsidise patient travel costs. ESC suggested that considering alternative methods of funding, such as a Nationally Funded Centre (NFC), would be worthwhile.</w:t>
      </w:r>
    </w:p>
    <w:p w14:paraId="42737A14" w14:textId="77777777" w:rsidR="00834AE3" w:rsidRPr="00834AE3" w:rsidRDefault="00834AE3" w:rsidP="005423D4">
      <w:pPr>
        <w:spacing w:before="180"/>
        <w:rPr>
          <w:szCs w:val="24"/>
        </w:rPr>
      </w:pPr>
      <w:r w:rsidRPr="00834AE3">
        <w:rPr>
          <w:szCs w:val="24"/>
        </w:rPr>
        <w:t>ESC noted that there were a number of issues with the MBS item descriptor including:</w:t>
      </w:r>
    </w:p>
    <w:p w14:paraId="631F2735" w14:textId="77777777" w:rsidR="00834AE3" w:rsidRPr="00834AE3" w:rsidRDefault="00834AE3" w:rsidP="005423D4">
      <w:pPr>
        <w:numPr>
          <w:ilvl w:val="0"/>
          <w:numId w:val="26"/>
        </w:numPr>
        <w:spacing w:before="180"/>
        <w:rPr>
          <w:szCs w:val="24"/>
        </w:rPr>
      </w:pPr>
      <w:r w:rsidRPr="00834AE3">
        <w:rPr>
          <w:szCs w:val="24"/>
        </w:rPr>
        <w:t>the need for the MBS and PBS listings to be consistent; (e.g. “above 18 years of age” should also be included in the PBS restriction);</w:t>
      </w:r>
    </w:p>
    <w:p w14:paraId="3D300335" w14:textId="77777777" w:rsidR="00834AE3" w:rsidRPr="00834AE3" w:rsidRDefault="00834AE3" w:rsidP="005423D4">
      <w:pPr>
        <w:numPr>
          <w:ilvl w:val="0"/>
          <w:numId w:val="26"/>
        </w:numPr>
        <w:ind w:left="788" w:hanging="357"/>
        <w:rPr>
          <w:szCs w:val="24"/>
        </w:rPr>
      </w:pPr>
      <w:r w:rsidRPr="00834AE3">
        <w:rPr>
          <w:szCs w:val="24"/>
        </w:rPr>
        <w:t>inclusion of wording to prevent use of ECP as a first line treatment;</w:t>
      </w:r>
    </w:p>
    <w:p w14:paraId="75F7D1C1" w14:textId="77777777" w:rsidR="00834AE3" w:rsidRPr="00834AE3" w:rsidRDefault="00834AE3" w:rsidP="005423D4">
      <w:pPr>
        <w:numPr>
          <w:ilvl w:val="0"/>
          <w:numId w:val="26"/>
        </w:numPr>
        <w:ind w:left="788" w:hanging="357"/>
        <w:rPr>
          <w:szCs w:val="24"/>
        </w:rPr>
      </w:pPr>
      <w:r w:rsidRPr="00834AE3">
        <w:rPr>
          <w:szCs w:val="24"/>
        </w:rPr>
        <w:t>inclusion of information about the frequency of use and duration of use (including restricting ongoing use to patients responding to treatment);</w:t>
      </w:r>
    </w:p>
    <w:p w14:paraId="3F36E096" w14:textId="77777777" w:rsidR="00834AE3" w:rsidRPr="00834AE3" w:rsidRDefault="00834AE3" w:rsidP="005423D4">
      <w:pPr>
        <w:numPr>
          <w:ilvl w:val="0"/>
          <w:numId w:val="26"/>
        </w:numPr>
        <w:ind w:left="788" w:hanging="357"/>
        <w:rPr>
          <w:szCs w:val="24"/>
        </w:rPr>
      </w:pPr>
      <w:r w:rsidRPr="00834AE3">
        <w:rPr>
          <w:szCs w:val="24"/>
        </w:rPr>
        <w:t>a statement that ECP is to be used with methoxsalen;</w:t>
      </w:r>
    </w:p>
    <w:p w14:paraId="37529D8E" w14:textId="77777777" w:rsidR="00834AE3" w:rsidRPr="00834AE3" w:rsidRDefault="00834AE3" w:rsidP="005423D4">
      <w:pPr>
        <w:numPr>
          <w:ilvl w:val="0"/>
          <w:numId w:val="26"/>
        </w:numPr>
        <w:ind w:left="788" w:hanging="357"/>
        <w:rPr>
          <w:szCs w:val="24"/>
        </w:rPr>
      </w:pPr>
      <w:r w:rsidRPr="00834AE3">
        <w:rPr>
          <w:szCs w:val="24"/>
        </w:rPr>
        <w:t>a statement that when ECP is subsidised for CTCL, it is not to be used concurrently with any other systemic treatment for CTCL; and</w:t>
      </w:r>
    </w:p>
    <w:p w14:paraId="777319DD" w14:textId="77777777" w:rsidR="00834AE3" w:rsidRPr="00834AE3" w:rsidRDefault="00834AE3" w:rsidP="005423D4">
      <w:pPr>
        <w:numPr>
          <w:ilvl w:val="0"/>
          <w:numId w:val="26"/>
        </w:numPr>
        <w:ind w:left="788" w:hanging="357"/>
        <w:rPr>
          <w:szCs w:val="24"/>
        </w:rPr>
      </w:pPr>
      <w:proofErr w:type="gramStart"/>
      <w:r w:rsidRPr="00834AE3">
        <w:rPr>
          <w:szCs w:val="24"/>
        </w:rPr>
        <w:t>information</w:t>
      </w:r>
      <w:proofErr w:type="gramEnd"/>
      <w:r w:rsidRPr="00834AE3">
        <w:rPr>
          <w:szCs w:val="24"/>
        </w:rPr>
        <w:t xml:space="preserve"> on the source of referral and accreditation of specialists and treatment centres providing the service.</w:t>
      </w:r>
    </w:p>
    <w:p w14:paraId="15B425DA" w14:textId="77777777" w:rsidR="00834AE3" w:rsidRPr="00834AE3" w:rsidRDefault="00834AE3" w:rsidP="005423D4">
      <w:pPr>
        <w:spacing w:before="180" w:after="240"/>
        <w:rPr>
          <w:szCs w:val="24"/>
        </w:rPr>
      </w:pPr>
      <w:r w:rsidRPr="00834AE3">
        <w:rPr>
          <w:szCs w:val="24"/>
        </w:rPr>
        <w:t>From a consumer perspective, ESC noted that there was likely to be considerable uncertainty around out of pocket costs for patients and carers, particularly if they were required to travel to access treatment.</w:t>
      </w:r>
    </w:p>
    <w:tbl>
      <w:tblPr>
        <w:tblW w:w="9165" w:type="dxa"/>
        <w:tblCellMar>
          <w:left w:w="0" w:type="dxa"/>
          <w:right w:w="0" w:type="dxa"/>
        </w:tblCellMar>
        <w:tblLook w:val="04A0" w:firstRow="1" w:lastRow="0" w:firstColumn="1" w:lastColumn="0" w:noHBand="0" w:noVBand="1"/>
      </w:tblPr>
      <w:tblGrid>
        <w:gridCol w:w="3921"/>
        <w:gridCol w:w="5244"/>
      </w:tblGrid>
      <w:tr w:rsidR="00834AE3" w:rsidRPr="00834AE3" w14:paraId="6CF84A07" w14:textId="77777777" w:rsidTr="00A62064">
        <w:trPr>
          <w:trHeight w:val="311"/>
        </w:trPr>
        <w:tc>
          <w:tcPr>
            <w:tcW w:w="3921"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hideMark/>
          </w:tcPr>
          <w:p w14:paraId="3B1CEBB2" w14:textId="77777777" w:rsidR="00834AE3" w:rsidRPr="00834AE3" w:rsidRDefault="00834AE3" w:rsidP="005423D4">
            <w:pPr>
              <w:spacing w:before="180"/>
              <w:jc w:val="center"/>
              <w:rPr>
                <w:rFonts w:ascii="Arial Narrow" w:hAnsi="Arial Narrow"/>
                <w:color w:val="FFFFFF"/>
                <w:sz w:val="20"/>
                <w:szCs w:val="24"/>
              </w:rPr>
            </w:pPr>
            <w:r w:rsidRPr="00834AE3">
              <w:rPr>
                <w:rFonts w:ascii="Arial Narrow" w:hAnsi="Arial Narrow"/>
                <w:b/>
                <w:bCs/>
                <w:color w:val="FFFFFF"/>
                <w:sz w:val="20"/>
                <w:szCs w:val="24"/>
              </w:rPr>
              <w:t>ESC Key ISSUES</w:t>
            </w:r>
          </w:p>
        </w:tc>
        <w:tc>
          <w:tcPr>
            <w:tcW w:w="5244"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hideMark/>
          </w:tcPr>
          <w:p w14:paraId="5F8ADAC9" w14:textId="77777777" w:rsidR="00834AE3" w:rsidRPr="00834AE3" w:rsidRDefault="00834AE3" w:rsidP="005423D4">
            <w:pPr>
              <w:spacing w:before="180"/>
              <w:jc w:val="center"/>
              <w:rPr>
                <w:rFonts w:ascii="Arial Narrow" w:hAnsi="Arial Narrow"/>
                <w:color w:val="FFFFFF"/>
                <w:sz w:val="20"/>
                <w:szCs w:val="24"/>
              </w:rPr>
            </w:pPr>
            <w:r w:rsidRPr="00834AE3">
              <w:rPr>
                <w:rFonts w:ascii="Arial Narrow" w:hAnsi="Arial Narrow"/>
                <w:b/>
                <w:bCs/>
                <w:color w:val="FFFFFF"/>
                <w:sz w:val="20"/>
                <w:szCs w:val="24"/>
              </w:rPr>
              <w:t>ESC ADVICE</w:t>
            </w:r>
          </w:p>
        </w:tc>
      </w:tr>
      <w:tr w:rsidR="00834AE3" w:rsidRPr="00834AE3" w14:paraId="28E28C2A" w14:textId="77777777" w:rsidTr="00A62064">
        <w:trPr>
          <w:trHeight w:val="1356"/>
        </w:trPr>
        <w:tc>
          <w:tcPr>
            <w:tcW w:w="3921" w:type="dxa"/>
            <w:tcBorders>
              <w:top w:val="single" w:sz="24"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0C3CD5CC" w14:textId="77777777" w:rsidR="00834AE3" w:rsidRPr="00834AE3" w:rsidRDefault="00834AE3" w:rsidP="00834AE3">
            <w:pPr>
              <w:spacing w:before="180" w:line="259" w:lineRule="auto"/>
              <w:rPr>
                <w:rFonts w:ascii="Arial Narrow" w:hAnsi="Arial Narrow"/>
                <w:sz w:val="20"/>
                <w:szCs w:val="24"/>
              </w:rPr>
            </w:pPr>
            <w:r w:rsidRPr="00834AE3">
              <w:rPr>
                <w:rFonts w:ascii="Arial Narrow" w:hAnsi="Arial Narrow"/>
                <w:sz w:val="20"/>
                <w:szCs w:val="24"/>
              </w:rPr>
              <w:t>Safety</w:t>
            </w:r>
          </w:p>
        </w:tc>
        <w:tc>
          <w:tcPr>
            <w:tcW w:w="5244" w:type="dxa"/>
            <w:tcBorders>
              <w:top w:val="single" w:sz="24"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14E2B247" w14:textId="77777777" w:rsidR="00834AE3" w:rsidRPr="00834AE3" w:rsidRDefault="00834AE3" w:rsidP="00834AE3">
            <w:pPr>
              <w:rPr>
                <w:rFonts w:ascii="Arial Narrow" w:hAnsi="Arial Narrow"/>
                <w:sz w:val="20"/>
              </w:rPr>
            </w:pPr>
            <w:r w:rsidRPr="00834AE3">
              <w:rPr>
                <w:rFonts w:ascii="Arial Narrow" w:hAnsi="Arial Narrow"/>
                <w:sz w:val="20"/>
              </w:rPr>
              <w:t>ECP likely to be safer than, and at least as effective as, alternative Rx for T</w:t>
            </w:r>
            <w:r w:rsidRPr="00834AE3">
              <w:rPr>
                <w:rFonts w:ascii="Arial Narrow" w:hAnsi="Arial Narrow"/>
                <w:sz w:val="20"/>
                <w:vertAlign w:val="subscript"/>
              </w:rPr>
              <w:t>4</w:t>
            </w:r>
            <w:r w:rsidRPr="00834AE3">
              <w:rPr>
                <w:rFonts w:ascii="Arial Narrow" w:hAnsi="Arial Narrow"/>
                <w:sz w:val="20"/>
              </w:rPr>
              <w:t>, M</w:t>
            </w:r>
            <w:r w:rsidRPr="00834AE3">
              <w:rPr>
                <w:rFonts w:ascii="Arial Narrow" w:hAnsi="Arial Narrow"/>
                <w:sz w:val="20"/>
                <w:vertAlign w:val="subscript"/>
              </w:rPr>
              <w:t>0</w:t>
            </w:r>
            <w:r w:rsidRPr="00834AE3">
              <w:rPr>
                <w:rFonts w:ascii="Arial Narrow" w:hAnsi="Arial Narrow"/>
                <w:sz w:val="20"/>
              </w:rPr>
              <w:t xml:space="preserve"> CTCL:</w:t>
            </w:r>
          </w:p>
          <w:p w14:paraId="57DE05FD" w14:textId="77777777" w:rsidR="00834AE3" w:rsidRPr="00834AE3" w:rsidRDefault="00834AE3" w:rsidP="00834AE3">
            <w:pPr>
              <w:numPr>
                <w:ilvl w:val="0"/>
                <w:numId w:val="29"/>
              </w:numPr>
              <w:contextualSpacing/>
              <w:rPr>
                <w:rFonts w:ascii="Arial Narrow" w:hAnsi="Arial Narrow"/>
                <w:sz w:val="20"/>
              </w:rPr>
            </w:pPr>
            <w:r w:rsidRPr="00834AE3">
              <w:rPr>
                <w:rFonts w:ascii="Arial Narrow" w:hAnsi="Arial Narrow"/>
                <w:sz w:val="20"/>
              </w:rPr>
              <w:t>Limited evidence base for safety &amp; effectiveness c. high risk of bias, but unlikely to improve.</w:t>
            </w:r>
          </w:p>
          <w:p w14:paraId="7B989D96" w14:textId="77777777" w:rsidR="00834AE3" w:rsidRPr="00834AE3" w:rsidRDefault="00834AE3" w:rsidP="00834AE3">
            <w:pPr>
              <w:numPr>
                <w:ilvl w:val="0"/>
                <w:numId w:val="29"/>
              </w:numPr>
              <w:contextualSpacing/>
              <w:rPr>
                <w:rFonts w:ascii="Arial Narrow" w:hAnsi="Arial Narrow"/>
                <w:sz w:val="20"/>
              </w:rPr>
            </w:pPr>
            <w:r w:rsidRPr="00834AE3">
              <w:rPr>
                <w:rFonts w:ascii="Arial Narrow" w:hAnsi="Arial Narrow"/>
                <w:sz w:val="20"/>
              </w:rPr>
              <w:t>Small no. of patients with debilitating disease &amp; few effective alternatives</w:t>
            </w:r>
          </w:p>
        </w:tc>
      </w:tr>
      <w:tr w:rsidR="00834AE3" w:rsidRPr="00834AE3" w14:paraId="39E62139" w14:textId="77777777" w:rsidTr="00A62064">
        <w:trPr>
          <w:trHeight w:val="2349"/>
        </w:trPr>
        <w:tc>
          <w:tcPr>
            <w:tcW w:w="3921"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1627E6BA" w14:textId="77777777" w:rsidR="00834AE3" w:rsidRPr="00834AE3" w:rsidRDefault="00834AE3" w:rsidP="00834AE3">
            <w:pPr>
              <w:spacing w:before="180" w:line="259" w:lineRule="auto"/>
              <w:rPr>
                <w:rFonts w:ascii="Arial Narrow" w:hAnsi="Arial Narrow"/>
                <w:sz w:val="20"/>
                <w:szCs w:val="24"/>
              </w:rPr>
            </w:pPr>
            <w:r w:rsidRPr="00834AE3">
              <w:rPr>
                <w:rFonts w:ascii="Arial Narrow" w:hAnsi="Arial Narrow"/>
                <w:sz w:val="20"/>
              </w:rPr>
              <w:t>MBS Item Descriptor</w:t>
            </w:r>
          </w:p>
        </w:tc>
        <w:tc>
          <w:tcPr>
            <w:tcW w:w="5244"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14:paraId="13CB1B48" w14:textId="77777777" w:rsidR="00834AE3" w:rsidRPr="00834AE3" w:rsidRDefault="00834AE3" w:rsidP="00834AE3">
            <w:pPr>
              <w:spacing w:before="180" w:line="259" w:lineRule="auto"/>
              <w:rPr>
                <w:rFonts w:ascii="Arial Narrow" w:hAnsi="Arial Narrow"/>
                <w:sz w:val="20"/>
                <w:szCs w:val="24"/>
              </w:rPr>
            </w:pPr>
            <w:r w:rsidRPr="00834AE3">
              <w:rPr>
                <w:rFonts w:ascii="Arial Narrow" w:hAnsi="Arial Narrow"/>
                <w:sz w:val="20"/>
                <w:szCs w:val="24"/>
              </w:rPr>
              <w:t>Proposed descriptor inadequate to capture pertinent requirements.</w:t>
            </w:r>
          </w:p>
          <w:p w14:paraId="71E244FD" w14:textId="77777777" w:rsidR="00834AE3" w:rsidRPr="00834AE3" w:rsidRDefault="00834AE3" w:rsidP="00834AE3">
            <w:pPr>
              <w:spacing w:before="180" w:line="259" w:lineRule="auto"/>
              <w:rPr>
                <w:rFonts w:ascii="Arial Narrow" w:hAnsi="Arial Narrow"/>
                <w:sz w:val="20"/>
              </w:rPr>
            </w:pPr>
            <w:r w:rsidRPr="00834AE3">
              <w:rPr>
                <w:rFonts w:ascii="Arial Narrow" w:hAnsi="Arial Narrow"/>
                <w:sz w:val="20"/>
              </w:rPr>
              <w:t>MBS item descriptor needs a mechanism to ensure second line use, given that in the primary clinical study 30% of ECP use was first line in CTCL T4 patients</w:t>
            </w:r>
          </w:p>
          <w:p w14:paraId="107D81B8" w14:textId="77777777" w:rsidR="00834AE3" w:rsidRPr="00834AE3" w:rsidRDefault="00834AE3" w:rsidP="00834AE3">
            <w:pPr>
              <w:spacing w:before="180" w:line="259" w:lineRule="auto"/>
              <w:rPr>
                <w:rFonts w:ascii="Arial Narrow" w:hAnsi="Arial Narrow"/>
                <w:sz w:val="20"/>
                <w:szCs w:val="24"/>
              </w:rPr>
            </w:pPr>
            <w:r w:rsidRPr="00834AE3">
              <w:rPr>
                <w:rFonts w:ascii="Arial Narrow" w:hAnsi="Arial Narrow"/>
                <w:sz w:val="20"/>
              </w:rPr>
              <w:t>Reinstate wording in the proposed descriptor that limits use to appropriately trained professionals, in an appropriate setting, following demonstration of failure of 1</w:t>
            </w:r>
            <w:r w:rsidRPr="00834AE3">
              <w:rPr>
                <w:rFonts w:ascii="Arial Narrow" w:hAnsi="Arial Narrow"/>
                <w:sz w:val="20"/>
                <w:vertAlign w:val="superscript"/>
              </w:rPr>
              <w:t>st</w:t>
            </w:r>
            <w:r w:rsidRPr="00834AE3">
              <w:rPr>
                <w:rFonts w:ascii="Arial Narrow" w:hAnsi="Arial Narrow"/>
                <w:sz w:val="20"/>
              </w:rPr>
              <w:t xml:space="preserve"> line therapy</w:t>
            </w:r>
            <w:r w:rsidRPr="00834AE3">
              <w:rPr>
                <w:rFonts w:ascii="Arial Narrow" w:hAnsi="Arial Narrow"/>
                <w:sz w:val="20"/>
                <w:szCs w:val="24"/>
              </w:rPr>
              <w:br/>
            </w:r>
          </w:p>
        </w:tc>
      </w:tr>
      <w:tr w:rsidR="00834AE3" w:rsidRPr="00834AE3" w14:paraId="5B813686" w14:textId="77777777" w:rsidTr="00A62064">
        <w:trPr>
          <w:trHeight w:val="927"/>
        </w:trPr>
        <w:tc>
          <w:tcPr>
            <w:tcW w:w="3921"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4C955615" w14:textId="77777777" w:rsidR="00834AE3" w:rsidRPr="00834AE3" w:rsidRDefault="00834AE3" w:rsidP="00834AE3">
            <w:pPr>
              <w:spacing w:before="180" w:line="259" w:lineRule="auto"/>
              <w:rPr>
                <w:rFonts w:ascii="Arial Narrow" w:hAnsi="Arial Narrow"/>
                <w:sz w:val="20"/>
                <w:szCs w:val="24"/>
              </w:rPr>
            </w:pPr>
            <w:r w:rsidRPr="00834AE3">
              <w:rPr>
                <w:rFonts w:ascii="Arial Narrow" w:hAnsi="Arial Narrow"/>
                <w:sz w:val="20"/>
                <w:szCs w:val="24"/>
              </w:rPr>
              <w:t>MBS Funding</w:t>
            </w:r>
          </w:p>
        </w:tc>
        <w:tc>
          <w:tcPr>
            <w:tcW w:w="5244"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18143D52" w14:textId="77777777" w:rsidR="00834AE3" w:rsidRPr="00834AE3" w:rsidRDefault="00834AE3" w:rsidP="00834AE3">
            <w:pPr>
              <w:spacing w:before="180" w:line="259" w:lineRule="auto"/>
              <w:rPr>
                <w:rFonts w:ascii="Arial Narrow" w:hAnsi="Arial Narrow"/>
                <w:sz w:val="20"/>
                <w:szCs w:val="24"/>
              </w:rPr>
            </w:pPr>
            <w:r w:rsidRPr="00834AE3">
              <w:rPr>
                <w:rFonts w:ascii="Arial Narrow" w:hAnsi="Arial Narrow"/>
                <w:sz w:val="20"/>
                <w:szCs w:val="24"/>
              </w:rPr>
              <w:t>Proposed fee may not adequately capture costs.</w:t>
            </w:r>
            <w:r w:rsidRPr="00834AE3">
              <w:rPr>
                <w:rFonts w:ascii="Arial Narrow" w:hAnsi="Arial Narrow"/>
                <w:sz w:val="20"/>
                <w:szCs w:val="24"/>
              </w:rPr>
              <w:br/>
              <w:t xml:space="preserve">Delivery of Rx of high complexity to a small no. of patients not well suited to public funding </w:t>
            </w:r>
            <w:r w:rsidRPr="00834AE3">
              <w:rPr>
                <w:rFonts w:ascii="Arial Narrow" w:hAnsi="Arial Narrow"/>
                <w:i/>
                <w:iCs/>
                <w:sz w:val="20"/>
                <w:szCs w:val="24"/>
              </w:rPr>
              <w:t>via</w:t>
            </w:r>
            <w:r w:rsidRPr="00834AE3">
              <w:rPr>
                <w:rFonts w:ascii="Arial Narrow" w:hAnsi="Arial Narrow"/>
                <w:sz w:val="20"/>
                <w:szCs w:val="24"/>
              </w:rPr>
              <w:t xml:space="preserve"> MBS – may be more suitable for a NFC-type funding model</w:t>
            </w:r>
          </w:p>
        </w:tc>
      </w:tr>
      <w:tr w:rsidR="00834AE3" w:rsidRPr="00834AE3" w14:paraId="5CA0E14C" w14:textId="77777777" w:rsidTr="00A62064">
        <w:trPr>
          <w:trHeight w:val="1331"/>
        </w:trPr>
        <w:tc>
          <w:tcPr>
            <w:tcW w:w="3921"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07159451" w14:textId="77777777" w:rsidR="00834AE3" w:rsidRPr="00834AE3" w:rsidRDefault="00834AE3" w:rsidP="00834AE3">
            <w:pPr>
              <w:spacing w:before="180" w:line="259" w:lineRule="auto"/>
              <w:rPr>
                <w:szCs w:val="24"/>
              </w:rPr>
            </w:pPr>
            <w:r w:rsidRPr="00834AE3">
              <w:rPr>
                <w:rFonts w:ascii="Arial Narrow" w:hAnsi="Arial Narrow"/>
                <w:sz w:val="20"/>
              </w:rPr>
              <w:t>The modelled ICERs submitted by the applicant are unreliable due to the structure and inputs used (see below) and rather than ECP being dominant, it is more likely to be associated with an ICER of ~$150k/QALY</w:t>
            </w:r>
          </w:p>
        </w:tc>
        <w:tc>
          <w:tcPr>
            <w:tcW w:w="5244" w:type="dxa"/>
            <w:vMerge w:val="restart"/>
            <w:tcBorders>
              <w:top w:val="single" w:sz="8" w:space="0" w:color="FFFFFF"/>
              <w:left w:val="single" w:sz="8" w:space="0" w:color="FFFFFF"/>
              <w:right w:val="single" w:sz="8" w:space="0" w:color="FFFFFF"/>
            </w:tcBorders>
            <w:shd w:val="clear" w:color="auto" w:fill="E8F3FF"/>
            <w:tcMar>
              <w:top w:w="15" w:type="dxa"/>
              <w:left w:w="93" w:type="dxa"/>
              <w:bottom w:w="0" w:type="dxa"/>
              <w:right w:w="93" w:type="dxa"/>
            </w:tcMar>
            <w:hideMark/>
          </w:tcPr>
          <w:p w14:paraId="61E78E89" w14:textId="77777777" w:rsidR="00834AE3" w:rsidRPr="00834AE3" w:rsidRDefault="00834AE3" w:rsidP="00834AE3">
            <w:pPr>
              <w:tabs>
                <w:tab w:val="left" w:pos="2265"/>
                <w:tab w:val="left" w:pos="3420"/>
                <w:tab w:val="left" w:pos="4320"/>
              </w:tabs>
              <w:rPr>
                <w:rFonts w:ascii="Arial Narrow" w:hAnsi="Arial Narrow"/>
                <w:sz w:val="20"/>
              </w:rPr>
            </w:pPr>
            <w:r w:rsidRPr="00834AE3">
              <w:rPr>
                <w:rFonts w:ascii="Arial Narrow" w:hAnsi="Arial Narrow"/>
                <w:sz w:val="20"/>
              </w:rPr>
              <w:t>Re-design model to allow multiple second line treatments to be trialled before the use of alemtuzumab followed by chemotherapy.</w:t>
            </w:r>
          </w:p>
          <w:p w14:paraId="0B5416EF" w14:textId="77777777" w:rsidR="00834AE3" w:rsidRPr="00834AE3" w:rsidRDefault="00834AE3" w:rsidP="00834AE3">
            <w:pPr>
              <w:tabs>
                <w:tab w:val="left" w:pos="2265"/>
                <w:tab w:val="left" w:pos="3420"/>
                <w:tab w:val="left" w:pos="4320"/>
              </w:tabs>
              <w:rPr>
                <w:rFonts w:ascii="Arial Narrow" w:hAnsi="Arial Narrow"/>
                <w:sz w:val="20"/>
              </w:rPr>
            </w:pPr>
            <w:r w:rsidRPr="00834AE3">
              <w:rPr>
                <w:rFonts w:ascii="Arial Narrow" w:hAnsi="Arial Narrow"/>
                <w:sz w:val="20"/>
              </w:rPr>
              <w:t>R-</w:t>
            </w:r>
            <w:proofErr w:type="spellStart"/>
            <w:r w:rsidRPr="00834AE3">
              <w:rPr>
                <w:rFonts w:ascii="Arial Narrow" w:hAnsi="Arial Narrow"/>
                <w:sz w:val="20"/>
              </w:rPr>
              <w:t>especify</w:t>
            </w:r>
            <w:proofErr w:type="spellEnd"/>
            <w:r w:rsidRPr="00834AE3">
              <w:rPr>
                <w:rFonts w:ascii="Arial Narrow" w:hAnsi="Arial Narrow"/>
                <w:sz w:val="20"/>
              </w:rPr>
              <w:t xml:space="preserve"> the monthly probabilities of TTNT using the survival analyses in Hughes 2015 (not the % free of treatment at 1 and 2 years)</w:t>
            </w:r>
          </w:p>
          <w:p w14:paraId="34007749" w14:textId="3A690CDC" w:rsidR="00D10E5B" w:rsidRPr="00834AE3" w:rsidRDefault="00834AE3" w:rsidP="00D10E5B">
            <w:pPr>
              <w:tabs>
                <w:tab w:val="left" w:pos="2265"/>
                <w:tab w:val="left" w:pos="3420"/>
                <w:tab w:val="left" w:pos="4320"/>
              </w:tabs>
              <w:rPr>
                <w:szCs w:val="24"/>
              </w:rPr>
            </w:pPr>
            <w:r w:rsidRPr="00834AE3">
              <w:rPr>
                <w:rFonts w:ascii="Arial Narrow" w:hAnsi="Arial Narrow"/>
                <w:sz w:val="20"/>
              </w:rPr>
              <w:t>Reconsider the application of utility and disutility weights in the model, with a clear rationale</w:t>
            </w:r>
          </w:p>
          <w:p w14:paraId="7071E667" w14:textId="426F1D88" w:rsidR="00834AE3" w:rsidRPr="00834AE3" w:rsidRDefault="00834AE3" w:rsidP="00834AE3">
            <w:pPr>
              <w:spacing w:before="180" w:line="259" w:lineRule="auto"/>
              <w:rPr>
                <w:szCs w:val="24"/>
              </w:rPr>
            </w:pPr>
          </w:p>
        </w:tc>
      </w:tr>
      <w:tr w:rsidR="00834AE3" w:rsidRPr="00834AE3" w14:paraId="791B64F3" w14:textId="77777777" w:rsidTr="00A62064">
        <w:trPr>
          <w:trHeight w:val="1331"/>
        </w:trPr>
        <w:tc>
          <w:tcPr>
            <w:tcW w:w="3921"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22EFFF65" w14:textId="77777777" w:rsidR="00834AE3" w:rsidRPr="00834AE3" w:rsidRDefault="00834AE3" w:rsidP="00834AE3">
            <w:pPr>
              <w:spacing w:before="180" w:line="259" w:lineRule="auto"/>
              <w:rPr>
                <w:szCs w:val="24"/>
              </w:rPr>
            </w:pPr>
            <w:r w:rsidRPr="00834AE3">
              <w:rPr>
                <w:rFonts w:ascii="Arial Narrow" w:hAnsi="Arial Narrow"/>
                <w:sz w:val="20"/>
              </w:rPr>
              <w:t xml:space="preserve">The economic model has an overly simplistic structure which does not adequately capture cycling through second line Rx options before progression to vorinostat/alemtuzumab then </w:t>
            </w:r>
            <w:r w:rsidRPr="00834AE3">
              <w:rPr>
                <w:rFonts w:ascii="Arial Narrow" w:hAnsi="Arial Narrow"/>
                <w:sz w:val="20"/>
              </w:rPr>
              <w:lastRenderedPageBreak/>
              <w:t>chemotherapy</w:t>
            </w:r>
          </w:p>
        </w:tc>
        <w:tc>
          <w:tcPr>
            <w:tcW w:w="5244" w:type="dxa"/>
            <w:vMerge/>
            <w:tcBorders>
              <w:left w:val="single" w:sz="8" w:space="0" w:color="FFFFFF"/>
              <w:right w:val="single" w:sz="8" w:space="0" w:color="FFFFFF"/>
            </w:tcBorders>
            <w:shd w:val="clear" w:color="auto" w:fill="CDE5FE"/>
            <w:tcMar>
              <w:top w:w="15" w:type="dxa"/>
              <w:left w:w="93" w:type="dxa"/>
              <w:bottom w:w="0" w:type="dxa"/>
              <w:right w:w="93" w:type="dxa"/>
            </w:tcMar>
            <w:hideMark/>
          </w:tcPr>
          <w:p w14:paraId="6C2596E9" w14:textId="77777777" w:rsidR="00834AE3" w:rsidRPr="00834AE3" w:rsidRDefault="00834AE3" w:rsidP="00834AE3">
            <w:pPr>
              <w:spacing w:before="180" w:line="259" w:lineRule="auto"/>
              <w:rPr>
                <w:szCs w:val="24"/>
              </w:rPr>
            </w:pPr>
          </w:p>
        </w:tc>
      </w:tr>
      <w:tr w:rsidR="00834AE3" w:rsidRPr="00834AE3" w14:paraId="7743CF0E" w14:textId="77777777" w:rsidTr="00A62064">
        <w:trPr>
          <w:trHeight w:val="956"/>
        </w:trPr>
        <w:tc>
          <w:tcPr>
            <w:tcW w:w="3921"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2AFCA54E" w14:textId="77777777" w:rsidR="00834AE3" w:rsidRPr="00834AE3" w:rsidRDefault="00834AE3" w:rsidP="00834AE3">
            <w:pPr>
              <w:spacing w:before="180" w:line="259" w:lineRule="auto"/>
              <w:rPr>
                <w:rFonts w:ascii="Arial Narrow" w:hAnsi="Arial Narrow"/>
                <w:sz w:val="20"/>
              </w:rPr>
            </w:pPr>
            <w:r w:rsidRPr="00834AE3">
              <w:rPr>
                <w:rFonts w:ascii="Arial Narrow" w:hAnsi="Arial Narrow"/>
                <w:sz w:val="20"/>
              </w:rPr>
              <w:lastRenderedPageBreak/>
              <w:t>The basket of second line comparators inappropriately includes alemtuzumab, and this significantly favours ECP.</w:t>
            </w:r>
          </w:p>
        </w:tc>
        <w:tc>
          <w:tcPr>
            <w:tcW w:w="5244" w:type="dxa"/>
            <w:vMerge/>
            <w:tcBorders>
              <w:left w:val="single" w:sz="8" w:space="0" w:color="FFFFFF"/>
              <w:right w:val="single" w:sz="8" w:space="0" w:color="FFFFFF"/>
            </w:tcBorders>
            <w:shd w:val="clear" w:color="auto" w:fill="CDE5FE"/>
            <w:tcMar>
              <w:top w:w="15" w:type="dxa"/>
              <w:left w:w="93" w:type="dxa"/>
              <w:bottom w:w="0" w:type="dxa"/>
              <w:right w:w="93" w:type="dxa"/>
            </w:tcMar>
          </w:tcPr>
          <w:p w14:paraId="395E71E2" w14:textId="77777777" w:rsidR="00834AE3" w:rsidRPr="00834AE3" w:rsidRDefault="00834AE3" w:rsidP="00834AE3">
            <w:pPr>
              <w:spacing w:before="180" w:line="259" w:lineRule="auto"/>
              <w:rPr>
                <w:szCs w:val="24"/>
              </w:rPr>
            </w:pPr>
          </w:p>
        </w:tc>
      </w:tr>
      <w:tr w:rsidR="00834AE3" w:rsidRPr="00834AE3" w14:paraId="784087A0" w14:textId="77777777" w:rsidTr="00A62064">
        <w:trPr>
          <w:trHeight w:val="1331"/>
        </w:trPr>
        <w:tc>
          <w:tcPr>
            <w:tcW w:w="3921"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7F6B31C3" w14:textId="77777777" w:rsidR="00834AE3" w:rsidRPr="00834AE3" w:rsidRDefault="00834AE3" w:rsidP="00834AE3">
            <w:pPr>
              <w:spacing w:before="180" w:line="259" w:lineRule="auto"/>
              <w:rPr>
                <w:rFonts w:ascii="Arial Narrow" w:hAnsi="Arial Narrow"/>
                <w:sz w:val="20"/>
              </w:rPr>
            </w:pPr>
            <w:r w:rsidRPr="00834AE3">
              <w:rPr>
                <w:rFonts w:ascii="Arial Narrow" w:hAnsi="Arial Narrow"/>
                <w:sz w:val="20"/>
              </w:rPr>
              <w:t>The applications of utility and disutility weights in the model is not adequately justified, and the quantification of the superior safety profile of ECP is not well supported, or tested in the model</w:t>
            </w:r>
          </w:p>
        </w:tc>
        <w:tc>
          <w:tcPr>
            <w:tcW w:w="5244" w:type="dxa"/>
            <w:vMerge/>
            <w:tcBorders>
              <w:left w:val="single" w:sz="8" w:space="0" w:color="FFFFFF"/>
              <w:right w:val="single" w:sz="8" w:space="0" w:color="FFFFFF"/>
            </w:tcBorders>
            <w:shd w:val="clear" w:color="auto" w:fill="CDE5FE"/>
            <w:tcMar>
              <w:top w:w="15" w:type="dxa"/>
              <w:left w:w="93" w:type="dxa"/>
              <w:bottom w:w="0" w:type="dxa"/>
              <w:right w:w="93" w:type="dxa"/>
            </w:tcMar>
          </w:tcPr>
          <w:p w14:paraId="4E60F269" w14:textId="77777777" w:rsidR="00834AE3" w:rsidRPr="00834AE3" w:rsidRDefault="00834AE3" w:rsidP="00834AE3">
            <w:pPr>
              <w:spacing w:before="180" w:line="259" w:lineRule="auto"/>
              <w:rPr>
                <w:szCs w:val="24"/>
              </w:rPr>
            </w:pPr>
          </w:p>
        </w:tc>
      </w:tr>
      <w:tr w:rsidR="00834AE3" w:rsidRPr="00834AE3" w14:paraId="30889035" w14:textId="77777777" w:rsidTr="00A62064">
        <w:trPr>
          <w:trHeight w:val="707"/>
        </w:trPr>
        <w:tc>
          <w:tcPr>
            <w:tcW w:w="3921"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5E9FEB07" w14:textId="77777777" w:rsidR="00834AE3" w:rsidRPr="00834AE3" w:rsidRDefault="00834AE3" w:rsidP="00834AE3">
            <w:pPr>
              <w:tabs>
                <w:tab w:val="left" w:pos="2265"/>
                <w:tab w:val="left" w:pos="3420"/>
                <w:tab w:val="left" w:pos="4320"/>
              </w:tabs>
              <w:rPr>
                <w:rFonts w:ascii="Arial Narrow" w:hAnsi="Arial Narrow"/>
                <w:sz w:val="20"/>
              </w:rPr>
            </w:pPr>
            <w:r w:rsidRPr="00834AE3">
              <w:rPr>
                <w:rFonts w:ascii="Arial Narrow" w:hAnsi="Arial Narrow"/>
                <w:sz w:val="20"/>
              </w:rPr>
              <w:t>The selective use of TTNT data from Hughes 2015 is not adequately supported, or appropriately applied in the economic model.</w:t>
            </w:r>
          </w:p>
        </w:tc>
        <w:tc>
          <w:tcPr>
            <w:tcW w:w="5244" w:type="dxa"/>
            <w:vMerge/>
            <w:tcBorders>
              <w:left w:val="single" w:sz="8" w:space="0" w:color="FFFFFF"/>
              <w:right w:val="single" w:sz="8" w:space="0" w:color="FFFFFF"/>
            </w:tcBorders>
            <w:shd w:val="clear" w:color="auto" w:fill="CDE5FE"/>
            <w:tcMar>
              <w:top w:w="15" w:type="dxa"/>
              <w:left w:w="93" w:type="dxa"/>
              <w:bottom w:w="0" w:type="dxa"/>
              <w:right w:w="93" w:type="dxa"/>
            </w:tcMar>
          </w:tcPr>
          <w:p w14:paraId="38084695" w14:textId="77777777" w:rsidR="00834AE3" w:rsidRPr="00834AE3" w:rsidRDefault="00834AE3" w:rsidP="00834AE3">
            <w:pPr>
              <w:spacing w:before="180" w:line="259" w:lineRule="auto"/>
              <w:rPr>
                <w:szCs w:val="24"/>
              </w:rPr>
            </w:pPr>
          </w:p>
        </w:tc>
      </w:tr>
    </w:tbl>
    <w:p w14:paraId="0210FF13" w14:textId="77777777" w:rsidR="00D90A38" w:rsidRPr="00F715D1" w:rsidRDefault="00BC1364" w:rsidP="00F715D1">
      <w:pPr>
        <w:pStyle w:val="Heading1"/>
      </w:pPr>
      <w:r w:rsidRPr="00F715D1">
        <w:t>Other significant factors</w:t>
      </w:r>
    </w:p>
    <w:p w14:paraId="611629C2" w14:textId="77777777" w:rsidR="00BC1364" w:rsidRPr="005423D4" w:rsidRDefault="00BC1364" w:rsidP="00F715D1">
      <w:pPr>
        <w:spacing w:after="240"/>
        <w:rPr>
          <w:szCs w:val="24"/>
        </w:rPr>
      </w:pPr>
      <w:r w:rsidRPr="005423D4">
        <w:rPr>
          <w:szCs w:val="24"/>
        </w:rPr>
        <w:t>Nil</w:t>
      </w:r>
    </w:p>
    <w:p w14:paraId="2A4CD79D" w14:textId="77777777" w:rsidR="00BC1364" w:rsidRPr="00F715D1" w:rsidRDefault="00BC1364" w:rsidP="00F715D1">
      <w:pPr>
        <w:pStyle w:val="Heading1"/>
      </w:pPr>
      <w:r w:rsidRPr="00F715D1">
        <w:t xml:space="preserve">Applicant’s comments on MSAC’s </w:t>
      </w:r>
      <w:r w:rsidR="00DA56AA" w:rsidRPr="00F715D1">
        <w:t>Public Summary Document</w:t>
      </w:r>
    </w:p>
    <w:p w14:paraId="60F86E3C" w14:textId="799B3A93" w:rsidR="00BC1364" w:rsidRPr="005A4362" w:rsidRDefault="00773B6B" w:rsidP="00F715D1">
      <w:pPr>
        <w:spacing w:after="240"/>
        <w:rPr>
          <w:color w:val="00B0F0"/>
          <w:szCs w:val="24"/>
        </w:rPr>
      </w:pPr>
      <w:r w:rsidRPr="008D44C6">
        <w:t xml:space="preserve">Mallinckrodt Pharmaceuticals are disappointed with MSACs decision to defer its recommendation for ECP in patients with CTCL. Mallinckrodt Pharmaceuticals reiterate alemtuzumab is considered an appropriate treatment comparator for ECP, acknowledging it is not TGA approved or registered for this indication. Also, </w:t>
      </w:r>
      <w:proofErr w:type="spellStart"/>
      <w:r w:rsidRPr="008D44C6">
        <w:t>Roferon</w:t>
      </w:r>
      <w:proofErr w:type="spellEnd"/>
      <w:r w:rsidRPr="008D44C6">
        <w:t>-A® (interferonalfa-2a) is TGA approved</w:t>
      </w:r>
      <w:r w:rsidRPr="008D44C6">
        <w:rPr>
          <w:rStyle w:val="FootnoteReference"/>
        </w:rPr>
        <w:footnoteReference w:customMarkFollows="1" w:id="1"/>
        <w:t>[1]</w:t>
      </w:r>
      <w:r w:rsidRPr="002D0AE2">
        <w:t xml:space="preserve"> for CTCL, although it has not been assessed by PBAC. Mallinckrodt Pharmaceuticals agree with MSACs view there is a high unmet clinical need </w:t>
      </w:r>
      <w:r w:rsidRPr="005177B0">
        <w:t xml:space="preserve">for ECP. ECP is a rare disease and will have a limited budget impact. Mallinckrodt Pharmaceuticals will continue to work with the Department of Health and MSAC to </w:t>
      </w:r>
      <w:r w:rsidRPr="008D44C6">
        <w:t>ensure patients can access safe and effective treatment with ECP</w:t>
      </w:r>
      <w:r w:rsidR="007122EF">
        <w:rPr>
          <w:szCs w:val="24"/>
        </w:rPr>
        <w:t>.</w:t>
      </w:r>
    </w:p>
    <w:p w14:paraId="35A9E996" w14:textId="77777777" w:rsidR="00BC1364" w:rsidRPr="00F715D1" w:rsidRDefault="00271F18" w:rsidP="00F715D1">
      <w:pPr>
        <w:pStyle w:val="Heading1"/>
      </w:pPr>
      <w:r w:rsidRPr="00F715D1">
        <w:t>Further information on MSAC</w:t>
      </w:r>
    </w:p>
    <w:p w14:paraId="5272E7A6"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3"/>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47F51E" w15:done="0"/>
  <w15:commentEx w15:paraId="2920C66E" w15:done="0"/>
  <w15:commentEx w15:paraId="696939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47F51E" w16cid:durableId="1D3B4DEA"/>
  <w16cid:commentId w16cid:paraId="2920C66E" w16cid:durableId="1D3B52CB"/>
  <w16cid:commentId w16cid:paraId="696939D5" w16cid:durableId="1D3B56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B5193" w14:textId="77777777" w:rsidR="0080402E" w:rsidRDefault="0080402E" w:rsidP="00065623">
      <w:r>
        <w:separator/>
      </w:r>
    </w:p>
  </w:endnote>
  <w:endnote w:type="continuationSeparator" w:id="0">
    <w:p w14:paraId="5EE91D3E" w14:textId="77777777" w:rsidR="0080402E" w:rsidRDefault="0080402E"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73367319" w14:textId="77777777" w:rsidR="0080402E" w:rsidRDefault="0080402E">
        <w:pPr>
          <w:pStyle w:val="Footer"/>
          <w:jc w:val="right"/>
        </w:pPr>
        <w:r>
          <w:fldChar w:fldCharType="begin"/>
        </w:r>
        <w:r>
          <w:instrText xml:space="preserve"> PAGE   \* MERGEFORMAT </w:instrText>
        </w:r>
        <w:r>
          <w:fldChar w:fldCharType="separate"/>
        </w:r>
        <w:r w:rsidR="002E76FE">
          <w:rPr>
            <w:noProof/>
          </w:rPr>
          <w:t>1</w:t>
        </w:r>
        <w:r>
          <w:rPr>
            <w:noProof/>
          </w:rPr>
          <w:fldChar w:fldCharType="end"/>
        </w:r>
      </w:p>
    </w:sdtContent>
  </w:sdt>
  <w:p w14:paraId="0AEA87C9" w14:textId="77777777" w:rsidR="0080402E" w:rsidRDefault="0080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02C67" w14:textId="77777777" w:rsidR="0080402E" w:rsidRDefault="0080402E" w:rsidP="00065623">
      <w:r>
        <w:separator/>
      </w:r>
    </w:p>
  </w:footnote>
  <w:footnote w:type="continuationSeparator" w:id="0">
    <w:p w14:paraId="15EC2804" w14:textId="77777777" w:rsidR="0080402E" w:rsidRDefault="0080402E" w:rsidP="00065623">
      <w:r>
        <w:continuationSeparator/>
      </w:r>
    </w:p>
  </w:footnote>
  <w:footnote w:id="1">
    <w:p w14:paraId="53231927" w14:textId="64D3FADC" w:rsidR="00773B6B" w:rsidRDefault="00773B6B" w:rsidP="00773B6B">
      <w:pPr>
        <w:pStyle w:val="FootnoteText"/>
      </w:pPr>
      <w:r>
        <w:rPr>
          <w:rStyle w:val="FootnoteReference"/>
        </w:rPr>
        <w:t>[1]</w:t>
      </w:r>
      <w:r>
        <w:t xml:space="preserve"> </w:t>
      </w:r>
      <w:hyperlink r:id="rId1" w:tooltip="Product and Consumer Medicine Information Licence" w:history="1">
        <w:r>
          <w:rPr>
            <w:rStyle w:val="Hyperlink"/>
          </w:rPr>
          <w:t>https://www.ebs.tga.gov.au/ebs/picmi/picmirepository.nsf/pdf?OpenAgent&amp;id=CP-2010-PI-04073-3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3232A1"/>
    <w:multiLevelType w:val="hybridMultilevel"/>
    <w:tmpl w:val="32F43AA2"/>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3">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9EE7729"/>
    <w:multiLevelType w:val="hybridMultilevel"/>
    <w:tmpl w:val="692078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E627EC"/>
    <w:multiLevelType w:val="hybridMultilevel"/>
    <w:tmpl w:val="6226A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A37E39"/>
    <w:multiLevelType w:val="hybridMultilevel"/>
    <w:tmpl w:val="55D2E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2FB7D64"/>
    <w:multiLevelType w:val="hybridMultilevel"/>
    <w:tmpl w:val="6584F602"/>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3">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1"/>
  </w:num>
  <w:num w:numId="4">
    <w:abstractNumId w:val="19"/>
  </w:num>
  <w:num w:numId="5">
    <w:abstractNumId w:val="13"/>
  </w:num>
  <w:num w:numId="6">
    <w:abstractNumId w:val="18"/>
  </w:num>
  <w:num w:numId="7">
    <w:abstractNumId w:val="23"/>
  </w:num>
  <w:num w:numId="8">
    <w:abstractNumId w:val="14"/>
  </w:num>
  <w:num w:numId="9">
    <w:abstractNumId w:val="29"/>
  </w:num>
  <w:num w:numId="10">
    <w:abstractNumId w:val="0"/>
  </w:num>
  <w:num w:numId="11">
    <w:abstractNumId w:val="21"/>
  </w:num>
  <w:num w:numId="12">
    <w:abstractNumId w:val="24"/>
  </w:num>
  <w:num w:numId="13">
    <w:abstractNumId w:val="6"/>
  </w:num>
  <w:num w:numId="14">
    <w:abstractNumId w:val="28"/>
  </w:num>
  <w:num w:numId="15">
    <w:abstractNumId w:val="20"/>
  </w:num>
  <w:num w:numId="16">
    <w:abstractNumId w:val="25"/>
  </w:num>
  <w:num w:numId="17">
    <w:abstractNumId w:val="15"/>
  </w:num>
  <w:num w:numId="18">
    <w:abstractNumId w:val="16"/>
  </w:num>
  <w:num w:numId="19">
    <w:abstractNumId w:val="27"/>
  </w:num>
  <w:num w:numId="20">
    <w:abstractNumId w:val="26"/>
  </w:num>
  <w:num w:numId="21">
    <w:abstractNumId w:val="4"/>
  </w:num>
  <w:num w:numId="22">
    <w:abstractNumId w:val="12"/>
  </w:num>
  <w:num w:numId="23">
    <w:abstractNumId w:val="3"/>
  </w:num>
  <w:num w:numId="24">
    <w:abstractNumId w:val="11"/>
  </w:num>
  <w:num w:numId="25">
    <w:abstractNumId w:val="7"/>
  </w:num>
  <w:num w:numId="26">
    <w:abstractNumId w:val="2"/>
  </w:num>
  <w:num w:numId="27">
    <w:abstractNumId w:val="22"/>
  </w:num>
  <w:num w:numId="28">
    <w:abstractNumId w:val="8"/>
  </w:num>
  <w:num w:numId="29">
    <w:abstractNumId w:val="10"/>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derick Khafagi">
    <w15:presenceInfo w15:providerId="Windows Live" w15:userId="a520bff9aa54ec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20D2D"/>
    <w:rsid w:val="00047606"/>
    <w:rsid w:val="000519D9"/>
    <w:rsid w:val="00065623"/>
    <w:rsid w:val="000756B9"/>
    <w:rsid w:val="00096B67"/>
    <w:rsid w:val="00096DAF"/>
    <w:rsid w:val="000C2F47"/>
    <w:rsid w:val="000D2B9A"/>
    <w:rsid w:val="000D6C00"/>
    <w:rsid w:val="000E4E04"/>
    <w:rsid w:val="000F14B4"/>
    <w:rsid w:val="000F75DF"/>
    <w:rsid w:val="001023DC"/>
    <w:rsid w:val="001328FA"/>
    <w:rsid w:val="00147AAF"/>
    <w:rsid w:val="001552C0"/>
    <w:rsid w:val="001640B1"/>
    <w:rsid w:val="001641BB"/>
    <w:rsid w:val="00176EB9"/>
    <w:rsid w:val="0018435E"/>
    <w:rsid w:val="001C6D19"/>
    <w:rsid w:val="001F2373"/>
    <w:rsid w:val="002041A1"/>
    <w:rsid w:val="002054F0"/>
    <w:rsid w:val="0022077D"/>
    <w:rsid w:val="002266AD"/>
    <w:rsid w:val="00230D6B"/>
    <w:rsid w:val="00232068"/>
    <w:rsid w:val="002330F2"/>
    <w:rsid w:val="0023747C"/>
    <w:rsid w:val="00243D9E"/>
    <w:rsid w:val="00253B66"/>
    <w:rsid w:val="00261DF1"/>
    <w:rsid w:val="002631FC"/>
    <w:rsid w:val="00271F18"/>
    <w:rsid w:val="00282779"/>
    <w:rsid w:val="0028334D"/>
    <w:rsid w:val="002B7FFA"/>
    <w:rsid w:val="002C2BCF"/>
    <w:rsid w:val="002D4342"/>
    <w:rsid w:val="002E76FE"/>
    <w:rsid w:val="002F279D"/>
    <w:rsid w:val="002F43B8"/>
    <w:rsid w:val="00336856"/>
    <w:rsid w:val="0034554D"/>
    <w:rsid w:val="00352224"/>
    <w:rsid w:val="003671E6"/>
    <w:rsid w:val="00367B3C"/>
    <w:rsid w:val="00384272"/>
    <w:rsid w:val="00386D67"/>
    <w:rsid w:val="00390C3A"/>
    <w:rsid w:val="003945B8"/>
    <w:rsid w:val="003B0F99"/>
    <w:rsid w:val="003D4BFD"/>
    <w:rsid w:val="003D7F29"/>
    <w:rsid w:val="00405A6B"/>
    <w:rsid w:val="00407B1F"/>
    <w:rsid w:val="0041184F"/>
    <w:rsid w:val="00414C57"/>
    <w:rsid w:val="0041758C"/>
    <w:rsid w:val="004539DE"/>
    <w:rsid w:val="004A2CF1"/>
    <w:rsid w:val="004C3035"/>
    <w:rsid w:val="004C307F"/>
    <w:rsid w:val="004E4BA8"/>
    <w:rsid w:val="004F0995"/>
    <w:rsid w:val="004F340F"/>
    <w:rsid w:val="004F7B7C"/>
    <w:rsid w:val="00511F62"/>
    <w:rsid w:val="0052243D"/>
    <w:rsid w:val="00532435"/>
    <w:rsid w:val="005423D4"/>
    <w:rsid w:val="00550354"/>
    <w:rsid w:val="00560D4A"/>
    <w:rsid w:val="00571236"/>
    <w:rsid w:val="005953A1"/>
    <w:rsid w:val="00596BFB"/>
    <w:rsid w:val="005A4362"/>
    <w:rsid w:val="005A6B4E"/>
    <w:rsid w:val="005B5434"/>
    <w:rsid w:val="005D0332"/>
    <w:rsid w:val="005D0D8C"/>
    <w:rsid w:val="0064287F"/>
    <w:rsid w:val="00644E7A"/>
    <w:rsid w:val="00664889"/>
    <w:rsid w:val="006776AE"/>
    <w:rsid w:val="006A0D97"/>
    <w:rsid w:val="006B1F86"/>
    <w:rsid w:val="006C0A91"/>
    <w:rsid w:val="006C5338"/>
    <w:rsid w:val="006C6993"/>
    <w:rsid w:val="007054BB"/>
    <w:rsid w:val="00707064"/>
    <w:rsid w:val="007122EF"/>
    <w:rsid w:val="007222D9"/>
    <w:rsid w:val="00730683"/>
    <w:rsid w:val="00733D69"/>
    <w:rsid w:val="0075261F"/>
    <w:rsid w:val="0075468E"/>
    <w:rsid w:val="007665D8"/>
    <w:rsid w:val="00766E36"/>
    <w:rsid w:val="00773B6B"/>
    <w:rsid w:val="007765F4"/>
    <w:rsid w:val="00776633"/>
    <w:rsid w:val="00784D53"/>
    <w:rsid w:val="00797797"/>
    <w:rsid w:val="007978C7"/>
    <w:rsid w:val="007A63C9"/>
    <w:rsid w:val="007B32D1"/>
    <w:rsid w:val="007B7095"/>
    <w:rsid w:val="007D24E1"/>
    <w:rsid w:val="007D6288"/>
    <w:rsid w:val="007F4CE9"/>
    <w:rsid w:val="007F4E20"/>
    <w:rsid w:val="0080402E"/>
    <w:rsid w:val="00822C7E"/>
    <w:rsid w:val="00834AE3"/>
    <w:rsid w:val="0083608D"/>
    <w:rsid w:val="0084645D"/>
    <w:rsid w:val="00847060"/>
    <w:rsid w:val="00847A36"/>
    <w:rsid w:val="00856A33"/>
    <w:rsid w:val="00892620"/>
    <w:rsid w:val="008C7D37"/>
    <w:rsid w:val="008D5885"/>
    <w:rsid w:val="008E243D"/>
    <w:rsid w:val="008E66B2"/>
    <w:rsid w:val="00921331"/>
    <w:rsid w:val="00923FA2"/>
    <w:rsid w:val="00950C48"/>
    <w:rsid w:val="0096060D"/>
    <w:rsid w:val="0097460D"/>
    <w:rsid w:val="00974A50"/>
    <w:rsid w:val="0097585A"/>
    <w:rsid w:val="009819F9"/>
    <w:rsid w:val="009924B0"/>
    <w:rsid w:val="009942C9"/>
    <w:rsid w:val="009B35C4"/>
    <w:rsid w:val="009C630A"/>
    <w:rsid w:val="009E0D98"/>
    <w:rsid w:val="00A068A1"/>
    <w:rsid w:val="00A1207D"/>
    <w:rsid w:val="00A12FD8"/>
    <w:rsid w:val="00A34382"/>
    <w:rsid w:val="00A346FC"/>
    <w:rsid w:val="00A62064"/>
    <w:rsid w:val="00A846F2"/>
    <w:rsid w:val="00A84F93"/>
    <w:rsid w:val="00AB1AC5"/>
    <w:rsid w:val="00AB3BFC"/>
    <w:rsid w:val="00AC4F2E"/>
    <w:rsid w:val="00AD0C37"/>
    <w:rsid w:val="00AD385F"/>
    <w:rsid w:val="00AE6E2A"/>
    <w:rsid w:val="00B03EAB"/>
    <w:rsid w:val="00B31B59"/>
    <w:rsid w:val="00B31E9C"/>
    <w:rsid w:val="00B35105"/>
    <w:rsid w:val="00B35595"/>
    <w:rsid w:val="00B35C64"/>
    <w:rsid w:val="00B518F8"/>
    <w:rsid w:val="00B51C6D"/>
    <w:rsid w:val="00B62BE5"/>
    <w:rsid w:val="00B669B2"/>
    <w:rsid w:val="00B83DD2"/>
    <w:rsid w:val="00B86D64"/>
    <w:rsid w:val="00BA0114"/>
    <w:rsid w:val="00BA446D"/>
    <w:rsid w:val="00BA4AC5"/>
    <w:rsid w:val="00BC1364"/>
    <w:rsid w:val="00BC2667"/>
    <w:rsid w:val="00BC7DE9"/>
    <w:rsid w:val="00BF479B"/>
    <w:rsid w:val="00C02577"/>
    <w:rsid w:val="00C204FB"/>
    <w:rsid w:val="00C20BEE"/>
    <w:rsid w:val="00C2158D"/>
    <w:rsid w:val="00C30986"/>
    <w:rsid w:val="00C427C3"/>
    <w:rsid w:val="00C473F8"/>
    <w:rsid w:val="00C67DD2"/>
    <w:rsid w:val="00C725CB"/>
    <w:rsid w:val="00C76F5C"/>
    <w:rsid w:val="00C825E2"/>
    <w:rsid w:val="00C8352B"/>
    <w:rsid w:val="00C96BAD"/>
    <w:rsid w:val="00CA6944"/>
    <w:rsid w:val="00CB0F8E"/>
    <w:rsid w:val="00CB7E7D"/>
    <w:rsid w:val="00CC2911"/>
    <w:rsid w:val="00CD5041"/>
    <w:rsid w:val="00CF0C6D"/>
    <w:rsid w:val="00CF42FA"/>
    <w:rsid w:val="00CF7307"/>
    <w:rsid w:val="00CF7C68"/>
    <w:rsid w:val="00D10E5B"/>
    <w:rsid w:val="00D124FA"/>
    <w:rsid w:val="00D25FEC"/>
    <w:rsid w:val="00D340DE"/>
    <w:rsid w:val="00D50810"/>
    <w:rsid w:val="00D55723"/>
    <w:rsid w:val="00D62FAD"/>
    <w:rsid w:val="00D64355"/>
    <w:rsid w:val="00D6587C"/>
    <w:rsid w:val="00D70450"/>
    <w:rsid w:val="00D83BFD"/>
    <w:rsid w:val="00D90A38"/>
    <w:rsid w:val="00D9325D"/>
    <w:rsid w:val="00DA0515"/>
    <w:rsid w:val="00DA171E"/>
    <w:rsid w:val="00DA56AA"/>
    <w:rsid w:val="00DB5833"/>
    <w:rsid w:val="00DD2858"/>
    <w:rsid w:val="00DD63BA"/>
    <w:rsid w:val="00E03E33"/>
    <w:rsid w:val="00E059E0"/>
    <w:rsid w:val="00E3642A"/>
    <w:rsid w:val="00E415C4"/>
    <w:rsid w:val="00E50016"/>
    <w:rsid w:val="00E50EAA"/>
    <w:rsid w:val="00E656D6"/>
    <w:rsid w:val="00E977EE"/>
    <w:rsid w:val="00EA2F24"/>
    <w:rsid w:val="00EA67A2"/>
    <w:rsid w:val="00EB162C"/>
    <w:rsid w:val="00EB630F"/>
    <w:rsid w:val="00EB6B6F"/>
    <w:rsid w:val="00EC279F"/>
    <w:rsid w:val="00EC4F98"/>
    <w:rsid w:val="00F12F02"/>
    <w:rsid w:val="00F2428C"/>
    <w:rsid w:val="00F32E0D"/>
    <w:rsid w:val="00F35134"/>
    <w:rsid w:val="00F37B9C"/>
    <w:rsid w:val="00F41812"/>
    <w:rsid w:val="00F431D5"/>
    <w:rsid w:val="00F4483A"/>
    <w:rsid w:val="00F52DD7"/>
    <w:rsid w:val="00F547FF"/>
    <w:rsid w:val="00F715D1"/>
    <w:rsid w:val="00F72715"/>
    <w:rsid w:val="00F73333"/>
    <w:rsid w:val="00F95D8F"/>
    <w:rsid w:val="00FB020B"/>
    <w:rsid w:val="00FB350A"/>
    <w:rsid w:val="00FB4C5D"/>
    <w:rsid w:val="00FC718B"/>
    <w:rsid w:val="00FD1472"/>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C6B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Heading">
    <w:name w:val="TableHeading"/>
    <w:basedOn w:val="Normal"/>
    <w:link w:val="TableHeadingChar"/>
    <w:qFormat/>
    <w:rsid w:val="007978C7"/>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7978C7"/>
    <w:rPr>
      <w:rFonts w:ascii="Arial Narrow" w:eastAsia="Times New Roman" w:hAnsi="Arial Narrow" w:cs="Tahoma"/>
      <w:b/>
      <w:noProof/>
      <w:sz w:val="20"/>
      <w:szCs w:val="20"/>
    </w:rPr>
  </w:style>
  <w:style w:type="paragraph" w:customStyle="1" w:styleId="Tablenotes">
    <w:name w:val="Tablenotes"/>
    <w:basedOn w:val="Normal"/>
    <w:link w:val="TablenotesChar"/>
    <w:autoRedefine/>
    <w:qFormat/>
    <w:rsid w:val="00BA446D"/>
    <w:pPr>
      <w:widowControl w:val="0"/>
      <w:contextualSpacing/>
    </w:pPr>
    <w:rPr>
      <w:rFonts w:ascii="Arial Narrow" w:hAnsi="Arial Narrow" w:cs="Arial"/>
      <w:snapToGrid w:val="0"/>
      <w:sz w:val="16"/>
      <w:szCs w:val="16"/>
      <w:lang w:eastAsia="en-US"/>
    </w:rPr>
  </w:style>
  <w:style w:type="character" w:customStyle="1" w:styleId="TablenotesChar">
    <w:name w:val="Tablenotes Char"/>
    <w:basedOn w:val="DefaultParagraphFont"/>
    <w:link w:val="Tablenotes"/>
    <w:rsid w:val="00BA446D"/>
    <w:rPr>
      <w:rFonts w:ascii="Arial Narrow" w:eastAsia="Times New Roman" w:hAnsi="Arial Narrow" w:cs="Arial"/>
      <w:snapToGrid w:val="0"/>
      <w:sz w:val="16"/>
      <w:szCs w:val="16"/>
      <w:lang w:eastAsia="en-US"/>
    </w:rPr>
  </w:style>
  <w:style w:type="paragraph" w:customStyle="1" w:styleId="TableText10pt">
    <w:name w:val="Table Text 10pt"/>
    <w:basedOn w:val="Normal"/>
    <w:link w:val="TableText10ptChar"/>
    <w:rsid w:val="007978C7"/>
    <w:pPr>
      <w:keepNext/>
      <w:spacing w:before="40" w:after="40"/>
      <w:ind w:left="57"/>
    </w:pPr>
    <w:rPr>
      <w:rFonts w:ascii="Arial Narrow" w:hAnsi="Arial Narrow" w:cs="Tahoma"/>
      <w:sz w:val="20"/>
      <w:szCs w:val="22"/>
      <w:lang w:eastAsia="en-US"/>
    </w:rPr>
  </w:style>
  <w:style w:type="character" w:customStyle="1" w:styleId="TableText10ptChar">
    <w:name w:val="Table Text 10pt Char"/>
    <w:link w:val="TableText10pt"/>
    <w:rsid w:val="007978C7"/>
    <w:rPr>
      <w:rFonts w:ascii="Arial Narrow" w:eastAsia="Times New Roman" w:hAnsi="Arial Narrow" w:cs="Tahoma"/>
      <w:sz w:val="20"/>
      <w:lang w:eastAsia="en-US"/>
    </w:rPr>
  </w:style>
  <w:style w:type="paragraph" w:customStyle="1" w:styleId="TFAbbrevs0">
    <w:name w:val="TFAbbrevs+0"/>
    <w:basedOn w:val="Normal"/>
    <w:qFormat/>
    <w:rsid w:val="007978C7"/>
    <w:pPr>
      <w:keepNext/>
      <w:keepLines/>
    </w:pPr>
    <w:rPr>
      <w:rFonts w:ascii="Arial Narrow" w:hAnsi="Arial Narrow"/>
      <w:color w:val="000000"/>
      <w:sz w:val="18"/>
      <w:szCs w:val="18"/>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7978C7"/>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7978C7"/>
    <w:rPr>
      <w:rFonts w:ascii="Arial Narrow" w:eastAsia="Times New Roman" w:hAnsi="Arial Narrow" w:cs="Arial"/>
      <w:b/>
      <w:bCs/>
      <w:iCs/>
      <w:sz w:val="20"/>
      <w:szCs w:val="20"/>
      <w:lang w:eastAsia="en-US"/>
    </w:rPr>
  </w:style>
  <w:style w:type="table" w:customStyle="1" w:styleId="TableGrid2">
    <w:name w:val="Table Grid2"/>
    <w:basedOn w:val="TableNormal"/>
    <w:next w:val="TableGrid"/>
    <w:rsid w:val="007978C7"/>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val="0"/>
        <w:sz w:val="20"/>
      </w:rPr>
    </w:tblStylePr>
  </w:style>
  <w:style w:type="paragraph" w:customStyle="1" w:styleId="TableHeadingcentered">
    <w:name w:val="Table Heading +centered"/>
    <w:basedOn w:val="Normal"/>
    <w:qFormat/>
    <w:rsid w:val="007978C7"/>
    <w:pPr>
      <w:keepNext/>
      <w:spacing w:before="40" w:after="40" w:line="312" w:lineRule="auto"/>
      <w:jc w:val="center"/>
    </w:pPr>
    <w:rPr>
      <w:rFonts w:ascii="Arial" w:hAnsi="Arial" w:cs="Tahoma"/>
      <w:b/>
      <w:sz w:val="18"/>
      <w:szCs w:val="22"/>
      <w:lang w:val="en-GB" w:eastAsia="en-US"/>
    </w:rPr>
  </w:style>
  <w:style w:type="paragraph" w:customStyle="1" w:styleId="Tabletext33">
    <w:name w:val="Table text+3+3"/>
    <w:basedOn w:val="Normal"/>
    <w:link w:val="Tabletext33Char"/>
    <w:autoRedefine/>
    <w:qFormat/>
    <w:rsid w:val="00B669B2"/>
    <w:pPr>
      <w:keepNext/>
      <w:tabs>
        <w:tab w:val="left" w:pos="19"/>
      </w:tabs>
      <w:spacing w:before="40" w:after="40"/>
      <w:ind w:left="57" w:right="113"/>
    </w:pPr>
    <w:rPr>
      <w:rFonts w:ascii="Arial Narrow" w:hAnsi="Arial Narrow"/>
      <w:b/>
      <w:sz w:val="20"/>
      <w:lang w:eastAsia="en-US"/>
    </w:rPr>
  </w:style>
  <w:style w:type="character" w:customStyle="1" w:styleId="Tabletext33Char">
    <w:name w:val="Table text+3+3 Char"/>
    <w:basedOn w:val="DefaultParagraphFont"/>
    <w:link w:val="Tabletext33"/>
    <w:rsid w:val="00B669B2"/>
    <w:rPr>
      <w:rFonts w:ascii="Arial Narrow" w:eastAsia="Times New Roman" w:hAnsi="Arial Narrow"/>
      <w:b/>
      <w:sz w:val="20"/>
      <w:szCs w:val="20"/>
      <w:lang w:eastAsia="en-US"/>
    </w:rPr>
  </w:style>
  <w:style w:type="paragraph" w:customStyle="1" w:styleId="TableHeading9ptCent">
    <w:name w:val="TableHeading 9pt Cent"/>
    <w:basedOn w:val="Normal"/>
    <w:qFormat/>
    <w:rsid w:val="007978C7"/>
    <w:pPr>
      <w:keepNext/>
      <w:spacing w:before="40" w:after="40"/>
      <w:ind w:left="57"/>
      <w:jc w:val="center"/>
    </w:pPr>
    <w:rPr>
      <w:rFonts w:ascii="Arial Narrow" w:hAnsi="Arial Narrow" w:cs="Tahoma"/>
      <w:b/>
      <w:sz w:val="18"/>
    </w:rPr>
  </w:style>
  <w:style w:type="paragraph" w:customStyle="1" w:styleId="Tabletext33cemt">
    <w:name w:val="Table text+3+3 cemt"/>
    <w:basedOn w:val="Tabletext33"/>
    <w:qFormat/>
    <w:rsid w:val="007978C7"/>
    <w:pPr>
      <w:jc w:val="center"/>
    </w:pPr>
  </w:style>
  <w:style w:type="table" w:styleId="TableGrid">
    <w:name w:val="Table Grid"/>
    <w:basedOn w:val="TableNormal"/>
    <w:locked/>
    <w:rsid w:val="0079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9ptcentered">
    <w:name w:val="Table Text 9pt centered"/>
    <w:basedOn w:val="Normal"/>
    <w:qFormat/>
    <w:rsid w:val="007978C7"/>
    <w:pPr>
      <w:keepNext/>
      <w:spacing w:before="40" w:after="40"/>
      <w:jc w:val="center"/>
    </w:pPr>
    <w:rPr>
      <w:rFonts w:ascii="Arial Narrow" w:hAnsi="Arial Narrow" w:cs="Tahoma"/>
      <w:sz w:val="18"/>
      <w:szCs w:val="22"/>
    </w:rPr>
  </w:style>
  <w:style w:type="character" w:customStyle="1" w:styleId="ListParagraphChar">
    <w:name w:val="List Paragraph Char"/>
    <w:basedOn w:val="DefaultParagraphFont"/>
    <w:link w:val="ListParagraph"/>
    <w:uiPriority w:val="34"/>
    <w:rsid w:val="00BA0114"/>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Heading">
    <w:name w:val="TableHeading"/>
    <w:basedOn w:val="Normal"/>
    <w:link w:val="TableHeadingChar"/>
    <w:qFormat/>
    <w:rsid w:val="007978C7"/>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7978C7"/>
    <w:rPr>
      <w:rFonts w:ascii="Arial Narrow" w:eastAsia="Times New Roman" w:hAnsi="Arial Narrow" w:cs="Tahoma"/>
      <w:b/>
      <w:noProof/>
      <w:sz w:val="20"/>
      <w:szCs w:val="20"/>
    </w:rPr>
  </w:style>
  <w:style w:type="paragraph" w:customStyle="1" w:styleId="Tablenotes">
    <w:name w:val="Tablenotes"/>
    <w:basedOn w:val="Normal"/>
    <w:link w:val="TablenotesChar"/>
    <w:autoRedefine/>
    <w:qFormat/>
    <w:rsid w:val="00BA446D"/>
    <w:pPr>
      <w:widowControl w:val="0"/>
      <w:contextualSpacing/>
    </w:pPr>
    <w:rPr>
      <w:rFonts w:ascii="Arial Narrow" w:hAnsi="Arial Narrow" w:cs="Arial"/>
      <w:snapToGrid w:val="0"/>
      <w:sz w:val="16"/>
      <w:szCs w:val="16"/>
      <w:lang w:eastAsia="en-US"/>
    </w:rPr>
  </w:style>
  <w:style w:type="character" w:customStyle="1" w:styleId="TablenotesChar">
    <w:name w:val="Tablenotes Char"/>
    <w:basedOn w:val="DefaultParagraphFont"/>
    <w:link w:val="Tablenotes"/>
    <w:rsid w:val="00BA446D"/>
    <w:rPr>
      <w:rFonts w:ascii="Arial Narrow" w:eastAsia="Times New Roman" w:hAnsi="Arial Narrow" w:cs="Arial"/>
      <w:snapToGrid w:val="0"/>
      <w:sz w:val="16"/>
      <w:szCs w:val="16"/>
      <w:lang w:eastAsia="en-US"/>
    </w:rPr>
  </w:style>
  <w:style w:type="paragraph" w:customStyle="1" w:styleId="TableText10pt">
    <w:name w:val="Table Text 10pt"/>
    <w:basedOn w:val="Normal"/>
    <w:link w:val="TableText10ptChar"/>
    <w:rsid w:val="007978C7"/>
    <w:pPr>
      <w:keepNext/>
      <w:spacing w:before="40" w:after="40"/>
      <w:ind w:left="57"/>
    </w:pPr>
    <w:rPr>
      <w:rFonts w:ascii="Arial Narrow" w:hAnsi="Arial Narrow" w:cs="Tahoma"/>
      <w:sz w:val="20"/>
      <w:szCs w:val="22"/>
      <w:lang w:eastAsia="en-US"/>
    </w:rPr>
  </w:style>
  <w:style w:type="character" w:customStyle="1" w:styleId="TableText10ptChar">
    <w:name w:val="Table Text 10pt Char"/>
    <w:link w:val="TableText10pt"/>
    <w:rsid w:val="007978C7"/>
    <w:rPr>
      <w:rFonts w:ascii="Arial Narrow" w:eastAsia="Times New Roman" w:hAnsi="Arial Narrow" w:cs="Tahoma"/>
      <w:sz w:val="20"/>
      <w:lang w:eastAsia="en-US"/>
    </w:rPr>
  </w:style>
  <w:style w:type="paragraph" w:customStyle="1" w:styleId="TFAbbrevs0">
    <w:name w:val="TFAbbrevs+0"/>
    <w:basedOn w:val="Normal"/>
    <w:qFormat/>
    <w:rsid w:val="007978C7"/>
    <w:pPr>
      <w:keepNext/>
      <w:keepLines/>
    </w:pPr>
    <w:rPr>
      <w:rFonts w:ascii="Arial Narrow" w:hAnsi="Arial Narrow"/>
      <w:color w:val="000000"/>
      <w:sz w:val="18"/>
      <w:szCs w:val="18"/>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7978C7"/>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7978C7"/>
    <w:rPr>
      <w:rFonts w:ascii="Arial Narrow" w:eastAsia="Times New Roman" w:hAnsi="Arial Narrow" w:cs="Arial"/>
      <w:b/>
      <w:bCs/>
      <w:iCs/>
      <w:sz w:val="20"/>
      <w:szCs w:val="20"/>
      <w:lang w:eastAsia="en-US"/>
    </w:rPr>
  </w:style>
  <w:style w:type="table" w:customStyle="1" w:styleId="TableGrid2">
    <w:name w:val="Table Grid2"/>
    <w:basedOn w:val="TableNormal"/>
    <w:next w:val="TableGrid"/>
    <w:rsid w:val="007978C7"/>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val="0"/>
        <w:sz w:val="20"/>
      </w:rPr>
    </w:tblStylePr>
  </w:style>
  <w:style w:type="paragraph" w:customStyle="1" w:styleId="TableHeadingcentered">
    <w:name w:val="Table Heading +centered"/>
    <w:basedOn w:val="Normal"/>
    <w:qFormat/>
    <w:rsid w:val="007978C7"/>
    <w:pPr>
      <w:keepNext/>
      <w:spacing w:before="40" w:after="40" w:line="312" w:lineRule="auto"/>
      <w:jc w:val="center"/>
    </w:pPr>
    <w:rPr>
      <w:rFonts w:ascii="Arial" w:hAnsi="Arial" w:cs="Tahoma"/>
      <w:b/>
      <w:sz w:val="18"/>
      <w:szCs w:val="22"/>
      <w:lang w:val="en-GB" w:eastAsia="en-US"/>
    </w:rPr>
  </w:style>
  <w:style w:type="paragraph" w:customStyle="1" w:styleId="Tabletext33">
    <w:name w:val="Table text+3+3"/>
    <w:basedOn w:val="Normal"/>
    <w:link w:val="Tabletext33Char"/>
    <w:autoRedefine/>
    <w:qFormat/>
    <w:rsid w:val="00B669B2"/>
    <w:pPr>
      <w:keepNext/>
      <w:tabs>
        <w:tab w:val="left" w:pos="19"/>
      </w:tabs>
      <w:spacing w:before="40" w:after="40"/>
      <w:ind w:left="57" w:right="113"/>
    </w:pPr>
    <w:rPr>
      <w:rFonts w:ascii="Arial Narrow" w:hAnsi="Arial Narrow"/>
      <w:b/>
      <w:sz w:val="20"/>
      <w:lang w:eastAsia="en-US"/>
    </w:rPr>
  </w:style>
  <w:style w:type="character" w:customStyle="1" w:styleId="Tabletext33Char">
    <w:name w:val="Table text+3+3 Char"/>
    <w:basedOn w:val="DefaultParagraphFont"/>
    <w:link w:val="Tabletext33"/>
    <w:rsid w:val="00B669B2"/>
    <w:rPr>
      <w:rFonts w:ascii="Arial Narrow" w:eastAsia="Times New Roman" w:hAnsi="Arial Narrow"/>
      <w:b/>
      <w:sz w:val="20"/>
      <w:szCs w:val="20"/>
      <w:lang w:eastAsia="en-US"/>
    </w:rPr>
  </w:style>
  <w:style w:type="paragraph" w:customStyle="1" w:styleId="TableHeading9ptCent">
    <w:name w:val="TableHeading 9pt Cent"/>
    <w:basedOn w:val="Normal"/>
    <w:qFormat/>
    <w:rsid w:val="007978C7"/>
    <w:pPr>
      <w:keepNext/>
      <w:spacing w:before="40" w:after="40"/>
      <w:ind w:left="57"/>
      <w:jc w:val="center"/>
    </w:pPr>
    <w:rPr>
      <w:rFonts w:ascii="Arial Narrow" w:hAnsi="Arial Narrow" w:cs="Tahoma"/>
      <w:b/>
      <w:sz w:val="18"/>
    </w:rPr>
  </w:style>
  <w:style w:type="paragraph" w:customStyle="1" w:styleId="Tabletext33cemt">
    <w:name w:val="Table text+3+3 cemt"/>
    <w:basedOn w:val="Tabletext33"/>
    <w:qFormat/>
    <w:rsid w:val="007978C7"/>
    <w:pPr>
      <w:jc w:val="center"/>
    </w:pPr>
  </w:style>
  <w:style w:type="table" w:styleId="TableGrid">
    <w:name w:val="Table Grid"/>
    <w:basedOn w:val="TableNormal"/>
    <w:locked/>
    <w:rsid w:val="0079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9ptcentered">
    <w:name w:val="Table Text 9pt centered"/>
    <w:basedOn w:val="Normal"/>
    <w:qFormat/>
    <w:rsid w:val="007978C7"/>
    <w:pPr>
      <w:keepNext/>
      <w:spacing w:before="40" w:after="40"/>
      <w:jc w:val="center"/>
    </w:pPr>
    <w:rPr>
      <w:rFonts w:ascii="Arial Narrow" w:hAnsi="Arial Narrow" w:cs="Tahoma"/>
      <w:sz w:val="18"/>
      <w:szCs w:val="22"/>
    </w:rPr>
  </w:style>
  <w:style w:type="character" w:customStyle="1" w:styleId="ListParagraphChar">
    <w:name w:val="List Paragraph Char"/>
    <w:basedOn w:val="DefaultParagraphFont"/>
    <w:link w:val="ListParagraph"/>
    <w:uiPriority w:val="34"/>
    <w:rsid w:val="00BA0114"/>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hmrc.gov.au/_files_nhmrc/publications/attachments/cp107_diagnosis_management_lymphoma_15061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bs.tga.gov.au/ebs/picmi/picmirepository.nsf/pdf?OpenAgent&amp;id=CP-2010-PI-040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6149</Words>
  <Characters>33897</Characters>
  <Application>Microsoft Office Word</Application>
  <DocSecurity>0</DocSecurity>
  <Lines>282</Lines>
  <Paragraphs>79</Paragraphs>
  <ScaleCrop>false</ScaleCrop>
  <Company/>
  <LinksUpToDate>false</LinksUpToDate>
  <CharactersWithSpaces>39967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1420-FinalPSD-accessible</dc:title>
  <dc:creator/>
  <cp:lastModifiedBy/>
  <cp:revision>1</cp:revision>
  <dcterms:created xsi:type="dcterms:W3CDTF">2017-09-28T23:11:00Z</dcterms:created>
  <dcterms:modified xsi:type="dcterms:W3CDTF">2017-09-28T23:11:00Z</dcterms:modified>
</cp:coreProperties>
</file>