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682CD7" w:rsidRDefault="00C67DD2" w:rsidP="00065623">
      <w:pPr>
        <w:jc w:val="center"/>
        <w:rPr>
          <w:rFonts w:asciiTheme="minorHAnsi" w:hAnsiTheme="minorHAnsi" w:cstheme="minorHAnsi"/>
          <w:b/>
          <w:i/>
          <w:szCs w:val="24"/>
        </w:rPr>
      </w:pPr>
      <w:bookmarkStart w:id="0" w:name="_GoBack"/>
      <w:bookmarkEnd w:id="0"/>
      <w:r w:rsidRPr="00682CD7">
        <w:rPr>
          <w:rFonts w:asciiTheme="minorHAnsi" w:hAnsiTheme="minorHAnsi" w:cstheme="minorHAnsi"/>
          <w:b/>
          <w:noProof/>
          <w:color w:val="000080"/>
          <w:sz w:val="28"/>
          <w:szCs w:val="28"/>
        </w:rPr>
        <w:drawing>
          <wp:inline distT="0" distB="0" distL="0" distR="0" wp14:anchorId="17C78A33" wp14:editId="5D0D96D9">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863F70" w:rsidRDefault="00BF479B" w:rsidP="006E4A48">
      <w:pPr>
        <w:spacing w:before="720" w:after="360"/>
        <w:jc w:val="center"/>
        <w:rPr>
          <w:rFonts w:ascii="Arial" w:hAnsi="Arial" w:cs="Arial"/>
          <w:b/>
          <w:bCs/>
          <w:color w:val="000080"/>
          <w:sz w:val="36"/>
          <w:szCs w:val="36"/>
        </w:rPr>
      </w:pPr>
      <w:r w:rsidRPr="00863F70">
        <w:rPr>
          <w:rFonts w:ascii="Arial" w:hAnsi="Arial" w:cs="Arial"/>
          <w:b/>
          <w:bCs/>
          <w:color w:val="000080"/>
          <w:sz w:val="36"/>
          <w:szCs w:val="36"/>
        </w:rPr>
        <w:t>Public Summary Document</w:t>
      </w:r>
    </w:p>
    <w:p w:rsidR="00633ADB" w:rsidRPr="00863F70" w:rsidRDefault="003F5DD6" w:rsidP="00863F70">
      <w:pPr>
        <w:pStyle w:val="Heading1"/>
        <w:jc w:val="center"/>
        <w:rPr>
          <w:rStyle w:val="IntenseReference"/>
          <w:rFonts w:cs="Arial"/>
          <w:b/>
          <w:bCs/>
          <w:i w:val="0"/>
          <w:smallCaps w:val="0"/>
          <w:color w:val="auto"/>
          <w:spacing w:val="0"/>
        </w:rPr>
      </w:pPr>
      <w:r w:rsidRPr="00863F70">
        <w:rPr>
          <w:rStyle w:val="IntenseReference"/>
          <w:rFonts w:cs="Arial"/>
          <w:b/>
          <w:bCs/>
          <w:i w:val="0"/>
          <w:smallCaps w:val="0"/>
          <w:color w:val="auto"/>
          <w:spacing w:val="0"/>
        </w:rPr>
        <w:t xml:space="preserve">Report to the Medical Services Advisory Committee on </w:t>
      </w:r>
      <w:r w:rsidR="00633ADB" w:rsidRPr="00863F70">
        <w:rPr>
          <w:rStyle w:val="IntenseReference"/>
          <w:rFonts w:cs="Arial"/>
          <w:b/>
          <w:bCs/>
          <w:i w:val="0"/>
          <w:smallCaps w:val="0"/>
          <w:color w:val="auto"/>
          <w:spacing w:val="0"/>
        </w:rPr>
        <w:t xml:space="preserve">Application No. 1180r – Review of </w:t>
      </w:r>
      <w:r w:rsidR="00F36900" w:rsidRPr="00863F70">
        <w:rPr>
          <w:rStyle w:val="IntenseReference"/>
          <w:rFonts w:cs="Arial"/>
          <w:b/>
          <w:bCs/>
          <w:i w:val="0"/>
          <w:smallCaps w:val="0"/>
          <w:color w:val="auto"/>
          <w:spacing w:val="0"/>
        </w:rPr>
        <w:t xml:space="preserve">Medicare Benefits Schedule (MBS) </w:t>
      </w:r>
      <w:r w:rsidR="00633ADB" w:rsidRPr="00863F70">
        <w:rPr>
          <w:rStyle w:val="IntenseReference"/>
          <w:rFonts w:cs="Arial"/>
          <w:b/>
          <w:bCs/>
          <w:i w:val="0"/>
          <w:smallCaps w:val="0"/>
          <w:color w:val="auto"/>
          <w:spacing w:val="0"/>
        </w:rPr>
        <w:t>items for the surgical treatment of obesity</w:t>
      </w:r>
    </w:p>
    <w:p w:rsidR="00BC1364" w:rsidRPr="00863F70" w:rsidRDefault="00F36900" w:rsidP="00F36900">
      <w:pPr>
        <w:spacing w:before="360"/>
        <w:rPr>
          <w:rFonts w:ascii="Arial" w:hAnsi="Arial" w:cs="Arial"/>
          <w:b/>
          <w:szCs w:val="24"/>
        </w:rPr>
      </w:pPr>
      <w:r w:rsidRPr="00863F70">
        <w:rPr>
          <w:rFonts w:ascii="Arial" w:hAnsi="Arial" w:cs="Arial"/>
          <w:b/>
          <w:szCs w:val="24"/>
        </w:rPr>
        <w:t>MBS</w:t>
      </w:r>
      <w:r w:rsidR="003F5DD6" w:rsidRPr="00863F70">
        <w:rPr>
          <w:rFonts w:ascii="Arial" w:hAnsi="Arial" w:cs="Arial"/>
          <w:b/>
          <w:szCs w:val="24"/>
        </w:rPr>
        <w:t xml:space="preserve"> item</w:t>
      </w:r>
      <w:r w:rsidRPr="00863F70">
        <w:rPr>
          <w:rFonts w:ascii="Arial" w:hAnsi="Arial" w:cs="Arial"/>
          <w:b/>
          <w:szCs w:val="24"/>
        </w:rPr>
        <w:t>s</w:t>
      </w:r>
      <w:r w:rsidR="003F5DD6" w:rsidRPr="00863F70">
        <w:rPr>
          <w:rFonts w:ascii="Arial" w:hAnsi="Arial" w:cs="Arial"/>
          <w:b/>
          <w:szCs w:val="24"/>
        </w:rPr>
        <w:t xml:space="preserve"> considered</w:t>
      </w:r>
      <w:r w:rsidRPr="00863F70">
        <w:rPr>
          <w:rFonts w:ascii="Arial" w:hAnsi="Arial" w:cs="Arial"/>
          <w:b/>
          <w:szCs w:val="24"/>
        </w:rPr>
        <w:t>: 31569, 31572, 31575, 31578, 31581, 31584, 31587 and 31590</w:t>
      </w:r>
      <w:r w:rsidR="008932FB" w:rsidRPr="00863F70">
        <w:rPr>
          <w:rFonts w:ascii="Arial" w:hAnsi="Arial" w:cs="Arial"/>
          <w:b/>
          <w:szCs w:val="24"/>
        </w:rPr>
        <w:t>.</w:t>
      </w:r>
    </w:p>
    <w:p w:rsidR="00BC1364" w:rsidRPr="00863F70" w:rsidRDefault="004617ED" w:rsidP="004617ED">
      <w:pPr>
        <w:spacing w:before="360"/>
        <w:ind w:left="3600" w:hanging="3600"/>
        <w:rPr>
          <w:rFonts w:ascii="Arial" w:hAnsi="Arial" w:cs="Arial"/>
          <w:b/>
          <w:szCs w:val="24"/>
        </w:rPr>
      </w:pPr>
      <w:r w:rsidRPr="00863F70">
        <w:rPr>
          <w:rFonts w:ascii="Arial" w:hAnsi="Arial" w:cs="Arial"/>
          <w:b/>
          <w:szCs w:val="24"/>
        </w:rPr>
        <w:t>D</w:t>
      </w:r>
      <w:r w:rsidR="00BC1364" w:rsidRPr="00863F70">
        <w:rPr>
          <w:rFonts w:ascii="Arial" w:hAnsi="Arial" w:cs="Arial"/>
          <w:b/>
          <w:szCs w:val="24"/>
        </w:rPr>
        <w:t>ate of MSAC consideration:</w:t>
      </w:r>
      <w:r w:rsidR="00BC1364" w:rsidRPr="00863F70">
        <w:rPr>
          <w:rFonts w:ascii="Arial" w:hAnsi="Arial" w:cs="Arial"/>
          <w:b/>
          <w:szCs w:val="24"/>
        </w:rPr>
        <w:tab/>
      </w:r>
      <w:r w:rsidR="00863878" w:rsidRPr="00863F70">
        <w:rPr>
          <w:rFonts w:ascii="Arial" w:hAnsi="Arial" w:cs="Arial"/>
          <w:b/>
          <w:szCs w:val="24"/>
        </w:rPr>
        <w:t>28-2</w:t>
      </w:r>
      <w:r w:rsidR="00947EB9" w:rsidRPr="00863F70">
        <w:rPr>
          <w:rFonts w:ascii="Arial" w:hAnsi="Arial" w:cs="Arial"/>
          <w:b/>
          <w:szCs w:val="24"/>
        </w:rPr>
        <w:t>9 March 2018</w:t>
      </w:r>
    </w:p>
    <w:p w:rsidR="0041758C" w:rsidRPr="00863F70" w:rsidRDefault="006A0D97" w:rsidP="00CA3DEE">
      <w:pPr>
        <w:spacing w:before="240"/>
        <w:rPr>
          <w:szCs w:val="24"/>
        </w:rPr>
      </w:pPr>
      <w:r w:rsidRPr="00863F70">
        <w:rPr>
          <w:szCs w:val="24"/>
        </w:rPr>
        <w:t xml:space="preserve">Context for decision: MSAC makes its advice in accordance with its Terms of Reference, see </w:t>
      </w:r>
      <w:r w:rsidR="009B433F" w:rsidRPr="00863F70">
        <w:rPr>
          <w:szCs w:val="24"/>
        </w:rPr>
        <w:t xml:space="preserve">the </w:t>
      </w:r>
      <w:hyperlink r:id="rId10" w:tooltip="Website of the Medical Services Advisory Committee" w:history="1">
        <w:r w:rsidR="009B433F" w:rsidRPr="00863F70">
          <w:rPr>
            <w:rStyle w:val="Hyperlink"/>
            <w:szCs w:val="24"/>
          </w:rPr>
          <w:t xml:space="preserve">MSAC </w:t>
        </w:r>
        <w:r w:rsidR="0048056B" w:rsidRPr="00863F70">
          <w:rPr>
            <w:rStyle w:val="Hyperlink"/>
            <w:szCs w:val="24"/>
          </w:rPr>
          <w:t>W</w:t>
        </w:r>
        <w:r w:rsidR="009B433F" w:rsidRPr="00863F70">
          <w:rPr>
            <w:rStyle w:val="Hyperlink"/>
            <w:szCs w:val="24"/>
          </w:rPr>
          <w:t>ebsite</w:t>
        </w:r>
      </w:hyperlink>
      <w:r w:rsidR="009B433F" w:rsidRPr="00863F70">
        <w:t>.</w:t>
      </w:r>
    </w:p>
    <w:p w:rsidR="003F5DD6" w:rsidRPr="00863F70" w:rsidRDefault="003D7F29" w:rsidP="00426D03">
      <w:pPr>
        <w:pStyle w:val="Heading1"/>
        <w:numPr>
          <w:ilvl w:val="0"/>
          <w:numId w:val="1"/>
        </w:numPr>
        <w:tabs>
          <w:tab w:val="left" w:pos="720"/>
          <w:tab w:val="left" w:pos="1140"/>
        </w:tabs>
        <w:spacing w:before="360"/>
        <w:ind w:hanging="720"/>
        <w:rPr>
          <w:rFonts w:cs="Arial"/>
        </w:rPr>
      </w:pPr>
      <w:r w:rsidRPr="00863F70">
        <w:rPr>
          <w:rFonts w:cs="Arial"/>
        </w:rPr>
        <w:t xml:space="preserve">Purpose </w:t>
      </w:r>
    </w:p>
    <w:p w:rsidR="003F5DD6" w:rsidRPr="00863F70" w:rsidRDefault="003F5DD6" w:rsidP="003F5DD6">
      <w:r w:rsidRPr="00863F70">
        <w:t xml:space="preserve">The purpose of the report presented to the Medical Services Advisory Committee (MSAC) was to inform </w:t>
      </w:r>
      <w:r w:rsidR="00602657" w:rsidRPr="00863F70">
        <w:t>members</w:t>
      </w:r>
      <w:r w:rsidRPr="00863F70">
        <w:t xml:space="preserve"> of the real world impacts on the outcomes of </w:t>
      </w:r>
      <w:r w:rsidR="00DB1FC4" w:rsidRPr="00863F70">
        <w:t>A</w:t>
      </w:r>
      <w:r w:rsidR="000E155F" w:rsidRPr="00863F70">
        <w:t>pplication 11</w:t>
      </w:r>
      <w:r w:rsidR="00602657" w:rsidRPr="00863F70">
        <w:t>80r</w:t>
      </w:r>
      <w:r w:rsidRPr="00863F70">
        <w:t>. The MSAC uses this information to ensure that</w:t>
      </w:r>
      <w:r w:rsidR="00602657" w:rsidRPr="00863F70">
        <w:t xml:space="preserve"> the new and amended items </w:t>
      </w:r>
      <w:r w:rsidR="00A91AFD" w:rsidRPr="00863F70">
        <w:t>resulting from this application</w:t>
      </w:r>
      <w:r w:rsidR="00602657" w:rsidRPr="00863F70">
        <w:t xml:space="preserve"> are </w:t>
      </w:r>
      <w:r w:rsidR="00A91AFD" w:rsidRPr="00863F70">
        <w:t>being used as intended.</w:t>
      </w:r>
    </w:p>
    <w:p w:rsidR="007F35C8" w:rsidRPr="00863F70" w:rsidRDefault="00E977EE" w:rsidP="00426D03">
      <w:pPr>
        <w:pStyle w:val="Heading1"/>
        <w:numPr>
          <w:ilvl w:val="0"/>
          <w:numId w:val="1"/>
        </w:numPr>
        <w:tabs>
          <w:tab w:val="left" w:pos="720"/>
          <w:tab w:val="left" w:pos="1140"/>
        </w:tabs>
        <w:spacing w:before="360"/>
        <w:ind w:hanging="720"/>
        <w:rPr>
          <w:rFonts w:cs="Arial"/>
        </w:rPr>
      </w:pPr>
      <w:r w:rsidRPr="00863F70">
        <w:rPr>
          <w:rFonts w:cs="Arial"/>
        </w:rPr>
        <w:t xml:space="preserve">MSAC’s advice </w:t>
      </w:r>
    </w:p>
    <w:p w:rsidR="00602657" w:rsidRPr="00863F70" w:rsidRDefault="00602657" w:rsidP="007105F2">
      <w:pPr>
        <w:spacing w:after="240"/>
        <w:rPr>
          <w:szCs w:val="24"/>
        </w:rPr>
      </w:pPr>
      <w:r w:rsidRPr="00863F70">
        <w:rPr>
          <w:szCs w:val="24"/>
        </w:rPr>
        <w:t>After consideration of</w:t>
      </w:r>
      <w:r w:rsidR="007715DD" w:rsidRPr="00863F70">
        <w:rPr>
          <w:szCs w:val="24"/>
        </w:rPr>
        <w:t xml:space="preserve"> various MBS</w:t>
      </w:r>
      <w:r w:rsidRPr="00863F70">
        <w:rPr>
          <w:szCs w:val="24"/>
        </w:rPr>
        <w:t xml:space="preserve"> data for the surgical treatment of obesity (MBS items 31569, 31572, 31575, 31578, 31581, 31584, 31587 and 31590) - MSAC Application 1180r, MSAC recommended a comprehensive review of the management of obesity and obesity-related MBS items. MSAC suggested that such a review take into consideration surgical interventions, dietary and physical activity programmes, psychological therapies, psychiatric therapies, allied health and pharmacotherapies.</w:t>
      </w:r>
    </w:p>
    <w:p w:rsidR="00602657" w:rsidRPr="00863F70" w:rsidRDefault="00602657" w:rsidP="007105F2">
      <w:pPr>
        <w:spacing w:after="240"/>
        <w:rPr>
          <w:szCs w:val="24"/>
        </w:rPr>
      </w:pPr>
      <w:r w:rsidRPr="00863F70">
        <w:rPr>
          <w:szCs w:val="24"/>
        </w:rPr>
        <w:t xml:space="preserve">MSAC recommended the development and implementation of a nationally recognised pathway for patients to access bariatric surgery and the review of clinical practice guidelines for obesity. </w:t>
      </w:r>
    </w:p>
    <w:p w:rsidR="00540F30" w:rsidRPr="00863F70" w:rsidRDefault="00602657" w:rsidP="007105F2">
      <w:pPr>
        <w:spacing w:after="240"/>
        <w:rPr>
          <w:szCs w:val="24"/>
        </w:rPr>
      </w:pPr>
      <w:r w:rsidRPr="00863F70">
        <w:rPr>
          <w:szCs w:val="24"/>
        </w:rPr>
        <w:t>MSAC also recommended collaboration between the private and public health systems to achieve solutions that can improve accessibility</w:t>
      </w:r>
      <w:r w:rsidR="007105F2">
        <w:rPr>
          <w:szCs w:val="24"/>
        </w:rPr>
        <w:t xml:space="preserve"> to bariatric surgery services.</w:t>
      </w:r>
    </w:p>
    <w:p w:rsidR="00602657" w:rsidRPr="00863F70" w:rsidRDefault="00602657" w:rsidP="00602657">
      <w:pPr>
        <w:rPr>
          <w:szCs w:val="24"/>
        </w:rPr>
      </w:pPr>
      <w:r w:rsidRPr="00863F70">
        <w:rPr>
          <w:szCs w:val="24"/>
        </w:rPr>
        <w:t>MSAC advised that the MBS items for bariatric surgery be modified to entail restrictions that prevent the co-claiming of laparoscopic items with bariatric surgery items.</w:t>
      </w:r>
    </w:p>
    <w:p w:rsidR="007F35C8" w:rsidRPr="007105F2" w:rsidRDefault="007105F2" w:rsidP="007105F2">
      <w:pPr>
        <w:spacing w:before="240"/>
        <w:rPr>
          <w:rFonts w:ascii="Arial" w:hAnsi="Arial" w:cs="Arial"/>
          <w:b/>
          <w:szCs w:val="24"/>
        </w:rPr>
      </w:pPr>
      <w:r w:rsidRPr="007105F2">
        <w:rPr>
          <w:rFonts w:ascii="Arial" w:hAnsi="Arial" w:cs="Arial"/>
          <w:b/>
          <w:szCs w:val="24"/>
        </w:rPr>
        <w:t>3.</w:t>
      </w:r>
      <w:r w:rsidRPr="007105F2">
        <w:rPr>
          <w:rFonts w:ascii="Arial" w:hAnsi="Arial" w:cs="Arial"/>
          <w:b/>
          <w:szCs w:val="24"/>
        </w:rPr>
        <w:tab/>
      </w:r>
      <w:r w:rsidR="007F35C8" w:rsidRPr="007105F2">
        <w:rPr>
          <w:rFonts w:ascii="Arial" w:hAnsi="Arial" w:cs="Arial"/>
          <w:b/>
          <w:szCs w:val="24"/>
        </w:rPr>
        <w:t>Summary of consideration and rationale for MSAC’s advice</w:t>
      </w:r>
    </w:p>
    <w:p w:rsidR="00602657" w:rsidRPr="00863F70" w:rsidRDefault="00602657" w:rsidP="00602657">
      <w:pPr>
        <w:rPr>
          <w:szCs w:val="24"/>
        </w:rPr>
      </w:pPr>
      <w:r w:rsidRPr="00863F70">
        <w:rPr>
          <w:szCs w:val="24"/>
        </w:rPr>
        <w:t>MSAC considered the impacts of the outcome of MSAC Application 1180r for the surgical treatment of obesity by examining</w:t>
      </w:r>
      <w:r w:rsidR="007715DD" w:rsidRPr="00863F70">
        <w:rPr>
          <w:szCs w:val="24"/>
        </w:rPr>
        <w:t xml:space="preserve"> various</w:t>
      </w:r>
      <w:r w:rsidRPr="00863F70">
        <w:rPr>
          <w:szCs w:val="24"/>
        </w:rPr>
        <w:t xml:space="preserve"> </w:t>
      </w:r>
      <w:r w:rsidR="007715DD" w:rsidRPr="00863F70">
        <w:rPr>
          <w:szCs w:val="24"/>
        </w:rPr>
        <w:t>MBS data</w:t>
      </w:r>
      <w:r w:rsidRPr="00863F70">
        <w:rPr>
          <w:szCs w:val="24"/>
        </w:rPr>
        <w:t xml:space="preserve">. This included MBS items 31569, </w:t>
      </w:r>
      <w:r w:rsidRPr="00863F70">
        <w:rPr>
          <w:szCs w:val="24"/>
        </w:rPr>
        <w:lastRenderedPageBreak/>
        <w:t>31572, 31575, 31578, 31581, 31584, 31587 and 31590, which are all bariatric surgery services (hereafter described as all bariatric MBS items).</w:t>
      </w:r>
    </w:p>
    <w:p w:rsidR="008932FB" w:rsidRPr="00863F70" w:rsidRDefault="00602657" w:rsidP="007105F2">
      <w:pPr>
        <w:spacing w:after="240"/>
        <w:rPr>
          <w:szCs w:val="24"/>
        </w:rPr>
      </w:pPr>
      <w:r w:rsidRPr="00863F70">
        <w:rPr>
          <w:szCs w:val="24"/>
        </w:rPr>
        <w:t>MSAC recalled that these items had undergone a review for the 54th MSAC meeting in November 2011 and that MSAC recommended these i</w:t>
      </w:r>
      <w:r w:rsidR="003B1333" w:rsidRPr="00863F70">
        <w:rPr>
          <w:szCs w:val="24"/>
        </w:rPr>
        <w:t>tems</w:t>
      </w:r>
      <w:r w:rsidRPr="00863F70">
        <w:rPr>
          <w:szCs w:val="24"/>
        </w:rPr>
        <w:t xml:space="preserve"> be amended to remove ambiguity and rectify co-claim</w:t>
      </w:r>
      <w:r w:rsidR="00C9568F" w:rsidRPr="00863F70">
        <w:rPr>
          <w:szCs w:val="24"/>
        </w:rPr>
        <w:t>ing</w:t>
      </w:r>
      <w:r w:rsidRPr="00863F70">
        <w:rPr>
          <w:szCs w:val="24"/>
        </w:rPr>
        <w:t xml:space="preserve"> issues. </w:t>
      </w:r>
      <w:r w:rsidR="00C9568F" w:rsidRPr="00863F70">
        <w:rPr>
          <w:szCs w:val="24"/>
        </w:rPr>
        <w:t>A</w:t>
      </w:r>
      <w:r w:rsidRPr="00863F70">
        <w:rPr>
          <w:szCs w:val="24"/>
        </w:rPr>
        <w:t xml:space="preserve">fter </w:t>
      </w:r>
      <w:r w:rsidR="00C9568F" w:rsidRPr="00863F70">
        <w:rPr>
          <w:szCs w:val="24"/>
        </w:rPr>
        <w:t>thorough stakeholder engagement</w:t>
      </w:r>
      <w:r w:rsidRPr="00863F70">
        <w:rPr>
          <w:szCs w:val="24"/>
        </w:rPr>
        <w:t xml:space="preserve">, the amended items were implemented </w:t>
      </w:r>
      <w:r w:rsidR="00C9568F" w:rsidRPr="00863F70">
        <w:rPr>
          <w:szCs w:val="24"/>
        </w:rPr>
        <w:t>on</w:t>
      </w:r>
      <w:r w:rsidRPr="00863F70">
        <w:rPr>
          <w:szCs w:val="24"/>
        </w:rPr>
        <w:t xml:space="preserve"> the MBS on </w:t>
      </w:r>
      <w:r w:rsidR="00C9568F" w:rsidRPr="00863F70">
        <w:rPr>
          <w:szCs w:val="24"/>
        </w:rPr>
        <w:t>1</w:t>
      </w:r>
      <w:r w:rsidRPr="00863F70">
        <w:rPr>
          <w:szCs w:val="24"/>
        </w:rPr>
        <w:t xml:space="preserve"> July 2013.</w:t>
      </w:r>
    </w:p>
    <w:p w:rsidR="008932FB" w:rsidRPr="00863F70" w:rsidRDefault="00602657" w:rsidP="007105F2">
      <w:pPr>
        <w:spacing w:after="240"/>
        <w:rPr>
          <w:szCs w:val="24"/>
        </w:rPr>
      </w:pPr>
      <w:r w:rsidRPr="00863F70">
        <w:rPr>
          <w:szCs w:val="24"/>
        </w:rPr>
        <w:t xml:space="preserve">Six of the bariatric MBS items (items 31569, 31572, 31575, 31578, 31581 and 31584) cover primary bariatric surgery services (including restrictive procedures such as </w:t>
      </w:r>
      <w:r w:rsidR="00C9568F" w:rsidRPr="00863F70">
        <w:rPr>
          <w:szCs w:val="24"/>
        </w:rPr>
        <w:t>adjustable gastric band</w:t>
      </w:r>
      <w:r w:rsidRPr="00863F70">
        <w:rPr>
          <w:szCs w:val="24"/>
        </w:rPr>
        <w:t>, sleeve gas</w:t>
      </w:r>
      <w:r w:rsidR="00C9568F" w:rsidRPr="00863F70">
        <w:rPr>
          <w:szCs w:val="24"/>
        </w:rPr>
        <w:t>trectomy and</w:t>
      </w:r>
      <w:r w:rsidRPr="00863F70">
        <w:rPr>
          <w:szCs w:val="24"/>
        </w:rPr>
        <w:t xml:space="preserve"> gastroplasty without plication</w:t>
      </w:r>
      <w:r w:rsidR="00C9568F" w:rsidRPr="00863F70">
        <w:rPr>
          <w:szCs w:val="24"/>
        </w:rPr>
        <w:t>,</w:t>
      </w:r>
      <w:r w:rsidRPr="00863F70">
        <w:rPr>
          <w:szCs w:val="24"/>
        </w:rPr>
        <w:t xml:space="preserve"> and malabsorptive procedures such as Roux-en-Y gastric bypass and biliopancreatic diver</w:t>
      </w:r>
      <w:r w:rsidR="00C9568F" w:rsidRPr="00863F70">
        <w:rPr>
          <w:szCs w:val="24"/>
        </w:rPr>
        <w:t xml:space="preserve">sion). The other two items, 31587 and 31590, relate to </w:t>
      </w:r>
      <w:r w:rsidRPr="00863F70">
        <w:rPr>
          <w:szCs w:val="24"/>
        </w:rPr>
        <w:t xml:space="preserve">the adjustment or maintenance of the gastric band used in laparoscopic gastric banding procedures. </w:t>
      </w:r>
    </w:p>
    <w:p w:rsidR="008932FB" w:rsidRPr="00863F70" w:rsidRDefault="00602657" w:rsidP="007105F2">
      <w:pPr>
        <w:spacing w:after="240"/>
        <w:rPr>
          <w:szCs w:val="24"/>
        </w:rPr>
      </w:pPr>
      <w:r w:rsidRPr="00863F70">
        <w:rPr>
          <w:szCs w:val="24"/>
        </w:rPr>
        <w:t>MSAC noted that 116,748 bariatric surgery services (all bariatric MBS items) were provided in the financial year 2013–14 and 91,136 services</w:t>
      </w:r>
      <w:r w:rsidR="007715DD" w:rsidRPr="00863F70">
        <w:rPr>
          <w:szCs w:val="24"/>
        </w:rPr>
        <w:t xml:space="preserve"> in the financial year 2016–17. T</w:t>
      </w:r>
      <w:r w:rsidRPr="00863F70">
        <w:rPr>
          <w:szCs w:val="24"/>
        </w:rPr>
        <w:t xml:space="preserve">he utilisation </w:t>
      </w:r>
      <w:r w:rsidR="007715DD" w:rsidRPr="00863F70">
        <w:rPr>
          <w:szCs w:val="24"/>
        </w:rPr>
        <w:t>of</w:t>
      </w:r>
      <w:r w:rsidRPr="00863F70">
        <w:rPr>
          <w:szCs w:val="24"/>
        </w:rPr>
        <w:t xml:space="preserve"> primary bariatric surgery services</w:t>
      </w:r>
      <w:r w:rsidR="007715DD" w:rsidRPr="00863F70">
        <w:rPr>
          <w:szCs w:val="24"/>
        </w:rPr>
        <w:t xml:space="preserve"> in the financial year </w:t>
      </w:r>
      <w:r w:rsidR="00E600CC" w:rsidRPr="00863F70">
        <w:rPr>
          <w:szCs w:val="24"/>
        </w:rPr>
        <w:t>2013-14 was 17,762</w:t>
      </w:r>
      <w:r w:rsidR="009C252C" w:rsidRPr="00863F70">
        <w:rPr>
          <w:szCs w:val="24"/>
        </w:rPr>
        <w:t xml:space="preserve"> and in 2016–17, </w:t>
      </w:r>
      <w:r w:rsidRPr="00863F70">
        <w:rPr>
          <w:szCs w:val="24"/>
        </w:rPr>
        <w:t>20,139 services</w:t>
      </w:r>
      <w:r w:rsidR="009C252C" w:rsidRPr="00863F70">
        <w:rPr>
          <w:szCs w:val="24"/>
        </w:rPr>
        <w:t xml:space="preserve"> were claimed</w:t>
      </w:r>
      <w:r w:rsidRPr="00863F70">
        <w:rPr>
          <w:szCs w:val="24"/>
        </w:rPr>
        <w:t>. MSAC noted that the volume of primary bariatric surgery services had experienced linear upward growth in utilisation over the review period.</w:t>
      </w:r>
      <w:r w:rsidR="007715DD" w:rsidRPr="00863F70">
        <w:rPr>
          <w:szCs w:val="24"/>
        </w:rPr>
        <w:t xml:space="preserve"> </w:t>
      </w:r>
      <w:r w:rsidRPr="00863F70">
        <w:rPr>
          <w:szCs w:val="24"/>
        </w:rPr>
        <w:t xml:space="preserve">MSAC noted that the cost </w:t>
      </w:r>
      <w:r w:rsidR="007715DD" w:rsidRPr="00863F70">
        <w:rPr>
          <w:szCs w:val="24"/>
        </w:rPr>
        <w:t xml:space="preserve">in benefits paid </w:t>
      </w:r>
      <w:r w:rsidRPr="00863F70">
        <w:rPr>
          <w:szCs w:val="24"/>
        </w:rPr>
        <w:t>for the financi</w:t>
      </w:r>
      <w:r w:rsidR="007715DD" w:rsidRPr="00863F70">
        <w:rPr>
          <w:szCs w:val="24"/>
        </w:rPr>
        <w:t>al year 2016–17 was $22 million</w:t>
      </w:r>
      <w:r w:rsidR="00F4320D" w:rsidRPr="00863F70">
        <w:rPr>
          <w:szCs w:val="24"/>
        </w:rPr>
        <w:t xml:space="preserve"> for all bariatric MBS items, and over $86 million in total benefits were paid for all bariatric MBS ite</w:t>
      </w:r>
      <w:r w:rsidR="007105F2">
        <w:rPr>
          <w:szCs w:val="24"/>
        </w:rPr>
        <w:t>ms for financial years 2013-17.</w:t>
      </w:r>
    </w:p>
    <w:p w:rsidR="004A63E4" w:rsidRPr="00863F70" w:rsidRDefault="00602657" w:rsidP="007105F2">
      <w:pPr>
        <w:spacing w:after="240"/>
        <w:rPr>
          <w:szCs w:val="24"/>
        </w:rPr>
      </w:pPr>
      <w:r w:rsidRPr="00863F70">
        <w:rPr>
          <w:szCs w:val="24"/>
        </w:rPr>
        <w:t>MSAC noted that the majority of services were claimed in Queensland, Victoria and New South Wales (NSW)</w:t>
      </w:r>
      <w:r w:rsidR="00F4320D" w:rsidRPr="00863F70">
        <w:rPr>
          <w:szCs w:val="24"/>
        </w:rPr>
        <w:t>,</w:t>
      </w:r>
      <w:r w:rsidRPr="00863F70">
        <w:rPr>
          <w:szCs w:val="24"/>
        </w:rPr>
        <w:t xml:space="preserve"> with these three states accounting for more than 90% of the total services. However, MSAC noted that Queensland and Western Australia had the highest rate of bariatr</w:t>
      </w:r>
      <w:r w:rsidR="007105F2">
        <w:rPr>
          <w:szCs w:val="24"/>
        </w:rPr>
        <w:t>ic surgery services per capita.</w:t>
      </w:r>
    </w:p>
    <w:p w:rsidR="00996CC5" w:rsidRPr="00863F70" w:rsidRDefault="004A63E4" w:rsidP="007105F2">
      <w:pPr>
        <w:spacing w:after="240"/>
        <w:rPr>
          <w:szCs w:val="24"/>
        </w:rPr>
      </w:pPr>
      <w:r w:rsidRPr="00863F70">
        <w:rPr>
          <w:szCs w:val="24"/>
        </w:rPr>
        <w:t>MSAC noted that for item 31575 (sleeve gastrectomy), the most commonly claimed primary bariatric surgical item, service volumes are highest in NSW, followed by Queensland, with 16,486 and 15,262 services performed since implementation, respectively.</w:t>
      </w:r>
    </w:p>
    <w:p w:rsidR="00996CC5" w:rsidRPr="00863F70" w:rsidRDefault="00996CC5" w:rsidP="007105F2">
      <w:pPr>
        <w:spacing w:after="240"/>
        <w:rPr>
          <w:szCs w:val="24"/>
        </w:rPr>
      </w:pPr>
      <w:r w:rsidRPr="00863F70">
        <w:rPr>
          <w:szCs w:val="24"/>
        </w:rPr>
        <w:t>MSAC noted that although obesity prevalence is higher in men, the majority of bariatric surgery services were for females. MSAC noted the majority of gastric bypass Roux-en-Y services (item 31572), removal/replacement of gastric band services (item 31584) and adjustment of gastric band services (item 31587), were for females ages 45–54. MSAC noted that the majority of sleeve gastrectomy services (item 3157</w:t>
      </w:r>
      <w:r w:rsidR="007105F2">
        <w:rPr>
          <w:szCs w:val="24"/>
        </w:rPr>
        <w:t>5) were for females aged 35–44.</w:t>
      </w:r>
    </w:p>
    <w:p w:rsidR="00996CC5" w:rsidRPr="00863F70" w:rsidRDefault="00602657" w:rsidP="007105F2">
      <w:pPr>
        <w:spacing w:after="240"/>
        <w:rPr>
          <w:szCs w:val="24"/>
        </w:rPr>
      </w:pPr>
      <w:r w:rsidRPr="00863F70">
        <w:rPr>
          <w:szCs w:val="24"/>
        </w:rPr>
        <w:t>MSAC considered that there were noticeable variations between the 25th and 95th percentiles of fees charged for bariatric surgery services. MSAC noted that there was a top 95th percentile charge of $6000 for sleeve gastrectomy (ite</w:t>
      </w:r>
      <w:r w:rsidR="007105F2">
        <w:rPr>
          <w:szCs w:val="24"/>
        </w:rPr>
        <w:t>m 31575, schedule fee $849.55).</w:t>
      </w:r>
    </w:p>
    <w:p w:rsidR="008932FB" w:rsidRPr="00863F70" w:rsidRDefault="00602657" w:rsidP="007105F2">
      <w:pPr>
        <w:spacing w:after="240"/>
        <w:rPr>
          <w:szCs w:val="24"/>
        </w:rPr>
      </w:pPr>
      <w:r w:rsidRPr="00863F70">
        <w:rPr>
          <w:szCs w:val="24"/>
        </w:rPr>
        <w:t xml:space="preserve">MSAC noted that bulk billing rates </w:t>
      </w:r>
      <w:r w:rsidR="002A0495" w:rsidRPr="00863F70">
        <w:rPr>
          <w:szCs w:val="24"/>
        </w:rPr>
        <w:t xml:space="preserve">for all bariatric MBS items </w:t>
      </w:r>
      <w:r w:rsidRPr="00863F70">
        <w:rPr>
          <w:szCs w:val="24"/>
        </w:rPr>
        <w:t xml:space="preserve">were low at 9% in the financial year 2016–17; and </w:t>
      </w:r>
      <w:r w:rsidR="003F78D1" w:rsidRPr="00863F70">
        <w:rPr>
          <w:szCs w:val="24"/>
        </w:rPr>
        <w:t xml:space="preserve">in 2014-15 it was estimated that significantly less than 10% of bariatric services were performed on public patients in public hospitals. </w:t>
      </w:r>
      <w:r w:rsidRPr="00863F70">
        <w:rPr>
          <w:szCs w:val="24"/>
        </w:rPr>
        <w:t>MSAC noted that for uninsured patients, there may be an out-of-pocket cost of up to</w:t>
      </w:r>
      <w:r w:rsidR="002A0495" w:rsidRPr="00863F70">
        <w:rPr>
          <w:szCs w:val="24"/>
        </w:rPr>
        <w:t xml:space="preserve"> $20,000 for bariatric surgery</w:t>
      </w:r>
      <w:r w:rsidRPr="00863F70">
        <w:rPr>
          <w:szCs w:val="24"/>
        </w:rPr>
        <w:t xml:space="preserve"> (including costs of associated care such as anaesthetists’ fees, theatre costs and hospitals stays).</w:t>
      </w:r>
    </w:p>
    <w:p w:rsidR="008932FB" w:rsidRPr="00863F70" w:rsidRDefault="00602657" w:rsidP="007105F2">
      <w:pPr>
        <w:spacing w:after="240"/>
        <w:rPr>
          <w:szCs w:val="24"/>
        </w:rPr>
      </w:pPr>
      <w:r w:rsidRPr="00863F70">
        <w:rPr>
          <w:szCs w:val="24"/>
        </w:rPr>
        <w:t>MSAC noted that in the financial year 2016–17</w:t>
      </w:r>
      <w:r w:rsidR="007B7B66" w:rsidRPr="00863F70">
        <w:rPr>
          <w:szCs w:val="24"/>
        </w:rPr>
        <w:t xml:space="preserve">, 310 practitioners provided </w:t>
      </w:r>
      <w:r w:rsidRPr="00863F70">
        <w:rPr>
          <w:szCs w:val="24"/>
        </w:rPr>
        <w:t xml:space="preserve">primary bariatric </w:t>
      </w:r>
      <w:r w:rsidR="002A0495" w:rsidRPr="00863F70">
        <w:rPr>
          <w:szCs w:val="24"/>
        </w:rPr>
        <w:t>surgery</w:t>
      </w:r>
      <w:r w:rsidRPr="00863F70">
        <w:rPr>
          <w:szCs w:val="24"/>
        </w:rPr>
        <w:t xml:space="preserve"> </w:t>
      </w:r>
      <w:r w:rsidR="007B7B66" w:rsidRPr="00863F70">
        <w:rPr>
          <w:szCs w:val="24"/>
        </w:rPr>
        <w:t xml:space="preserve">services </w:t>
      </w:r>
      <w:r w:rsidRPr="00863F70">
        <w:rPr>
          <w:szCs w:val="24"/>
        </w:rPr>
        <w:t xml:space="preserve">(all bariatric MBS items except 31587 and 31590) and </w:t>
      </w:r>
      <w:r w:rsidR="006C4606" w:rsidRPr="00863F70">
        <w:rPr>
          <w:szCs w:val="24"/>
        </w:rPr>
        <w:t xml:space="preserve">226 </w:t>
      </w:r>
      <w:r w:rsidRPr="00863F70">
        <w:rPr>
          <w:szCs w:val="24"/>
        </w:rPr>
        <w:t xml:space="preserve">practitioners provided MBS item 31575 (sleeve gastrectomy). </w:t>
      </w:r>
      <w:r w:rsidR="006C4606" w:rsidRPr="00863F70">
        <w:rPr>
          <w:szCs w:val="24"/>
        </w:rPr>
        <w:t>50% of these 226 practitioners provided over 94% of the total services render</w:t>
      </w:r>
      <w:r w:rsidR="007105F2">
        <w:rPr>
          <w:szCs w:val="24"/>
        </w:rPr>
        <w:t>ed under item 31575 in 2016-17.</w:t>
      </w:r>
    </w:p>
    <w:p w:rsidR="008932FB" w:rsidRPr="00863F70" w:rsidRDefault="00602657" w:rsidP="007105F2">
      <w:pPr>
        <w:spacing w:after="240"/>
        <w:rPr>
          <w:szCs w:val="24"/>
        </w:rPr>
      </w:pPr>
      <w:r w:rsidRPr="00863F70">
        <w:rPr>
          <w:szCs w:val="24"/>
        </w:rPr>
        <w:lastRenderedPageBreak/>
        <w:t>MSAC noted that MBS items 105 (consultation) and 30393 (laparoscopic division of adhesions) were the most common</w:t>
      </w:r>
      <w:r w:rsidR="006C4606" w:rsidRPr="00863F70">
        <w:rPr>
          <w:szCs w:val="24"/>
        </w:rPr>
        <w:t>ly</w:t>
      </w:r>
      <w:r w:rsidRPr="00863F70">
        <w:rPr>
          <w:szCs w:val="24"/>
        </w:rPr>
        <w:t xml:space="preserve"> co-claimed items with bariatric surgery services (all bariatric MBS items). MSAC also noted that there were incidences of co-claiming with MBS item 30390 (diagnostic laparoscopy) and MBS item 30391 (laparoscopy with biopsy). MSAC considered that the current MBS items for bariatric surgeries inherently include the use of laparoscopic procedures in the fee and considered the co-claiming of laparoscopic items with bariatric surg</w:t>
      </w:r>
      <w:r w:rsidR="006C4606" w:rsidRPr="00863F70">
        <w:rPr>
          <w:szCs w:val="24"/>
        </w:rPr>
        <w:t>ery items to be inappropriate. MSAC noted that as of 1</w:t>
      </w:r>
      <w:r w:rsidRPr="00863F70">
        <w:rPr>
          <w:szCs w:val="24"/>
        </w:rPr>
        <w:t xml:space="preserve"> November 2017, MBS items 105, 116 and 119 can no longer be claimed on the same day as a group T8 item with a schedule fee of $300 or more.</w:t>
      </w:r>
    </w:p>
    <w:p w:rsidR="006C4606" w:rsidRPr="00863F70" w:rsidRDefault="00602657" w:rsidP="007105F2">
      <w:pPr>
        <w:spacing w:after="240"/>
        <w:rPr>
          <w:szCs w:val="24"/>
        </w:rPr>
      </w:pPr>
      <w:r w:rsidRPr="00863F70">
        <w:rPr>
          <w:szCs w:val="24"/>
        </w:rPr>
        <w:t xml:space="preserve">MSAC acknowledged that there were barriers to accessing bariatric surgery services. These barriers included long wait times for elective surgery for public patients in public </w:t>
      </w:r>
      <w:r w:rsidR="004E2A23" w:rsidRPr="00863F70">
        <w:rPr>
          <w:szCs w:val="24"/>
        </w:rPr>
        <w:t>hospitals</w:t>
      </w:r>
      <w:r w:rsidRPr="00863F70">
        <w:rPr>
          <w:szCs w:val="24"/>
        </w:rPr>
        <w:t xml:space="preserve"> and high out-of-pocket costs in the private sector. MSAC noted an emerging trend of patients accessing their superannuation benefits early to pay for medical services including bariatric surgery, and acknowledged the Department of Health’s report that the relevant legisla</w:t>
      </w:r>
      <w:r w:rsidR="004E2A23" w:rsidRPr="00863F70">
        <w:rPr>
          <w:szCs w:val="24"/>
        </w:rPr>
        <w:t>tion was currentl</w:t>
      </w:r>
      <w:r w:rsidR="007105F2">
        <w:rPr>
          <w:szCs w:val="24"/>
        </w:rPr>
        <w:t>y under review by the Treasury.</w:t>
      </w:r>
    </w:p>
    <w:p w:rsidR="008932FB" w:rsidRPr="00863F70" w:rsidRDefault="00602657" w:rsidP="007105F2">
      <w:pPr>
        <w:spacing w:after="240"/>
        <w:rPr>
          <w:szCs w:val="24"/>
        </w:rPr>
      </w:pPr>
      <w:r w:rsidRPr="00863F70">
        <w:rPr>
          <w:szCs w:val="24"/>
        </w:rPr>
        <w:t>MSAC acknowledged that the treatment of obesity requires a complex multidisciplinary team approach that incorporates physical, psychological, psychiatric, social, lifestyle and pharmacological care. MSAC acknowledged that there may be a lack</w:t>
      </w:r>
      <w:r w:rsidR="006C4606" w:rsidRPr="00863F70">
        <w:rPr>
          <w:szCs w:val="24"/>
        </w:rPr>
        <w:t xml:space="preserve"> of follow-up care for </w:t>
      </w:r>
      <w:r w:rsidRPr="00863F70">
        <w:rPr>
          <w:szCs w:val="24"/>
        </w:rPr>
        <w:t xml:space="preserve">bariatric surgical </w:t>
      </w:r>
      <w:r w:rsidR="006C4606" w:rsidRPr="00863F70">
        <w:rPr>
          <w:szCs w:val="24"/>
        </w:rPr>
        <w:t>patients</w:t>
      </w:r>
      <w:r w:rsidRPr="00863F70">
        <w:rPr>
          <w:szCs w:val="24"/>
        </w:rPr>
        <w:t xml:space="preserve">. MSAC recognised that general practitioners (GPs) are likely to end up being responsible for the care of these patients due to this lack of co-ordinated follow-up care and </w:t>
      </w:r>
      <w:r w:rsidR="006C4606" w:rsidRPr="00863F70">
        <w:rPr>
          <w:szCs w:val="24"/>
        </w:rPr>
        <w:t xml:space="preserve">they </w:t>
      </w:r>
      <w:r w:rsidRPr="00863F70">
        <w:rPr>
          <w:szCs w:val="24"/>
        </w:rPr>
        <w:t>may need to be upskilled to provide</w:t>
      </w:r>
      <w:r w:rsidR="007105F2">
        <w:rPr>
          <w:szCs w:val="24"/>
        </w:rPr>
        <w:t xml:space="preserve"> appropriate long-term support.</w:t>
      </w:r>
    </w:p>
    <w:p w:rsidR="008932FB" w:rsidRPr="00863F70" w:rsidRDefault="00602657" w:rsidP="007105F2">
      <w:pPr>
        <w:spacing w:after="240"/>
        <w:rPr>
          <w:szCs w:val="24"/>
        </w:rPr>
      </w:pPr>
      <w:r w:rsidRPr="00863F70">
        <w:rPr>
          <w:szCs w:val="24"/>
        </w:rPr>
        <w:t>MSAC recommended a comprehensive review of obesity management services currently available in Australia, including obesity-related MBS items. MSAC acknowledged that obesity is a complex condition where alterations in policy could potentially have unintended flow-on effects and thus a holistic approach should be undertaken. MSAC suggested that the scope of this review should encompass surgical interventions, dietary and physical activity programmes, psychological therapies, psychiatric therapies, allied health and pharmaco therapies. MSAC noted that there are currently no listed pharmacological agents for obesity on the PBS. MSAC also recommended to include into the scope of the review the possibility of GP-led care, which would include medical and psychological care, referral to bariatric surgery, and follow-up care post-bariatric surgery.</w:t>
      </w:r>
    </w:p>
    <w:p w:rsidR="00602657" w:rsidRPr="00863F70" w:rsidRDefault="00602657" w:rsidP="00602657">
      <w:pPr>
        <w:rPr>
          <w:szCs w:val="24"/>
        </w:rPr>
      </w:pPr>
      <w:r w:rsidRPr="00863F70">
        <w:rPr>
          <w:szCs w:val="24"/>
        </w:rPr>
        <w:t>MSAC also advised the development and implementation of a nationally recognised pathway to:</w:t>
      </w:r>
    </w:p>
    <w:p w:rsidR="00602657" w:rsidRPr="00A53991" w:rsidRDefault="00602657" w:rsidP="00A53991">
      <w:pPr>
        <w:pStyle w:val="ListParagraph"/>
        <w:numPr>
          <w:ilvl w:val="0"/>
          <w:numId w:val="7"/>
        </w:numPr>
        <w:rPr>
          <w:szCs w:val="24"/>
        </w:rPr>
      </w:pPr>
      <w:r w:rsidRPr="00A53991">
        <w:rPr>
          <w:szCs w:val="24"/>
        </w:rPr>
        <w:t>improve patient access to bariatric surgery services;</w:t>
      </w:r>
    </w:p>
    <w:p w:rsidR="00602657" w:rsidRPr="00A53991" w:rsidRDefault="00602657" w:rsidP="00A53991">
      <w:pPr>
        <w:pStyle w:val="ListParagraph"/>
        <w:numPr>
          <w:ilvl w:val="0"/>
          <w:numId w:val="7"/>
        </w:numPr>
        <w:rPr>
          <w:szCs w:val="24"/>
        </w:rPr>
      </w:pPr>
      <w:r w:rsidRPr="00A53991">
        <w:rPr>
          <w:szCs w:val="24"/>
        </w:rPr>
        <w:t xml:space="preserve">ensure that patients would receive comprehensive care (including adequate follow-up support); and </w:t>
      </w:r>
    </w:p>
    <w:p w:rsidR="008932FB" w:rsidRPr="007105F2" w:rsidRDefault="00602657" w:rsidP="007105F2">
      <w:pPr>
        <w:pStyle w:val="ListParagraph"/>
        <w:numPr>
          <w:ilvl w:val="0"/>
          <w:numId w:val="7"/>
        </w:numPr>
        <w:spacing w:after="240"/>
        <w:rPr>
          <w:szCs w:val="24"/>
        </w:rPr>
      </w:pPr>
      <w:r w:rsidRPr="00A53991">
        <w:rPr>
          <w:szCs w:val="24"/>
        </w:rPr>
        <w:t>ensure bariatric surgery is clinical</w:t>
      </w:r>
      <w:r w:rsidR="007105F2">
        <w:rPr>
          <w:szCs w:val="24"/>
        </w:rPr>
        <w:t>ly appropriate for the patient.</w:t>
      </w:r>
    </w:p>
    <w:p w:rsidR="008932FB" w:rsidRPr="00863F70" w:rsidRDefault="00602657" w:rsidP="007105F2">
      <w:pPr>
        <w:spacing w:after="240"/>
        <w:rPr>
          <w:szCs w:val="24"/>
        </w:rPr>
      </w:pPr>
      <w:r w:rsidRPr="00863F70">
        <w:rPr>
          <w:szCs w:val="24"/>
        </w:rPr>
        <w:t>MSAC suggested identifying any existing pathways of care that would assist in developing a model of care. MSAC acknowledged that a tertiary facility in Victoria that specialises in the management of obesity was mentioned as a potential source of information for clinical care and clinical patient pathways.</w:t>
      </w:r>
    </w:p>
    <w:p w:rsidR="008932FB" w:rsidRPr="00863F70" w:rsidRDefault="00602657" w:rsidP="007105F2">
      <w:pPr>
        <w:spacing w:after="240"/>
        <w:rPr>
          <w:szCs w:val="24"/>
        </w:rPr>
      </w:pPr>
      <w:r w:rsidRPr="00863F70">
        <w:rPr>
          <w:szCs w:val="24"/>
        </w:rPr>
        <w:t>MSAC also recommended the development and implementation of a quality assurance program for practitioners to ensure consistency in the standards of bariatric surgeries.</w:t>
      </w:r>
    </w:p>
    <w:p w:rsidR="008932FB" w:rsidRPr="00863F70" w:rsidRDefault="00602657" w:rsidP="007105F2">
      <w:pPr>
        <w:spacing w:after="240"/>
        <w:rPr>
          <w:szCs w:val="24"/>
        </w:rPr>
      </w:pPr>
      <w:r w:rsidRPr="00863F70">
        <w:rPr>
          <w:szCs w:val="24"/>
        </w:rPr>
        <w:t xml:space="preserve">MSAC noted that the Australian Government currently funds the Bariatric Surgery Registry that collects data from patients who have received bariatric surgery and that the registry is now running into its fifth year. MSAC advised that more information from this data set will </w:t>
      </w:r>
      <w:r w:rsidRPr="00863F70">
        <w:rPr>
          <w:szCs w:val="24"/>
        </w:rPr>
        <w:lastRenderedPageBreak/>
        <w:t>be available as the registry matures. MSAC requested that the registry also collect meaningful information on outcomes (such as prevalence in cardiovascular diseases and metabolic diseases) and complications associated with bariatric surgery.</w:t>
      </w:r>
    </w:p>
    <w:p w:rsidR="008932FB" w:rsidRPr="00863F70" w:rsidRDefault="00602657" w:rsidP="007105F2">
      <w:pPr>
        <w:spacing w:after="240"/>
        <w:rPr>
          <w:szCs w:val="24"/>
        </w:rPr>
      </w:pPr>
      <w:r w:rsidRPr="00863F70">
        <w:rPr>
          <w:szCs w:val="24"/>
        </w:rPr>
        <w:t>MSAC suggested that the Australian Commission on Safety and Quality Health Care may be able to conduct an analysis and review on regional variations in the uptake and utilisation of bariatric surgery services.</w:t>
      </w:r>
    </w:p>
    <w:p w:rsidR="008932FB" w:rsidRPr="00863F70" w:rsidRDefault="00602657" w:rsidP="00602657">
      <w:pPr>
        <w:rPr>
          <w:szCs w:val="24"/>
        </w:rPr>
      </w:pPr>
      <w:r w:rsidRPr="00863F70">
        <w:rPr>
          <w:szCs w:val="24"/>
        </w:rPr>
        <w:t xml:space="preserve">MSAC acknowledged the need to improve accessibility to bariatric surgery services, particularly for disadvantaged patients who may be from lower socioeconomic backgrounds and may not have the access to funds to cover out-of-pocket expenses. </w:t>
      </w:r>
    </w:p>
    <w:p w:rsidR="00602657" w:rsidRPr="00863F70" w:rsidRDefault="00602657" w:rsidP="00602657">
      <w:pPr>
        <w:rPr>
          <w:szCs w:val="24"/>
        </w:rPr>
      </w:pPr>
      <w:r w:rsidRPr="00863F70">
        <w:rPr>
          <w:szCs w:val="24"/>
        </w:rPr>
        <w:t xml:space="preserve">MSAC advised that a systematic approach, across the public and private health systems, may assist to improve accessibility to bariatric surgery services for eligible patients in a cost-effective manner. </w:t>
      </w:r>
    </w:p>
    <w:p w:rsidR="008932FB" w:rsidRPr="00863F70" w:rsidRDefault="008932FB" w:rsidP="00602657">
      <w:pPr>
        <w:pStyle w:val="Heading1"/>
        <w:numPr>
          <w:ilvl w:val="0"/>
          <w:numId w:val="1"/>
        </w:numPr>
        <w:tabs>
          <w:tab w:val="left" w:pos="720"/>
          <w:tab w:val="left" w:pos="1140"/>
        </w:tabs>
        <w:spacing w:before="360"/>
        <w:ind w:hanging="720"/>
        <w:rPr>
          <w:rFonts w:cs="Arial"/>
        </w:rPr>
      </w:pPr>
      <w:r w:rsidRPr="00863F70">
        <w:rPr>
          <w:rFonts w:cs="Arial"/>
        </w:rPr>
        <w:t>Methodology</w:t>
      </w:r>
    </w:p>
    <w:p w:rsidR="001C1BE6" w:rsidRPr="00863F70" w:rsidRDefault="001C1BE6" w:rsidP="00550354">
      <w:pPr>
        <w:rPr>
          <w:szCs w:val="24"/>
        </w:rPr>
      </w:pPr>
      <w:r w:rsidRPr="00863F70">
        <w:rPr>
          <w:szCs w:val="24"/>
        </w:rPr>
        <w:t xml:space="preserve">An application is selected for consideration if the resulting new item(s) </w:t>
      </w:r>
      <w:r w:rsidR="00026E58" w:rsidRPr="00863F70">
        <w:rPr>
          <w:szCs w:val="24"/>
        </w:rPr>
        <w:t>and/</w:t>
      </w:r>
      <w:r w:rsidRPr="00863F70">
        <w:rPr>
          <w:szCs w:val="24"/>
        </w:rPr>
        <w:t xml:space="preserve">or item amendment(s) have been on the MBS for approximately 24 months or longer or if there were particular concerns about utilisation such that MSAC requested to consider it earlier. The specific applications for each MSAC meeting are selected by the MSAC Executive which is composed of the </w:t>
      </w:r>
      <w:r w:rsidR="00F3088E" w:rsidRPr="00863F70">
        <w:rPr>
          <w:szCs w:val="24"/>
        </w:rPr>
        <w:t>c</w:t>
      </w:r>
      <w:r w:rsidRPr="00863F70">
        <w:rPr>
          <w:szCs w:val="24"/>
        </w:rPr>
        <w:t>hairs of MSAC and its sub-committees.</w:t>
      </w:r>
    </w:p>
    <w:p w:rsidR="001C1BE6" w:rsidRPr="00863F70" w:rsidRDefault="001C1BE6" w:rsidP="004617ED">
      <w:pPr>
        <w:spacing w:before="240"/>
        <w:rPr>
          <w:szCs w:val="24"/>
        </w:rPr>
      </w:pPr>
      <w:r w:rsidRPr="00863F70">
        <w:rPr>
          <w:szCs w:val="24"/>
        </w:rPr>
        <w:t xml:space="preserve">A report on the utilisation is developed by the </w:t>
      </w:r>
      <w:r w:rsidR="00F3088E" w:rsidRPr="00863F70">
        <w:rPr>
          <w:szCs w:val="24"/>
        </w:rPr>
        <w:t>department</w:t>
      </w:r>
      <w:r w:rsidRPr="00863F70">
        <w:rPr>
          <w:szCs w:val="24"/>
        </w:rPr>
        <w:t xml:space="preserve"> with information on a number of metrics including</w:t>
      </w:r>
      <w:r w:rsidR="00F3088E" w:rsidRPr="00863F70">
        <w:rPr>
          <w:szCs w:val="24"/>
        </w:rPr>
        <w:t>;</w:t>
      </w:r>
      <w:r w:rsidRPr="00863F70">
        <w:rPr>
          <w:szCs w:val="24"/>
        </w:rPr>
        <w:t xml:space="preserve"> state variation, patient demographics, services per patient, practitioner’s providing the service, data on fees and co-claiming of services. The number of metrics included in a report is dependent on the annual service volume for the MBS item(s) under consideration i.e. an item with very low utilisation will have less data to analyse. Where service volumes are too low, information is suppressed to protect patient privacy.</w:t>
      </w:r>
    </w:p>
    <w:p w:rsidR="001C1BE6" w:rsidRPr="00863F70" w:rsidRDefault="001C1BE6" w:rsidP="004617ED">
      <w:pPr>
        <w:spacing w:before="240"/>
        <w:rPr>
          <w:szCs w:val="24"/>
        </w:rPr>
      </w:pPr>
      <w:r w:rsidRPr="00863F70">
        <w:rPr>
          <w:szCs w:val="24"/>
        </w:rPr>
        <w:t>Where possible</w:t>
      </w:r>
      <w:r w:rsidR="00633ADB" w:rsidRPr="00863F70">
        <w:rPr>
          <w:szCs w:val="24"/>
        </w:rPr>
        <w:t>,</w:t>
      </w:r>
      <w:r w:rsidRPr="00863F70">
        <w:rPr>
          <w:szCs w:val="24"/>
        </w:rPr>
        <w:t xml:space="preserve"> the report compares data on real world utilisation to the assumptions made during the MSAC assessment. Most of these assumptions are drawn from the assessment report.</w:t>
      </w:r>
    </w:p>
    <w:p w:rsidR="00B11472" w:rsidRPr="00863F70" w:rsidRDefault="001C1BE6" w:rsidP="004617ED">
      <w:pPr>
        <w:spacing w:before="240"/>
        <w:rPr>
          <w:szCs w:val="24"/>
        </w:rPr>
      </w:pPr>
      <w:r w:rsidRPr="00863F70">
        <w:rPr>
          <w:szCs w:val="24"/>
        </w:rPr>
        <w:t>Relevant stakeholders are provided an opportunity to comment on the findings in the report before it is presented to the MSAC. It is intended that stakeholders are given at least three weeks to consider the reports.</w:t>
      </w:r>
    </w:p>
    <w:p w:rsidR="001C1BE6" w:rsidRPr="00863F70" w:rsidRDefault="001C1BE6" w:rsidP="004617ED">
      <w:pPr>
        <w:spacing w:before="240"/>
        <w:rPr>
          <w:szCs w:val="24"/>
        </w:rPr>
      </w:pPr>
      <w:r w:rsidRPr="00863F70">
        <w:rPr>
          <w:szCs w:val="24"/>
        </w:rPr>
        <w:t xml:space="preserve">The stakeholder version of the report does not contain information </w:t>
      </w:r>
      <w:r w:rsidR="00B11472" w:rsidRPr="00863F70">
        <w:rPr>
          <w:szCs w:val="24"/>
        </w:rPr>
        <w:t>on assumptions from the MSAC consideration if this information is not already publicly available. This is to protect the commercial in confidence of the original applicants. The same principle is applied to this document.</w:t>
      </w:r>
    </w:p>
    <w:p w:rsidR="00D14EAB" w:rsidRPr="00863F70" w:rsidRDefault="00B11472" w:rsidP="004617ED">
      <w:pPr>
        <w:spacing w:before="240"/>
        <w:rPr>
          <w:szCs w:val="24"/>
        </w:rPr>
      </w:pPr>
      <w:r w:rsidRPr="00863F70">
        <w:rPr>
          <w:szCs w:val="24"/>
        </w:rPr>
        <w:t>Once MSAC has considered the report</w:t>
      </w:r>
      <w:r w:rsidR="002D73A2" w:rsidRPr="00863F70">
        <w:rPr>
          <w:szCs w:val="24"/>
        </w:rPr>
        <w:t>,</w:t>
      </w:r>
      <w:r w:rsidR="00A91AFD" w:rsidRPr="00863F70">
        <w:rPr>
          <w:szCs w:val="24"/>
        </w:rPr>
        <w:t xml:space="preserve"> its advice is made available online </w:t>
      </w:r>
      <w:r w:rsidR="009B433F" w:rsidRPr="00863F70">
        <w:rPr>
          <w:szCs w:val="24"/>
        </w:rPr>
        <w:t xml:space="preserve">at the </w:t>
      </w:r>
      <w:hyperlink r:id="rId11" w:tooltip="Website of the Medical Services Advisory Committee" w:history="1">
        <w:r w:rsidR="009B433F" w:rsidRPr="00863F70">
          <w:rPr>
            <w:rStyle w:val="Hyperlink"/>
            <w:szCs w:val="24"/>
          </w:rPr>
          <w:t xml:space="preserve">MSAC </w:t>
        </w:r>
        <w:r w:rsidR="0048056B" w:rsidRPr="00863F70">
          <w:rPr>
            <w:rStyle w:val="Hyperlink"/>
            <w:szCs w:val="24"/>
          </w:rPr>
          <w:t>W</w:t>
        </w:r>
        <w:r w:rsidR="009B433F" w:rsidRPr="00863F70">
          <w:rPr>
            <w:rStyle w:val="Hyperlink"/>
            <w:szCs w:val="24"/>
          </w:rPr>
          <w:t>ebsite</w:t>
        </w:r>
      </w:hyperlink>
      <w:r w:rsidR="00A91AFD" w:rsidRPr="00863F70">
        <w:rPr>
          <w:szCs w:val="24"/>
        </w:rPr>
        <w:t>.</w:t>
      </w:r>
    </w:p>
    <w:p w:rsidR="00B85D8A" w:rsidRPr="00863F70" w:rsidRDefault="00B85D8A" w:rsidP="00B85D8A">
      <w:pPr>
        <w:pStyle w:val="Heading1"/>
        <w:numPr>
          <w:ilvl w:val="0"/>
          <w:numId w:val="1"/>
        </w:numPr>
        <w:tabs>
          <w:tab w:val="left" w:pos="720"/>
          <w:tab w:val="left" w:pos="1140"/>
        </w:tabs>
        <w:spacing w:before="360"/>
        <w:ind w:hanging="720"/>
        <w:rPr>
          <w:rFonts w:cs="Arial"/>
        </w:rPr>
      </w:pPr>
      <w:bookmarkStart w:id="1" w:name="_Toc504399510"/>
      <w:bookmarkStart w:id="2" w:name="_Toc504652225"/>
      <w:r w:rsidRPr="00863F70">
        <w:rPr>
          <w:rFonts w:cs="Arial"/>
        </w:rPr>
        <w:t xml:space="preserve">Surgical treatment of obesity in Australia’s health system </w:t>
      </w:r>
    </w:p>
    <w:bookmarkEnd w:id="1"/>
    <w:bookmarkEnd w:id="2"/>
    <w:p w:rsidR="00426D03" w:rsidRPr="00863F70" w:rsidRDefault="00426D03" w:rsidP="007105F2">
      <w:pPr>
        <w:spacing w:after="240"/>
      </w:pPr>
      <w:r w:rsidRPr="00863F70">
        <w:t>The National Health and Medical Research Council’s Clinical Practice Guidelines for the Management of Overweight and Obesity in Adults, Adolescents and Children in Australia (2013) recommend that bariatric surgery, in combination with appropriate follow-up, is the most effective treatment for patients with type III obesity (BMI 40.00 or more). Bariatric surgery is also recommended for patients with a BMI of 35 or more (type II obesity), with other medical co-morbidities. Bariatric patients often present with a multitude of co-</w:t>
      </w:r>
      <w:r w:rsidRPr="00863F70">
        <w:lastRenderedPageBreak/>
        <w:t>morbidities, such as type-2 diabetes and cardiovascular disease. Bariatric surgery is the only current treatment that has been shown to achieve major and durable weight loss, which, as evidence suggests, can lead to total or partial control of related co-morbidities</w:t>
      </w:r>
      <w:r w:rsidRPr="007105F2">
        <w:rPr>
          <w:vertAlign w:val="superscript"/>
        </w:rPr>
        <w:footnoteReference w:id="1"/>
      </w:r>
      <w:r w:rsidRPr="00863F70">
        <w:t>. In 2008 it was estimated that the total financial costs of obesity, including obesity related expenditure in Australia was $8.3 billion</w:t>
      </w:r>
      <w:r w:rsidRPr="007105F2">
        <w:rPr>
          <w:vertAlign w:val="superscript"/>
        </w:rPr>
        <w:footnoteReference w:id="2"/>
      </w:r>
    </w:p>
    <w:p w:rsidR="00A24B5D" w:rsidRPr="00863F70" w:rsidRDefault="00426D03" w:rsidP="007105F2">
      <w:pPr>
        <w:spacing w:after="240"/>
      </w:pPr>
      <w:r w:rsidRPr="00863F70">
        <w:t xml:space="preserve">At its 54th meeting in November 2011, the MSAC agreed there is high clinical need for bariatric surgery to address obesity as a growing public health concern, but that long term data was lacking. It was noted at this meeting the need for a register for patients who have undergone bariatric surgery. The bariatric surgery registry (BSR) was established in 2009 and a pilot registry rolled out in 2012. The BSR is managed by Monash University with support from the </w:t>
      </w:r>
      <w:r w:rsidR="00B85D8A" w:rsidRPr="00863F70">
        <w:t>Australian and New Zealand Metabolic and Obesity Surgery Society</w:t>
      </w:r>
      <w:r w:rsidRPr="00863F70">
        <w:t>. In June 2017 the BSR released their fifth annual report. For the past four years the BSR has been funded predominantly by the Commonwealth Government and the aim of the registry is to measure safety and quality outcomes for patients undergoing bariatric surgery across public and private hospitals in Australia and New Zealand.  Through ongoing patient follow-up, the registry collects information on patient weight loss, change in diabetes status and problems related to the surgery, both in the short and long term. It is not possible yet to draw an accurate picture of the outcomes for bariatric patients from the registry, as a longer period is required to analyse the</w:t>
      </w:r>
      <w:r w:rsidR="007105F2">
        <w:t xml:space="preserve"> long term effects on patients.</w:t>
      </w:r>
    </w:p>
    <w:p w:rsidR="00426D03" w:rsidRPr="007105F2" w:rsidRDefault="00426D03" w:rsidP="007105F2">
      <w:pPr>
        <w:spacing w:after="240"/>
      </w:pPr>
      <w:r w:rsidRPr="00863F70">
        <w:t>According to the Australian Bureau of Statistics, in 2014-15 almost two thirds of adult Australians were overweight or obese (36% overweight, 28% obese). Of the 28% of obese Australians a potential 9% would qualify for bariatric surgery (class II and III obesity). This represents approximately 1.5 million people.  Table 1 represents the total bariatric separations performed in 2014-15, the total primary (items 31569-31584) MBS listed bariatric surgical services claimed and the total publicly funded bariatric se</w:t>
      </w:r>
      <w:r w:rsidR="007105F2">
        <w:t>parations within the same year.</w:t>
      </w:r>
    </w:p>
    <w:p w:rsidR="00426D03" w:rsidRPr="009418F3" w:rsidRDefault="00426D03" w:rsidP="009418F3">
      <w:pPr>
        <w:rPr>
          <w:rFonts w:ascii="Arial Narrow" w:hAnsi="Arial Narrow"/>
          <w:b/>
          <w:sz w:val="20"/>
        </w:rPr>
      </w:pPr>
      <w:r w:rsidRPr="009418F3">
        <w:rPr>
          <w:rFonts w:ascii="Arial Narrow" w:hAnsi="Arial Narrow"/>
          <w:b/>
          <w:sz w:val="20"/>
        </w:rPr>
        <w:t>Table 1</w:t>
      </w:r>
      <w:r w:rsidR="007105F2" w:rsidRPr="009418F3">
        <w:rPr>
          <w:rFonts w:ascii="Arial Narrow" w:hAnsi="Arial Narrow"/>
          <w:b/>
          <w:sz w:val="20"/>
        </w:rPr>
        <w:t>:</w:t>
      </w:r>
      <w:r w:rsidRPr="009418F3">
        <w:rPr>
          <w:rFonts w:ascii="Arial Narrow" w:hAnsi="Arial Narrow"/>
          <w:b/>
          <w:sz w:val="20"/>
        </w:rPr>
        <w:t>Total hospital</w:t>
      </w:r>
      <w:r w:rsidR="00BF13E4" w:rsidRPr="009418F3">
        <w:rPr>
          <w:rFonts w:ascii="Arial Narrow" w:hAnsi="Arial Narrow"/>
          <w:b/>
          <w:sz w:val="20"/>
        </w:rPr>
        <w:t xml:space="preserve"> bariatric surgery separations and </w:t>
      </w:r>
      <w:r w:rsidRPr="009418F3">
        <w:rPr>
          <w:rFonts w:ascii="Arial Narrow" w:hAnsi="Arial Narrow"/>
          <w:b/>
          <w:sz w:val="20"/>
        </w:rPr>
        <w:t>total primary M</w:t>
      </w:r>
      <w:r w:rsidR="007105F2" w:rsidRPr="009418F3">
        <w:rPr>
          <w:rFonts w:ascii="Arial Narrow" w:hAnsi="Arial Narrow"/>
          <w:b/>
          <w:sz w:val="20"/>
        </w:rPr>
        <w:t xml:space="preserve">BS bariatric surgical services </w:t>
      </w:r>
      <w:r w:rsidRPr="009418F3">
        <w:rPr>
          <w:rFonts w:ascii="Arial Narrow" w:hAnsi="Arial Narrow"/>
          <w:b/>
          <w:sz w:val="20"/>
        </w:rPr>
        <w:t>2014-15</w:t>
      </w:r>
    </w:p>
    <w:tbl>
      <w:tblPr>
        <w:tblStyle w:val="TableGrid"/>
        <w:tblW w:w="8870" w:type="dxa"/>
        <w:jc w:val="center"/>
        <w:tblInd w:w="-740" w:type="dxa"/>
        <w:tblLook w:val="04A0" w:firstRow="1" w:lastRow="0" w:firstColumn="1" w:lastColumn="0" w:noHBand="0" w:noVBand="1"/>
        <w:tblCaption w:val="Total bariatric separations in 2015-14, including both public hospital and private services"/>
        <w:tblDescription w:val="Total bariatric separations in 2014-15 was 22,713. Of these, total MBS servics for primary bariatric items was 19,154 and total public funded bariatric separations was 950. "/>
      </w:tblPr>
      <w:tblGrid>
        <w:gridCol w:w="4805"/>
        <w:gridCol w:w="4065"/>
      </w:tblGrid>
      <w:tr w:rsidR="00426D03" w:rsidRPr="007105F2" w:rsidTr="007105F2">
        <w:trPr>
          <w:trHeight w:val="441"/>
          <w:tblHeader/>
          <w:jc w:val="center"/>
        </w:trPr>
        <w:tc>
          <w:tcPr>
            <w:tcW w:w="4805" w:type="dxa"/>
            <w:vAlign w:val="center"/>
          </w:tcPr>
          <w:p w:rsidR="00426D03" w:rsidRPr="007105F2" w:rsidRDefault="00426D03" w:rsidP="00B85D8A">
            <w:pPr>
              <w:jc w:val="center"/>
              <w:rPr>
                <w:rFonts w:ascii="Arial Narrow" w:hAnsi="Arial Narrow"/>
                <w:sz w:val="20"/>
              </w:rPr>
            </w:pPr>
            <w:r w:rsidRPr="007105F2">
              <w:rPr>
                <w:rFonts w:ascii="Arial Narrow" w:hAnsi="Arial Narrow"/>
                <w:sz w:val="20"/>
              </w:rPr>
              <w:t>Total separations</w:t>
            </w:r>
          </w:p>
        </w:tc>
        <w:tc>
          <w:tcPr>
            <w:tcW w:w="4065" w:type="dxa"/>
            <w:vAlign w:val="center"/>
          </w:tcPr>
          <w:p w:rsidR="00426D03" w:rsidRPr="007105F2" w:rsidRDefault="00426D03" w:rsidP="00B85D8A">
            <w:pPr>
              <w:jc w:val="center"/>
              <w:rPr>
                <w:rFonts w:ascii="Arial Narrow" w:hAnsi="Arial Narrow"/>
                <w:sz w:val="20"/>
              </w:rPr>
            </w:pPr>
            <w:r w:rsidRPr="007105F2">
              <w:rPr>
                <w:rFonts w:ascii="Arial Narrow" w:hAnsi="Arial Narrow"/>
                <w:sz w:val="20"/>
              </w:rPr>
              <w:t xml:space="preserve">22,713 </w:t>
            </w:r>
          </w:p>
        </w:tc>
      </w:tr>
      <w:tr w:rsidR="00426D03" w:rsidRPr="007105F2" w:rsidTr="007105F2">
        <w:trPr>
          <w:trHeight w:val="548"/>
          <w:jc w:val="center"/>
        </w:trPr>
        <w:tc>
          <w:tcPr>
            <w:tcW w:w="4805" w:type="dxa"/>
            <w:vAlign w:val="center"/>
          </w:tcPr>
          <w:p w:rsidR="00426D03" w:rsidRPr="007105F2" w:rsidRDefault="00426D03" w:rsidP="00B85D8A">
            <w:pPr>
              <w:jc w:val="center"/>
              <w:rPr>
                <w:rFonts w:ascii="Arial Narrow" w:hAnsi="Arial Narrow"/>
                <w:sz w:val="20"/>
              </w:rPr>
            </w:pPr>
            <w:r w:rsidRPr="007105F2">
              <w:rPr>
                <w:rFonts w:ascii="Arial Narrow" w:hAnsi="Arial Narrow"/>
                <w:sz w:val="20"/>
              </w:rPr>
              <w:t>Total MBS services for primary (items 31569-31584) bariatric surgical procedures</w:t>
            </w:r>
          </w:p>
        </w:tc>
        <w:tc>
          <w:tcPr>
            <w:tcW w:w="4065" w:type="dxa"/>
            <w:vAlign w:val="center"/>
          </w:tcPr>
          <w:p w:rsidR="00426D03" w:rsidRPr="007105F2" w:rsidRDefault="00426D03" w:rsidP="00B85D8A">
            <w:pPr>
              <w:jc w:val="center"/>
              <w:rPr>
                <w:rFonts w:ascii="Arial Narrow" w:hAnsi="Arial Narrow"/>
                <w:sz w:val="20"/>
              </w:rPr>
            </w:pPr>
            <w:r w:rsidRPr="007105F2">
              <w:rPr>
                <w:rFonts w:ascii="Arial Narrow" w:hAnsi="Arial Narrow"/>
                <w:sz w:val="20"/>
              </w:rPr>
              <w:t>19,154</w:t>
            </w:r>
          </w:p>
        </w:tc>
      </w:tr>
    </w:tbl>
    <w:p w:rsidR="00B85D8A" w:rsidRPr="007105F2" w:rsidRDefault="00426D03" w:rsidP="007105F2">
      <w:pPr>
        <w:spacing w:after="240"/>
        <w:rPr>
          <w:rFonts w:asciiTheme="minorHAnsi" w:hAnsiTheme="minorHAnsi" w:cstheme="minorHAnsi"/>
          <w:b/>
          <w:i/>
          <w:sz w:val="16"/>
          <w:szCs w:val="16"/>
        </w:rPr>
      </w:pPr>
      <w:r w:rsidRPr="00D409BF">
        <w:rPr>
          <w:rFonts w:asciiTheme="minorHAnsi" w:hAnsiTheme="minorHAnsi" w:cstheme="minorHAnsi"/>
          <w:i/>
          <w:sz w:val="16"/>
          <w:szCs w:val="16"/>
        </w:rPr>
        <w:t xml:space="preserve">Source: Australian Institute of Health and Welfare – Weight loss surgery in Australia 2014-15, </w:t>
      </w:r>
      <w:r w:rsidR="00BF13E4" w:rsidRPr="00D409BF">
        <w:rPr>
          <w:rFonts w:asciiTheme="minorHAnsi" w:hAnsiTheme="minorHAnsi" w:cstheme="minorHAnsi"/>
          <w:i/>
          <w:sz w:val="16"/>
          <w:szCs w:val="16"/>
        </w:rPr>
        <w:t>Medicare Statistics, 2017.</w:t>
      </w:r>
    </w:p>
    <w:p w:rsidR="00F608DC" w:rsidRPr="00863F70" w:rsidRDefault="00426D03" w:rsidP="007105F2">
      <w:pPr>
        <w:spacing w:after="240"/>
      </w:pPr>
      <w:r w:rsidRPr="00863F70">
        <w:t xml:space="preserve">The Australian Institute of Health and Welfare (AIHW) report on Weight loss surgery in Australia 2014-15 reports that during this year 2,700 bariatric </w:t>
      </w:r>
      <w:r w:rsidR="003F78D1" w:rsidRPr="00863F70">
        <w:t>separations</w:t>
      </w:r>
      <w:r w:rsidRPr="00863F70">
        <w:t xml:space="preserve"> were performed</w:t>
      </w:r>
      <w:r w:rsidR="00BF13E4" w:rsidRPr="00863F70">
        <w:t xml:space="preserve"> in public hospitals, representing approximately 10% of total bariatric </w:t>
      </w:r>
      <w:r w:rsidR="003F78D1" w:rsidRPr="00863F70">
        <w:t>separations</w:t>
      </w:r>
      <w:r w:rsidR="00BF13E4" w:rsidRPr="00863F70">
        <w:t>. However, this figure includes both public and private patients who have received care in public hospitals and therefore the true figure</w:t>
      </w:r>
      <w:r w:rsidR="0073002D" w:rsidRPr="00863F70">
        <w:t xml:space="preserve"> of how many public patients in public hospitals who received bariatric surgery in 2014-15 would likely be much lower than 10%. </w:t>
      </w:r>
      <w:r w:rsidRPr="00863F70">
        <w:t>The department is aware that wait times for publicly funded bariatric surgery in Australia can be significant with some patients reporting waiting over 7 years. This reflects that access is extremely limited in the public hospital system and that the distribution of bariatric surgery is not evenly associated with clinical need. This is a broader policy dilemma beyond the scope of this paper.</w:t>
      </w:r>
    </w:p>
    <w:p w:rsidR="00540F30" w:rsidRPr="002E542D" w:rsidRDefault="00F608DC" w:rsidP="00B85D8A">
      <w:r w:rsidRPr="00863F70">
        <w:t xml:space="preserve">According to anecdotal evidence, out of pocket costs for uninsured private patients </w:t>
      </w:r>
      <w:r w:rsidR="006436B5" w:rsidRPr="00863F70">
        <w:t xml:space="preserve">undergoing bariatric surgery </w:t>
      </w:r>
      <w:r w:rsidRPr="00863F70">
        <w:t xml:space="preserve">can be more than $20,000. </w:t>
      </w:r>
      <w:r w:rsidR="006436B5" w:rsidRPr="00863F70">
        <w:t xml:space="preserve">According to Hospital Casemix Protocol 1, in 2015-16, the average insured bariatric surgical patient was covered for roughly </w:t>
      </w:r>
      <w:r w:rsidR="006436B5" w:rsidRPr="00863F70">
        <w:lastRenderedPageBreak/>
        <w:t xml:space="preserve">$10,400 by their private health insurer, resulting in a significant out of pocket gap fee. </w:t>
      </w:r>
      <w:r w:rsidR="00426D03" w:rsidRPr="00863F70">
        <w:t xml:space="preserve">The Department of Health has increasingly become aware of patients opting to access their superannuation to pay for the out of pocket costs associated with medical services. These patients are applying to either cover the gap between the total fee and their health insurance benefits, as well as for uninsured patients who must pay the total costs (&gt;$20,000) associated with their procedure. The Department of the Treasury are currently reviewing the rules around the early access to superannuation scheme on compassionate grounds. </w:t>
      </w:r>
      <w:bookmarkStart w:id="3" w:name="_Toc504652226"/>
    </w:p>
    <w:p w:rsidR="00B85D8A" w:rsidRPr="00863F70" w:rsidRDefault="00B85D8A" w:rsidP="00863F70">
      <w:pPr>
        <w:pStyle w:val="Heading1"/>
        <w:numPr>
          <w:ilvl w:val="0"/>
          <w:numId w:val="1"/>
        </w:numPr>
        <w:tabs>
          <w:tab w:val="left" w:pos="720"/>
          <w:tab w:val="left" w:pos="1140"/>
        </w:tabs>
        <w:spacing w:before="360"/>
        <w:ind w:hanging="720"/>
        <w:rPr>
          <w:rFonts w:cs="Arial"/>
        </w:rPr>
      </w:pPr>
      <w:r w:rsidRPr="00863F70">
        <w:rPr>
          <w:rFonts w:cs="Arial"/>
        </w:rPr>
        <w:t>Results</w:t>
      </w:r>
    </w:p>
    <w:p w:rsidR="008D573F" w:rsidRPr="00863F70" w:rsidRDefault="008D573F" w:rsidP="00D73798">
      <w:pPr>
        <w:pStyle w:val="Heading2"/>
        <w:rPr>
          <w:rFonts w:ascii="Arial" w:hAnsi="Arial" w:cs="Arial"/>
          <w:szCs w:val="24"/>
        </w:rPr>
      </w:pPr>
      <w:r w:rsidRPr="00863F70">
        <w:rPr>
          <w:rFonts w:ascii="Arial" w:hAnsi="Arial" w:cs="Arial"/>
          <w:szCs w:val="24"/>
        </w:rPr>
        <w:t>Utilisation</w:t>
      </w:r>
      <w:bookmarkEnd w:id="3"/>
    </w:p>
    <w:p w:rsidR="008D573F" w:rsidRPr="00863F70" w:rsidRDefault="008D573F" w:rsidP="007105F2">
      <w:pPr>
        <w:spacing w:after="240"/>
      </w:pPr>
      <w:r w:rsidRPr="00863F70">
        <w:t xml:space="preserve">The utilisation data of bariatric surgery items 31569-31590 (8) reports 116,748 services rendered in year 1, and 91,136 services in year 4 (Table 2). However, for primary bariatric surgical services 31569-31584 (6), </w:t>
      </w:r>
      <w:r w:rsidR="00E600CC" w:rsidRPr="00863F70">
        <w:t>the utilisation was 17,762</w:t>
      </w:r>
      <w:r w:rsidRPr="00863F70">
        <w:t xml:space="preserve"> services for </w:t>
      </w:r>
      <w:r w:rsidR="00E600CC" w:rsidRPr="00863F70">
        <w:t>year 1 and 23,828</w:t>
      </w:r>
      <w:r w:rsidRPr="00863F70">
        <w:t xml:space="preserve"> in year 4 (Table 3). The increase in service volumes for primary items is largely due to the significant increase in the utilisation of item 31575 (sleeve gastrectomy). Further, of note is the decrease in claiming of item 31587 </w:t>
      </w:r>
      <w:r w:rsidR="007105F2">
        <w:t>(adjustment of a gastric band).</w:t>
      </w:r>
    </w:p>
    <w:p w:rsidR="008D573F" w:rsidRPr="00863F70" w:rsidRDefault="008D573F" w:rsidP="007105F2">
      <w:pPr>
        <w:spacing w:after="240"/>
      </w:pPr>
      <w:r w:rsidRPr="00863F70">
        <w:t xml:space="preserve">MBS expenditure on subsidising bariatric surgery continues to grow. In 2005 MBS expenditure on bariatric surgery was $6.3 million and $19.3 million in 2009. These figures are based on MBS bariatric surgery items pre-implementation of new and amended items in 2013. The total benefits paid for MBS items 31569-31590 (8) from 2013-14 to 2016-17 was over $86 million. The most recent financial year (2016-17) saw over $22 million paid in MBS benefits for bariatric services. </w:t>
      </w:r>
    </w:p>
    <w:p w:rsidR="009D2FA6" w:rsidRPr="00863F70" w:rsidRDefault="008D573F" w:rsidP="007105F2">
      <w:pPr>
        <w:spacing w:after="240"/>
      </w:pPr>
      <w:r w:rsidRPr="00863F70">
        <w:t xml:space="preserve">Tables 4-9 represent state and territory service volumes for bariatric surgical items 31569, 31572, 31575, 31584, 31587 and 31590. This is both primary and secondary bariatric procedures, excluding items 31578 and 31581. These two items have been excluded as service numbers are too low to conceal patient confidentiality. Item 31578 is for gastroplasty, primarily vertical banded gastroplasty (otherwise known as stomach stapling) and item 31581 is for gastric bypass </w:t>
      </w:r>
      <w:r w:rsidRPr="00863F70">
        <w:rPr>
          <w:color w:val="222222"/>
        </w:rPr>
        <w:t>by biliopancreatic diversion. The low utilisation of these items is likely a reflection of providers preferring surgical techniques such as sleeve gastrectomy and adjustable gastric band over these items. Gastric plication is specifically excluded under item 31578 which has also likely kept utilisation low. The department is aware of an increasing number of provide</w:t>
      </w:r>
      <w:r w:rsidR="00845790" w:rsidRPr="00863F70">
        <w:rPr>
          <w:color w:val="222222"/>
        </w:rPr>
        <w:t>rs in Australia offering endoscopic sleeve gastroplasty</w:t>
      </w:r>
      <w:r w:rsidRPr="00863F70">
        <w:rPr>
          <w:color w:val="222222"/>
        </w:rPr>
        <w:t>. The department has communicated to the profession that these surgical techniques require an MSAC assessment to inform whether or not they should also attract MBS rebates.</w:t>
      </w:r>
    </w:p>
    <w:p w:rsidR="008D573F" w:rsidRPr="00863F70" w:rsidRDefault="008D573F" w:rsidP="007105F2">
      <w:pPr>
        <w:spacing w:after="240"/>
      </w:pPr>
      <w:r w:rsidRPr="00863F70">
        <w:t>For some items, service volume data for the Northern Territory, Tasmania and the Australian Capital Territory has been combined with Queensland, Victoria and New South Wales, respectively. In all of these instances, the data in Queensland, Victoria and New South Wales accounts for at least 90% of the total f</w:t>
      </w:r>
      <w:r w:rsidR="007105F2">
        <w:t>or that combined states column.</w:t>
      </w:r>
    </w:p>
    <w:p w:rsidR="008D573F" w:rsidRPr="00863F70" w:rsidRDefault="008D573F" w:rsidP="007105F2">
      <w:pPr>
        <w:spacing w:after="240"/>
      </w:pPr>
      <w:r w:rsidRPr="00863F70">
        <w:t>For item 31575 (sleeve gastrectomy), the most commonly claimed primary bariatric surgical item, service volumes are highest in New South Wales, followed by Queensland, with 16,486 and 15,262 services performed sinc</w:t>
      </w:r>
      <w:r w:rsidR="007105F2">
        <w:t>e implementation, respectively.</w:t>
      </w:r>
    </w:p>
    <w:p w:rsidR="007105F2" w:rsidRPr="007105F2" w:rsidRDefault="008D573F" w:rsidP="007105F2">
      <w:pPr>
        <w:spacing w:after="240"/>
        <w:rPr>
          <w:rFonts w:asciiTheme="minorHAnsi" w:hAnsiTheme="minorHAnsi" w:cstheme="minorHAnsi"/>
          <w:b/>
          <w:bCs/>
          <w:iCs/>
        </w:rPr>
      </w:pPr>
      <w:r w:rsidRPr="00863F70">
        <w:t>Service volumes across all items are significantly lower in the Australian Capital Territory and the Northern Territory.</w:t>
      </w:r>
      <w:r w:rsidR="007105F2">
        <w:br w:type="page"/>
      </w:r>
    </w:p>
    <w:p w:rsidR="008D573F" w:rsidRPr="009418F3" w:rsidRDefault="008D573F" w:rsidP="009418F3">
      <w:pPr>
        <w:rPr>
          <w:rFonts w:ascii="Arial Narrow" w:hAnsi="Arial Narrow"/>
          <w:b/>
          <w:sz w:val="20"/>
        </w:rPr>
      </w:pPr>
      <w:r w:rsidRPr="009418F3">
        <w:rPr>
          <w:rFonts w:ascii="Arial Narrow" w:hAnsi="Arial Narrow"/>
          <w:b/>
          <w:sz w:val="20"/>
        </w:rPr>
        <w:lastRenderedPageBreak/>
        <w:t>Table 2: Service volumes for bariatric surgery items, 2013-14 – 2016-17</w:t>
      </w:r>
    </w:p>
    <w:tbl>
      <w:tblPr>
        <w:tblStyle w:val="TableGrid"/>
        <w:tblW w:w="0" w:type="auto"/>
        <w:tblLook w:val="04A0" w:firstRow="1" w:lastRow="0" w:firstColumn="1" w:lastColumn="0" w:noHBand="0" w:noVBand="1"/>
        <w:tblCaption w:val="Service volumes for bariatric surgery items 2013-2017"/>
        <w:tblDescription w:val="This table represents the total services of all bariatric MBS items across all 4 financial years since implementation. The total services across the 4 years was 417,306 which includes 116,748 in year 1, 107,885 in year 2, 101,537 in year 3, 91,136 in year 4."/>
      </w:tblPr>
      <w:tblGrid>
        <w:gridCol w:w="1420"/>
        <w:gridCol w:w="1420"/>
        <w:gridCol w:w="1420"/>
        <w:gridCol w:w="1420"/>
        <w:gridCol w:w="1421"/>
        <w:gridCol w:w="1421"/>
      </w:tblGrid>
      <w:tr w:rsidR="008D573F" w:rsidRPr="00C157C0" w:rsidTr="00D97D6B">
        <w:trPr>
          <w:tblHeader/>
        </w:trPr>
        <w:tc>
          <w:tcPr>
            <w:tcW w:w="1420" w:type="dxa"/>
            <w:shd w:val="clear" w:color="auto" w:fill="548DD4" w:themeFill="text2" w:themeFillTint="99"/>
            <w:vAlign w:val="center"/>
          </w:tcPr>
          <w:p w:rsidR="008D573F" w:rsidRPr="00592E68" w:rsidRDefault="008D573F" w:rsidP="00D97D6B">
            <w:pPr>
              <w:jc w:val="center"/>
              <w:rPr>
                <w:rFonts w:ascii="Arial" w:hAnsi="Arial" w:cs="Arial"/>
                <w:b/>
                <w:bCs/>
                <w:color w:val="FFFFFF" w:themeColor="background1"/>
                <w:sz w:val="18"/>
                <w:szCs w:val="18"/>
              </w:rPr>
            </w:pPr>
            <w:r w:rsidRPr="00592E68">
              <w:rPr>
                <w:rFonts w:ascii="Arial" w:hAnsi="Arial" w:cs="Arial"/>
                <w:b/>
                <w:bCs/>
                <w:color w:val="FFFFFF" w:themeColor="background1"/>
                <w:sz w:val="18"/>
                <w:szCs w:val="18"/>
              </w:rPr>
              <w:t>Item no.</w:t>
            </w:r>
          </w:p>
        </w:tc>
        <w:tc>
          <w:tcPr>
            <w:tcW w:w="1420" w:type="dxa"/>
            <w:shd w:val="clear" w:color="auto" w:fill="548DD4" w:themeFill="text2" w:themeFillTint="99"/>
            <w:vAlign w:val="center"/>
          </w:tcPr>
          <w:p w:rsidR="008D573F" w:rsidRPr="00592E68" w:rsidRDefault="008D573F" w:rsidP="00D97D6B">
            <w:pPr>
              <w:jc w:val="center"/>
              <w:rPr>
                <w:rFonts w:ascii="Arial" w:hAnsi="Arial" w:cs="Arial"/>
                <w:b/>
                <w:bCs/>
                <w:color w:val="FFFFFF" w:themeColor="background1"/>
                <w:sz w:val="18"/>
                <w:szCs w:val="18"/>
              </w:rPr>
            </w:pPr>
            <w:r w:rsidRPr="00592E68">
              <w:rPr>
                <w:rFonts w:ascii="Arial" w:hAnsi="Arial" w:cs="Arial"/>
                <w:b/>
                <w:bCs/>
                <w:color w:val="FFFFFF" w:themeColor="background1"/>
                <w:sz w:val="18"/>
                <w:szCs w:val="18"/>
              </w:rPr>
              <w:t>Year 1</w:t>
            </w:r>
          </w:p>
          <w:p w:rsidR="008D573F" w:rsidRPr="00592E68" w:rsidRDefault="008D573F" w:rsidP="00D97D6B">
            <w:pPr>
              <w:jc w:val="center"/>
              <w:rPr>
                <w:rFonts w:ascii="Arial" w:hAnsi="Arial" w:cs="Arial"/>
                <w:b/>
                <w:bCs/>
                <w:color w:val="FFFFFF" w:themeColor="background1"/>
                <w:sz w:val="18"/>
                <w:szCs w:val="18"/>
              </w:rPr>
            </w:pPr>
            <w:r w:rsidRPr="00592E68">
              <w:rPr>
                <w:rFonts w:ascii="Arial" w:hAnsi="Arial" w:cs="Arial"/>
                <w:b/>
                <w:bCs/>
                <w:color w:val="FFFFFF" w:themeColor="background1"/>
                <w:sz w:val="18"/>
                <w:szCs w:val="18"/>
              </w:rPr>
              <w:t>2013-14</w:t>
            </w:r>
          </w:p>
        </w:tc>
        <w:tc>
          <w:tcPr>
            <w:tcW w:w="1420" w:type="dxa"/>
            <w:shd w:val="clear" w:color="auto" w:fill="548DD4" w:themeFill="text2" w:themeFillTint="99"/>
            <w:vAlign w:val="center"/>
          </w:tcPr>
          <w:p w:rsidR="008D573F" w:rsidRPr="00592E68" w:rsidRDefault="008D573F" w:rsidP="00D97D6B">
            <w:pPr>
              <w:jc w:val="center"/>
              <w:rPr>
                <w:rFonts w:ascii="Arial" w:hAnsi="Arial" w:cs="Arial"/>
                <w:b/>
                <w:bCs/>
                <w:color w:val="FFFFFF" w:themeColor="background1"/>
                <w:sz w:val="18"/>
                <w:szCs w:val="18"/>
              </w:rPr>
            </w:pPr>
            <w:r w:rsidRPr="00592E68">
              <w:rPr>
                <w:rFonts w:ascii="Arial" w:hAnsi="Arial" w:cs="Arial"/>
                <w:b/>
                <w:bCs/>
                <w:color w:val="FFFFFF" w:themeColor="background1"/>
                <w:sz w:val="18"/>
                <w:szCs w:val="18"/>
              </w:rPr>
              <w:t>Year 2</w:t>
            </w:r>
          </w:p>
          <w:p w:rsidR="008D573F" w:rsidRPr="00592E68" w:rsidRDefault="008D573F" w:rsidP="00D97D6B">
            <w:pPr>
              <w:jc w:val="center"/>
              <w:rPr>
                <w:rFonts w:ascii="Arial" w:hAnsi="Arial" w:cs="Arial"/>
                <w:b/>
                <w:bCs/>
                <w:color w:val="FFFFFF" w:themeColor="background1"/>
                <w:sz w:val="18"/>
                <w:szCs w:val="18"/>
              </w:rPr>
            </w:pPr>
            <w:r w:rsidRPr="00592E68">
              <w:rPr>
                <w:rFonts w:ascii="Arial" w:hAnsi="Arial" w:cs="Arial"/>
                <w:b/>
                <w:bCs/>
                <w:color w:val="FFFFFF" w:themeColor="background1"/>
                <w:sz w:val="18"/>
                <w:szCs w:val="18"/>
              </w:rPr>
              <w:t>2014-15</w:t>
            </w:r>
          </w:p>
        </w:tc>
        <w:tc>
          <w:tcPr>
            <w:tcW w:w="1420" w:type="dxa"/>
            <w:shd w:val="clear" w:color="auto" w:fill="548DD4" w:themeFill="text2" w:themeFillTint="99"/>
            <w:vAlign w:val="center"/>
          </w:tcPr>
          <w:p w:rsidR="008D573F" w:rsidRPr="00592E68" w:rsidRDefault="008D573F" w:rsidP="00D97D6B">
            <w:pPr>
              <w:jc w:val="center"/>
              <w:rPr>
                <w:rFonts w:ascii="Arial" w:hAnsi="Arial" w:cs="Arial"/>
                <w:b/>
                <w:bCs/>
                <w:color w:val="FFFFFF" w:themeColor="background1"/>
                <w:sz w:val="18"/>
                <w:szCs w:val="18"/>
              </w:rPr>
            </w:pPr>
            <w:r w:rsidRPr="00592E68">
              <w:rPr>
                <w:rFonts w:ascii="Arial" w:hAnsi="Arial" w:cs="Arial"/>
                <w:b/>
                <w:bCs/>
                <w:color w:val="FFFFFF" w:themeColor="background1"/>
                <w:sz w:val="18"/>
                <w:szCs w:val="18"/>
              </w:rPr>
              <w:t>Year 3</w:t>
            </w:r>
          </w:p>
          <w:p w:rsidR="008D573F" w:rsidRPr="00592E68" w:rsidRDefault="008D573F" w:rsidP="00D97D6B">
            <w:pPr>
              <w:jc w:val="center"/>
              <w:rPr>
                <w:rFonts w:ascii="Arial" w:hAnsi="Arial" w:cs="Arial"/>
                <w:b/>
                <w:bCs/>
                <w:color w:val="FFFFFF" w:themeColor="background1"/>
                <w:sz w:val="18"/>
                <w:szCs w:val="18"/>
              </w:rPr>
            </w:pPr>
            <w:r w:rsidRPr="00592E68">
              <w:rPr>
                <w:rFonts w:ascii="Arial" w:hAnsi="Arial" w:cs="Arial"/>
                <w:b/>
                <w:bCs/>
                <w:color w:val="FFFFFF" w:themeColor="background1"/>
                <w:sz w:val="18"/>
                <w:szCs w:val="18"/>
              </w:rPr>
              <w:t>2015-16</w:t>
            </w:r>
          </w:p>
        </w:tc>
        <w:tc>
          <w:tcPr>
            <w:tcW w:w="1421" w:type="dxa"/>
            <w:shd w:val="clear" w:color="auto" w:fill="548DD4" w:themeFill="text2" w:themeFillTint="99"/>
            <w:vAlign w:val="center"/>
          </w:tcPr>
          <w:p w:rsidR="008D573F" w:rsidRPr="00592E68" w:rsidRDefault="008D573F" w:rsidP="00D97D6B">
            <w:pPr>
              <w:jc w:val="center"/>
              <w:rPr>
                <w:rFonts w:ascii="Arial" w:hAnsi="Arial" w:cs="Arial"/>
                <w:b/>
                <w:bCs/>
                <w:color w:val="FFFFFF" w:themeColor="background1"/>
                <w:sz w:val="18"/>
                <w:szCs w:val="18"/>
              </w:rPr>
            </w:pPr>
            <w:r w:rsidRPr="00592E68">
              <w:rPr>
                <w:rFonts w:ascii="Arial" w:hAnsi="Arial" w:cs="Arial"/>
                <w:b/>
                <w:bCs/>
                <w:color w:val="FFFFFF" w:themeColor="background1"/>
                <w:sz w:val="18"/>
                <w:szCs w:val="18"/>
              </w:rPr>
              <w:t>Year 4</w:t>
            </w:r>
          </w:p>
          <w:p w:rsidR="008D573F" w:rsidRPr="00592E68" w:rsidRDefault="008D573F" w:rsidP="00D97D6B">
            <w:pPr>
              <w:jc w:val="center"/>
              <w:rPr>
                <w:rFonts w:ascii="Arial" w:hAnsi="Arial" w:cs="Arial"/>
                <w:b/>
                <w:bCs/>
                <w:color w:val="FFFFFF" w:themeColor="background1"/>
                <w:sz w:val="18"/>
                <w:szCs w:val="18"/>
              </w:rPr>
            </w:pPr>
            <w:r w:rsidRPr="00592E68">
              <w:rPr>
                <w:rFonts w:ascii="Arial" w:hAnsi="Arial" w:cs="Arial"/>
                <w:b/>
                <w:bCs/>
                <w:color w:val="FFFFFF" w:themeColor="background1"/>
                <w:sz w:val="18"/>
                <w:szCs w:val="18"/>
              </w:rPr>
              <w:t>2016-17</w:t>
            </w:r>
          </w:p>
        </w:tc>
        <w:tc>
          <w:tcPr>
            <w:tcW w:w="1421" w:type="dxa"/>
            <w:shd w:val="clear" w:color="auto" w:fill="548DD4" w:themeFill="text2" w:themeFillTint="99"/>
            <w:vAlign w:val="center"/>
          </w:tcPr>
          <w:p w:rsidR="008D573F" w:rsidRPr="00592E68" w:rsidRDefault="008D573F" w:rsidP="00D97D6B">
            <w:pPr>
              <w:jc w:val="center"/>
              <w:rPr>
                <w:rFonts w:ascii="Arial" w:hAnsi="Arial" w:cs="Arial"/>
                <w:b/>
                <w:bCs/>
                <w:color w:val="FFFFFF" w:themeColor="background1"/>
                <w:sz w:val="18"/>
                <w:szCs w:val="18"/>
              </w:rPr>
            </w:pPr>
            <w:r w:rsidRPr="00592E68">
              <w:rPr>
                <w:rFonts w:ascii="Arial" w:hAnsi="Arial" w:cs="Arial"/>
                <w:b/>
                <w:bCs/>
                <w:color w:val="FFFFFF" w:themeColor="background1"/>
                <w:sz w:val="18"/>
                <w:szCs w:val="18"/>
              </w:rPr>
              <w:t>Total</w:t>
            </w:r>
          </w:p>
        </w:tc>
      </w:tr>
      <w:tr w:rsidR="008D573F" w:rsidRPr="00C157C0" w:rsidTr="00D97D6B">
        <w:tc>
          <w:tcPr>
            <w:tcW w:w="1420" w:type="dxa"/>
            <w:vAlign w:val="center"/>
          </w:tcPr>
          <w:p w:rsidR="008D573F" w:rsidRPr="005C0BE0" w:rsidRDefault="008D573F" w:rsidP="00D97D6B">
            <w:pPr>
              <w:pStyle w:val="Table-bodytext"/>
              <w:keepNext/>
              <w:rPr>
                <w:rFonts w:ascii="Arial" w:hAnsi="Arial" w:cs="Arial"/>
                <w:b/>
                <w:sz w:val="18"/>
                <w:szCs w:val="18"/>
              </w:rPr>
            </w:pPr>
            <w:r w:rsidRPr="005C0BE0">
              <w:rPr>
                <w:rFonts w:ascii="Arial" w:hAnsi="Arial" w:cs="Arial"/>
                <w:b/>
                <w:sz w:val="18"/>
                <w:szCs w:val="18"/>
              </w:rPr>
              <w:t>31569</w:t>
            </w:r>
          </w:p>
        </w:tc>
        <w:tc>
          <w:tcPr>
            <w:tcW w:w="1420" w:type="dxa"/>
            <w:vAlign w:val="center"/>
          </w:tcPr>
          <w:p w:rsidR="008D573F" w:rsidRPr="00C157C0" w:rsidRDefault="008D573F" w:rsidP="00D97D6B">
            <w:pPr>
              <w:pStyle w:val="Table-bodytext"/>
              <w:keepNext/>
              <w:rPr>
                <w:rFonts w:ascii="Arial" w:hAnsi="Arial" w:cs="Arial"/>
                <w:sz w:val="18"/>
                <w:szCs w:val="18"/>
              </w:rPr>
            </w:pPr>
            <w:r>
              <w:rPr>
                <w:rFonts w:ascii="Arial" w:hAnsi="Arial" w:cs="Arial"/>
                <w:sz w:val="18"/>
                <w:szCs w:val="18"/>
              </w:rPr>
              <w:t>4097</w:t>
            </w:r>
          </w:p>
        </w:tc>
        <w:tc>
          <w:tcPr>
            <w:tcW w:w="1420" w:type="dxa"/>
            <w:vAlign w:val="center"/>
          </w:tcPr>
          <w:p w:rsidR="008D573F" w:rsidRPr="00C157C0" w:rsidRDefault="008D573F" w:rsidP="00D97D6B">
            <w:pPr>
              <w:pStyle w:val="Table-bodytext"/>
              <w:keepNext/>
              <w:rPr>
                <w:rFonts w:ascii="Arial" w:hAnsi="Arial" w:cs="Arial"/>
                <w:sz w:val="18"/>
                <w:szCs w:val="18"/>
              </w:rPr>
            </w:pPr>
            <w:r w:rsidRPr="00612AD6">
              <w:rPr>
                <w:rFonts w:ascii="Arial" w:hAnsi="Arial" w:cs="Arial"/>
                <w:sz w:val="18"/>
                <w:szCs w:val="18"/>
              </w:rPr>
              <w:t>2,830</w:t>
            </w:r>
          </w:p>
        </w:tc>
        <w:tc>
          <w:tcPr>
            <w:tcW w:w="1420" w:type="dxa"/>
            <w:vAlign w:val="center"/>
          </w:tcPr>
          <w:p w:rsidR="008D573F" w:rsidRPr="00C157C0" w:rsidRDefault="008D573F" w:rsidP="00D97D6B">
            <w:pPr>
              <w:pStyle w:val="Table-bodytext"/>
              <w:keepNext/>
              <w:rPr>
                <w:rFonts w:ascii="Arial" w:hAnsi="Arial" w:cs="Arial"/>
                <w:sz w:val="18"/>
                <w:szCs w:val="18"/>
              </w:rPr>
            </w:pPr>
            <w:r w:rsidRPr="00307B5B">
              <w:rPr>
                <w:rFonts w:ascii="Arial" w:hAnsi="Arial" w:cs="Arial"/>
                <w:sz w:val="18"/>
                <w:szCs w:val="18"/>
              </w:rPr>
              <w:t>2,181</w:t>
            </w:r>
          </w:p>
        </w:tc>
        <w:tc>
          <w:tcPr>
            <w:tcW w:w="1421" w:type="dxa"/>
            <w:vAlign w:val="center"/>
          </w:tcPr>
          <w:p w:rsidR="008D573F" w:rsidRPr="00C157C0" w:rsidRDefault="008D573F" w:rsidP="00D97D6B">
            <w:pPr>
              <w:pStyle w:val="Table-bodytext"/>
              <w:keepNext/>
              <w:rPr>
                <w:rFonts w:ascii="Arial" w:hAnsi="Arial" w:cs="Arial"/>
                <w:sz w:val="18"/>
                <w:szCs w:val="18"/>
              </w:rPr>
            </w:pPr>
            <w:r w:rsidRPr="00307B5B">
              <w:rPr>
                <w:rFonts w:ascii="Arial" w:hAnsi="Arial" w:cs="Arial"/>
                <w:sz w:val="18"/>
                <w:szCs w:val="18"/>
              </w:rPr>
              <w:t>1,512</w:t>
            </w:r>
          </w:p>
        </w:tc>
        <w:tc>
          <w:tcPr>
            <w:tcW w:w="1421" w:type="dxa"/>
            <w:vAlign w:val="center"/>
          </w:tcPr>
          <w:p w:rsidR="008D573F" w:rsidRPr="00B90AC4" w:rsidRDefault="008D573F" w:rsidP="00D97D6B">
            <w:pPr>
              <w:pStyle w:val="Table-bodytext"/>
              <w:keepNext/>
              <w:rPr>
                <w:rFonts w:ascii="Arial" w:hAnsi="Arial" w:cs="Arial"/>
                <w:b/>
                <w:sz w:val="18"/>
                <w:szCs w:val="18"/>
              </w:rPr>
            </w:pPr>
            <w:r w:rsidRPr="00B90AC4">
              <w:rPr>
                <w:rFonts w:ascii="Arial" w:hAnsi="Arial" w:cs="Arial"/>
                <w:b/>
                <w:sz w:val="18"/>
                <w:szCs w:val="18"/>
              </w:rPr>
              <w:t>10,620</w:t>
            </w:r>
          </w:p>
        </w:tc>
      </w:tr>
      <w:tr w:rsidR="008D573F" w:rsidRPr="00C157C0" w:rsidTr="00D97D6B">
        <w:tc>
          <w:tcPr>
            <w:tcW w:w="1420" w:type="dxa"/>
            <w:vAlign w:val="center"/>
          </w:tcPr>
          <w:p w:rsidR="008D573F" w:rsidRPr="005C0BE0" w:rsidRDefault="008D573F" w:rsidP="00D97D6B">
            <w:pPr>
              <w:pStyle w:val="Table-bodytext"/>
              <w:keepNext/>
              <w:rPr>
                <w:rFonts w:ascii="Arial" w:hAnsi="Arial" w:cs="Arial"/>
                <w:b/>
                <w:sz w:val="18"/>
                <w:szCs w:val="18"/>
              </w:rPr>
            </w:pPr>
            <w:r w:rsidRPr="005C0BE0">
              <w:rPr>
                <w:rFonts w:ascii="Arial" w:hAnsi="Arial" w:cs="Arial"/>
                <w:b/>
                <w:sz w:val="18"/>
                <w:szCs w:val="18"/>
              </w:rPr>
              <w:t>31572</w:t>
            </w:r>
          </w:p>
        </w:tc>
        <w:tc>
          <w:tcPr>
            <w:tcW w:w="1420" w:type="dxa"/>
            <w:vAlign w:val="center"/>
          </w:tcPr>
          <w:p w:rsidR="008D573F" w:rsidRPr="00C157C0" w:rsidRDefault="008D573F" w:rsidP="00D97D6B">
            <w:pPr>
              <w:pStyle w:val="Table-bodytext"/>
              <w:keepNext/>
              <w:rPr>
                <w:rFonts w:ascii="Arial" w:hAnsi="Arial" w:cs="Arial"/>
                <w:sz w:val="18"/>
                <w:szCs w:val="18"/>
              </w:rPr>
            </w:pPr>
            <w:r w:rsidRPr="00307B5B">
              <w:rPr>
                <w:rFonts w:ascii="Arial" w:hAnsi="Arial" w:cs="Arial"/>
                <w:sz w:val="18"/>
                <w:szCs w:val="18"/>
              </w:rPr>
              <w:t>882</w:t>
            </w:r>
          </w:p>
        </w:tc>
        <w:tc>
          <w:tcPr>
            <w:tcW w:w="1420" w:type="dxa"/>
            <w:vAlign w:val="center"/>
          </w:tcPr>
          <w:p w:rsidR="008D573F" w:rsidRPr="00C157C0" w:rsidRDefault="008D573F" w:rsidP="00D97D6B">
            <w:pPr>
              <w:pStyle w:val="Table-bodytext"/>
              <w:keepNext/>
              <w:rPr>
                <w:rFonts w:ascii="Arial" w:hAnsi="Arial" w:cs="Arial"/>
                <w:sz w:val="18"/>
                <w:szCs w:val="18"/>
              </w:rPr>
            </w:pPr>
            <w:r w:rsidRPr="00307B5B">
              <w:rPr>
                <w:rFonts w:ascii="Arial" w:hAnsi="Arial" w:cs="Arial"/>
                <w:sz w:val="18"/>
                <w:szCs w:val="18"/>
              </w:rPr>
              <w:t>1,323</w:t>
            </w:r>
          </w:p>
        </w:tc>
        <w:tc>
          <w:tcPr>
            <w:tcW w:w="1420" w:type="dxa"/>
            <w:vAlign w:val="center"/>
          </w:tcPr>
          <w:p w:rsidR="008D573F" w:rsidRPr="00C157C0" w:rsidRDefault="008D573F" w:rsidP="00D97D6B">
            <w:pPr>
              <w:pStyle w:val="Table-bodytext"/>
              <w:keepNext/>
              <w:rPr>
                <w:rFonts w:ascii="Arial" w:hAnsi="Arial" w:cs="Arial"/>
                <w:sz w:val="18"/>
                <w:szCs w:val="18"/>
              </w:rPr>
            </w:pPr>
            <w:r w:rsidRPr="00307B5B">
              <w:rPr>
                <w:rFonts w:ascii="Arial" w:hAnsi="Arial" w:cs="Arial"/>
                <w:sz w:val="18"/>
                <w:szCs w:val="18"/>
              </w:rPr>
              <w:t>2,029</w:t>
            </w:r>
          </w:p>
        </w:tc>
        <w:tc>
          <w:tcPr>
            <w:tcW w:w="1421" w:type="dxa"/>
            <w:vAlign w:val="center"/>
          </w:tcPr>
          <w:p w:rsidR="008D573F" w:rsidRPr="00C157C0" w:rsidRDefault="008D573F" w:rsidP="00D97D6B">
            <w:pPr>
              <w:pStyle w:val="Table-bodytext"/>
              <w:keepNext/>
              <w:rPr>
                <w:rFonts w:ascii="Arial" w:hAnsi="Arial" w:cs="Arial"/>
                <w:sz w:val="18"/>
                <w:szCs w:val="18"/>
              </w:rPr>
            </w:pPr>
            <w:r w:rsidRPr="00307B5B">
              <w:rPr>
                <w:rFonts w:ascii="Arial" w:hAnsi="Arial" w:cs="Arial"/>
                <w:sz w:val="18"/>
                <w:szCs w:val="18"/>
              </w:rPr>
              <w:t>2,424</w:t>
            </w:r>
          </w:p>
        </w:tc>
        <w:tc>
          <w:tcPr>
            <w:tcW w:w="1421" w:type="dxa"/>
            <w:vAlign w:val="center"/>
          </w:tcPr>
          <w:p w:rsidR="008D573F" w:rsidRPr="00B90AC4" w:rsidRDefault="008D573F" w:rsidP="00D97D6B">
            <w:pPr>
              <w:pStyle w:val="Table-bodytext"/>
              <w:keepNext/>
              <w:rPr>
                <w:rFonts w:ascii="Arial" w:hAnsi="Arial" w:cs="Arial"/>
                <w:b/>
                <w:sz w:val="18"/>
                <w:szCs w:val="18"/>
              </w:rPr>
            </w:pPr>
            <w:r w:rsidRPr="00B90AC4">
              <w:rPr>
                <w:rFonts w:ascii="Arial" w:hAnsi="Arial" w:cs="Arial"/>
                <w:b/>
                <w:sz w:val="18"/>
                <w:szCs w:val="18"/>
              </w:rPr>
              <w:t>6,658</w:t>
            </w:r>
          </w:p>
        </w:tc>
      </w:tr>
      <w:tr w:rsidR="008D573F" w:rsidRPr="00C157C0" w:rsidTr="00D97D6B">
        <w:tc>
          <w:tcPr>
            <w:tcW w:w="1420" w:type="dxa"/>
            <w:vAlign w:val="center"/>
          </w:tcPr>
          <w:p w:rsidR="008D573F" w:rsidRPr="005C0BE0" w:rsidRDefault="008D573F" w:rsidP="00D97D6B">
            <w:pPr>
              <w:pStyle w:val="Table-bodytext"/>
              <w:keepNext/>
              <w:rPr>
                <w:rFonts w:ascii="Arial" w:hAnsi="Arial" w:cs="Arial"/>
                <w:b/>
                <w:sz w:val="18"/>
                <w:szCs w:val="18"/>
              </w:rPr>
            </w:pPr>
            <w:r w:rsidRPr="005C0BE0">
              <w:rPr>
                <w:rFonts w:ascii="Arial" w:hAnsi="Arial" w:cs="Arial"/>
                <w:b/>
                <w:sz w:val="18"/>
                <w:szCs w:val="18"/>
              </w:rPr>
              <w:t>31575</w:t>
            </w:r>
          </w:p>
        </w:tc>
        <w:tc>
          <w:tcPr>
            <w:tcW w:w="1420" w:type="dxa"/>
            <w:vAlign w:val="center"/>
          </w:tcPr>
          <w:p w:rsidR="008D573F" w:rsidRPr="00C157C0" w:rsidRDefault="008D573F" w:rsidP="00D97D6B">
            <w:pPr>
              <w:pStyle w:val="Table-bodytext"/>
              <w:keepNext/>
              <w:rPr>
                <w:rFonts w:ascii="Arial" w:hAnsi="Arial" w:cs="Arial"/>
                <w:sz w:val="18"/>
                <w:szCs w:val="18"/>
              </w:rPr>
            </w:pPr>
            <w:r w:rsidRPr="00307B5B">
              <w:rPr>
                <w:rFonts w:ascii="Arial" w:hAnsi="Arial" w:cs="Arial"/>
                <w:sz w:val="18"/>
                <w:szCs w:val="18"/>
              </w:rPr>
              <w:t>9,177</w:t>
            </w:r>
          </w:p>
        </w:tc>
        <w:tc>
          <w:tcPr>
            <w:tcW w:w="1420" w:type="dxa"/>
            <w:vAlign w:val="center"/>
          </w:tcPr>
          <w:p w:rsidR="008D573F" w:rsidRPr="00C157C0" w:rsidRDefault="008D573F" w:rsidP="00D97D6B">
            <w:pPr>
              <w:pStyle w:val="Table-bodytext"/>
              <w:keepNext/>
              <w:rPr>
                <w:rFonts w:ascii="Arial" w:hAnsi="Arial" w:cs="Arial"/>
                <w:sz w:val="18"/>
                <w:szCs w:val="18"/>
              </w:rPr>
            </w:pPr>
            <w:r w:rsidRPr="00307B5B">
              <w:rPr>
                <w:rFonts w:ascii="Arial" w:hAnsi="Arial" w:cs="Arial"/>
                <w:sz w:val="18"/>
                <w:szCs w:val="18"/>
              </w:rPr>
              <w:t>11,326</w:t>
            </w:r>
          </w:p>
        </w:tc>
        <w:tc>
          <w:tcPr>
            <w:tcW w:w="1420" w:type="dxa"/>
            <w:vAlign w:val="center"/>
          </w:tcPr>
          <w:p w:rsidR="008D573F" w:rsidRPr="00C157C0" w:rsidRDefault="008D573F" w:rsidP="00D97D6B">
            <w:pPr>
              <w:pStyle w:val="Table-bodytext"/>
              <w:keepNext/>
              <w:rPr>
                <w:rFonts w:ascii="Arial" w:hAnsi="Arial" w:cs="Arial"/>
                <w:sz w:val="18"/>
                <w:szCs w:val="18"/>
              </w:rPr>
            </w:pPr>
            <w:r w:rsidRPr="00307B5B">
              <w:rPr>
                <w:rFonts w:ascii="Arial" w:hAnsi="Arial" w:cs="Arial"/>
                <w:sz w:val="18"/>
                <w:szCs w:val="18"/>
              </w:rPr>
              <w:t>13,617</w:t>
            </w:r>
          </w:p>
        </w:tc>
        <w:tc>
          <w:tcPr>
            <w:tcW w:w="1421" w:type="dxa"/>
            <w:vAlign w:val="center"/>
          </w:tcPr>
          <w:p w:rsidR="008D573F" w:rsidRPr="00C157C0" w:rsidRDefault="008D573F" w:rsidP="00D97D6B">
            <w:pPr>
              <w:pStyle w:val="Table-bodytext"/>
              <w:keepNext/>
              <w:rPr>
                <w:rFonts w:ascii="Arial" w:hAnsi="Arial" w:cs="Arial"/>
                <w:sz w:val="18"/>
                <w:szCs w:val="18"/>
              </w:rPr>
            </w:pPr>
            <w:r w:rsidRPr="00307B5B">
              <w:rPr>
                <w:rFonts w:ascii="Arial" w:hAnsi="Arial" w:cs="Arial"/>
                <w:sz w:val="18"/>
                <w:szCs w:val="18"/>
              </w:rPr>
              <w:t>15,980</w:t>
            </w:r>
          </w:p>
        </w:tc>
        <w:tc>
          <w:tcPr>
            <w:tcW w:w="1421" w:type="dxa"/>
            <w:vAlign w:val="center"/>
          </w:tcPr>
          <w:p w:rsidR="008D573F" w:rsidRPr="00B90AC4" w:rsidRDefault="008D573F" w:rsidP="00D97D6B">
            <w:pPr>
              <w:pStyle w:val="Table-bodytext"/>
              <w:keepNext/>
              <w:rPr>
                <w:rFonts w:ascii="Arial" w:hAnsi="Arial" w:cs="Arial"/>
                <w:b/>
                <w:sz w:val="18"/>
                <w:szCs w:val="18"/>
              </w:rPr>
            </w:pPr>
            <w:r w:rsidRPr="00B90AC4">
              <w:rPr>
                <w:rFonts w:ascii="Arial" w:hAnsi="Arial" w:cs="Arial"/>
                <w:b/>
                <w:sz w:val="18"/>
                <w:szCs w:val="18"/>
              </w:rPr>
              <w:t>50,100</w:t>
            </w:r>
          </w:p>
        </w:tc>
      </w:tr>
      <w:tr w:rsidR="008D573F" w:rsidRPr="00C157C0" w:rsidTr="00D97D6B">
        <w:tc>
          <w:tcPr>
            <w:tcW w:w="1420" w:type="dxa"/>
            <w:vAlign w:val="center"/>
          </w:tcPr>
          <w:p w:rsidR="008D573F" w:rsidRPr="005C0BE0" w:rsidRDefault="008D573F" w:rsidP="00D97D6B">
            <w:pPr>
              <w:pStyle w:val="Table-bodytext"/>
              <w:keepNext/>
              <w:rPr>
                <w:rFonts w:ascii="Arial" w:hAnsi="Arial" w:cs="Arial"/>
                <w:b/>
                <w:sz w:val="18"/>
                <w:szCs w:val="18"/>
              </w:rPr>
            </w:pPr>
            <w:r w:rsidRPr="005C0BE0">
              <w:rPr>
                <w:rFonts w:ascii="Arial" w:hAnsi="Arial" w:cs="Arial"/>
                <w:b/>
                <w:sz w:val="18"/>
                <w:szCs w:val="18"/>
              </w:rPr>
              <w:t>31578</w:t>
            </w:r>
          </w:p>
        </w:tc>
        <w:tc>
          <w:tcPr>
            <w:tcW w:w="1420" w:type="dxa"/>
            <w:vAlign w:val="center"/>
          </w:tcPr>
          <w:p w:rsidR="008D573F" w:rsidRPr="00C157C0" w:rsidRDefault="008D573F" w:rsidP="00D97D6B">
            <w:pPr>
              <w:pStyle w:val="Table-bodytext"/>
              <w:keepNext/>
              <w:rPr>
                <w:rFonts w:ascii="Arial" w:hAnsi="Arial" w:cs="Arial"/>
                <w:sz w:val="18"/>
                <w:szCs w:val="18"/>
              </w:rPr>
            </w:pPr>
            <w:r>
              <w:rPr>
                <w:rFonts w:ascii="Arial" w:hAnsi="Arial" w:cs="Arial"/>
                <w:sz w:val="18"/>
                <w:szCs w:val="18"/>
              </w:rPr>
              <w:t>55</w:t>
            </w:r>
          </w:p>
        </w:tc>
        <w:tc>
          <w:tcPr>
            <w:tcW w:w="1420" w:type="dxa"/>
            <w:vAlign w:val="center"/>
          </w:tcPr>
          <w:p w:rsidR="008D573F" w:rsidRPr="00C157C0" w:rsidRDefault="008D573F" w:rsidP="00D97D6B">
            <w:pPr>
              <w:pStyle w:val="Table-bodytext"/>
              <w:keepNext/>
              <w:rPr>
                <w:rFonts w:ascii="Arial" w:hAnsi="Arial" w:cs="Arial"/>
                <w:sz w:val="18"/>
                <w:szCs w:val="18"/>
              </w:rPr>
            </w:pPr>
            <w:r>
              <w:rPr>
                <w:rFonts w:ascii="Arial" w:hAnsi="Arial" w:cs="Arial"/>
                <w:sz w:val="18"/>
                <w:szCs w:val="18"/>
              </w:rPr>
              <w:t>39</w:t>
            </w:r>
          </w:p>
        </w:tc>
        <w:tc>
          <w:tcPr>
            <w:tcW w:w="1420" w:type="dxa"/>
            <w:vAlign w:val="center"/>
          </w:tcPr>
          <w:p w:rsidR="008D573F" w:rsidRPr="00C157C0" w:rsidRDefault="008D573F" w:rsidP="00D97D6B">
            <w:pPr>
              <w:pStyle w:val="Table-bodytext"/>
              <w:keepNext/>
              <w:rPr>
                <w:rFonts w:ascii="Arial" w:hAnsi="Arial" w:cs="Arial"/>
                <w:sz w:val="18"/>
                <w:szCs w:val="18"/>
              </w:rPr>
            </w:pPr>
            <w:r>
              <w:rPr>
                <w:rFonts w:ascii="Arial" w:hAnsi="Arial" w:cs="Arial"/>
                <w:sz w:val="18"/>
                <w:szCs w:val="18"/>
              </w:rPr>
              <w:t>58</w:t>
            </w:r>
          </w:p>
        </w:tc>
        <w:tc>
          <w:tcPr>
            <w:tcW w:w="1421" w:type="dxa"/>
            <w:vAlign w:val="center"/>
          </w:tcPr>
          <w:p w:rsidR="008D573F" w:rsidRPr="00C157C0" w:rsidRDefault="008D573F" w:rsidP="00D97D6B">
            <w:pPr>
              <w:pStyle w:val="Table-bodytext"/>
              <w:keepNext/>
              <w:rPr>
                <w:rFonts w:ascii="Arial" w:hAnsi="Arial" w:cs="Arial"/>
                <w:sz w:val="18"/>
                <w:szCs w:val="18"/>
              </w:rPr>
            </w:pPr>
            <w:r>
              <w:rPr>
                <w:rFonts w:ascii="Arial" w:hAnsi="Arial" w:cs="Arial"/>
                <w:sz w:val="18"/>
                <w:szCs w:val="18"/>
              </w:rPr>
              <w:t>122</w:t>
            </w:r>
          </w:p>
        </w:tc>
        <w:tc>
          <w:tcPr>
            <w:tcW w:w="1421" w:type="dxa"/>
            <w:vAlign w:val="center"/>
          </w:tcPr>
          <w:p w:rsidR="008D573F" w:rsidRPr="00B90AC4" w:rsidRDefault="008D573F" w:rsidP="00D97D6B">
            <w:pPr>
              <w:pStyle w:val="Table-bodytext"/>
              <w:keepNext/>
              <w:rPr>
                <w:rFonts w:ascii="Arial" w:hAnsi="Arial" w:cs="Arial"/>
                <w:b/>
                <w:sz w:val="18"/>
                <w:szCs w:val="18"/>
              </w:rPr>
            </w:pPr>
            <w:r w:rsidRPr="00B90AC4">
              <w:rPr>
                <w:rFonts w:ascii="Arial" w:hAnsi="Arial" w:cs="Arial"/>
                <w:b/>
                <w:sz w:val="18"/>
                <w:szCs w:val="18"/>
              </w:rPr>
              <w:t>274</w:t>
            </w:r>
          </w:p>
        </w:tc>
      </w:tr>
      <w:tr w:rsidR="008D573F" w:rsidRPr="00C157C0" w:rsidTr="00D97D6B">
        <w:tc>
          <w:tcPr>
            <w:tcW w:w="1420" w:type="dxa"/>
            <w:vAlign w:val="center"/>
          </w:tcPr>
          <w:p w:rsidR="008D573F" w:rsidRPr="005C0BE0" w:rsidRDefault="008D573F" w:rsidP="00D97D6B">
            <w:pPr>
              <w:pStyle w:val="Table-bodytext"/>
              <w:keepNext/>
              <w:rPr>
                <w:rFonts w:ascii="Arial" w:hAnsi="Arial" w:cs="Arial"/>
                <w:b/>
                <w:sz w:val="18"/>
                <w:szCs w:val="18"/>
              </w:rPr>
            </w:pPr>
            <w:r w:rsidRPr="005C0BE0">
              <w:rPr>
                <w:rFonts w:ascii="Arial" w:hAnsi="Arial" w:cs="Arial"/>
                <w:b/>
                <w:sz w:val="18"/>
                <w:szCs w:val="18"/>
              </w:rPr>
              <w:t>31581</w:t>
            </w:r>
          </w:p>
        </w:tc>
        <w:tc>
          <w:tcPr>
            <w:tcW w:w="1420" w:type="dxa"/>
            <w:vAlign w:val="center"/>
          </w:tcPr>
          <w:p w:rsidR="008D573F" w:rsidRPr="00C157C0" w:rsidRDefault="008D573F" w:rsidP="00D97D6B">
            <w:pPr>
              <w:pStyle w:val="Table-bodytext"/>
              <w:keepNext/>
              <w:rPr>
                <w:rFonts w:ascii="Arial" w:hAnsi="Arial" w:cs="Arial"/>
                <w:sz w:val="18"/>
                <w:szCs w:val="18"/>
              </w:rPr>
            </w:pPr>
            <w:r>
              <w:rPr>
                <w:rFonts w:ascii="Arial" w:hAnsi="Arial" w:cs="Arial"/>
                <w:sz w:val="18"/>
                <w:szCs w:val="18"/>
              </w:rPr>
              <w:t>26</w:t>
            </w:r>
          </w:p>
        </w:tc>
        <w:tc>
          <w:tcPr>
            <w:tcW w:w="1420" w:type="dxa"/>
            <w:vAlign w:val="center"/>
          </w:tcPr>
          <w:p w:rsidR="008D573F" w:rsidRPr="00C157C0" w:rsidRDefault="008D573F" w:rsidP="00D97D6B">
            <w:pPr>
              <w:pStyle w:val="Table-bodytext"/>
              <w:keepNext/>
              <w:rPr>
                <w:rFonts w:ascii="Arial" w:hAnsi="Arial" w:cs="Arial"/>
                <w:sz w:val="18"/>
                <w:szCs w:val="18"/>
              </w:rPr>
            </w:pPr>
            <w:r>
              <w:rPr>
                <w:rFonts w:ascii="Arial" w:hAnsi="Arial" w:cs="Arial"/>
                <w:sz w:val="18"/>
                <w:szCs w:val="18"/>
              </w:rPr>
              <w:t>24</w:t>
            </w:r>
          </w:p>
        </w:tc>
        <w:tc>
          <w:tcPr>
            <w:tcW w:w="1420" w:type="dxa"/>
            <w:vAlign w:val="center"/>
          </w:tcPr>
          <w:p w:rsidR="008D573F" w:rsidRPr="00C157C0" w:rsidRDefault="008D573F" w:rsidP="00D97D6B">
            <w:pPr>
              <w:pStyle w:val="Table-bodytext"/>
              <w:keepNext/>
              <w:rPr>
                <w:rFonts w:ascii="Arial" w:hAnsi="Arial" w:cs="Arial"/>
                <w:sz w:val="18"/>
                <w:szCs w:val="18"/>
              </w:rPr>
            </w:pPr>
            <w:r>
              <w:rPr>
                <w:rFonts w:ascii="Arial" w:hAnsi="Arial" w:cs="Arial"/>
                <w:sz w:val="18"/>
                <w:szCs w:val="18"/>
              </w:rPr>
              <w:t>59</w:t>
            </w:r>
          </w:p>
        </w:tc>
        <w:tc>
          <w:tcPr>
            <w:tcW w:w="1421" w:type="dxa"/>
            <w:vAlign w:val="center"/>
          </w:tcPr>
          <w:p w:rsidR="008D573F" w:rsidRPr="00C157C0" w:rsidRDefault="008D573F" w:rsidP="00D97D6B">
            <w:pPr>
              <w:pStyle w:val="Table-bodytext"/>
              <w:keepNext/>
              <w:rPr>
                <w:rFonts w:ascii="Arial" w:hAnsi="Arial" w:cs="Arial"/>
                <w:sz w:val="18"/>
                <w:szCs w:val="18"/>
              </w:rPr>
            </w:pPr>
            <w:r>
              <w:rPr>
                <w:rFonts w:ascii="Arial" w:hAnsi="Arial" w:cs="Arial"/>
                <w:sz w:val="18"/>
                <w:szCs w:val="18"/>
              </w:rPr>
              <w:t>101</w:t>
            </w:r>
          </w:p>
        </w:tc>
        <w:tc>
          <w:tcPr>
            <w:tcW w:w="1421" w:type="dxa"/>
            <w:vAlign w:val="center"/>
          </w:tcPr>
          <w:p w:rsidR="008D573F" w:rsidRPr="00B90AC4" w:rsidRDefault="008D573F" w:rsidP="00D97D6B">
            <w:pPr>
              <w:pStyle w:val="Table-bodytext"/>
              <w:keepNext/>
              <w:rPr>
                <w:rFonts w:ascii="Arial" w:hAnsi="Arial" w:cs="Arial"/>
                <w:b/>
                <w:sz w:val="18"/>
                <w:szCs w:val="18"/>
              </w:rPr>
            </w:pPr>
            <w:r w:rsidRPr="00B90AC4">
              <w:rPr>
                <w:rFonts w:ascii="Arial" w:hAnsi="Arial" w:cs="Arial"/>
                <w:b/>
                <w:sz w:val="18"/>
                <w:szCs w:val="18"/>
              </w:rPr>
              <w:t>210</w:t>
            </w:r>
          </w:p>
        </w:tc>
      </w:tr>
      <w:tr w:rsidR="008D573F" w:rsidRPr="00C157C0" w:rsidTr="00D97D6B">
        <w:tc>
          <w:tcPr>
            <w:tcW w:w="1420" w:type="dxa"/>
            <w:vAlign w:val="center"/>
          </w:tcPr>
          <w:p w:rsidR="008D573F" w:rsidRPr="005C0BE0" w:rsidRDefault="008D573F" w:rsidP="00D97D6B">
            <w:pPr>
              <w:pStyle w:val="Table-bodytext"/>
              <w:keepNext/>
              <w:rPr>
                <w:rFonts w:ascii="Arial" w:hAnsi="Arial" w:cs="Arial"/>
                <w:b/>
                <w:sz w:val="18"/>
                <w:szCs w:val="18"/>
              </w:rPr>
            </w:pPr>
            <w:r w:rsidRPr="005C0BE0">
              <w:rPr>
                <w:rFonts w:ascii="Arial" w:hAnsi="Arial" w:cs="Arial"/>
                <w:b/>
                <w:sz w:val="18"/>
                <w:szCs w:val="18"/>
              </w:rPr>
              <w:t>31584</w:t>
            </w:r>
          </w:p>
        </w:tc>
        <w:tc>
          <w:tcPr>
            <w:tcW w:w="1420" w:type="dxa"/>
            <w:vAlign w:val="center"/>
          </w:tcPr>
          <w:p w:rsidR="008D573F" w:rsidRPr="00C157C0" w:rsidRDefault="008D573F" w:rsidP="00D97D6B">
            <w:pPr>
              <w:pStyle w:val="Table-bodytext"/>
              <w:keepNext/>
              <w:rPr>
                <w:rFonts w:ascii="Arial" w:hAnsi="Arial" w:cs="Arial"/>
                <w:sz w:val="18"/>
                <w:szCs w:val="18"/>
              </w:rPr>
            </w:pPr>
            <w:r w:rsidRPr="00C157C0">
              <w:rPr>
                <w:rFonts w:ascii="Arial" w:hAnsi="Arial" w:cs="Arial"/>
                <w:sz w:val="18"/>
                <w:szCs w:val="18"/>
              </w:rPr>
              <w:t>3</w:t>
            </w:r>
            <w:r>
              <w:rPr>
                <w:rFonts w:ascii="Arial" w:hAnsi="Arial" w:cs="Arial"/>
                <w:sz w:val="18"/>
                <w:szCs w:val="18"/>
              </w:rPr>
              <w:t>,525</w:t>
            </w:r>
          </w:p>
        </w:tc>
        <w:tc>
          <w:tcPr>
            <w:tcW w:w="1420" w:type="dxa"/>
            <w:vAlign w:val="center"/>
          </w:tcPr>
          <w:p w:rsidR="008D573F" w:rsidRPr="00C157C0" w:rsidRDefault="008D573F" w:rsidP="00D97D6B">
            <w:pPr>
              <w:pStyle w:val="Table-bodytext"/>
              <w:keepNext/>
              <w:rPr>
                <w:rFonts w:ascii="Arial" w:hAnsi="Arial" w:cs="Arial"/>
                <w:sz w:val="18"/>
                <w:szCs w:val="18"/>
              </w:rPr>
            </w:pPr>
            <w:r w:rsidRPr="00307B5B">
              <w:rPr>
                <w:rFonts w:ascii="Arial" w:hAnsi="Arial" w:cs="Arial"/>
                <w:sz w:val="18"/>
                <w:szCs w:val="18"/>
              </w:rPr>
              <w:t>3,612</w:t>
            </w:r>
          </w:p>
        </w:tc>
        <w:tc>
          <w:tcPr>
            <w:tcW w:w="1420" w:type="dxa"/>
            <w:vAlign w:val="center"/>
          </w:tcPr>
          <w:p w:rsidR="008D573F" w:rsidRPr="00C157C0" w:rsidRDefault="008D573F" w:rsidP="00D97D6B">
            <w:pPr>
              <w:pStyle w:val="Table-bodytext"/>
              <w:keepNext/>
              <w:rPr>
                <w:rFonts w:ascii="Arial" w:hAnsi="Arial" w:cs="Arial"/>
                <w:sz w:val="18"/>
                <w:szCs w:val="18"/>
              </w:rPr>
            </w:pPr>
            <w:r w:rsidRPr="00307B5B">
              <w:rPr>
                <w:rFonts w:ascii="Arial" w:hAnsi="Arial" w:cs="Arial"/>
                <w:sz w:val="18"/>
                <w:szCs w:val="18"/>
              </w:rPr>
              <w:t>3,592</w:t>
            </w:r>
          </w:p>
        </w:tc>
        <w:tc>
          <w:tcPr>
            <w:tcW w:w="1421" w:type="dxa"/>
            <w:vAlign w:val="center"/>
          </w:tcPr>
          <w:p w:rsidR="008D573F" w:rsidRPr="00C157C0" w:rsidRDefault="008D573F" w:rsidP="00D97D6B">
            <w:pPr>
              <w:pStyle w:val="Table-bodytext"/>
              <w:keepNext/>
              <w:rPr>
                <w:rFonts w:ascii="Arial" w:hAnsi="Arial" w:cs="Arial"/>
                <w:sz w:val="18"/>
                <w:szCs w:val="18"/>
              </w:rPr>
            </w:pPr>
            <w:r w:rsidRPr="00307B5B">
              <w:rPr>
                <w:rFonts w:ascii="Arial" w:hAnsi="Arial" w:cs="Arial"/>
                <w:sz w:val="18"/>
                <w:szCs w:val="18"/>
              </w:rPr>
              <w:t>3,689</w:t>
            </w:r>
          </w:p>
        </w:tc>
        <w:tc>
          <w:tcPr>
            <w:tcW w:w="1421" w:type="dxa"/>
            <w:vAlign w:val="center"/>
          </w:tcPr>
          <w:p w:rsidR="008D573F" w:rsidRPr="00B90AC4" w:rsidRDefault="008D573F" w:rsidP="00D97D6B">
            <w:pPr>
              <w:pStyle w:val="Table-bodytext"/>
              <w:keepNext/>
              <w:rPr>
                <w:rFonts w:ascii="Arial" w:hAnsi="Arial" w:cs="Arial"/>
                <w:b/>
                <w:sz w:val="18"/>
                <w:szCs w:val="18"/>
              </w:rPr>
            </w:pPr>
            <w:r w:rsidRPr="00B90AC4">
              <w:rPr>
                <w:rFonts w:ascii="Arial" w:hAnsi="Arial" w:cs="Arial"/>
                <w:b/>
                <w:sz w:val="18"/>
                <w:szCs w:val="18"/>
              </w:rPr>
              <w:t>14,418</w:t>
            </w:r>
          </w:p>
        </w:tc>
      </w:tr>
      <w:tr w:rsidR="008D573F" w:rsidRPr="00C157C0" w:rsidTr="00D97D6B">
        <w:tc>
          <w:tcPr>
            <w:tcW w:w="1420" w:type="dxa"/>
            <w:vAlign w:val="center"/>
          </w:tcPr>
          <w:p w:rsidR="008D573F" w:rsidRPr="005C0BE0" w:rsidRDefault="008D573F" w:rsidP="00D97D6B">
            <w:pPr>
              <w:pStyle w:val="Table-bodytext"/>
              <w:keepNext/>
              <w:rPr>
                <w:rFonts w:ascii="Arial" w:hAnsi="Arial" w:cs="Arial"/>
                <w:b/>
                <w:sz w:val="18"/>
                <w:szCs w:val="18"/>
              </w:rPr>
            </w:pPr>
            <w:r w:rsidRPr="005C0BE0">
              <w:rPr>
                <w:rFonts w:ascii="Arial" w:hAnsi="Arial" w:cs="Arial"/>
                <w:b/>
                <w:sz w:val="18"/>
                <w:szCs w:val="18"/>
              </w:rPr>
              <w:t>31587</w:t>
            </w:r>
          </w:p>
        </w:tc>
        <w:tc>
          <w:tcPr>
            <w:tcW w:w="1420" w:type="dxa"/>
            <w:vAlign w:val="center"/>
          </w:tcPr>
          <w:p w:rsidR="008D573F" w:rsidRPr="00C157C0" w:rsidRDefault="008D573F" w:rsidP="00D97D6B">
            <w:pPr>
              <w:pStyle w:val="Table-bodytext"/>
              <w:keepNext/>
              <w:rPr>
                <w:rFonts w:ascii="Arial" w:hAnsi="Arial" w:cs="Arial"/>
                <w:sz w:val="18"/>
                <w:szCs w:val="18"/>
              </w:rPr>
            </w:pPr>
            <w:r w:rsidRPr="00307B5B">
              <w:rPr>
                <w:rFonts w:ascii="Arial" w:hAnsi="Arial" w:cs="Arial"/>
                <w:sz w:val="18"/>
                <w:szCs w:val="18"/>
              </w:rPr>
              <w:t>98,266</w:t>
            </w:r>
          </w:p>
        </w:tc>
        <w:tc>
          <w:tcPr>
            <w:tcW w:w="1420" w:type="dxa"/>
            <w:vAlign w:val="center"/>
          </w:tcPr>
          <w:p w:rsidR="008D573F" w:rsidRPr="00C157C0" w:rsidRDefault="008D573F" w:rsidP="00D97D6B">
            <w:pPr>
              <w:pStyle w:val="Table-bodytext"/>
              <w:keepNext/>
              <w:rPr>
                <w:rFonts w:ascii="Arial" w:hAnsi="Arial" w:cs="Arial"/>
                <w:sz w:val="18"/>
                <w:szCs w:val="18"/>
              </w:rPr>
            </w:pPr>
            <w:r w:rsidRPr="00307B5B">
              <w:rPr>
                <w:rFonts w:ascii="Arial" w:hAnsi="Arial" w:cs="Arial"/>
                <w:sz w:val="18"/>
                <w:szCs w:val="18"/>
              </w:rPr>
              <w:t>88,027</w:t>
            </w:r>
          </w:p>
        </w:tc>
        <w:tc>
          <w:tcPr>
            <w:tcW w:w="1420" w:type="dxa"/>
            <w:vAlign w:val="center"/>
          </w:tcPr>
          <w:p w:rsidR="008D573F" w:rsidRPr="00C157C0" w:rsidRDefault="008D573F" w:rsidP="00D97D6B">
            <w:pPr>
              <w:pStyle w:val="Table-bodytext"/>
              <w:keepNext/>
              <w:rPr>
                <w:rFonts w:ascii="Arial" w:hAnsi="Arial" w:cs="Arial"/>
                <w:sz w:val="18"/>
                <w:szCs w:val="18"/>
              </w:rPr>
            </w:pPr>
            <w:r w:rsidRPr="00676103">
              <w:rPr>
                <w:rFonts w:ascii="Arial" w:hAnsi="Arial" w:cs="Arial"/>
                <w:sz w:val="18"/>
                <w:szCs w:val="18"/>
              </w:rPr>
              <w:t>79,495</w:t>
            </w:r>
          </w:p>
        </w:tc>
        <w:tc>
          <w:tcPr>
            <w:tcW w:w="1421" w:type="dxa"/>
            <w:vAlign w:val="center"/>
          </w:tcPr>
          <w:p w:rsidR="008D573F" w:rsidRPr="00C157C0" w:rsidRDefault="008D573F" w:rsidP="00D97D6B">
            <w:pPr>
              <w:pStyle w:val="Table-bodytext"/>
              <w:keepNext/>
              <w:rPr>
                <w:rFonts w:ascii="Arial" w:hAnsi="Arial" w:cs="Arial"/>
                <w:sz w:val="18"/>
                <w:szCs w:val="18"/>
              </w:rPr>
            </w:pPr>
            <w:r w:rsidRPr="00676103">
              <w:rPr>
                <w:rFonts w:ascii="Arial" w:hAnsi="Arial" w:cs="Arial"/>
                <w:sz w:val="18"/>
                <w:szCs w:val="18"/>
              </w:rPr>
              <w:t>66,899</w:t>
            </w:r>
          </w:p>
        </w:tc>
        <w:tc>
          <w:tcPr>
            <w:tcW w:w="1421" w:type="dxa"/>
            <w:vAlign w:val="center"/>
          </w:tcPr>
          <w:p w:rsidR="008D573F" w:rsidRPr="00B90AC4" w:rsidRDefault="008D573F" w:rsidP="00D97D6B">
            <w:pPr>
              <w:pStyle w:val="Table-bodytext"/>
              <w:keepNext/>
              <w:rPr>
                <w:rFonts w:ascii="Arial" w:hAnsi="Arial" w:cs="Arial"/>
                <w:b/>
                <w:sz w:val="18"/>
                <w:szCs w:val="18"/>
              </w:rPr>
            </w:pPr>
            <w:r w:rsidRPr="00B90AC4">
              <w:rPr>
                <w:rFonts w:ascii="Arial" w:hAnsi="Arial" w:cs="Arial"/>
                <w:b/>
                <w:sz w:val="18"/>
                <w:szCs w:val="18"/>
              </w:rPr>
              <w:t>332,687</w:t>
            </w:r>
          </w:p>
        </w:tc>
      </w:tr>
      <w:tr w:rsidR="008D573F" w:rsidRPr="00C157C0" w:rsidTr="00D97D6B">
        <w:tc>
          <w:tcPr>
            <w:tcW w:w="1420" w:type="dxa"/>
            <w:vAlign w:val="center"/>
          </w:tcPr>
          <w:p w:rsidR="008D573F" w:rsidRPr="005C0BE0" w:rsidRDefault="008D573F" w:rsidP="00D97D6B">
            <w:pPr>
              <w:pStyle w:val="Table-bodytext"/>
              <w:keepNext/>
              <w:rPr>
                <w:rFonts w:ascii="Arial" w:hAnsi="Arial" w:cs="Arial"/>
                <w:b/>
                <w:sz w:val="18"/>
                <w:szCs w:val="18"/>
              </w:rPr>
            </w:pPr>
            <w:r w:rsidRPr="005C0BE0">
              <w:rPr>
                <w:rFonts w:ascii="Arial" w:hAnsi="Arial" w:cs="Arial"/>
                <w:b/>
                <w:sz w:val="18"/>
                <w:szCs w:val="18"/>
              </w:rPr>
              <w:t>31590</w:t>
            </w:r>
          </w:p>
        </w:tc>
        <w:tc>
          <w:tcPr>
            <w:tcW w:w="1420" w:type="dxa"/>
            <w:vAlign w:val="center"/>
          </w:tcPr>
          <w:p w:rsidR="008D573F" w:rsidRPr="00C157C0" w:rsidRDefault="008D573F" w:rsidP="00D97D6B">
            <w:pPr>
              <w:pStyle w:val="Table-bodytext"/>
              <w:keepNext/>
              <w:rPr>
                <w:rFonts w:ascii="Arial" w:hAnsi="Arial" w:cs="Arial"/>
                <w:sz w:val="18"/>
                <w:szCs w:val="18"/>
              </w:rPr>
            </w:pPr>
            <w:r>
              <w:rPr>
                <w:rFonts w:ascii="Arial" w:hAnsi="Arial" w:cs="Arial"/>
                <w:sz w:val="18"/>
                <w:szCs w:val="18"/>
              </w:rPr>
              <w:t>720</w:t>
            </w:r>
          </w:p>
        </w:tc>
        <w:tc>
          <w:tcPr>
            <w:tcW w:w="1420" w:type="dxa"/>
            <w:vAlign w:val="center"/>
          </w:tcPr>
          <w:p w:rsidR="008D573F" w:rsidRPr="00C157C0" w:rsidRDefault="008D573F" w:rsidP="00D97D6B">
            <w:pPr>
              <w:pStyle w:val="Table-bodytext"/>
              <w:keepNext/>
              <w:rPr>
                <w:rFonts w:ascii="Arial" w:hAnsi="Arial" w:cs="Arial"/>
                <w:sz w:val="18"/>
                <w:szCs w:val="18"/>
              </w:rPr>
            </w:pPr>
            <w:r w:rsidRPr="006D6F60">
              <w:rPr>
                <w:rFonts w:ascii="Arial" w:hAnsi="Arial" w:cs="Arial"/>
                <w:sz w:val="18"/>
                <w:szCs w:val="18"/>
              </w:rPr>
              <w:t>704</w:t>
            </w:r>
          </w:p>
        </w:tc>
        <w:tc>
          <w:tcPr>
            <w:tcW w:w="1420" w:type="dxa"/>
            <w:vAlign w:val="center"/>
          </w:tcPr>
          <w:p w:rsidR="008D573F" w:rsidRPr="00C157C0" w:rsidRDefault="008D573F" w:rsidP="00D97D6B">
            <w:pPr>
              <w:pStyle w:val="Table-bodytext"/>
              <w:keepNext/>
              <w:rPr>
                <w:rFonts w:ascii="Arial" w:hAnsi="Arial" w:cs="Arial"/>
                <w:sz w:val="18"/>
                <w:szCs w:val="18"/>
              </w:rPr>
            </w:pPr>
            <w:r w:rsidRPr="006D6F60">
              <w:rPr>
                <w:rFonts w:ascii="Arial" w:hAnsi="Arial" w:cs="Arial"/>
                <w:sz w:val="18"/>
                <w:szCs w:val="18"/>
              </w:rPr>
              <w:t>506</w:t>
            </w:r>
          </w:p>
        </w:tc>
        <w:tc>
          <w:tcPr>
            <w:tcW w:w="1421" w:type="dxa"/>
            <w:vAlign w:val="center"/>
          </w:tcPr>
          <w:p w:rsidR="008D573F" w:rsidRPr="00C157C0" w:rsidRDefault="008D573F" w:rsidP="00D97D6B">
            <w:pPr>
              <w:pStyle w:val="Table-bodytext"/>
              <w:keepNext/>
              <w:rPr>
                <w:rFonts w:ascii="Arial" w:hAnsi="Arial" w:cs="Arial"/>
                <w:sz w:val="18"/>
                <w:szCs w:val="18"/>
              </w:rPr>
            </w:pPr>
            <w:r w:rsidRPr="006D6F60">
              <w:rPr>
                <w:rFonts w:ascii="Arial" w:hAnsi="Arial" w:cs="Arial"/>
                <w:sz w:val="18"/>
                <w:szCs w:val="18"/>
              </w:rPr>
              <w:t>409</w:t>
            </w:r>
          </w:p>
        </w:tc>
        <w:tc>
          <w:tcPr>
            <w:tcW w:w="1421" w:type="dxa"/>
            <w:vAlign w:val="center"/>
          </w:tcPr>
          <w:p w:rsidR="008D573F" w:rsidRPr="00B90AC4" w:rsidRDefault="008D573F" w:rsidP="00D97D6B">
            <w:pPr>
              <w:pStyle w:val="Table-bodytext"/>
              <w:keepNext/>
              <w:rPr>
                <w:rFonts w:ascii="Arial" w:hAnsi="Arial" w:cs="Arial"/>
                <w:b/>
                <w:sz w:val="18"/>
                <w:szCs w:val="18"/>
              </w:rPr>
            </w:pPr>
            <w:r w:rsidRPr="00B90AC4">
              <w:rPr>
                <w:rFonts w:ascii="Arial" w:hAnsi="Arial" w:cs="Arial"/>
                <w:b/>
                <w:sz w:val="18"/>
                <w:szCs w:val="18"/>
              </w:rPr>
              <w:t>2,339</w:t>
            </w:r>
          </w:p>
        </w:tc>
      </w:tr>
      <w:tr w:rsidR="008D573F" w:rsidRPr="00C157C0" w:rsidTr="00D97D6B">
        <w:tc>
          <w:tcPr>
            <w:tcW w:w="1420" w:type="dxa"/>
            <w:vAlign w:val="center"/>
          </w:tcPr>
          <w:p w:rsidR="008D573F" w:rsidRPr="00B90AC4" w:rsidRDefault="008D573F" w:rsidP="00D97D6B">
            <w:pPr>
              <w:pStyle w:val="Table-bodytext"/>
              <w:keepNext/>
              <w:rPr>
                <w:rFonts w:ascii="Arial" w:hAnsi="Arial" w:cs="Arial"/>
                <w:b/>
                <w:sz w:val="18"/>
                <w:szCs w:val="18"/>
              </w:rPr>
            </w:pPr>
            <w:r w:rsidRPr="00B90AC4">
              <w:rPr>
                <w:rFonts w:ascii="Arial" w:hAnsi="Arial" w:cs="Arial"/>
                <w:b/>
                <w:sz w:val="18"/>
                <w:szCs w:val="18"/>
              </w:rPr>
              <w:t>Total</w:t>
            </w:r>
          </w:p>
        </w:tc>
        <w:tc>
          <w:tcPr>
            <w:tcW w:w="1420" w:type="dxa"/>
            <w:vAlign w:val="center"/>
          </w:tcPr>
          <w:p w:rsidR="008D573F" w:rsidRPr="00B90AC4" w:rsidRDefault="008D573F" w:rsidP="00D97D6B">
            <w:pPr>
              <w:pStyle w:val="Table-bodytext"/>
              <w:keepNext/>
              <w:rPr>
                <w:rFonts w:ascii="Arial" w:hAnsi="Arial" w:cs="Arial"/>
                <w:b/>
                <w:sz w:val="18"/>
                <w:szCs w:val="18"/>
              </w:rPr>
            </w:pPr>
            <w:r w:rsidRPr="00B90AC4">
              <w:rPr>
                <w:rFonts w:ascii="Arial" w:hAnsi="Arial" w:cs="Arial"/>
                <w:b/>
                <w:sz w:val="18"/>
                <w:szCs w:val="18"/>
              </w:rPr>
              <w:t>116,748</w:t>
            </w:r>
          </w:p>
        </w:tc>
        <w:tc>
          <w:tcPr>
            <w:tcW w:w="1420" w:type="dxa"/>
            <w:vAlign w:val="center"/>
          </w:tcPr>
          <w:p w:rsidR="008D573F" w:rsidRPr="00B90AC4" w:rsidRDefault="008D573F" w:rsidP="00D97D6B">
            <w:pPr>
              <w:pStyle w:val="Table-bodytext"/>
              <w:keepNext/>
              <w:rPr>
                <w:rFonts w:ascii="Arial" w:hAnsi="Arial" w:cs="Arial"/>
                <w:b/>
                <w:sz w:val="18"/>
                <w:szCs w:val="18"/>
              </w:rPr>
            </w:pPr>
            <w:r w:rsidRPr="00B90AC4">
              <w:rPr>
                <w:rFonts w:ascii="Arial" w:hAnsi="Arial" w:cs="Arial"/>
                <w:b/>
                <w:sz w:val="18"/>
                <w:szCs w:val="18"/>
              </w:rPr>
              <w:t>107,885</w:t>
            </w:r>
          </w:p>
        </w:tc>
        <w:tc>
          <w:tcPr>
            <w:tcW w:w="1420" w:type="dxa"/>
            <w:vAlign w:val="center"/>
          </w:tcPr>
          <w:p w:rsidR="008D573F" w:rsidRPr="00B90AC4" w:rsidRDefault="008D573F" w:rsidP="00D97D6B">
            <w:pPr>
              <w:pStyle w:val="Table-bodytext"/>
              <w:keepNext/>
              <w:rPr>
                <w:rFonts w:ascii="Arial" w:hAnsi="Arial" w:cs="Arial"/>
                <w:b/>
                <w:sz w:val="18"/>
                <w:szCs w:val="18"/>
              </w:rPr>
            </w:pPr>
            <w:r w:rsidRPr="00B90AC4">
              <w:rPr>
                <w:rFonts w:ascii="Arial" w:hAnsi="Arial" w:cs="Arial"/>
                <w:b/>
                <w:sz w:val="18"/>
                <w:szCs w:val="18"/>
              </w:rPr>
              <w:t>101,537</w:t>
            </w:r>
          </w:p>
        </w:tc>
        <w:tc>
          <w:tcPr>
            <w:tcW w:w="1421" w:type="dxa"/>
            <w:vAlign w:val="center"/>
          </w:tcPr>
          <w:p w:rsidR="008D573F" w:rsidRPr="00B90AC4" w:rsidRDefault="008D573F" w:rsidP="00D97D6B">
            <w:pPr>
              <w:pStyle w:val="Table-bodytext"/>
              <w:keepNext/>
              <w:rPr>
                <w:rFonts w:ascii="Arial" w:hAnsi="Arial" w:cs="Arial"/>
                <w:b/>
                <w:sz w:val="18"/>
                <w:szCs w:val="18"/>
              </w:rPr>
            </w:pPr>
            <w:r w:rsidRPr="00B90AC4">
              <w:rPr>
                <w:rFonts w:ascii="Arial" w:hAnsi="Arial" w:cs="Arial"/>
                <w:b/>
                <w:sz w:val="18"/>
                <w:szCs w:val="18"/>
              </w:rPr>
              <w:t>91,136</w:t>
            </w:r>
          </w:p>
        </w:tc>
        <w:tc>
          <w:tcPr>
            <w:tcW w:w="1421" w:type="dxa"/>
            <w:vAlign w:val="center"/>
          </w:tcPr>
          <w:p w:rsidR="008D573F" w:rsidRPr="00B90AC4" w:rsidRDefault="008D573F" w:rsidP="00D97D6B">
            <w:pPr>
              <w:pStyle w:val="Table-bodytext"/>
              <w:keepNext/>
              <w:rPr>
                <w:rFonts w:ascii="Arial" w:hAnsi="Arial" w:cs="Arial"/>
                <w:b/>
                <w:sz w:val="18"/>
                <w:szCs w:val="18"/>
              </w:rPr>
            </w:pPr>
            <w:r w:rsidRPr="00B90AC4">
              <w:rPr>
                <w:rFonts w:ascii="Arial" w:hAnsi="Arial" w:cs="Arial"/>
                <w:b/>
                <w:sz w:val="18"/>
                <w:szCs w:val="18"/>
              </w:rPr>
              <w:t>417,306</w:t>
            </w:r>
          </w:p>
        </w:tc>
      </w:tr>
    </w:tbl>
    <w:p w:rsidR="00D167A6" w:rsidRPr="007105F2" w:rsidRDefault="008D573F" w:rsidP="007105F2">
      <w:pPr>
        <w:ind w:left="-142"/>
        <w:rPr>
          <w:rFonts w:asciiTheme="minorHAnsi" w:hAnsiTheme="minorHAnsi" w:cstheme="minorHAnsi"/>
          <w:i/>
          <w:sz w:val="16"/>
          <w:szCs w:val="16"/>
        </w:rPr>
      </w:pPr>
      <w:r w:rsidRPr="00D409BF">
        <w:rPr>
          <w:rFonts w:asciiTheme="minorHAnsi" w:hAnsiTheme="minorHAnsi" w:cstheme="minorHAnsi"/>
          <w:i/>
          <w:sz w:val="16"/>
          <w:szCs w:val="16"/>
        </w:rPr>
        <w:t>Source: Department of Health, Medical Benefits Division, Primary Care and Diagnostics Branch, MBS Analytics Section, Reference no.: Q20863, July 2017</w:t>
      </w:r>
    </w:p>
    <w:p w:rsidR="008D573F" w:rsidRPr="009418F3" w:rsidRDefault="008D573F" w:rsidP="009418F3">
      <w:pPr>
        <w:rPr>
          <w:rFonts w:ascii="Arial Narrow" w:hAnsi="Arial Narrow"/>
          <w:b/>
          <w:sz w:val="20"/>
        </w:rPr>
      </w:pPr>
      <w:r w:rsidRPr="009418F3">
        <w:rPr>
          <w:rFonts w:ascii="Arial Narrow" w:hAnsi="Arial Narrow"/>
          <w:b/>
          <w:sz w:val="20"/>
        </w:rPr>
        <w:t xml:space="preserve">Table 3: Service volumes for </w:t>
      </w:r>
      <w:r w:rsidRPr="009418F3">
        <w:rPr>
          <w:rFonts w:ascii="Arial Narrow" w:hAnsi="Arial Narrow"/>
          <w:b/>
          <w:i/>
          <w:sz w:val="20"/>
        </w:rPr>
        <w:t>primary</w:t>
      </w:r>
      <w:r w:rsidRPr="009418F3">
        <w:rPr>
          <w:rFonts w:ascii="Arial Narrow" w:hAnsi="Arial Narrow"/>
          <w:b/>
          <w:sz w:val="20"/>
        </w:rPr>
        <w:t xml:space="preserve"> bariatric surgical items, 2013-14 – 2016-17</w:t>
      </w:r>
    </w:p>
    <w:tbl>
      <w:tblPr>
        <w:tblW w:w="85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rvice volumes for primary bariatric surgical items 2013-2017"/>
        <w:tblDescription w:val="This table represents the total services of all primary bariatric MBS items across all 4 financial years since implementation. The total primary services across the 4 years was 82,280, which includes 17,762 in year 1, 19,154 in year 2, 21,536 in year 3 and 23,828 in year 4."/>
      </w:tblPr>
      <w:tblGrid>
        <w:gridCol w:w="1532"/>
        <w:gridCol w:w="1405"/>
        <w:gridCol w:w="1405"/>
        <w:gridCol w:w="1405"/>
        <w:gridCol w:w="1405"/>
        <w:gridCol w:w="1405"/>
      </w:tblGrid>
      <w:tr w:rsidR="008D573F" w:rsidTr="008D573F">
        <w:trPr>
          <w:trHeight w:val="333"/>
        </w:trPr>
        <w:tc>
          <w:tcPr>
            <w:tcW w:w="1532" w:type="dxa"/>
            <w:shd w:val="clear" w:color="000000" w:fill="548DD4"/>
            <w:vAlign w:val="center"/>
            <w:hideMark/>
          </w:tcPr>
          <w:p w:rsidR="008D573F" w:rsidRDefault="008D573F" w:rsidP="008D573F">
            <w:pPr>
              <w:jc w:val="center"/>
              <w:rPr>
                <w:rFonts w:ascii="Arial" w:hAnsi="Arial" w:cs="Arial"/>
                <w:b/>
                <w:bCs/>
                <w:color w:val="FFFFFF"/>
                <w:sz w:val="18"/>
                <w:szCs w:val="18"/>
              </w:rPr>
            </w:pPr>
            <w:r>
              <w:rPr>
                <w:rFonts w:ascii="Arial" w:hAnsi="Arial" w:cs="Arial"/>
                <w:b/>
                <w:bCs/>
                <w:color w:val="FFFFFF" w:themeColor="background1"/>
                <w:sz w:val="18"/>
                <w:szCs w:val="18"/>
              </w:rPr>
              <w:t>Item no.</w:t>
            </w:r>
          </w:p>
        </w:tc>
        <w:tc>
          <w:tcPr>
            <w:tcW w:w="1405" w:type="dxa"/>
            <w:shd w:val="clear" w:color="000000" w:fill="548DD4"/>
            <w:vAlign w:val="center"/>
            <w:hideMark/>
          </w:tcPr>
          <w:p w:rsidR="008D573F" w:rsidRDefault="008D573F" w:rsidP="008D573F">
            <w:pPr>
              <w:jc w:val="center"/>
              <w:rPr>
                <w:rFonts w:ascii="Arial" w:hAnsi="Arial" w:cs="Arial"/>
                <w:b/>
                <w:bCs/>
                <w:color w:val="FFFFFF" w:themeColor="background1"/>
                <w:sz w:val="18"/>
                <w:szCs w:val="18"/>
              </w:rPr>
            </w:pPr>
            <w:r>
              <w:rPr>
                <w:rFonts w:ascii="Arial" w:hAnsi="Arial" w:cs="Arial"/>
                <w:b/>
                <w:bCs/>
                <w:color w:val="FFFFFF" w:themeColor="background1"/>
                <w:sz w:val="18"/>
                <w:szCs w:val="18"/>
              </w:rPr>
              <w:t>Year 1</w:t>
            </w:r>
          </w:p>
          <w:p w:rsidR="008D573F" w:rsidRDefault="008D573F" w:rsidP="008D573F">
            <w:pPr>
              <w:jc w:val="center"/>
              <w:rPr>
                <w:rFonts w:ascii="Arial" w:hAnsi="Arial" w:cs="Arial"/>
                <w:b/>
                <w:bCs/>
                <w:color w:val="FFFFFF"/>
                <w:sz w:val="18"/>
                <w:szCs w:val="18"/>
              </w:rPr>
            </w:pPr>
            <w:r>
              <w:rPr>
                <w:rFonts w:ascii="Arial" w:hAnsi="Arial" w:cs="Arial"/>
                <w:b/>
                <w:color w:val="FFFFFF" w:themeColor="background1"/>
                <w:sz w:val="18"/>
                <w:szCs w:val="18"/>
              </w:rPr>
              <w:t>2013-14</w:t>
            </w:r>
          </w:p>
        </w:tc>
        <w:tc>
          <w:tcPr>
            <w:tcW w:w="1405" w:type="dxa"/>
            <w:shd w:val="clear" w:color="000000" w:fill="548DD4"/>
            <w:vAlign w:val="center"/>
            <w:hideMark/>
          </w:tcPr>
          <w:p w:rsidR="008D573F" w:rsidRDefault="008D573F" w:rsidP="008D573F">
            <w:pPr>
              <w:jc w:val="center"/>
              <w:rPr>
                <w:rFonts w:ascii="Arial" w:hAnsi="Arial" w:cs="Arial"/>
                <w:b/>
                <w:bCs/>
                <w:color w:val="FFFFFF" w:themeColor="background1"/>
                <w:sz w:val="18"/>
                <w:szCs w:val="18"/>
              </w:rPr>
            </w:pPr>
            <w:r>
              <w:rPr>
                <w:rFonts w:ascii="Arial" w:hAnsi="Arial" w:cs="Arial"/>
                <w:b/>
                <w:bCs/>
                <w:color w:val="FFFFFF" w:themeColor="background1"/>
                <w:sz w:val="18"/>
                <w:szCs w:val="18"/>
              </w:rPr>
              <w:t>Year 2</w:t>
            </w:r>
          </w:p>
          <w:p w:rsidR="008D573F" w:rsidRDefault="008D573F" w:rsidP="008D573F">
            <w:pPr>
              <w:jc w:val="center"/>
              <w:rPr>
                <w:rFonts w:ascii="Arial" w:hAnsi="Arial" w:cs="Arial"/>
                <w:b/>
                <w:bCs/>
                <w:color w:val="FFFFFF"/>
                <w:sz w:val="18"/>
                <w:szCs w:val="18"/>
              </w:rPr>
            </w:pPr>
            <w:r>
              <w:rPr>
                <w:rFonts w:ascii="Arial" w:hAnsi="Arial" w:cs="Arial"/>
                <w:b/>
                <w:color w:val="FFFFFF" w:themeColor="background1"/>
                <w:sz w:val="18"/>
                <w:szCs w:val="18"/>
              </w:rPr>
              <w:t>2014-15</w:t>
            </w:r>
          </w:p>
        </w:tc>
        <w:tc>
          <w:tcPr>
            <w:tcW w:w="1405" w:type="dxa"/>
            <w:shd w:val="clear" w:color="000000" w:fill="548DD4"/>
            <w:vAlign w:val="center"/>
            <w:hideMark/>
          </w:tcPr>
          <w:p w:rsidR="008D573F" w:rsidRDefault="008D573F" w:rsidP="008D573F">
            <w:pPr>
              <w:jc w:val="center"/>
              <w:rPr>
                <w:rFonts w:ascii="Arial" w:hAnsi="Arial" w:cs="Arial"/>
                <w:b/>
                <w:bCs/>
                <w:color w:val="FFFFFF" w:themeColor="background1"/>
                <w:sz w:val="18"/>
                <w:szCs w:val="18"/>
              </w:rPr>
            </w:pPr>
            <w:r>
              <w:rPr>
                <w:rFonts w:ascii="Arial" w:hAnsi="Arial" w:cs="Arial"/>
                <w:b/>
                <w:bCs/>
                <w:color w:val="FFFFFF" w:themeColor="background1"/>
                <w:sz w:val="18"/>
                <w:szCs w:val="18"/>
              </w:rPr>
              <w:t>Year 3</w:t>
            </w:r>
          </w:p>
          <w:p w:rsidR="008D573F" w:rsidRDefault="008D573F" w:rsidP="008D573F">
            <w:pPr>
              <w:jc w:val="center"/>
              <w:rPr>
                <w:rFonts w:ascii="Arial" w:hAnsi="Arial" w:cs="Arial"/>
                <w:b/>
                <w:bCs/>
                <w:color w:val="FFFFFF"/>
                <w:sz w:val="18"/>
                <w:szCs w:val="18"/>
              </w:rPr>
            </w:pPr>
            <w:r>
              <w:rPr>
                <w:rFonts w:ascii="Arial" w:hAnsi="Arial" w:cs="Arial"/>
                <w:b/>
                <w:color w:val="FFFFFF" w:themeColor="background1"/>
                <w:sz w:val="18"/>
                <w:szCs w:val="18"/>
              </w:rPr>
              <w:t>2015-16</w:t>
            </w:r>
          </w:p>
        </w:tc>
        <w:tc>
          <w:tcPr>
            <w:tcW w:w="1405" w:type="dxa"/>
            <w:shd w:val="clear" w:color="000000" w:fill="548DD4"/>
            <w:vAlign w:val="center"/>
            <w:hideMark/>
          </w:tcPr>
          <w:p w:rsidR="008D573F" w:rsidRDefault="008D573F" w:rsidP="008D573F">
            <w:pPr>
              <w:jc w:val="center"/>
              <w:rPr>
                <w:rFonts w:ascii="Arial" w:hAnsi="Arial" w:cs="Arial"/>
                <w:b/>
                <w:bCs/>
                <w:color w:val="FFFFFF" w:themeColor="background1"/>
                <w:sz w:val="18"/>
                <w:szCs w:val="18"/>
              </w:rPr>
            </w:pPr>
            <w:r>
              <w:rPr>
                <w:rFonts w:ascii="Arial" w:hAnsi="Arial" w:cs="Arial"/>
                <w:b/>
                <w:bCs/>
                <w:color w:val="FFFFFF" w:themeColor="background1"/>
                <w:sz w:val="18"/>
                <w:szCs w:val="18"/>
              </w:rPr>
              <w:t>Year 4</w:t>
            </w:r>
          </w:p>
          <w:p w:rsidR="008D573F" w:rsidRDefault="008D573F" w:rsidP="008D573F">
            <w:pPr>
              <w:jc w:val="center"/>
              <w:rPr>
                <w:rFonts w:ascii="Arial" w:hAnsi="Arial" w:cs="Arial"/>
                <w:b/>
                <w:bCs/>
                <w:color w:val="FFFFFF"/>
                <w:sz w:val="18"/>
                <w:szCs w:val="18"/>
              </w:rPr>
            </w:pPr>
            <w:r>
              <w:rPr>
                <w:rFonts w:ascii="Arial" w:hAnsi="Arial" w:cs="Arial"/>
                <w:b/>
                <w:color w:val="FFFFFF" w:themeColor="background1"/>
                <w:sz w:val="18"/>
                <w:szCs w:val="18"/>
              </w:rPr>
              <w:t>2016-17</w:t>
            </w:r>
          </w:p>
        </w:tc>
        <w:tc>
          <w:tcPr>
            <w:tcW w:w="1405" w:type="dxa"/>
            <w:shd w:val="clear" w:color="000000" w:fill="548DD4"/>
            <w:vAlign w:val="center"/>
            <w:hideMark/>
          </w:tcPr>
          <w:p w:rsidR="008D573F" w:rsidRPr="00653A3D" w:rsidRDefault="008D573F" w:rsidP="008D573F">
            <w:pPr>
              <w:jc w:val="center"/>
              <w:rPr>
                <w:rFonts w:ascii="Arial" w:hAnsi="Arial" w:cs="Arial"/>
                <w:b/>
                <w:bCs/>
                <w:color w:val="FFFFFF"/>
                <w:sz w:val="18"/>
                <w:szCs w:val="18"/>
              </w:rPr>
            </w:pPr>
            <w:r w:rsidRPr="00653A3D">
              <w:rPr>
                <w:rFonts w:ascii="Arial" w:hAnsi="Arial" w:cs="Arial"/>
                <w:b/>
                <w:bCs/>
                <w:color w:val="FFFFFF" w:themeColor="background1"/>
                <w:sz w:val="18"/>
                <w:szCs w:val="18"/>
              </w:rPr>
              <w:t>Total</w:t>
            </w:r>
          </w:p>
        </w:tc>
      </w:tr>
      <w:tr w:rsidR="008D573F" w:rsidTr="008D573F">
        <w:trPr>
          <w:trHeight w:val="333"/>
        </w:trPr>
        <w:tc>
          <w:tcPr>
            <w:tcW w:w="1532" w:type="dxa"/>
            <w:shd w:val="clear" w:color="auto" w:fill="auto"/>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31569</w:t>
            </w:r>
          </w:p>
        </w:tc>
        <w:tc>
          <w:tcPr>
            <w:tcW w:w="1405" w:type="dxa"/>
            <w:shd w:val="clear" w:color="auto" w:fill="auto"/>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4097</w:t>
            </w:r>
          </w:p>
        </w:tc>
        <w:tc>
          <w:tcPr>
            <w:tcW w:w="1405" w:type="dxa"/>
            <w:shd w:val="clear" w:color="auto" w:fill="auto"/>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2,830</w:t>
            </w:r>
          </w:p>
        </w:tc>
        <w:tc>
          <w:tcPr>
            <w:tcW w:w="1405" w:type="dxa"/>
            <w:shd w:val="clear" w:color="auto" w:fill="auto"/>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2,181</w:t>
            </w:r>
          </w:p>
        </w:tc>
        <w:tc>
          <w:tcPr>
            <w:tcW w:w="1405" w:type="dxa"/>
            <w:shd w:val="clear" w:color="auto" w:fill="auto"/>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1,512</w:t>
            </w:r>
          </w:p>
        </w:tc>
        <w:tc>
          <w:tcPr>
            <w:tcW w:w="1405" w:type="dxa"/>
            <w:shd w:val="clear" w:color="auto" w:fill="auto"/>
            <w:vAlign w:val="center"/>
            <w:hideMark/>
          </w:tcPr>
          <w:p w:rsidR="008D573F" w:rsidRPr="00653A3D" w:rsidRDefault="008D573F" w:rsidP="008D573F">
            <w:pPr>
              <w:jc w:val="center"/>
              <w:rPr>
                <w:rFonts w:ascii="Arial" w:hAnsi="Arial" w:cs="Arial"/>
                <w:b/>
                <w:color w:val="000000"/>
                <w:sz w:val="18"/>
                <w:szCs w:val="18"/>
              </w:rPr>
            </w:pPr>
            <w:r w:rsidRPr="00653A3D">
              <w:rPr>
                <w:rFonts w:ascii="Arial" w:hAnsi="Arial" w:cs="Arial"/>
                <w:b/>
                <w:color w:val="000000"/>
                <w:sz w:val="18"/>
                <w:szCs w:val="18"/>
              </w:rPr>
              <w:t>10,620</w:t>
            </w:r>
          </w:p>
        </w:tc>
      </w:tr>
      <w:tr w:rsidR="008D573F" w:rsidTr="008D573F">
        <w:trPr>
          <w:trHeight w:val="333"/>
        </w:trPr>
        <w:tc>
          <w:tcPr>
            <w:tcW w:w="1532" w:type="dxa"/>
            <w:shd w:val="clear" w:color="auto" w:fill="auto"/>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31572</w:t>
            </w:r>
          </w:p>
        </w:tc>
        <w:tc>
          <w:tcPr>
            <w:tcW w:w="1405" w:type="dxa"/>
            <w:shd w:val="clear" w:color="auto" w:fill="auto"/>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882</w:t>
            </w:r>
          </w:p>
        </w:tc>
        <w:tc>
          <w:tcPr>
            <w:tcW w:w="1405" w:type="dxa"/>
            <w:shd w:val="clear" w:color="auto" w:fill="auto"/>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1,323</w:t>
            </w:r>
          </w:p>
        </w:tc>
        <w:tc>
          <w:tcPr>
            <w:tcW w:w="1405" w:type="dxa"/>
            <w:shd w:val="clear" w:color="auto" w:fill="auto"/>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2,029</w:t>
            </w:r>
          </w:p>
        </w:tc>
        <w:tc>
          <w:tcPr>
            <w:tcW w:w="1405" w:type="dxa"/>
            <w:shd w:val="clear" w:color="auto" w:fill="auto"/>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2,424</w:t>
            </w:r>
          </w:p>
        </w:tc>
        <w:tc>
          <w:tcPr>
            <w:tcW w:w="1405" w:type="dxa"/>
            <w:shd w:val="clear" w:color="auto" w:fill="auto"/>
            <w:vAlign w:val="center"/>
            <w:hideMark/>
          </w:tcPr>
          <w:p w:rsidR="008D573F" w:rsidRPr="00653A3D" w:rsidRDefault="008D573F" w:rsidP="008D573F">
            <w:pPr>
              <w:jc w:val="center"/>
              <w:rPr>
                <w:rFonts w:ascii="Arial" w:hAnsi="Arial" w:cs="Arial"/>
                <w:b/>
                <w:color w:val="000000"/>
                <w:sz w:val="18"/>
                <w:szCs w:val="18"/>
              </w:rPr>
            </w:pPr>
            <w:r w:rsidRPr="00653A3D">
              <w:rPr>
                <w:rFonts w:ascii="Arial" w:hAnsi="Arial" w:cs="Arial"/>
                <w:b/>
                <w:color w:val="000000"/>
                <w:sz w:val="18"/>
                <w:szCs w:val="18"/>
              </w:rPr>
              <w:t>6,658</w:t>
            </w:r>
          </w:p>
        </w:tc>
      </w:tr>
      <w:tr w:rsidR="008D573F" w:rsidTr="008D573F">
        <w:trPr>
          <w:trHeight w:val="333"/>
        </w:trPr>
        <w:tc>
          <w:tcPr>
            <w:tcW w:w="1532" w:type="dxa"/>
            <w:shd w:val="clear" w:color="auto" w:fill="auto"/>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31575</w:t>
            </w:r>
          </w:p>
        </w:tc>
        <w:tc>
          <w:tcPr>
            <w:tcW w:w="1405" w:type="dxa"/>
            <w:shd w:val="clear" w:color="auto" w:fill="auto"/>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9,177</w:t>
            </w:r>
          </w:p>
        </w:tc>
        <w:tc>
          <w:tcPr>
            <w:tcW w:w="1405" w:type="dxa"/>
            <w:shd w:val="clear" w:color="auto" w:fill="auto"/>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11,326</w:t>
            </w:r>
          </w:p>
        </w:tc>
        <w:tc>
          <w:tcPr>
            <w:tcW w:w="1405" w:type="dxa"/>
            <w:shd w:val="clear" w:color="auto" w:fill="auto"/>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13,617</w:t>
            </w:r>
          </w:p>
        </w:tc>
        <w:tc>
          <w:tcPr>
            <w:tcW w:w="1405" w:type="dxa"/>
            <w:shd w:val="clear" w:color="auto" w:fill="auto"/>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15,980</w:t>
            </w:r>
          </w:p>
        </w:tc>
        <w:tc>
          <w:tcPr>
            <w:tcW w:w="1405" w:type="dxa"/>
            <w:shd w:val="clear" w:color="auto" w:fill="auto"/>
            <w:vAlign w:val="center"/>
            <w:hideMark/>
          </w:tcPr>
          <w:p w:rsidR="008D573F" w:rsidRPr="00653A3D" w:rsidRDefault="008D573F" w:rsidP="008D573F">
            <w:pPr>
              <w:jc w:val="center"/>
              <w:rPr>
                <w:rFonts w:ascii="Arial" w:hAnsi="Arial" w:cs="Arial"/>
                <w:b/>
                <w:color w:val="000000"/>
                <w:sz w:val="18"/>
                <w:szCs w:val="18"/>
              </w:rPr>
            </w:pPr>
            <w:r w:rsidRPr="00653A3D">
              <w:rPr>
                <w:rFonts w:ascii="Arial" w:hAnsi="Arial" w:cs="Arial"/>
                <w:b/>
                <w:color w:val="000000"/>
                <w:sz w:val="18"/>
                <w:szCs w:val="18"/>
              </w:rPr>
              <w:t>50,100</w:t>
            </w:r>
          </w:p>
        </w:tc>
      </w:tr>
      <w:tr w:rsidR="008D573F" w:rsidTr="008D573F">
        <w:trPr>
          <w:trHeight w:val="333"/>
        </w:trPr>
        <w:tc>
          <w:tcPr>
            <w:tcW w:w="1532" w:type="dxa"/>
            <w:shd w:val="clear" w:color="auto" w:fill="auto"/>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31578</w:t>
            </w:r>
          </w:p>
        </w:tc>
        <w:tc>
          <w:tcPr>
            <w:tcW w:w="1405" w:type="dxa"/>
            <w:shd w:val="clear" w:color="auto" w:fill="auto"/>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55</w:t>
            </w:r>
          </w:p>
        </w:tc>
        <w:tc>
          <w:tcPr>
            <w:tcW w:w="1405" w:type="dxa"/>
            <w:shd w:val="clear" w:color="auto" w:fill="auto"/>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39</w:t>
            </w:r>
          </w:p>
        </w:tc>
        <w:tc>
          <w:tcPr>
            <w:tcW w:w="1405" w:type="dxa"/>
            <w:shd w:val="clear" w:color="auto" w:fill="auto"/>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58</w:t>
            </w:r>
          </w:p>
        </w:tc>
        <w:tc>
          <w:tcPr>
            <w:tcW w:w="1405" w:type="dxa"/>
            <w:shd w:val="clear" w:color="auto" w:fill="auto"/>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122</w:t>
            </w:r>
          </w:p>
        </w:tc>
        <w:tc>
          <w:tcPr>
            <w:tcW w:w="1405" w:type="dxa"/>
            <w:shd w:val="clear" w:color="auto" w:fill="auto"/>
            <w:vAlign w:val="center"/>
            <w:hideMark/>
          </w:tcPr>
          <w:p w:rsidR="008D573F" w:rsidRPr="00653A3D" w:rsidRDefault="008D573F" w:rsidP="008D573F">
            <w:pPr>
              <w:jc w:val="center"/>
              <w:rPr>
                <w:rFonts w:ascii="Arial" w:hAnsi="Arial" w:cs="Arial"/>
                <w:b/>
                <w:color w:val="000000"/>
                <w:sz w:val="18"/>
                <w:szCs w:val="18"/>
              </w:rPr>
            </w:pPr>
            <w:r w:rsidRPr="00653A3D">
              <w:rPr>
                <w:rFonts w:ascii="Arial" w:hAnsi="Arial" w:cs="Arial"/>
                <w:b/>
                <w:color w:val="000000"/>
                <w:sz w:val="18"/>
                <w:szCs w:val="18"/>
              </w:rPr>
              <w:t>274</w:t>
            </w:r>
          </w:p>
        </w:tc>
      </w:tr>
      <w:tr w:rsidR="008D573F" w:rsidTr="008D573F">
        <w:trPr>
          <w:trHeight w:val="333"/>
        </w:trPr>
        <w:tc>
          <w:tcPr>
            <w:tcW w:w="1532" w:type="dxa"/>
            <w:shd w:val="clear" w:color="auto" w:fill="auto"/>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31581</w:t>
            </w:r>
          </w:p>
        </w:tc>
        <w:tc>
          <w:tcPr>
            <w:tcW w:w="1405" w:type="dxa"/>
            <w:shd w:val="clear" w:color="auto" w:fill="auto"/>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26</w:t>
            </w:r>
          </w:p>
        </w:tc>
        <w:tc>
          <w:tcPr>
            <w:tcW w:w="1405" w:type="dxa"/>
            <w:shd w:val="clear" w:color="auto" w:fill="auto"/>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24</w:t>
            </w:r>
          </w:p>
        </w:tc>
        <w:tc>
          <w:tcPr>
            <w:tcW w:w="1405" w:type="dxa"/>
            <w:shd w:val="clear" w:color="auto" w:fill="auto"/>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59</w:t>
            </w:r>
          </w:p>
        </w:tc>
        <w:tc>
          <w:tcPr>
            <w:tcW w:w="1405" w:type="dxa"/>
            <w:shd w:val="clear" w:color="auto" w:fill="auto"/>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101</w:t>
            </w:r>
          </w:p>
        </w:tc>
        <w:tc>
          <w:tcPr>
            <w:tcW w:w="1405" w:type="dxa"/>
            <w:shd w:val="clear" w:color="auto" w:fill="auto"/>
            <w:vAlign w:val="center"/>
            <w:hideMark/>
          </w:tcPr>
          <w:p w:rsidR="008D573F" w:rsidRPr="00653A3D" w:rsidRDefault="008D573F" w:rsidP="008D573F">
            <w:pPr>
              <w:jc w:val="center"/>
              <w:rPr>
                <w:rFonts w:ascii="Arial" w:hAnsi="Arial" w:cs="Arial"/>
                <w:b/>
                <w:color w:val="000000"/>
                <w:sz w:val="18"/>
                <w:szCs w:val="18"/>
              </w:rPr>
            </w:pPr>
            <w:r w:rsidRPr="00653A3D">
              <w:rPr>
                <w:rFonts w:ascii="Arial" w:hAnsi="Arial" w:cs="Arial"/>
                <w:b/>
                <w:color w:val="000000"/>
                <w:sz w:val="18"/>
                <w:szCs w:val="18"/>
              </w:rPr>
              <w:t>210</w:t>
            </w:r>
          </w:p>
        </w:tc>
      </w:tr>
      <w:tr w:rsidR="008D573F" w:rsidTr="008D573F">
        <w:trPr>
          <w:trHeight w:val="333"/>
        </w:trPr>
        <w:tc>
          <w:tcPr>
            <w:tcW w:w="1532" w:type="dxa"/>
            <w:shd w:val="clear" w:color="auto" w:fill="auto"/>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31584</w:t>
            </w:r>
          </w:p>
        </w:tc>
        <w:tc>
          <w:tcPr>
            <w:tcW w:w="1405" w:type="dxa"/>
            <w:shd w:val="clear" w:color="auto" w:fill="auto"/>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3,525</w:t>
            </w:r>
          </w:p>
        </w:tc>
        <w:tc>
          <w:tcPr>
            <w:tcW w:w="1405" w:type="dxa"/>
            <w:shd w:val="clear" w:color="auto" w:fill="auto"/>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3,612</w:t>
            </w:r>
          </w:p>
        </w:tc>
        <w:tc>
          <w:tcPr>
            <w:tcW w:w="1405" w:type="dxa"/>
            <w:shd w:val="clear" w:color="auto" w:fill="auto"/>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3,592</w:t>
            </w:r>
          </w:p>
        </w:tc>
        <w:tc>
          <w:tcPr>
            <w:tcW w:w="1405" w:type="dxa"/>
            <w:shd w:val="clear" w:color="auto" w:fill="auto"/>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3,689</w:t>
            </w:r>
          </w:p>
        </w:tc>
        <w:tc>
          <w:tcPr>
            <w:tcW w:w="1405" w:type="dxa"/>
            <w:shd w:val="clear" w:color="auto" w:fill="auto"/>
            <w:vAlign w:val="center"/>
            <w:hideMark/>
          </w:tcPr>
          <w:p w:rsidR="008D573F" w:rsidRPr="00653A3D" w:rsidRDefault="008D573F" w:rsidP="008D573F">
            <w:pPr>
              <w:jc w:val="center"/>
              <w:rPr>
                <w:rFonts w:ascii="Arial" w:hAnsi="Arial" w:cs="Arial"/>
                <w:b/>
                <w:color w:val="000000"/>
                <w:sz w:val="18"/>
                <w:szCs w:val="18"/>
              </w:rPr>
            </w:pPr>
            <w:r w:rsidRPr="00653A3D">
              <w:rPr>
                <w:rFonts w:ascii="Arial" w:hAnsi="Arial" w:cs="Arial"/>
                <w:b/>
                <w:color w:val="000000"/>
                <w:sz w:val="18"/>
                <w:szCs w:val="18"/>
              </w:rPr>
              <w:t>14,418</w:t>
            </w:r>
          </w:p>
        </w:tc>
      </w:tr>
      <w:tr w:rsidR="008D573F" w:rsidTr="008D573F">
        <w:trPr>
          <w:trHeight w:val="333"/>
        </w:trPr>
        <w:tc>
          <w:tcPr>
            <w:tcW w:w="1532" w:type="dxa"/>
            <w:shd w:val="clear" w:color="auto" w:fill="auto"/>
            <w:noWrap/>
            <w:vAlign w:val="center"/>
            <w:hideMark/>
          </w:tcPr>
          <w:p w:rsidR="008D573F" w:rsidRPr="00653A3D" w:rsidRDefault="008D573F" w:rsidP="008D573F">
            <w:pPr>
              <w:jc w:val="center"/>
              <w:rPr>
                <w:rFonts w:ascii="Arial" w:hAnsi="Arial" w:cs="Arial"/>
                <w:b/>
                <w:color w:val="000000"/>
                <w:sz w:val="18"/>
                <w:szCs w:val="18"/>
              </w:rPr>
            </w:pPr>
            <w:r>
              <w:rPr>
                <w:rFonts w:ascii="Arial" w:hAnsi="Arial" w:cs="Arial"/>
                <w:b/>
                <w:color w:val="000000"/>
                <w:sz w:val="18"/>
                <w:szCs w:val="18"/>
              </w:rPr>
              <w:t>T</w:t>
            </w:r>
            <w:r w:rsidRPr="00653A3D">
              <w:rPr>
                <w:rFonts w:ascii="Arial" w:hAnsi="Arial" w:cs="Arial"/>
                <w:b/>
                <w:color w:val="000000"/>
                <w:sz w:val="18"/>
                <w:szCs w:val="18"/>
              </w:rPr>
              <w:t>otal</w:t>
            </w:r>
          </w:p>
        </w:tc>
        <w:tc>
          <w:tcPr>
            <w:tcW w:w="1405" w:type="dxa"/>
            <w:shd w:val="clear" w:color="auto" w:fill="auto"/>
            <w:noWrap/>
            <w:vAlign w:val="center"/>
            <w:hideMark/>
          </w:tcPr>
          <w:p w:rsidR="008D573F" w:rsidRPr="00653A3D" w:rsidRDefault="008D573F" w:rsidP="008D573F">
            <w:pPr>
              <w:jc w:val="center"/>
              <w:rPr>
                <w:rFonts w:ascii="Arial" w:hAnsi="Arial" w:cs="Arial"/>
                <w:b/>
                <w:color w:val="000000"/>
                <w:sz w:val="18"/>
                <w:szCs w:val="18"/>
              </w:rPr>
            </w:pPr>
            <w:r w:rsidRPr="00653A3D">
              <w:rPr>
                <w:rFonts w:ascii="Arial" w:hAnsi="Arial" w:cs="Arial"/>
                <w:b/>
                <w:color w:val="000000"/>
                <w:sz w:val="18"/>
                <w:szCs w:val="18"/>
              </w:rPr>
              <w:t>17,762</w:t>
            </w:r>
          </w:p>
        </w:tc>
        <w:tc>
          <w:tcPr>
            <w:tcW w:w="1405" w:type="dxa"/>
            <w:shd w:val="clear" w:color="auto" w:fill="auto"/>
            <w:vAlign w:val="center"/>
            <w:hideMark/>
          </w:tcPr>
          <w:p w:rsidR="008D573F" w:rsidRPr="00653A3D" w:rsidRDefault="008D573F" w:rsidP="008D573F">
            <w:pPr>
              <w:jc w:val="center"/>
              <w:rPr>
                <w:rFonts w:ascii="Arial" w:hAnsi="Arial" w:cs="Arial"/>
                <w:b/>
                <w:color w:val="000000"/>
                <w:sz w:val="18"/>
                <w:szCs w:val="18"/>
              </w:rPr>
            </w:pPr>
            <w:r w:rsidRPr="00653A3D">
              <w:rPr>
                <w:rFonts w:ascii="Arial" w:hAnsi="Arial" w:cs="Arial"/>
                <w:b/>
                <w:color w:val="000000"/>
                <w:sz w:val="18"/>
                <w:szCs w:val="18"/>
              </w:rPr>
              <w:t>19,154</w:t>
            </w:r>
          </w:p>
        </w:tc>
        <w:tc>
          <w:tcPr>
            <w:tcW w:w="1405" w:type="dxa"/>
            <w:shd w:val="clear" w:color="auto" w:fill="auto"/>
            <w:vAlign w:val="center"/>
            <w:hideMark/>
          </w:tcPr>
          <w:p w:rsidR="008D573F" w:rsidRPr="00653A3D" w:rsidRDefault="008D573F" w:rsidP="008D573F">
            <w:pPr>
              <w:jc w:val="center"/>
              <w:rPr>
                <w:rFonts w:ascii="Arial" w:hAnsi="Arial" w:cs="Arial"/>
                <w:b/>
                <w:color w:val="000000"/>
                <w:sz w:val="18"/>
                <w:szCs w:val="18"/>
              </w:rPr>
            </w:pPr>
            <w:r w:rsidRPr="00653A3D">
              <w:rPr>
                <w:rFonts w:ascii="Arial" w:hAnsi="Arial" w:cs="Arial"/>
                <w:b/>
                <w:color w:val="000000"/>
                <w:sz w:val="18"/>
                <w:szCs w:val="18"/>
              </w:rPr>
              <w:t>21,536</w:t>
            </w:r>
          </w:p>
        </w:tc>
        <w:tc>
          <w:tcPr>
            <w:tcW w:w="1405" w:type="dxa"/>
            <w:shd w:val="clear" w:color="auto" w:fill="auto"/>
            <w:vAlign w:val="center"/>
            <w:hideMark/>
          </w:tcPr>
          <w:p w:rsidR="008D573F" w:rsidRPr="00653A3D" w:rsidRDefault="008D573F" w:rsidP="008D573F">
            <w:pPr>
              <w:jc w:val="center"/>
              <w:rPr>
                <w:rFonts w:ascii="Arial" w:hAnsi="Arial" w:cs="Arial"/>
                <w:b/>
                <w:color w:val="000000"/>
                <w:sz w:val="18"/>
                <w:szCs w:val="18"/>
              </w:rPr>
            </w:pPr>
            <w:r w:rsidRPr="00653A3D">
              <w:rPr>
                <w:rFonts w:ascii="Arial" w:hAnsi="Arial" w:cs="Arial"/>
                <w:b/>
                <w:color w:val="000000"/>
                <w:sz w:val="18"/>
                <w:szCs w:val="18"/>
              </w:rPr>
              <w:t>23,828</w:t>
            </w:r>
          </w:p>
        </w:tc>
        <w:tc>
          <w:tcPr>
            <w:tcW w:w="1405" w:type="dxa"/>
            <w:shd w:val="clear" w:color="auto" w:fill="auto"/>
            <w:vAlign w:val="center"/>
            <w:hideMark/>
          </w:tcPr>
          <w:p w:rsidR="008D573F" w:rsidRPr="00653A3D" w:rsidRDefault="008D573F" w:rsidP="008D573F">
            <w:pPr>
              <w:jc w:val="center"/>
              <w:rPr>
                <w:rFonts w:ascii="Arial" w:hAnsi="Arial" w:cs="Arial"/>
                <w:b/>
                <w:color w:val="000000"/>
                <w:sz w:val="18"/>
                <w:szCs w:val="18"/>
              </w:rPr>
            </w:pPr>
            <w:r w:rsidRPr="00653A3D">
              <w:rPr>
                <w:rFonts w:ascii="Arial" w:hAnsi="Arial" w:cs="Arial"/>
                <w:b/>
                <w:color w:val="000000"/>
                <w:sz w:val="18"/>
                <w:szCs w:val="18"/>
              </w:rPr>
              <w:t>82,280</w:t>
            </w:r>
          </w:p>
        </w:tc>
      </w:tr>
    </w:tbl>
    <w:p w:rsidR="00D73798" w:rsidRPr="00D409BF" w:rsidRDefault="008D573F" w:rsidP="007105F2">
      <w:pPr>
        <w:rPr>
          <w:rFonts w:asciiTheme="minorHAnsi" w:hAnsiTheme="minorHAnsi" w:cstheme="minorHAnsi"/>
          <w:i/>
          <w:sz w:val="16"/>
          <w:szCs w:val="16"/>
        </w:rPr>
      </w:pPr>
      <w:r w:rsidRPr="00D409BF">
        <w:rPr>
          <w:rFonts w:asciiTheme="minorHAnsi" w:hAnsiTheme="minorHAnsi" w:cstheme="minorHAnsi"/>
          <w:i/>
          <w:sz w:val="16"/>
          <w:szCs w:val="16"/>
        </w:rPr>
        <w:t>Source: Department of Health, Medical Benefits Division, Primary Care and Diagnostics Branch, MBS Analytics Section, Reference no.: Q20863, July 2017</w:t>
      </w:r>
    </w:p>
    <w:p w:rsidR="00A33312" w:rsidRPr="009418F3" w:rsidRDefault="008D573F" w:rsidP="009418F3">
      <w:pPr>
        <w:rPr>
          <w:rFonts w:ascii="Arial Narrow" w:hAnsi="Arial Narrow"/>
          <w:b/>
          <w:sz w:val="20"/>
        </w:rPr>
      </w:pPr>
      <w:r w:rsidRPr="009418F3">
        <w:rPr>
          <w:rFonts w:ascii="Arial Narrow" w:hAnsi="Arial Narrow"/>
          <w:b/>
          <w:sz w:val="20"/>
        </w:rPr>
        <w:t>Tables 4-9: State and Territory service volumes for MBS listed bariatric services 31569, 31572, 31575, 31584, 31587 and 31590; 2013</w:t>
      </w:r>
      <w:r w:rsidR="00D73798" w:rsidRPr="009418F3">
        <w:rPr>
          <w:rFonts w:ascii="Arial Narrow" w:hAnsi="Arial Narrow"/>
          <w:b/>
          <w:sz w:val="20"/>
        </w:rPr>
        <w:t>-14 to 2016-17 (date of service)</w:t>
      </w:r>
    </w:p>
    <w:p w:rsidR="008D573F" w:rsidRPr="003262E6" w:rsidRDefault="00CA3DEE" w:rsidP="00CA3DEE">
      <w:pPr>
        <w:rPr>
          <w:rFonts w:asciiTheme="minorHAnsi" w:hAnsiTheme="minorHAnsi" w:cs="Arial"/>
          <w:b/>
          <w:bCs/>
          <w:color w:val="000000"/>
          <w:sz w:val="20"/>
        </w:rPr>
      </w:pPr>
      <w:r>
        <w:rPr>
          <w:rFonts w:asciiTheme="minorHAnsi" w:hAnsiTheme="minorHAnsi" w:cs="Arial"/>
          <w:b/>
          <w:bCs/>
          <w:color w:val="000000"/>
          <w:sz w:val="20"/>
        </w:rPr>
        <w:t xml:space="preserve">Table 4: </w:t>
      </w:r>
      <w:r w:rsidR="008D573F" w:rsidRPr="003262E6">
        <w:rPr>
          <w:rFonts w:asciiTheme="minorHAnsi" w:hAnsiTheme="minorHAnsi" w:cs="Arial"/>
          <w:b/>
          <w:bCs/>
          <w:color w:val="000000"/>
          <w:sz w:val="20"/>
        </w:rPr>
        <w:t>Item 31569, State/Territory</w:t>
      </w:r>
    </w:p>
    <w:tbl>
      <w:tblPr>
        <w:tblW w:w="899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tate and Territory service volumes for MBS item 31569 in 2013-17"/>
        <w:tblDescription w:val="For item 31569, the total service volumes across the 4 years since implementation was 10,620. This includes 1,517 in New South Wales and the Australian Capital Territory, 4,056 in Victoria, 1,301 in Queensland, 621 in South Australia, 1,834 in Western Australia, 1,060 in Tasmania and 231 in the northern Territory. "/>
      </w:tblPr>
      <w:tblGrid>
        <w:gridCol w:w="1138"/>
        <w:gridCol w:w="1083"/>
        <w:gridCol w:w="1012"/>
        <w:gridCol w:w="1083"/>
        <w:gridCol w:w="966"/>
        <w:gridCol w:w="1011"/>
        <w:gridCol w:w="1065"/>
        <w:gridCol w:w="870"/>
        <w:gridCol w:w="769"/>
      </w:tblGrid>
      <w:tr w:rsidR="008D573F" w:rsidRPr="00FB5604" w:rsidTr="008D573F">
        <w:trPr>
          <w:trHeight w:val="392"/>
        </w:trPr>
        <w:tc>
          <w:tcPr>
            <w:tcW w:w="1138" w:type="dxa"/>
            <w:tcBorders>
              <w:top w:val="nil"/>
              <w:left w:val="nil"/>
              <w:bottom w:val="single" w:sz="4" w:space="0" w:color="auto"/>
              <w:right w:val="single" w:sz="4" w:space="0" w:color="auto"/>
            </w:tcBorders>
            <w:shd w:val="clear" w:color="auto" w:fill="auto"/>
            <w:noWrap/>
            <w:vAlign w:val="center"/>
            <w:hideMark/>
          </w:tcPr>
          <w:p w:rsidR="008D573F" w:rsidRPr="00FB5604" w:rsidRDefault="008D573F" w:rsidP="008D573F">
            <w:pPr>
              <w:jc w:val="center"/>
              <w:rPr>
                <w:rFonts w:ascii="Arial" w:hAnsi="Arial" w:cs="Arial"/>
                <w:b/>
                <w:bCs/>
                <w:color w:val="000000"/>
                <w:sz w:val="18"/>
                <w:szCs w:val="18"/>
              </w:rPr>
            </w:pPr>
          </w:p>
        </w:tc>
        <w:tc>
          <w:tcPr>
            <w:tcW w:w="1083" w:type="dxa"/>
            <w:tcBorders>
              <w:left w:val="single" w:sz="4" w:space="0" w:color="auto"/>
            </w:tcBorders>
            <w:shd w:val="clear" w:color="000000" w:fill="548DD4"/>
            <w:noWrap/>
            <w:vAlign w:val="center"/>
            <w:hideMark/>
          </w:tcPr>
          <w:p w:rsidR="008D573F" w:rsidRPr="00FB5604" w:rsidRDefault="008D573F" w:rsidP="008D573F">
            <w:pPr>
              <w:jc w:val="center"/>
              <w:rPr>
                <w:rFonts w:ascii="Arial" w:hAnsi="Arial" w:cs="Arial"/>
                <w:b/>
                <w:bCs/>
                <w:color w:val="FFFFFF" w:themeColor="background1"/>
                <w:sz w:val="18"/>
                <w:szCs w:val="18"/>
              </w:rPr>
            </w:pPr>
            <w:r w:rsidRPr="00FB5604">
              <w:rPr>
                <w:rFonts w:ascii="Arial" w:hAnsi="Arial" w:cs="Arial"/>
                <w:b/>
                <w:bCs/>
                <w:color w:val="FFFFFF" w:themeColor="background1"/>
                <w:sz w:val="18"/>
                <w:szCs w:val="18"/>
              </w:rPr>
              <w:t>NSW &amp; ACT</w:t>
            </w:r>
          </w:p>
        </w:tc>
        <w:tc>
          <w:tcPr>
            <w:tcW w:w="1012" w:type="dxa"/>
            <w:shd w:val="clear" w:color="000000" w:fill="548DD4"/>
            <w:noWrap/>
            <w:vAlign w:val="center"/>
            <w:hideMark/>
          </w:tcPr>
          <w:p w:rsidR="008D573F" w:rsidRPr="00FB5604" w:rsidRDefault="008D573F" w:rsidP="008D573F">
            <w:pPr>
              <w:jc w:val="center"/>
              <w:rPr>
                <w:rFonts w:ascii="Arial" w:hAnsi="Arial" w:cs="Arial"/>
                <w:b/>
                <w:bCs/>
                <w:color w:val="FFFFFF" w:themeColor="background1"/>
                <w:sz w:val="18"/>
                <w:szCs w:val="18"/>
              </w:rPr>
            </w:pPr>
            <w:r w:rsidRPr="00FB5604">
              <w:rPr>
                <w:rFonts w:ascii="Arial" w:hAnsi="Arial" w:cs="Arial"/>
                <w:b/>
                <w:bCs/>
                <w:color w:val="FFFFFF" w:themeColor="background1"/>
                <w:sz w:val="18"/>
                <w:szCs w:val="18"/>
              </w:rPr>
              <w:t>VIC</w:t>
            </w:r>
          </w:p>
        </w:tc>
        <w:tc>
          <w:tcPr>
            <w:tcW w:w="1083" w:type="dxa"/>
            <w:shd w:val="clear" w:color="000000" w:fill="548DD4"/>
            <w:noWrap/>
            <w:vAlign w:val="center"/>
            <w:hideMark/>
          </w:tcPr>
          <w:p w:rsidR="008D573F" w:rsidRPr="00FB5604" w:rsidRDefault="008D573F" w:rsidP="008D573F">
            <w:pPr>
              <w:jc w:val="center"/>
              <w:rPr>
                <w:rFonts w:ascii="Arial" w:hAnsi="Arial" w:cs="Arial"/>
                <w:b/>
                <w:bCs/>
                <w:color w:val="FFFFFF" w:themeColor="background1"/>
                <w:sz w:val="18"/>
                <w:szCs w:val="18"/>
              </w:rPr>
            </w:pPr>
            <w:r w:rsidRPr="00FB5604">
              <w:rPr>
                <w:rFonts w:ascii="Arial" w:hAnsi="Arial" w:cs="Arial"/>
                <w:b/>
                <w:bCs/>
                <w:color w:val="FFFFFF" w:themeColor="background1"/>
                <w:sz w:val="18"/>
                <w:szCs w:val="18"/>
              </w:rPr>
              <w:t>QLD</w:t>
            </w:r>
          </w:p>
        </w:tc>
        <w:tc>
          <w:tcPr>
            <w:tcW w:w="966" w:type="dxa"/>
            <w:shd w:val="clear" w:color="000000" w:fill="548DD4"/>
            <w:noWrap/>
            <w:vAlign w:val="center"/>
            <w:hideMark/>
          </w:tcPr>
          <w:p w:rsidR="008D573F" w:rsidRPr="00FB5604" w:rsidRDefault="008D573F" w:rsidP="008D573F">
            <w:pPr>
              <w:jc w:val="center"/>
              <w:rPr>
                <w:rFonts w:ascii="Arial" w:hAnsi="Arial" w:cs="Arial"/>
                <w:b/>
                <w:bCs/>
                <w:color w:val="FFFFFF" w:themeColor="background1"/>
                <w:sz w:val="18"/>
                <w:szCs w:val="18"/>
              </w:rPr>
            </w:pPr>
            <w:r w:rsidRPr="00FB5604">
              <w:rPr>
                <w:rFonts w:ascii="Arial" w:hAnsi="Arial" w:cs="Arial"/>
                <w:b/>
                <w:bCs/>
                <w:color w:val="FFFFFF" w:themeColor="background1"/>
                <w:sz w:val="18"/>
                <w:szCs w:val="18"/>
              </w:rPr>
              <w:t>SA</w:t>
            </w:r>
          </w:p>
        </w:tc>
        <w:tc>
          <w:tcPr>
            <w:tcW w:w="1011" w:type="dxa"/>
            <w:shd w:val="clear" w:color="000000" w:fill="548DD4"/>
            <w:noWrap/>
            <w:vAlign w:val="center"/>
            <w:hideMark/>
          </w:tcPr>
          <w:p w:rsidR="008D573F" w:rsidRPr="00FB5604" w:rsidRDefault="008D573F" w:rsidP="008D573F">
            <w:pPr>
              <w:jc w:val="center"/>
              <w:rPr>
                <w:rFonts w:ascii="Arial" w:hAnsi="Arial" w:cs="Arial"/>
                <w:b/>
                <w:bCs/>
                <w:color w:val="FFFFFF" w:themeColor="background1"/>
                <w:sz w:val="18"/>
                <w:szCs w:val="18"/>
              </w:rPr>
            </w:pPr>
            <w:r w:rsidRPr="00FB5604">
              <w:rPr>
                <w:rFonts w:ascii="Arial" w:hAnsi="Arial" w:cs="Arial"/>
                <w:b/>
                <w:bCs/>
                <w:color w:val="FFFFFF" w:themeColor="background1"/>
                <w:sz w:val="18"/>
                <w:szCs w:val="18"/>
              </w:rPr>
              <w:t>WA</w:t>
            </w:r>
          </w:p>
        </w:tc>
        <w:tc>
          <w:tcPr>
            <w:tcW w:w="1065" w:type="dxa"/>
            <w:shd w:val="clear" w:color="000000" w:fill="548DD4"/>
            <w:noWrap/>
            <w:vAlign w:val="center"/>
            <w:hideMark/>
          </w:tcPr>
          <w:p w:rsidR="008D573F" w:rsidRPr="00FB5604" w:rsidRDefault="008D573F" w:rsidP="008D573F">
            <w:pPr>
              <w:jc w:val="center"/>
              <w:rPr>
                <w:rFonts w:ascii="Arial" w:hAnsi="Arial" w:cs="Arial"/>
                <w:b/>
                <w:bCs/>
                <w:color w:val="FFFFFF" w:themeColor="background1"/>
                <w:sz w:val="18"/>
                <w:szCs w:val="18"/>
              </w:rPr>
            </w:pPr>
            <w:r w:rsidRPr="00FB5604">
              <w:rPr>
                <w:rFonts w:ascii="Arial" w:hAnsi="Arial" w:cs="Arial"/>
                <w:b/>
                <w:bCs/>
                <w:color w:val="FFFFFF" w:themeColor="background1"/>
                <w:sz w:val="18"/>
                <w:szCs w:val="18"/>
              </w:rPr>
              <w:t>TAS</w:t>
            </w:r>
          </w:p>
        </w:tc>
        <w:tc>
          <w:tcPr>
            <w:tcW w:w="870" w:type="dxa"/>
            <w:shd w:val="clear" w:color="000000" w:fill="548DD4"/>
            <w:noWrap/>
            <w:vAlign w:val="center"/>
            <w:hideMark/>
          </w:tcPr>
          <w:p w:rsidR="008D573F" w:rsidRPr="00FB5604" w:rsidRDefault="008D573F" w:rsidP="008D573F">
            <w:pPr>
              <w:jc w:val="center"/>
              <w:rPr>
                <w:rFonts w:ascii="Arial" w:hAnsi="Arial" w:cs="Arial"/>
                <w:b/>
                <w:bCs/>
                <w:color w:val="FFFFFF" w:themeColor="background1"/>
                <w:sz w:val="18"/>
                <w:szCs w:val="18"/>
              </w:rPr>
            </w:pPr>
            <w:r w:rsidRPr="00FB5604">
              <w:rPr>
                <w:rFonts w:ascii="Arial" w:hAnsi="Arial" w:cs="Arial"/>
                <w:b/>
                <w:bCs/>
                <w:color w:val="FFFFFF" w:themeColor="background1"/>
                <w:sz w:val="18"/>
                <w:szCs w:val="18"/>
              </w:rPr>
              <w:t>NT</w:t>
            </w:r>
          </w:p>
        </w:tc>
        <w:tc>
          <w:tcPr>
            <w:tcW w:w="769" w:type="dxa"/>
            <w:shd w:val="clear" w:color="000000" w:fill="548DD4"/>
            <w:noWrap/>
            <w:vAlign w:val="center"/>
            <w:hideMark/>
          </w:tcPr>
          <w:p w:rsidR="008D573F" w:rsidRPr="00FB5604" w:rsidRDefault="008D573F" w:rsidP="008D573F">
            <w:pPr>
              <w:jc w:val="center"/>
              <w:rPr>
                <w:rFonts w:ascii="Arial" w:hAnsi="Arial" w:cs="Arial"/>
                <w:b/>
                <w:bCs/>
                <w:color w:val="FFFFFF" w:themeColor="background1"/>
                <w:sz w:val="18"/>
                <w:szCs w:val="18"/>
              </w:rPr>
            </w:pPr>
            <w:r w:rsidRPr="00FB5604">
              <w:rPr>
                <w:rFonts w:ascii="Arial" w:hAnsi="Arial" w:cs="Arial"/>
                <w:b/>
                <w:bCs/>
                <w:color w:val="FFFFFF" w:themeColor="background1"/>
                <w:sz w:val="18"/>
                <w:szCs w:val="18"/>
              </w:rPr>
              <w:t>Total</w:t>
            </w:r>
          </w:p>
        </w:tc>
      </w:tr>
      <w:tr w:rsidR="008D573F" w:rsidRPr="00FB5604" w:rsidTr="008D573F">
        <w:trPr>
          <w:trHeight w:val="392"/>
        </w:trPr>
        <w:tc>
          <w:tcPr>
            <w:tcW w:w="1138" w:type="dxa"/>
            <w:tcBorders>
              <w:top w:val="single" w:sz="4" w:space="0" w:color="auto"/>
            </w:tcBorders>
            <w:shd w:val="clear" w:color="auto" w:fill="auto"/>
            <w:noWrap/>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2013/2014</w:t>
            </w:r>
          </w:p>
        </w:tc>
        <w:tc>
          <w:tcPr>
            <w:tcW w:w="1083" w:type="dxa"/>
            <w:shd w:val="clear" w:color="auto" w:fill="auto"/>
            <w:noWrap/>
            <w:vAlign w:val="center"/>
            <w:hideMark/>
          </w:tcPr>
          <w:p w:rsidR="008D573F" w:rsidRPr="006A25BA" w:rsidRDefault="008D573F" w:rsidP="008D573F">
            <w:pPr>
              <w:jc w:val="center"/>
              <w:rPr>
                <w:rFonts w:ascii="Arial" w:hAnsi="Arial" w:cs="Arial"/>
                <w:bCs/>
                <w:color w:val="000000"/>
                <w:sz w:val="18"/>
                <w:szCs w:val="18"/>
              </w:rPr>
            </w:pPr>
            <w:r w:rsidRPr="006A25BA">
              <w:rPr>
                <w:rFonts w:ascii="Arial" w:hAnsi="Arial" w:cs="Arial"/>
                <w:bCs/>
                <w:color w:val="000000"/>
                <w:sz w:val="18"/>
                <w:szCs w:val="18"/>
              </w:rPr>
              <w:t>630</w:t>
            </w:r>
          </w:p>
        </w:tc>
        <w:tc>
          <w:tcPr>
            <w:tcW w:w="1012" w:type="dxa"/>
            <w:shd w:val="clear" w:color="auto" w:fill="auto"/>
            <w:noWrap/>
            <w:vAlign w:val="center"/>
            <w:hideMark/>
          </w:tcPr>
          <w:p w:rsidR="008D573F" w:rsidRPr="006A25BA" w:rsidRDefault="008D573F" w:rsidP="008D573F">
            <w:pPr>
              <w:jc w:val="center"/>
              <w:rPr>
                <w:rFonts w:ascii="Arial" w:hAnsi="Arial" w:cs="Arial"/>
                <w:bCs/>
                <w:color w:val="000000"/>
                <w:sz w:val="18"/>
                <w:szCs w:val="18"/>
              </w:rPr>
            </w:pPr>
            <w:r w:rsidRPr="006A25BA">
              <w:rPr>
                <w:rFonts w:ascii="Arial" w:hAnsi="Arial" w:cs="Arial"/>
                <w:bCs/>
                <w:color w:val="000000"/>
                <w:sz w:val="18"/>
                <w:szCs w:val="18"/>
              </w:rPr>
              <w:t>1,387</w:t>
            </w:r>
          </w:p>
        </w:tc>
        <w:tc>
          <w:tcPr>
            <w:tcW w:w="1083" w:type="dxa"/>
            <w:shd w:val="clear" w:color="auto" w:fill="auto"/>
            <w:noWrap/>
            <w:vAlign w:val="center"/>
            <w:hideMark/>
          </w:tcPr>
          <w:p w:rsidR="008D573F" w:rsidRPr="006A25BA" w:rsidRDefault="008D573F" w:rsidP="008D573F">
            <w:pPr>
              <w:jc w:val="center"/>
              <w:rPr>
                <w:rFonts w:ascii="Arial" w:hAnsi="Arial" w:cs="Arial"/>
                <w:bCs/>
                <w:color w:val="000000"/>
                <w:sz w:val="18"/>
                <w:szCs w:val="18"/>
              </w:rPr>
            </w:pPr>
            <w:r w:rsidRPr="006A25BA">
              <w:rPr>
                <w:rFonts w:ascii="Arial" w:hAnsi="Arial" w:cs="Arial"/>
                <w:bCs/>
                <w:color w:val="000000"/>
                <w:sz w:val="18"/>
                <w:szCs w:val="18"/>
              </w:rPr>
              <w:t>527</w:t>
            </w:r>
          </w:p>
        </w:tc>
        <w:tc>
          <w:tcPr>
            <w:tcW w:w="966" w:type="dxa"/>
            <w:shd w:val="clear" w:color="auto" w:fill="auto"/>
            <w:noWrap/>
            <w:vAlign w:val="center"/>
            <w:hideMark/>
          </w:tcPr>
          <w:p w:rsidR="008D573F" w:rsidRPr="006A25BA" w:rsidRDefault="008D573F" w:rsidP="008D573F">
            <w:pPr>
              <w:jc w:val="center"/>
              <w:rPr>
                <w:rFonts w:ascii="Arial" w:hAnsi="Arial" w:cs="Arial"/>
                <w:bCs/>
                <w:color w:val="000000"/>
                <w:sz w:val="18"/>
                <w:szCs w:val="18"/>
              </w:rPr>
            </w:pPr>
            <w:r w:rsidRPr="006A25BA">
              <w:rPr>
                <w:rFonts w:ascii="Arial" w:hAnsi="Arial" w:cs="Arial"/>
                <w:bCs/>
                <w:color w:val="000000"/>
                <w:sz w:val="18"/>
                <w:szCs w:val="18"/>
              </w:rPr>
              <w:t>320</w:t>
            </w:r>
          </w:p>
        </w:tc>
        <w:tc>
          <w:tcPr>
            <w:tcW w:w="1011" w:type="dxa"/>
            <w:shd w:val="clear" w:color="auto" w:fill="auto"/>
            <w:noWrap/>
            <w:vAlign w:val="center"/>
            <w:hideMark/>
          </w:tcPr>
          <w:p w:rsidR="008D573F" w:rsidRPr="006A25BA" w:rsidRDefault="008D573F" w:rsidP="008D573F">
            <w:pPr>
              <w:jc w:val="center"/>
              <w:rPr>
                <w:rFonts w:ascii="Arial" w:hAnsi="Arial" w:cs="Arial"/>
                <w:bCs/>
                <w:color w:val="000000"/>
                <w:sz w:val="18"/>
                <w:szCs w:val="18"/>
              </w:rPr>
            </w:pPr>
            <w:r w:rsidRPr="006A25BA">
              <w:rPr>
                <w:rFonts w:ascii="Arial" w:hAnsi="Arial" w:cs="Arial"/>
                <w:bCs/>
                <w:color w:val="000000"/>
                <w:sz w:val="18"/>
                <w:szCs w:val="18"/>
              </w:rPr>
              <w:t>807</w:t>
            </w:r>
          </w:p>
        </w:tc>
        <w:tc>
          <w:tcPr>
            <w:tcW w:w="1065" w:type="dxa"/>
            <w:shd w:val="clear" w:color="auto" w:fill="auto"/>
            <w:noWrap/>
            <w:vAlign w:val="center"/>
            <w:hideMark/>
          </w:tcPr>
          <w:p w:rsidR="008D573F" w:rsidRPr="006A25BA" w:rsidRDefault="008D573F" w:rsidP="008D573F">
            <w:pPr>
              <w:jc w:val="center"/>
              <w:rPr>
                <w:rFonts w:ascii="Arial" w:hAnsi="Arial" w:cs="Arial"/>
                <w:bCs/>
                <w:color w:val="000000"/>
                <w:sz w:val="18"/>
                <w:szCs w:val="18"/>
              </w:rPr>
            </w:pPr>
            <w:r w:rsidRPr="006A25BA">
              <w:rPr>
                <w:rFonts w:ascii="Arial" w:hAnsi="Arial" w:cs="Arial"/>
                <w:bCs/>
                <w:color w:val="000000"/>
                <w:sz w:val="18"/>
                <w:szCs w:val="18"/>
              </w:rPr>
              <w:t>348</w:t>
            </w:r>
          </w:p>
        </w:tc>
        <w:tc>
          <w:tcPr>
            <w:tcW w:w="870" w:type="dxa"/>
            <w:shd w:val="clear" w:color="auto" w:fill="auto"/>
            <w:noWrap/>
            <w:vAlign w:val="center"/>
            <w:hideMark/>
          </w:tcPr>
          <w:p w:rsidR="008D573F" w:rsidRPr="006A25BA" w:rsidRDefault="008D573F" w:rsidP="008D573F">
            <w:pPr>
              <w:jc w:val="center"/>
              <w:rPr>
                <w:rFonts w:ascii="Arial" w:hAnsi="Arial" w:cs="Arial"/>
                <w:bCs/>
                <w:color w:val="000000"/>
                <w:sz w:val="18"/>
                <w:szCs w:val="18"/>
              </w:rPr>
            </w:pPr>
            <w:r w:rsidRPr="006A25BA">
              <w:rPr>
                <w:rFonts w:ascii="Arial" w:hAnsi="Arial" w:cs="Arial"/>
                <w:bCs/>
                <w:color w:val="000000"/>
                <w:sz w:val="18"/>
                <w:szCs w:val="18"/>
              </w:rPr>
              <w:t>78</w:t>
            </w:r>
          </w:p>
        </w:tc>
        <w:tc>
          <w:tcPr>
            <w:tcW w:w="769" w:type="dxa"/>
            <w:shd w:val="clear" w:color="auto" w:fill="auto"/>
            <w:noWrap/>
            <w:vAlign w:val="center"/>
            <w:hideMark/>
          </w:tcPr>
          <w:p w:rsidR="008D573F" w:rsidRPr="00FB5604" w:rsidRDefault="008D573F" w:rsidP="008D573F">
            <w:pPr>
              <w:jc w:val="center"/>
              <w:rPr>
                <w:rFonts w:ascii="Arial" w:hAnsi="Arial" w:cs="Arial"/>
                <w:b/>
                <w:bCs/>
                <w:color w:val="000000"/>
                <w:sz w:val="18"/>
                <w:szCs w:val="18"/>
              </w:rPr>
            </w:pPr>
            <w:r w:rsidRPr="00FB5604">
              <w:rPr>
                <w:rFonts w:ascii="Arial" w:hAnsi="Arial" w:cs="Arial"/>
                <w:b/>
                <w:bCs/>
                <w:color w:val="000000"/>
                <w:sz w:val="18"/>
                <w:szCs w:val="18"/>
              </w:rPr>
              <w:t>4097</w:t>
            </w:r>
          </w:p>
        </w:tc>
      </w:tr>
      <w:tr w:rsidR="008D573F" w:rsidRPr="00FB5604" w:rsidTr="008D573F">
        <w:trPr>
          <w:trHeight w:val="392"/>
        </w:trPr>
        <w:tc>
          <w:tcPr>
            <w:tcW w:w="1138" w:type="dxa"/>
            <w:shd w:val="clear" w:color="auto" w:fill="auto"/>
            <w:noWrap/>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2014/2015</w:t>
            </w:r>
          </w:p>
        </w:tc>
        <w:tc>
          <w:tcPr>
            <w:tcW w:w="1083" w:type="dxa"/>
            <w:shd w:val="clear" w:color="auto" w:fill="auto"/>
            <w:noWrap/>
            <w:vAlign w:val="center"/>
            <w:hideMark/>
          </w:tcPr>
          <w:p w:rsidR="008D573F" w:rsidRPr="006A25BA" w:rsidRDefault="008D573F" w:rsidP="008D573F">
            <w:pPr>
              <w:jc w:val="center"/>
              <w:rPr>
                <w:rFonts w:ascii="Arial" w:hAnsi="Arial" w:cs="Arial"/>
                <w:bCs/>
                <w:color w:val="000000"/>
                <w:sz w:val="18"/>
                <w:szCs w:val="18"/>
              </w:rPr>
            </w:pPr>
            <w:r w:rsidRPr="006A25BA">
              <w:rPr>
                <w:rFonts w:ascii="Arial" w:hAnsi="Arial" w:cs="Arial"/>
                <w:bCs/>
                <w:color w:val="000000"/>
                <w:sz w:val="18"/>
                <w:szCs w:val="18"/>
              </w:rPr>
              <w:t>393</w:t>
            </w:r>
          </w:p>
        </w:tc>
        <w:tc>
          <w:tcPr>
            <w:tcW w:w="1012" w:type="dxa"/>
            <w:shd w:val="clear" w:color="auto" w:fill="auto"/>
            <w:noWrap/>
            <w:vAlign w:val="center"/>
            <w:hideMark/>
          </w:tcPr>
          <w:p w:rsidR="008D573F" w:rsidRPr="006A25BA" w:rsidRDefault="008D573F" w:rsidP="008D573F">
            <w:pPr>
              <w:jc w:val="center"/>
              <w:rPr>
                <w:rFonts w:ascii="Arial" w:hAnsi="Arial" w:cs="Arial"/>
                <w:bCs/>
                <w:color w:val="000000"/>
                <w:sz w:val="18"/>
                <w:szCs w:val="18"/>
              </w:rPr>
            </w:pPr>
            <w:r w:rsidRPr="006A25BA">
              <w:rPr>
                <w:rFonts w:ascii="Arial" w:hAnsi="Arial" w:cs="Arial"/>
                <w:bCs/>
                <w:color w:val="000000"/>
                <w:sz w:val="18"/>
                <w:szCs w:val="18"/>
              </w:rPr>
              <w:t>1,124</w:t>
            </w:r>
          </w:p>
        </w:tc>
        <w:tc>
          <w:tcPr>
            <w:tcW w:w="1083" w:type="dxa"/>
            <w:shd w:val="clear" w:color="auto" w:fill="auto"/>
            <w:noWrap/>
            <w:vAlign w:val="center"/>
            <w:hideMark/>
          </w:tcPr>
          <w:p w:rsidR="008D573F" w:rsidRPr="006A25BA" w:rsidRDefault="008D573F" w:rsidP="008D573F">
            <w:pPr>
              <w:jc w:val="center"/>
              <w:rPr>
                <w:rFonts w:ascii="Arial" w:hAnsi="Arial" w:cs="Arial"/>
                <w:bCs/>
                <w:color w:val="000000"/>
                <w:sz w:val="18"/>
                <w:szCs w:val="18"/>
              </w:rPr>
            </w:pPr>
            <w:r w:rsidRPr="006A25BA">
              <w:rPr>
                <w:rFonts w:ascii="Arial" w:hAnsi="Arial" w:cs="Arial"/>
                <w:bCs/>
                <w:color w:val="000000"/>
                <w:sz w:val="18"/>
                <w:szCs w:val="18"/>
              </w:rPr>
              <w:t>356</w:t>
            </w:r>
          </w:p>
        </w:tc>
        <w:tc>
          <w:tcPr>
            <w:tcW w:w="966" w:type="dxa"/>
            <w:shd w:val="clear" w:color="auto" w:fill="auto"/>
            <w:noWrap/>
            <w:vAlign w:val="center"/>
            <w:hideMark/>
          </w:tcPr>
          <w:p w:rsidR="008D573F" w:rsidRPr="006A25BA" w:rsidRDefault="008D573F" w:rsidP="008D573F">
            <w:pPr>
              <w:jc w:val="center"/>
              <w:rPr>
                <w:rFonts w:ascii="Arial" w:hAnsi="Arial" w:cs="Arial"/>
                <w:bCs/>
                <w:color w:val="000000"/>
                <w:sz w:val="18"/>
                <w:szCs w:val="18"/>
              </w:rPr>
            </w:pPr>
            <w:r w:rsidRPr="006A25BA">
              <w:rPr>
                <w:rFonts w:ascii="Arial" w:hAnsi="Arial" w:cs="Arial"/>
                <w:bCs/>
                <w:color w:val="000000"/>
                <w:sz w:val="18"/>
                <w:szCs w:val="18"/>
              </w:rPr>
              <w:t>152</w:t>
            </w:r>
          </w:p>
        </w:tc>
        <w:tc>
          <w:tcPr>
            <w:tcW w:w="1011" w:type="dxa"/>
            <w:shd w:val="clear" w:color="auto" w:fill="auto"/>
            <w:noWrap/>
            <w:vAlign w:val="center"/>
            <w:hideMark/>
          </w:tcPr>
          <w:p w:rsidR="008D573F" w:rsidRPr="006A25BA" w:rsidRDefault="008D573F" w:rsidP="008D573F">
            <w:pPr>
              <w:jc w:val="center"/>
              <w:rPr>
                <w:rFonts w:ascii="Arial" w:hAnsi="Arial" w:cs="Arial"/>
                <w:bCs/>
                <w:color w:val="000000"/>
                <w:sz w:val="18"/>
                <w:szCs w:val="18"/>
              </w:rPr>
            </w:pPr>
            <w:r w:rsidRPr="006A25BA">
              <w:rPr>
                <w:rFonts w:ascii="Arial" w:hAnsi="Arial" w:cs="Arial"/>
                <w:bCs/>
                <w:color w:val="000000"/>
                <w:sz w:val="18"/>
                <w:szCs w:val="18"/>
              </w:rPr>
              <w:t>448</w:t>
            </w:r>
          </w:p>
        </w:tc>
        <w:tc>
          <w:tcPr>
            <w:tcW w:w="1065" w:type="dxa"/>
            <w:shd w:val="clear" w:color="auto" w:fill="auto"/>
            <w:noWrap/>
            <w:vAlign w:val="center"/>
            <w:hideMark/>
          </w:tcPr>
          <w:p w:rsidR="008D573F" w:rsidRPr="006A25BA" w:rsidRDefault="008D573F" w:rsidP="008D573F">
            <w:pPr>
              <w:jc w:val="center"/>
              <w:rPr>
                <w:rFonts w:ascii="Arial" w:hAnsi="Arial" w:cs="Arial"/>
                <w:bCs/>
                <w:color w:val="000000"/>
                <w:sz w:val="18"/>
                <w:szCs w:val="18"/>
              </w:rPr>
            </w:pPr>
            <w:r w:rsidRPr="006A25BA">
              <w:rPr>
                <w:rFonts w:ascii="Arial" w:hAnsi="Arial" w:cs="Arial"/>
                <w:bCs/>
                <w:color w:val="000000"/>
                <w:sz w:val="18"/>
                <w:szCs w:val="18"/>
              </w:rPr>
              <w:t>287</w:t>
            </w:r>
          </w:p>
        </w:tc>
        <w:tc>
          <w:tcPr>
            <w:tcW w:w="870" w:type="dxa"/>
            <w:shd w:val="clear" w:color="auto" w:fill="auto"/>
            <w:noWrap/>
            <w:vAlign w:val="center"/>
            <w:hideMark/>
          </w:tcPr>
          <w:p w:rsidR="008D573F" w:rsidRPr="006A25BA" w:rsidRDefault="008D573F" w:rsidP="008D573F">
            <w:pPr>
              <w:jc w:val="center"/>
              <w:rPr>
                <w:rFonts w:ascii="Arial" w:hAnsi="Arial" w:cs="Arial"/>
                <w:bCs/>
                <w:color w:val="000000"/>
                <w:sz w:val="18"/>
                <w:szCs w:val="18"/>
              </w:rPr>
            </w:pPr>
            <w:r w:rsidRPr="006A25BA">
              <w:rPr>
                <w:rFonts w:ascii="Arial" w:hAnsi="Arial" w:cs="Arial"/>
                <w:bCs/>
                <w:color w:val="000000"/>
                <w:sz w:val="18"/>
                <w:szCs w:val="18"/>
              </w:rPr>
              <w:t>70</w:t>
            </w:r>
          </w:p>
        </w:tc>
        <w:tc>
          <w:tcPr>
            <w:tcW w:w="769" w:type="dxa"/>
            <w:shd w:val="clear" w:color="auto" w:fill="auto"/>
            <w:noWrap/>
            <w:vAlign w:val="center"/>
            <w:hideMark/>
          </w:tcPr>
          <w:p w:rsidR="008D573F" w:rsidRPr="00FB5604" w:rsidRDefault="008D573F" w:rsidP="008D573F">
            <w:pPr>
              <w:jc w:val="center"/>
              <w:rPr>
                <w:rFonts w:ascii="Arial" w:hAnsi="Arial" w:cs="Arial"/>
                <w:b/>
                <w:bCs/>
                <w:color w:val="000000"/>
                <w:sz w:val="18"/>
                <w:szCs w:val="18"/>
              </w:rPr>
            </w:pPr>
            <w:r w:rsidRPr="00FB5604">
              <w:rPr>
                <w:rFonts w:ascii="Arial" w:hAnsi="Arial" w:cs="Arial"/>
                <w:b/>
                <w:bCs/>
                <w:color w:val="000000"/>
                <w:sz w:val="18"/>
                <w:szCs w:val="18"/>
              </w:rPr>
              <w:t>2830</w:t>
            </w:r>
          </w:p>
        </w:tc>
      </w:tr>
      <w:tr w:rsidR="008D573F" w:rsidRPr="00FB5604" w:rsidTr="008D573F">
        <w:trPr>
          <w:trHeight w:val="392"/>
        </w:trPr>
        <w:tc>
          <w:tcPr>
            <w:tcW w:w="1138" w:type="dxa"/>
            <w:shd w:val="clear" w:color="auto" w:fill="auto"/>
            <w:noWrap/>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2015/2016</w:t>
            </w:r>
          </w:p>
        </w:tc>
        <w:tc>
          <w:tcPr>
            <w:tcW w:w="1083" w:type="dxa"/>
            <w:shd w:val="clear" w:color="auto" w:fill="auto"/>
            <w:noWrap/>
            <w:vAlign w:val="center"/>
            <w:hideMark/>
          </w:tcPr>
          <w:p w:rsidR="008D573F" w:rsidRPr="006A25BA" w:rsidRDefault="008D573F" w:rsidP="008D573F">
            <w:pPr>
              <w:jc w:val="center"/>
              <w:rPr>
                <w:rFonts w:ascii="Arial" w:hAnsi="Arial" w:cs="Arial"/>
                <w:bCs/>
                <w:color w:val="000000"/>
                <w:sz w:val="18"/>
                <w:szCs w:val="18"/>
              </w:rPr>
            </w:pPr>
            <w:r w:rsidRPr="006A25BA">
              <w:rPr>
                <w:rFonts w:ascii="Arial" w:hAnsi="Arial" w:cs="Arial"/>
                <w:bCs/>
                <w:color w:val="000000"/>
                <w:sz w:val="18"/>
                <w:szCs w:val="18"/>
              </w:rPr>
              <w:t>327</w:t>
            </w:r>
          </w:p>
        </w:tc>
        <w:tc>
          <w:tcPr>
            <w:tcW w:w="1012" w:type="dxa"/>
            <w:shd w:val="clear" w:color="auto" w:fill="auto"/>
            <w:noWrap/>
            <w:vAlign w:val="center"/>
            <w:hideMark/>
          </w:tcPr>
          <w:p w:rsidR="008D573F" w:rsidRPr="006A25BA" w:rsidRDefault="008D573F" w:rsidP="008D573F">
            <w:pPr>
              <w:jc w:val="center"/>
              <w:rPr>
                <w:rFonts w:ascii="Arial" w:hAnsi="Arial" w:cs="Arial"/>
                <w:bCs/>
                <w:color w:val="000000"/>
                <w:sz w:val="18"/>
                <w:szCs w:val="18"/>
              </w:rPr>
            </w:pPr>
            <w:r w:rsidRPr="006A25BA">
              <w:rPr>
                <w:rFonts w:ascii="Arial" w:hAnsi="Arial" w:cs="Arial"/>
                <w:bCs/>
                <w:color w:val="000000"/>
                <w:sz w:val="18"/>
                <w:szCs w:val="18"/>
              </w:rPr>
              <w:t>893</w:t>
            </w:r>
          </w:p>
        </w:tc>
        <w:tc>
          <w:tcPr>
            <w:tcW w:w="1083" w:type="dxa"/>
            <w:shd w:val="clear" w:color="auto" w:fill="auto"/>
            <w:noWrap/>
            <w:vAlign w:val="center"/>
            <w:hideMark/>
          </w:tcPr>
          <w:p w:rsidR="008D573F" w:rsidRPr="006A25BA" w:rsidRDefault="008D573F" w:rsidP="008D573F">
            <w:pPr>
              <w:jc w:val="center"/>
              <w:rPr>
                <w:rFonts w:ascii="Arial" w:hAnsi="Arial" w:cs="Arial"/>
                <w:bCs/>
                <w:color w:val="000000"/>
                <w:sz w:val="18"/>
                <w:szCs w:val="18"/>
              </w:rPr>
            </w:pPr>
            <w:r w:rsidRPr="006A25BA">
              <w:rPr>
                <w:rFonts w:ascii="Arial" w:hAnsi="Arial" w:cs="Arial"/>
                <w:bCs/>
                <w:color w:val="000000"/>
                <w:sz w:val="18"/>
                <w:szCs w:val="18"/>
              </w:rPr>
              <w:t>241</w:t>
            </w:r>
          </w:p>
        </w:tc>
        <w:tc>
          <w:tcPr>
            <w:tcW w:w="966" w:type="dxa"/>
            <w:shd w:val="clear" w:color="auto" w:fill="auto"/>
            <w:noWrap/>
            <w:vAlign w:val="center"/>
            <w:hideMark/>
          </w:tcPr>
          <w:p w:rsidR="008D573F" w:rsidRPr="006A25BA" w:rsidRDefault="008D573F" w:rsidP="008D573F">
            <w:pPr>
              <w:jc w:val="center"/>
              <w:rPr>
                <w:rFonts w:ascii="Arial" w:hAnsi="Arial" w:cs="Arial"/>
                <w:bCs/>
                <w:color w:val="000000"/>
                <w:sz w:val="18"/>
                <w:szCs w:val="18"/>
              </w:rPr>
            </w:pPr>
            <w:r w:rsidRPr="006A25BA">
              <w:rPr>
                <w:rFonts w:ascii="Arial" w:hAnsi="Arial" w:cs="Arial"/>
                <w:bCs/>
                <w:color w:val="000000"/>
                <w:sz w:val="18"/>
                <w:szCs w:val="18"/>
              </w:rPr>
              <w:t>99</w:t>
            </w:r>
          </w:p>
        </w:tc>
        <w:tc>
          <w:tcPr>
            <w:tcW w:w="1011" w:type="dxa"/>
            <w:shd w:val="clear" w:color="auto" w:fill="auto"/>
            <w:noWrap/>
            <w:vAlign w:val="center"/>
            <w:hideMark/>
          </w:tcPr>
          <w:p w:rsidR="008D573F" w:rsidRPr="006A25BA" w:rsidRDefault="008D573F" w:rsidP="008D573F">
            <w:pPr>
              <w:jc w:val="center"/>
              <w:rPr>
                <w:rFonts w:ascii="Arial" w:hAnsi="Arial" w:cs="Arial"/>
                <w:bCs/>
                <w:color w:val="000000"/>
                <w:sz w:val="18"/>
                <w:szCs w:val="18"/>
              </w:rPr>
            </w:pPr>
            <w:r w:rsidRPr="006A25BA">
              <w:rPr>
                <w:rFonts w:ascii="Arial" w:hAnsi="Arial" w:cs="Arial"/>
                <w:bCs/>
                <w:color w:val="000000"/>
                <w:sz w:val="18"/>
                <w:szCs w:val="18"/>
              </w:rPr>
              <w:t>315</w:t>
            </w:r>
          </w:p>
        </w:tc>
        <w:tc>
          <w:tcPr>
            <w:tcW w:w="1065" w:type="dxa"/>
            <w:shd w:val="clear" w:color="auto" w:fill="auto"/>
            <w:noWrap/>
            <w:vAlign w:val="center"/>
            <w:hideMark/>
          </w:tcPr>
          <w:p w:rsidR="008D573F" w:rsidRPr="006A25BA" w:rsidRDefault="008D573F" w:rsidP="008D573F">
            <w:pPr>
              <w:jc w:val="center"/>
              <w:rPr>
                <w:rFonts w:ascii="Arial" w:hAnsi="Arial" w:cs="Arial"/>
                <w:bCs/>
                <w:color w:val="000000"/>
                <w:sz w:val="18"/>
                <w:szCs w:val="18"/>
              </w:rPr>
            </w:pPr>
            <w:r w:rsidRPr="006A25BA">
              <w:rPr>
                <w:rFonts w:ascii="Arial" w:hAnsi="Arial" w:cs="Arial"/>
                <w:bCs/>
                <w:color w:val="000000"/>
                <w:sz w:val="18"/>
                <w:szCs w:val="18"/>
              </w:rPr>
              <w:t>253</w:t>
            </w:r>
          </w:p>
        </w:tc>
        <w:tc>
          <w:tcPr>
            <w:tcW w:w="870" w:type="dxa"/>
            <w:shd w:val="clear" w:color="auto" w:fill="auto"/>
            <w:noWrap/>
            <w:vAlign w:val="center"/>
            <w:hideMark/>
          </w:tcPr>
          <w:p w:rsidR="008D573F" w:rsidRPr="006A25BA" w:rsidRDefault="008D573F" w:rsidP="008D573F">
            <w:pPr>
              <w:jc w:val="center"/>
              <w:rPr>
                <w:rFonts w:ascii="Arial" w:hAnsi="Arial" w:cs="Arial"/>
                <w:bCs/>
                <w:color w:val="000000"/>
                <w:sz w:val="18"/>
                <w:szCs w:val="18"/>
              </w:rPr>
            </w:pPr>
            <w:r w:rsidRPr="006A25BA">
              <w:rPr>
                <w:rFonts w:ascii="Arial" w:hAnsi="Arial" w:cs="Arial"/>
                <w:bCs/>
                <w:color w:val="000000"/>
                <w:sz w:val="18"/>
                <w:szCs w:val="18"/>
              </w:rPr>
              <w:t>53</w:t>
            </w:r>
          </w:p>
        </w:tc>
        <w:tc>
          <w:tcPr>
            <w:tcW w:w="769" w:type="dxa"/>
            <w:shd w:val="clear" w:color="auto" w:fill="auto"/>
            <w:noWrap/>
            <w:vAlign w:val="center"/>
            <w:hideMark/>
          </w:tcPr>
          <w:p w:rsidR="008D573F" w:rsidRPr="00FB5604" w:rsidRDefault="008D573F" w:rsidP="008D573F">
            <w:pPr>
              <w:jc w:val="center"/>
              <w:rPr>
                <w:rFonts w:ascii="Arial" w:hAnsi="Arial" w:cs="Arial"/>
                <w:b/>
                <w:bCs/>
                <w:color w:val="000000"/>
                <w:sz w:val="18"/>
                <w:szCs w:val="18"/>
              </w:rPr>
            </w:pPr>
            <w:r w:rsidRPr="00FB5604">
              <w:rPr>
                <w:rFonts w:ascii="Arial" w:hAnsi="Arial" w:cs="Arial"/>
                <w:b/>
                <w:bCs/>
                <w:color w:val="000000"/>
                <w:sz w:val="18"/>
                <w:szCs w:val="18"/>
              </w:rPr>
              <w:t>2181</w:t>
            </w:r>
          </w:p>
        </w:tc>
      </w:tr>
      <w:tr w:rsidR="008D573F" w:rsidRPr="00FB5604" w:rsidTr="008D573F">
        <w:trPr>
          <w:trHeight w:val="392"/>
        </w:trPr>
        <w:tc>
          <w:tcPr>
            <w:tcW w:w="1138" w:type="dxa"/>
            <w:shd w:val="clear" w:color="auto" w:fill="auto"/>
            <w:noWrap/>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2016/2017</w:t>
            </w:r>
          </w:p>
        </w:tc>
        <w:tc>
          <w:tcPr>
            <w:tcW w:w="1083" w:type="dxa"/>
            <w:shd w:val="clear" w:color="auto" w:fill="auto"/>
            <w:noWrap/>
            <w:vAlign w:val="center"/>
            <w:hideMark/>
          </w:tcPr>
          <w:p w:rsidR="008D573F" w:rsidRPr="006A25BA" w:rsidRDefault="008D573F" w:rsidP="008D573F">
            <w:pPr>
              <w:jc w:val="center"/>
              <w:rPr>
                <w:rFonts w:ascii="Arial" w:hAnsi="Arial" w:cs="Arial"/>
                <w:bCs/>
                <w:color w:val="000000"/>
                <w:sz w:val="18"/>
                <w:szCs w:val="18"/>
              </w:rPr>
            </w:pPr>
            <w:r w:rsidRPr="006A25BA">
              <w:rPr>
                <w:rFonts w:ascii="Arial" w:hAnsi="Arial" w:cs="Arial"/>
                <w:bCs/>
                <w:color w:val="000000"/>
                <w:sz w:val="18"/>
                <w:szCs w:val="18"/>
              </w:rPr>
              <w:t>167</w:t>
            </w:r>
          </w:p>
        </w:tc>
        <w:tc>
          <w:tcPr>
            <w:tcW w:w="1012" w:type="dxa"/>
            <w:shd w:val="clear" w:color="auto" w:fill="auto"/>
            <w:noWrap/>
            <w:vAlign w:val="center"/>
            <w:hideMark/>
          </w:tcPr>
          <w:p w:rsidR="008D573F" w:rsidRPr="006A25BA" w:rsidRDefault="008D573F" w:rsidP="008D573F">
            <w:pPr>
              <w:jc w:val="center"/>
              <w:rPr>
                <w:rFonts w:ascii="Arial" w:hAnsi="Arial" w:cs="Arial"/>
                <w:bCs/>
                <w:color w:val="000000"/>
                <w:sz w:val="18"/>
                <w:szCs w:val="18"/>
              </w:rPr>
            </w:pPr>
            <w:r w:rsidRPr="006A25BA">
              <w:rPr>
                <w:rFonts w:ascii="Arial" w:hAnsi="Arial" w:cs="Arial"/>
                <w:bCs/>
                <w:color w:val="000000"/>
                <w:sz w:val="18"/>
                <w:szCs w:val="18"/>
              </w:rPr>
              <w:t>652</w:t>
            </w:r>
          </w:p>
        </w:tc>
        <w:tc>
          <w:tcPr>
            <w:tcW w:w="1083" w:type="dxa"/>
            <w:shd w:val="clear" w:color="auto" w:fill="auto"/>
            <w:noWrap/>
            <w:vAlign w:val="center"/>
            <w:hideMark/>
          </w:tcPr>
          <w:p w:rsidR="008D573F" w:rsidRPr="006A25BA" w:rsidRDefault="008D573F" w:rsidP="008D573F">
            <w:pPr>
              <w:jc w:val="center"/>
              <w:rPr>
                <w:rFonts w:ascii="Arial" w:hAnsi="Arial" w:cs="Arial"/>
                <w:bCs/>
                <w:color w:val="000000"/>
                <w:sz w:val="18"/>
                <w:szCs w:val="18"/>
              </w:rPr>
            </w:pPr>
            <w:r w:rsidRPr="006A25BA">
              <w:rPr>
                <w:rFonts w:ascii="Arial" w:hAnsi="Arial" w:cs="Arial"/>
                <w:bCs/>
                <w:color w:val="000000"/>
                <w:sz w:val="18"/>
                <w:szCs w:val="18"/>
              </w:rPr>
              <w:t>177</w:t>
            </w:r>
          </w:p>
        </w:tc>
        <w:tc>
          <w:tcPr>
            <w:tcW w:w="966" w:type="dxa"/>
            <w:shd w:val="clear" w:color="auto" w:fill="auto"/>
            <w:noWrap/>
            <w:vAlign w:val="center"/>
            <w:hideMark/>
          </w:tcPr>
          <w:p w:rsidR="008D573F" w:rsidRPr="006A25BA" w:rsidRDefault="008D573F" w:rsidP="008D573F">
            <w:pPr>
              <w:jc w:val="center"/>
              <w:rPr>
                <w:rFonts w:ascii="Arial" w:hAnsi="Arial" w:cs="Arial"/>
                <w:bCs/>
                <w:color w:val="000000"/>
                <w:sz w:val="18"/>
                <w:szCs w:val="18"/>
              </w:rPr>
            </w:pPr>
            <w:r w:rsidRPr="006A25BA">
              <w:rPr>
                <w:rFonts w:ascii="Arial" w:hAnsi="Arial" w:cs="Arial"/>
                <w:bCs/>
                <w:color w:val="000000"/>
                <w:sz w:val="18"/>
                <w:szCs w:val="18"/>
              </w:rPr>
              <w:t>50</w:t>
            </w:r>
          </w:p>
        </w:tc>
        <w:tc>
          <w:tcPr>
            <w:tcW w:w="1011" w:type="dxa"/>
            <w:shd w:val="clear" w:color="auto" w:fill="auto"/>
            <w:noWrap/>
            <w:vAlign w:val="center"/>
            <w:hideMark/>
          </w:tcPr>
          <w:p w:rsidR="008D573F" w:rsidRPr="006A25BA" w:rsidRDefault="008D573F" w:rsidP="008D573F">
            <w:pPr>
              <w:jc w:val="center"/>
              <w:rPr>
                <w:rFonts w:ascii="Arial" w:hAnsi="Arial" w:cs="Arial"/>
                <w:bCs/>
                <w:color w:val="000000"/>
                <w:sz w:val="18"/>
                <w:szCs w:val="18"/>
              </w:rPr>
            </w:pPr>
            <w:r w:rsidRPr="006A25BA">
              <w:rPr>
                <w:rFonts w:ascii="Arial" w:hAnsi="Arial" w:cs="Arial"/>
                <w:bCs/>
                <w:color w:val="000000"/>
                <w:sz w:val="18"/>
                <w:szCs w:val="18"/>
              </w:rPr>
              <w:t>264</w:t>
            </w:r>
          </w:p>
        </w:tc>
        <w:tc>
          <w:tcPr>
            <w:tcW w:w="1065" w:type="dxa"/>
            <w:shd w:val="clear" w:color="auto" w:fill="auto"/>
            <w:noWrap/>
            <w:vAlign w:val="center"/>
            <w:hideMark/>
          </w:tcPr>
          <w:p w:rsidR="008D573F" w:rsidRPr="006A25BA" w:rsidRDefault="008D573F" w:rsidP="008D573F">
            <w:pPr>
              <w:jc w:val="center"/>
              <w:rPr>
                <w:rFonts w:ascii="Arial" w:hAnsi="Arial" w:cs="Arial"/>
                <w:bCs/>
                <w:color w:val="000000"/>
                <w:sz w:val="18"/>
                <w:szCs w:val="18"/>
              </w:rPr>
            </w:pPr>
            <w:r w:rsidRPr="006A25BA">
              <w:rPr>
                <w:rFonts w:ascii="Arial" w:hAnsi="Arial" w:cs="Arial"/>
                <w:bCs/>
                <w:color w:val="000000"/>
                <w:sz w:val="18"/>
                <w:szCs w:val="18"/>
              </w:rPr>
              <w:t>172</w:t>
            </w:r>
          </w:p>
        </w:tc>
        <w:tc>
          <w:tcPr>
            <w:tcW w:w="870" w:type="dxa"/>
            <w:shd w:val="clear" w:color="auto" w:fill="auto"/>
            <w:noWrap/>
            <w:vAlign w:val="center"/>
            <w:hideMark/>
          </w:tcPr>
          <w:p w:rsidR="008D573F" w:rsidRPr="006A25BA" w:rsidRDefault="008D573F" w:rsidP="008D573F">
            <w:pPr>
              <w:jc w:val="center"/>
              <w:rPr>
                <w:rFonts w:ascii="Arial" w:hAnsi="Arial" w:cs="Arial"/>
                <w:bCs/>
                <w:color w:val="000000"/>
                <w:sz w:val="18"/>
                <w:szCs w:val="18"/>
              </w:rPr>
            </w:pPr>
            <w:r w:rsidRPr="006A25BA">
              <w:rPr>
                <w:rFonts w:ascii="Arial" w:hAnsi="Arial" w:cs="Arial"/>
                <w:bCs/>
                <w:color w:val="000000"/>
                <w:sz w:val="18"/>
                <w:szCs w:val="18"/>
              </w:rPr>
              <w:t>30</w:t>
            </w:r>
          </w:p>
        </w:tc>
        <w:tc>
          <w:tcPr>
            <w:tcW w:w="769" w:type="dxa"/>
            <w:shd w:val="clear" w:color="auto" w:fill="auto"/>
            <w:noWrap/>
            <w:vAlign w:val="center"/>
            <w:hideMark/>
          </w:tcPr>
          <w:p w:rsidR="008D573F" w:rsidRPr="00FB5604" w:rsidRDefault="008D573F" w:rsidP="008D573F">
            <w:pPr>
              <w:jc w:val="center"/>
              <w:rPr>
                <w:rFonts w:ascii="Arial" w:hAnsi="Arial" w:cs="Arial"/>
                <w:b/>
                <w:bCs/>
                <w:color w:val="000000"/>
                <w:sz w:val="18"/>
                <w:szCs w:val="18"/>
              </w:rPr>
            </w:pPr>
            <w:r w:rsidRPr="00FB5604">
              <w:rPr>
                <w:rFonts w:ascii="Arial" w:hAnsi="Arial" w:cs="Arial"/>
                <w:b/>
                <w:bCs/>
                <w:color w:val="000000"/>
                <w:sz w:val="18"/>
                <w:szCs w:val="18"/>
              </w:rPr>
              <w:t>1512</w:t>
            </w:r>
          </w:p>
        </w:tc>
      </w:tr>
      <w:tr w:rsidR="008D573F" w:rsidRPr="00FB5604" w:rsidTr="008D573F">
        <w:trPr>
          <w:trHeight w:val="392"/>
        </w:trPr>
        <w:tc>
          <w:tcPr>
            <w:tcW w:w="1138" w:type="dxa"/>
            <w:shd w:val="clear" w:color="auto" w:fill="auto"/>
            <w:noWrap/>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Total</w:t>
            </w:r>
          </w:p>
        </w:tc>
        <w:tc>
          <w:tcPr>
            <w:tcW w:w="1083" w:type="dxa"/>
            <w:shd w:val="clear" w:color="auto" w:fill="auto"/>
            <w:noWrap/>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1,517</w:t>
            </w:r>
          </w:p>
        </w:tc>
        <w:tc>
          <w:tcPr>
            <w:tcW w:w="1012" w:type="dxa"/>
            <w:shd w:val="clear" w:color="auto" w:fill="auto"/>
            <w:noWrap/>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4,056</w:t>
            </w:r>
          </w:p>
        </w:tc>
        <w:tc>
          <w:tcPr>
            <w:tcW w:w="1083" w:type="dxa"/>
            <w:shd w:val="clear" w:color="auto" w:fill="auto"/>
            <w:noWrap/>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1,301</w:t>
            </w:r>
          </w:p>
        </w:tc>
        <w:tc>
          <w:tcPr>
            <w:tcW w:w="966" w:type="dxa"/>
            <w:shd w:val="clear" w:color="auto" w:fill="auto"/>
            <w:noWrap/>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621</w:t>
            </w:r>
          </w:p>
        </w:tc>
        <w:tc>
          <w:tcPr>
            <w:tcW w:w="1011" w:type="dxa"/>
            <w:shd w:val="clear" w:color="auto" w:fill="auto"/>
            <w:noWrap/>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1,834</w:t>
            </w:r>
          </w:p>
        </w:tc>
        <w:tc>
          <w:tcPr>
            <w:tcW w:w="1065" w:type="dxa"/>
            <w:shd w:val="clear" w:color="auto" w:fill="auto"/>
            <w:noWrap/>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1,060</w:t>
            </w:r>
          </w:p>
        </w:tc>
        <w:tc>
          <w:tcPr>
            <w:tcW w:w="870" w:type="dxa"/>
            <w:shd w:val="clear" w:color="auto" w:fill="auto"/>
            <w:noWrap/>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231</w:t>
            </w:r>
          </w:p>
        </w:tc>
        <w:tc>
          <w:tcPr>
            <w:tcW w:w="769" w:type="dxa"/>
            <w:shd w:val="clear" w:color="auto" w:fill="auto"/>
            <w:noWrap/>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10,620</w:t>
            </w:r>
          </w:p>
        </w:tc>
      </w:tr>
    </w:tbl>
    <w:p w:rsidR="002E542D" w:rsidRPr="007105F2" w:rsidRDefault="008D573F" w:rsidP="007105F2">
      <w:pPr>
        <w:rPr>
          <w:rFonts w:asciiTheme="minorHAnsi" w:hAnsiTheme="minorHAnsi" w:cstheme="minorHAnsi"/>
          <w:i/>
          <w:sz w:val="16"/>
          <w:szCs w:val="16"/>
        </w:rPr>
      </w:pPr>
      <w:r w:rsidRPr="00D409BF">
        <w:rPr>
          <w:rFonts w:asciiTheme="minorHAnsi" w:hAnsiTheme="minorHAnsi" w:cstheme="minorHAnsi"/>
          <w:i/>
          <w:sz w:val="16"/>
          <w:szCs w:val="16"/>
        </w:rPr>
        <w:t>Source: Department of Health, Medical Benefits Division, Primary Care and Diagnostics Branch, MBS Analytics Section, Reference no.: Q20863, July 2017</w:t>
      </w:r>
    </w:p>
    <w:p w:rsidR="008D573F" w:rsidRPr="003262E6" w:rsidRDefault="00CA3DEE" w:rsidP="00CA3DEE">
      <w:pPr>
        <w:rPr>
          <w:rFonts w:asciiTheme="minorHAnsi" w:hAnsiTheme="minorHAnsi" w:cs="Arial"/>
          <w:b/>
          <w:bCs/>
          <w:color w:val="000000"/>
          <w:sz w:val="20"/>
        </w:rPr>
      </w:pPr>
      <w:r>
        <w:rPr>
          <w:rFonts w:asciiTheme="minorHAnsi" w:hAnsiTheme="minorHAnsi" w:cs="Arial"/>
          <w:b/>
          <w:bCs/>
          <w:color w:val="000000"/>
          <w:sz w:val="20"/>
        </w:rPr>
        <w:t xml:space="preserve">Table 5: </w:t>
      </w:r>
      <w:r w:rsidR="008D573F" w:rsidRPr="003262E6">
        <w:rPr>
          <w:rFonts w:asciiTheme="minorHAnsi" w:hAnsiTheme="minorHAnsi" w:cs="Arial"/>
          <w:b/>
          <w:bCs/>
          <w:color w:val="000000"/>
          <w:sz w:val="20"/>
        </w:rPr>
        <w:t>Item 31572, State/Territory</w:t>
      </w:r>
    </w:p>
    <w:tbl>
      <w:tblPr>
        <w:tblW w:w="90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tate and Territory service volumes for MBS item 31572 in 2013-17"/>
        <w:tblDescription w:val="For item 31572, the total service volumes across the 4 years since implementation was 6,657. This includes 1,346 in New South Wales and the Australian Capital Territory, 1,624 in Victoria and Tasmania, 2,000 in Queensland and the Northern Territory, 888 in South Australia and 799 in Western Australia "/>
      </w:tblPr>
      <w:tblGrid>
        <w:gridCol w:w="1382"/>
        <w:gridCol w:w="1103"/>
        <w:gridCol w:w="1590"/>
        <w:gridCol w:w="1420"/>
        <w:gridCol w:w="1169"/>
        <w:gridCol w:w="1169"/>
        <w:gridCol w:w="1169"/>
      </w:tblGrid>
      <w:tr w:rsidR="008D573F" w:rsidRPr="004E0FD4" w:rsidTr="00540F30">
        <w:trPr>
          <w:trHeight w:val="423"/>
        </w:trPr>
        <w:tc>
          <w:tcPr>
            <w:tcW w:w="1382" w:type="dxa"/>
            <w:tcBorders>
              <w:top w:val="nil"/>
              <w:left w:val="nil"/>
            </w:tcBorders>
            <w:shd w:val="clear" w:color="000000" w:fill="FFFFFF"/>
            <w:noWrap/>
            <w:vAlign w:val="center"/>
            <w:hideMark/>
          </w:tcPr>
          <w:p w:rsidR="008D573F" w:rsidRDefault="008D573F" w:rsidP="008D573F">
            <w:pPr>
              <w:jc w:val="center"/>
              <w:rPr>
                <w:rFonts w:ascii="Arial" w:hAnsi="Arial" w:cs="Arial"/>
                <w:b/>
                <w:bCs/>
                <w:color w:val="000000"/>
                <w:sz w:val="18"/>
                <w:szCs w:val="18"/>
              </w:rPr>
            </w:pPr>
          </w:p>
        </w:tc>
        <w:tc>
          <w:tcPr>
            <w:tcW w:w="1103" w:type="dxa"/>
            <w:shd w:val="clear" w:color="000000" w:fill="548DD4"/>
            <w:noWrap/>
            <w:vAlign w:val="center"/>
            <w:hideMark/>
          </w:tcPr>
          <w:p w:rsidR="008D573F" w:rsidRDefault="008D573F" w:rsidP="008D573F">
            <w:pPr>
              <w:jc w:val="center"/>
              <w:rPr>
                <w:rFonts w:ascii="Arial" w:hAnsi="Arial" w:cs="Arial"/>
                <w:b/>
                <w:bCs/>
                <w:color w:val="FFFFFF"/>
                <w:sz w:val="18"/>
                <w:szCs w:val="18"/>
              </w:rPr>
            </w:pPr>
            <w:r>
              <w:rPr>
                <w:rFonts w:ascii="Arial" w:hAnsi="Arial" w:cs="Arial"/>
                <w:b/>
                <w:bCs/>
                <w:color w:val="FFFFFF" w:themeColor="background1"/>
                <w:sz w:val="18"/>
                <w:szCs w:val="18"/>
              </w:rPr>
              <w:t>NSW &amp; ACT</w:t>
            </w:r>
          </w:p>
        </w:tc>
        <w:tc>
          <w:tcPr>
            <w:tcW w:w="1590" w:type="dxa"/>
            <w:shd w:val="clear" w:color="000000" w:fill="548DD4"/>
            <w:noWrap/>
            <w:vAlign w:val="center"/>
            <w:hideMark/>
          </w:tcPr>
          <w:p w:rsidR="008D573F" w:rsidRDefault="008D573F" w:rsidP="008D573F">
            <w:pPr>
              <w:jc w:val="center"/>
              <w:rPr>
                <w:rFonts w:ascii="Arial" w:hAnsi="Arial" w:cs="Arial"/>
                <w:b/>
                <w:bCs/>
                <w:color w:val="FFFFFF"/>
                <w:sz w:val="18"/>
                <w:szCs w:val="18"/>
              </w:rPr>
            </w:pPr>
            <w:r>
              <w:rPr>
                <w:rFonts w:ascii="Arial" w:hAnsi="Arial" w:cs="Arial"/>
                <w:b/>
                <w:bCs/>
                <w:color w:val="FFFFFF" w:themeColor="background1"/>
                <w:sz w:val="18"/>
                <w:szCs w:val="18"/>
              </w:rPr>
              <w:t>VIC &amp; TAS</w:t>
            </w:r>
          </w:p>
        </w:tc>
        <w:tc>
          <w:tcPr>
            <w:tcW w:w="1420" w:type="dxa"/>
            <w:shd w:val="clear" w:color="000000" w:fill="548DD4"/>
            <w:noWrap/>
            <w:vAlign w:val="center"/>
            <w:hideMark/>
          </w:tcPr>
          <w:p w:rsidR="008D573F" w:rsidRDefault="008D573F" w:rsidP="008D573F">
            <w:pPr>
              <w:jc w:val="center"/>
              <w:rPr>
                <w:rFonts w:ascii="Arial" w:hAnsi="Arial" w:cs="Arial"/>
                <w:b/>
                <w:bCs/>
                <w:color w:val="FFFFFF"/>
                <w:sz w:val="18"/>
                <w:szCs w:val="18"/>
              </w:rPr>
            </w:pPr>
            <w:r>
              <w:rPr>
                <w:rFonts w:ascii="Arial" w:hAnsi="Arial" w:cs="Arial"/>
                <w:b/>
                <w:bCs/>
                <w:color w:val="FFFFFF" w:themeColor="background1"/>
                <w:sz w:val="18"/>
                <w:szCs w:val="18"/>
              </w:rPr>
              <w:t>QLD &amp; NT</w:t>
            </w:r>
          </w:p>
        </w:tc>
        <w:tc>
          <w:tcPr>
            <w:tcW w:w="1169" w:type="dxa"/>
            <w:shd w:val="clear" w:color="000000" w:fill="548DD4"/>
            <w:noWrap/>
            <w:vAlign w:val="center"/>
            <w:hideMark/>
          </w:tcPr>
          <w:p w:rsidR="008D573F" w:rsidRDefault="008D573F" w:rsidP="008D573F">
            <w:pPr>
              <w:jc w:val="center"/>
              <w:rPr>
                <w:rFonts w:ascii="Arial" w:hAnsi="Arial" w:cs="Arial"/>
                <w:b/>
                <w:bCs/>
                <w:color w:val="FFFFFF"/>
                <w:sz w:val="18"/>
                <w:szCs w:val="18"/>
              </w:rPr>
            </w:pPr>
            <w:r>
              <w:rPr>
                <w:rFonts w:ascii="Arial" w:hAnsi="Arial" w:cs="Arial"/>
                <w:b/>
                <w:bCs/>
                <w:color w:val="FFFFFF" w:themeColor="background1"/>
                <w:sz w:val="18"/>
                <w:szCs w:val="18"/>
              </w:rPr>
              <w:t>SA</w:t>
            </w:r>
          </w:p>
        </w:tc>
        <w:tc>
          <w:tcPr>
            <w:tcW w:w="1169" w:type="dxa"/>
            <w:shd w:val="clear" w:color="000000" w:fill="548DD4"/>
            <w:noWrap/>
            <w:vAlign w:val="center"/>
            <w:hideMark/>
          </w:tcPr>
          <w:p w:rsidR="008D573F" w:rsidRDefault="008D573F" w:rsidP="008D573F">
            <w:pPr>
              <w:jc w:val="center"/>
              <w:rPr>
                <w:rFonts w:ascii="Arial" w:hAnsi="Arial" w:cs="Arial"/>
                <w:b/>
                <w:bCs/>
                <w:color w:val="FFFFFF"/>
                <w:sz w:val="18"/>
                <w:szCs w:val="18"/>
              </w:rPr>
            </w:pPr>
            <w:r>
              <w:rPr>
                <w:rFonts w:ascii="Arial" w:hAnsi="Arial" w:cs="Arial"/>
                <w:b/>
                <w:bCs/>
                <w:color w:val="FFFFFF" w:themeColor="background1"/>
                <w:sz w:val="18"/>
                <w:szCs w:val="18"/>
              </w:rPr>
              <w:t>WA</w:t>
            </w:r>
          </w:p>
        </w:tc>
        <w:tc>
          <w:tcPr>
            <w:tcW w:w="1169" w:type="dxa"/>
            <w:shd w:val="clear" w:color="000000" w:fill="548DD4"/>
            <w:noWrap/>
            <w:vAlign w:val="center"/>
            <w:hideMark/>
          </w:tcPr>
          <w:p w:rsidR="008D573F" w:rsidRPr="004E0FD4" w:rsidRDefault="008D573F" w:rsidP="008D573F">
            <w:pPr>
              <w:jc w:val="center"/>
              <w:rPr>
                <w:rFonts w:ascii="Arial" w:hAnsi="Arial" w:cs="Arial"/>
                <w:b/>
                <w:bCs/>
                <w:color w:val="FFFFFF"/>
                <w:sz w:val="18"/>
                <w:szCs w:val="18"/>
              </w:rPr>
            </w:pPr>
            <w:r w:rsidRPr="004E0FD4">
              <w:rPr>
                <w:rFonts w:ascii="Arial" w:hAnsi="Arial" w:cs="Arial"/>
                <w:b/>
                <w:bCs/>
                <w:color w:val="FFFFFF" w:themeColor="background1"/>
                <w:sz w:val="18"/>
                <w:szCs w:val="18"/>
              </w:rPr>
              <w:t>Total</w:t>
            </w:r>
          </w:p>
        </w:tc>
      </w:tr>
      <w:tr w:rsidR="008D573F" w:rsidRPr="004E0FD4" w:rsidTr="00540F30">
        <w:trPr>
          <w:trHeight w:val="423"/>
        </w:trPr>
        <w:tc>
          <w:tcPr>
            <w:tcW w:w="1382" w:type="dxa"/>
            <w:shd w:val="clear" w:color="000000" w:fill="FFFFFF"/>
            <w:noWrap/>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2013/14</w:t>
            </w:r>
          </w:p>
        </w:tc>
        <w:tc>
          <w:tcPr>
            <w:tcW w:w="1103" w:type="dxa"/>
            <w:shd w:val="clear" w:color="000000" w:fill="FFFFFF"/>
            <w:noWrap/>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170</w:t>
            </w:r>
          </w:p>
        </w:tc>
        <w:tc>
          <w:tcPr>
            <w:tcW w:w="1590" w:type="dxa"/>
            <w:shd w:val="clear" w:color="000000" w:fill="FFFFFF"/>
            <w:noWrap/>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233</w:t>
            </w:r>
          </w:p>
        </w:tc>
        <w:tc>
          <w:tcPr>
            <w:tcW w:w="1420" w:type="dxa"/>
            <w:shd w:val="clear" w:color="000000" w:fill="FFFFFF"/>
            <w:noWrap/>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309</w:t>
            </w:r>
          </w:p>
        </w:tc>
        <w:tc>
          <w:tcPr>
            <w:tcW w:w="1169" w:type="dxa"/>
            <w:shd w:val="clear" w:color="000000" w:fill="FFFFFF"/>
            <w:noWrap/>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137</w:t>
            </w:r>
          </w:p>
        </w:tc>
        <w:tc>
          <w:tcPr>
            <w:tcW w:w="1169" w:type="dxa"/>
            <w:shd w:val="clear" w:color="000000" w:fill="FFFFFF"/>
            <w:noWrap/>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33</w:t>
            </w:r>
          </w:p>
        </w:tc>
        <w:tc>
          <w:tcPr>
            <w:tcW w:w="1169" w:type="dxa"/>
            <w:shd w:val="clear" w:color="000000" w:fill="FFFFFF"/>
            <w:noWrap/>
            <w:vAlign w:val="center"/>
            <w:hideMark/>
          </w:tcPr>
          <w:p w:rsidR="008D573F" w:rsidRPr="004E0FD4" w:rsidRDefault="008D573F" w:rsidP="008D573F">
            <w:pPr>
              <w:jc w:val="center"/>
              <w:rPr>
                <w:rFonts w:ascii="Arial" w:hAnsi="Arial" w:cs="Arial"/>
                <w:b/>
                <w:bCs/>
                <w:color w:val="000000"/>
                <w:sz w:val="18"/>
                <w:szCs w:val="18"/>
              </w:rPr>
            </w:pPr>
            <w:r w:rsidRPr="004E0FD4">
              <w:rPr>
                <w:rFonts w:ascii="Arial" w:hAnsi="Arial" w:cs="Arial"/>
                <w:b/>
                <w:bCs/>
                <w:color w:val="000000"/>
                <w:sz w:val="18"/>
                <w:szCs w:val="18"/>
              </w:rPr>
              <w:t>882</w:t>
            </w:r>
          </w:p>
        </w:tc>
      </w:tr>
      <w:tr w:rsidR="008D573F" w:rsidRPr="004E0FD4" w:rsidTr="00540F30">
        <w:trPr>
          <w:trHeight w:val="423"/>
        </w:trPr>
        <w:tc>
          <w:tcPr>
            <w:tcW w:w="1382" w:type="dxa"/>
            <w:shd w:val="clear" w:color="000000" w:fill="FFFFFF"/>
            <w:noWrap/>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2014/2015</w:t>
            </w:r>
          </w:p>
        </w:tc>
        <w:tc>
          <w:tcPr>
            <w:tcW w:w="1103" w:type="dxa"/>
            <w:shd w:val="clear" w:color="000000" w:fill="FFFFFF"/>
            <w:noWrap/>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269</w:t>
            </w:r>
          </w:p>
        </w:tc>
        <w:tc>
          <w:tcPr>
            <w:tcW w:w="1590" w:type="dxa"/>
            <w:shd w:val="clear" w:color="000000" w:fill="FFFFFF"/>
            <w:noWrap/>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340</w:t>
            </w:r>
          </w:p>
        </w:tc>
        <w:tc>
          <w:tcPr>
            <w:tcW w:w="1420" w:type="dxa"/>
            <w:shd w:val="clear" w:color="000000" w:fill="FFFFFF"/>
            <w:noWrap/>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391</w:t>
            </w:r>
          </w:p>
        </w:tc>
        <w:tc>
          <w:tcPr>
            <w:tcW w:w="1169" w:type="dxa"/>
            <w:shd w:val="clear" w:color="000000" w:fill="FFFFFF"/>
            <w:noWrap/>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200</w:t>
            </w:r>
          </w:p>
        </w:tc>
        <w:tc>
          <w:tcPr>
            <w:tcW w:w="1169" w:type="dxa"/>
            <w:shd w:val="clear" w:color="000000" w:fill="FFFFFF"/>
            <w:noWrap/>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123</w:t>
            </w:r>
          </w:p>
        </w:tc>
        <w:tc>
          <w:tcPr>
            <w:tcW w:w="1169" w:type="dxa"/>
            <w:shd w:val="clear" w:color="000000" w:fill="FFFFFF"/>
            <w:noWrap/>
            <w:vAlign w:val="center"/>
            <w:hideMark/>
          </w:tcPr>
          <w:p w:rsidR="008D573F" w:rsidRPr="004E0FD4" w:rsidRDefault="008D573F" w:rsidP="008D573F">
            <w:pPr>
              <w:jc w:val="center"/>
              <w:rPr>
                <w:rFonts w:ascii="Arial" w:hAnsi="Arial" w:cs="Arial"/>
                <w:b/>
                <w:bCs/>
                <w:color w:val="000000"/>
                <w:sz w:val="18"/>
                <w:szCs w:val="18"/>
              </w:rPr>
            </w:pPr>
            <w:r w:rsidRPr="004E0FD4">
              <w:rPr>
                <w:rFonts w:ascii="Arial" w:hAnsi="Arial" w:cs="Arial"/>
                <w:b/>
                <w:bCs/>
                <w:color w:val="000000"/>
                <w:sz w:val="18"/>
                <w:szCs w:val="18"/>
              </w:rPr>
              <w:t>1,323</w:t>
            </w:r>
          </w:p>
        </w:tc>
      </w:tr>
      <w:tr w:rsidR="008D573F" w:rsidRPr="004E0FD4" w:rsidTr="00540F30">
        <w:trPr>
          <w:trHeight w:val="423"/>
        </w:trPr>
        <w:tc>
          <w:tcPr>
            <w:tcW w:w="1382" w:type="dxa"/>
            <w:shd w:val="clear" w:color="000000" w:fill="FFFFFF"/>
            <w:noWrap/>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2015/2016</w:t>
            </w:r>
          </w:p>
        </w:tc>
        <w:tc>
          <w:tcPr>
            <w:tcW w:w="1103" w:type="dxa"/>
            <w:shd w:val="clear" w:color="000000" w:fill="FFFFFF"/>
            <w:noWrap/>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400</w:t>
            </w:r>
          </w:p>
        </w:tc>
        <w:tc>
          <w:tcPr>
            <w:tcW w:w="1590" w:type="dxa"/>
            <w:shd w:val="clear" w:color="000000" w:fill="FFFFFF"/>
            <w:noWrap/>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495</w:t>
            </w:r>
          </w:p>
        </w:tc>
        <w:tc>
          <w:tcPr>
            <w:tcW w:w="1420" w:type="dxa"/>
            <w:shd w:val="clear" w:color="000000" w:fill="FFFFFF"/>
            <w:noWrap/>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556</w:t>
            </w:r>
          </w:p>
        </w:tc>
        <w:tc>
          <w:tcPr>
            <w:tcW w:w="1169" w:type="dxa"/>
            <w:shd w:val="clear" w:color="000000" w:fill="FFFFFF"/>
            <w:noWrap/>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265</w:t>
            </w:r>
          </w:p>
        </w:tc>
        <w:tc>
          <w:tcPr>
            <w:tcW w:w="1169" w:type="dxa"/>
            <w:shd w:val="clear" w:color="000000" w:fill="FFFFFF"/>
            <w:noWrap/>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313</w:t>
            </w:r>
          </w:p>
        </w:tc>
        <w:tc>
          <w:tcPr>
            <w:tcW w:w="1169" w:type="dxa"/>
            <w:shd w:val="clear" w:color="000000" w:fill="FFFFFF"/>
            <w:noWrap/>
            <w:vAlign w:val="center"/>
            <w:hideMark/>
          </w:tcPr>
          <w:p w:rsidR="008D573F" w:rsidRPr="004E0FD4" w:rsidRDefault="008D573F" w:rsidP="008D573F">
            <w:pPr>
              <w:jc w:val="center"/>
              <w:rPr>
                <w:rFonts w:ascii="Arial" w:hAnsi="Arial" w:cs="Arial"/>
                <w:b/>
                <w:bCs/>
                <w:color w:val="000000"/>
                <w:sz w:val="18"/>
                <w:szCs w:val="18"/>
              </w:rPr>
            </w:pPr>
            <w:r w:rsidRPr="004E0FD4">
              <w:rPr>
                <w:rFonts w:ascii="Arial" w:hAnsi="Arial" w:cs="Arial"/>
                <w:b/>
                <w:bCs/>
                <w:color w:val="000000"/>
                <w:sz w:val="18"/>
                <w:szCs w:val="18"/>
              </w:rPr>
              <w:t>2,029</w:t>
            </w:r>
          </w:p>
        </w:tc>
      </w:tr>
      <w:tr w:rsidR="008D573F" w:rsidRPr="004E0FD4" w:rsidTr="00540F30">
        <w:trPr>
          <w:trHeight w:val="423"/>
        </w:trPr>
        <w:tc>
          <w:tcPr>
            <w:tcW w:w="1382" w:type="dxa"/>
            <w:shd w:val="clear" w:color="000000" w:fill="FFFFFF"/>
            <w:noWrap/>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2016/2017</w:t>
            </w:r>
          </w:p>
        </w:tc>
        <w:tc>
          <w:tcPr>
            <w:tcW w:w="1103" w:type="dxa"/>
            <w:shd w:val="clear" w:color="000000" w:fill="FFFFFF"/>
            <w:noWrap/>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507</w:t>
            </w:r>
          </w:p>
        </w:tc>
        <w:tc>
          <w:tcPr>
            <w:tcW w:w="1590" w:type="dxa"/>
            <w:shd w:val="clear" w:color="000000" w:fill="FFFFFF"/>
            <w:noWrap/>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556</w:t>
            </w:r>
          </w:p>
        </w:tc>
        <w:tc>
          <w:tcPr>
            <w:tcW w:w="1420" w:type="dxa"/>
            <w:shd w:val="clear" w:color="000000" w:fill="FFFFFF"/>
            <w:noWrap/>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744</w:t>
            </w:r>
          </w:p>
        </w:tc>
        <w:tc>
          <w:tcPr>
            <w:tcW w:w="1169" w:type="dxa"/>
            <w:shd w:val="clear" w:color="000000" w:fill="FFFFFF"/>
            <w:noWrap/>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286</w:t>
            </w:r>
          </w:p>
        </w:tc>
        <w:tc>
          <w:tcPr>
            <w:tcW w:w="1169" w:type="dxa"/>
            <w:shd w:val="clear" w:color="000000" w:fill="FFFFFF"/>
            <w:noWrap/>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330</w:t>
            </w:r>
          </w:p>
        </w:tc>
        <w:tc>
          <w:tcPr>
            <w:tcW w:w="1169" w:type="dxa"/>
            <w:shd w:val="clear" w:color="000000" w:fill="FFFFFF"/>
            <w:noWrap/>
            <w:vAlign w:val="center"/>
            <w:hideMark/>
          </w:tcPr>
          <w:p w:rsidR="008D573F" w:rsidRPr="004E0FD4" w:rsidRDefault="008D573F" w:rsidP="008D573F">
            <w:pPr>
              <w:jc w:val="center"/>
              <w:rPr>
                <w:rFonts w:ascii="Arial" w:hAnsi="Arial" w:cs="Arial"/>
                <w:b/>
                <w:bCs/>
                <w:color w:val="000000"/>
                <w:sz w:val="18"/>
                <w:szCs w:val="18"/>
              </w:rPr>
            </w:pPr>
            <w:r w:rsidRPr="004E0FD4">
              <w:rPr>
                <w:rFonts w:ascii="Arial" w:hAnsi="Arial" w:cs="Arial"/>
                <w:b/>
                <w:bCs/>
                <w:color w:val="000000"/>
                <w:sz w:val="18"/>
                <w:szCs w:val="18"/>
              </w:rPr>
              <w:t>2,423</w:t>
            </w:r>
          </w:p>
        </w:tc>
      </w:tr>
      <w:tr w:rsidR="008D573F" w:rsidRPr="00995C41" w:rsidTr="00540F30">
        <w:trPr>
          <w:trHeight w:val="423"/>
        </w:trPr>
        <w:tc>
          <w:tcPr>
            <w:tcW w:w="1382" w:type="dxa"/>
            <w:shd w:val="clear" w:color="000000" w:fill="FFFFFF"/>
            <w:noWrap/>
            <w:vAlign w:val="center"/>
            <w:hideMark/>
          </w:tcPr>
          <w:p w:rsidR="008D573F" w:rsidRPr="00995C41" w:rsidRDefault="008D573F" w:rsidP="008D573F">
            <w:pPr>
              <w:jc w:val="center"/>
              <w:rPr>
                <w:rFonts w:ascii="Arial" w:hAnsi="Arial" w:cs="Arial"/>
                <w:b/>
                <w:bCs/>
                <w:color w:val="000000"/>
                <w:sz w:val="18"/>
                <w:szCs w:val="18"/>
              </w:rPr>
            </w:pPr>
            <w:r w:rsidRPr="00995C41">
              <w:rPr>
                <w:rFonts w:ascii="Arial" w:hAnsi="Arial" w:cs="Arial"/>
                <w:b/>
                <w:bCs/>
                <w:color w:val="000000"/>
                <w:sz w:val="18"/>
                <w:szCs w:val="18"/>
              </w:rPr>
              <w:t>Total</w:t>
            </w:r>
          </w:p>
        </w:tc>
        <w:tc>
          <w:tcPr>
            <w:tcW w:w="1103" w:type="dxa"/>
            <w:shd w:val="clear" w:color="000000" w:fill="FFFFFF"/>
            <w:noWrap/>
            <w:vAlign w:val="center"/>
            <w:hideMark/>
          </w:tcPr>
          <w:p w:rsidR="008D573F" w:rsidRPr="00995C41" w:rsidRDefault="008D573F" w:rsidP="008D573F">
            <w:pPr>
              <w:jc w:val="center"/>
              <w:rPr>
                <w:rFonts w:ascii="Arial" w:hAnsi="Arial" w:cs="Arial"/>
                <w:b/>
                <w:color w:val="000000"/>
                <w:sz w:val="18"/>
                <w:szCs w:val="18"/>
              </w:rPr>
            </w:pPr>
            <w:r w:rsidRPr="00995C41">
              <w:rPr>
                <w:rFonts w:ascii="Arial" w:hAnsi="Arial" w:cs="Arial"/>
                <w:b/>
                <w:color w:val="000000"/>
                <w:sz w:val="18"/>
                <w:szCs w:val="18"/>
              </w:rPr>
              <w:t>1,346</w:t>
            </w:r>
          </w:p>
        </w:tc>
        <w:tc>
          <w:tcPr>
            <w:tcW w:w="1590" w:type="dxa"/>
            <w:shd w:val="clear" w:color="000000" w:fill="FFFFFF"/>
            <w:noWrap/>
            <w:vAlign w:val="center"/>
            <w:hideMark/>
          </w:tcPr>
          <w:p w:rsidR="008D573F" w:rsidRPr="00995C41" w:rsidRDefault="008D573F" w:rsidP="008D573F">
            <w:pPr>
              <w:jc w:val="center"/>
              <w:rPr>
                <w:rFonts w:ascii="Arial" w:hAnsi="Arial" w:cs="Arial"/>
                <w:b/>
                <w:color w:val="000000"/>
                <w:sz w:val="18"/>
                <w:szCs w:val="18"/>
              </w:rPr>
            </w:pPr>
            <w:r w:rsidRPr="00995C41">
              <w:rPr>
                <w:rFonts w:ascii="Arial" w:hAnsi="Arial" w:cs="Arial"/>
                <w:b/>
                <w:color w:val="000000"/>
                <w:sz w:val="18"/>
                <w:szCs w:val="18"/>
              </w:rPr>
              <w:t>1,624</w:t>
            </w:r>
          </w:p>
        </w:tc>
        <w:tc>
          <w:tcPr>
            <w:tcW w:w="1420" w:type="dxa"/>
            <w:shd w:val="clear" w:color="000000" w:fill="FFFFFF"/>
            <w:noWrap/>
            <w:vAlign w:val="center"/>
            <w:hideMark/>
          </w:tcPr>
          <w:p w:rsidR="008D573F" w:rsidRPr="00995C41" w:rsidRDefault="008D573F" w:rsidP="008D573F">
            <w:pPr>
              <w:jc w:val="center"/>
              <w:rPr>
                <w:rFonts w:ascii="Arial" w:hAnsi="Arial" w:cs="Arial"/>
                <w:b/>
                <w:color w:val="000000"/>
                <w:sz w:val="18"/>
                <w:szCs w:val="18"/>
              </w:rPr>
            </w:pPr>
            <w:r w:rsidRPr="00995C41">
              <w:rPr>
                <w:rFonts w:ascii="Arial" w:hAnsi="Arial" w:cs="Arial"/>
                <w:b/>
                <w:color w:val="000000"/>
                <w:sz w:val="18"/>
                <w:szCs w:val="18"/>
              </w:rPr>
              <w:t>2,000</w:t>
            </w:r>
          </w:p>
        </w:tc>
        <w:tc>
          <w:tcPr>
            <w:tcW w:w="1169" w:type="dxa"/>
            <w:shd w:val="clear" w:color="000000" w:fill="FFFFFF"/>
            <w:noWrap/>
            <w:vAlign w:val="center"/>
            <w:hideMark/>
          </w:tcPr>
          <w:p w:rsidR="008D573F" w:rsidRPr="00995C41" w:rsidRDefault="008D573F" w:rsidP="008D573F">
            <w:pPr>
              <w:jc w:val="center"/>
              <w:rPr>
                <w:rFonts w:ascii="Arial" w:hAnsi="Arial" w:cs="Arial"/>
                <w:b/>
                <w:bCs/>
                <w:color w:val="000000"/>
                <w:sz w:val="18"/>
                <w:szCs w:val="18"/>
              </w:rPr>
            </w:pPr>
            <w:r w:rsidRPr="00995C41">
              <w:rPr>
                <w:rFonts w:ascii="Arial" w:hAnsi="Arial" w:cs="Arial"/>
                <w:b/>
                <w:bCs/>
                <w:color w:val="000000"/>
                <w:sz w:val="18"/>
                <w:szCs w:val="18"/>
              </w:rPr>
              <w:t>888</w:t>
            </w:r>
          </w:p>
        </w:tc>
        <w:tc>
          <w:tcPr>
            <w:tcW w:w="1169" w:type="dxa"/>
            <w:shd w:val="clear" w:color="000000" w:fill="FFFFFF"/>
            <w:noWrap/>
            <w:vAlign w:val="center"/>
            <w:hideMark/>
          </w:tcPr>
          <w:p w:rsidR="008D573F" w:rsidRPr="00995C41" w:rsidRDefault="008D573F" w:rsidP="008D573F">
            <w:pPr>
              <w:jc w:val="center"/>
              <w:rPr>
                <w:rFonts w:ascii="Arial" w:hAnsi="Arial" w:cs="Arial"/>
                <w:b/>
                <w:bCs/>
                <w:color w:val="000000"/>
                <w:sz w:val="18"/>
                <w:szCs w:val="18"/>
              </w:rPr>
            </w:pPr>
            <w:r w:rsidRPr="00995C41">
              <w:rPr>
                <w:rFonts w:ascii="Arial" w:hAnsi="Arial" w:cs="Arial"/>
                <w:b/>
                <w:bCs/>
                <w:color w:val="000000"/>
                <w:sz w:val="18"/>
                <w:szCs w:val="18"/>
              </w:rPr>
              <w:t>799</w:t>
            </w:r>
          </w:p>
        </w:tc>
        <w:tc>
          <w:tcPr>
            <w:tcW w:w="1169" w:type="dxa"/>
            <w:shd w:val="clear" w:color="000000" w:fill="FFFFFF"/>
            <w:noWrap/>
            <w:vAlign w:val="center"/>
            <w:hideMark/>
          </w:tcPr>
          <w:p w:rsidR="008D573F" w:rsidRPr="00995C41" w:rsidRDefault="008D573F" w:rsidP="008D573F">
            <w:pPr>
              <w:jc w:val="center"/>
              <w:rPr>
                <w:rFonts w:ascii="Arial" w:hAnsi="Arial" w:cs="Arial"/>
                <w:b/>
                <w:bCs/>
                <w:color w:val="000000"/>
                <w:sz w:val="18"/>
                <w:szCs w:val="18"/>
              </w:rPr>
            </w:pPr>
            <w:r w:rsidRPr="00995C41">
              <w:rPr>
                <w:rFonts w:ascii="Arial" w:hAnsi="Arial" w:cs="Arial"/>
                <w:b/>
                <w:bCs/>
                <w:color w:val="000000"/>
                <w:sz w:val="18"/>
                <w:szCs w:val="18"/>
              </w:rPr>
              <w:t>6,657</w:t>
            </w:r>
          </w:p>
        </w:tc>
      </w:tr>
    </w:tbl>
    <w:p w:rsidR="008D573F" w:rsidRPr="00D409BF" w:rsidRDefault="008D573F" w:rsidP="00D167A6">
      <w:pPr>
        <w:rPr>
          <w:rFonts w:asciiTheme="minorHAnsi" w:hAnsiTheme="minorHAnsi" w:cstheme="minorHAnsi"/>
          <w:i/>
          <w:sz w:val="16"/>
          <w:szCs w:val="16"/>
        </w:rPr>
      </w:pPr>
      <w:r w:rsidRPr="00D409BF">
        <w:rPr>
          <w:rFonts w:asciiTheme="minorHAnsi" w:hAnsiTheme="minorHAnsi" w:cstheme="minorHAnsi"/>
          <w:i/>
          <w:sz w:val="16"/>
          <w:szCs w:val="16"/>
        </w:rPr>
        <w:t>Source: Department of Health, Medical Benefits Division, Primary Care and Diagnostics Branch, MBS Analytics Section, Reference no.: Q20863, July 2017</w:t>
      </w:r>
    </w:p>
    <w:p w:rsidR="008D573F" w:rsidRPr="003262E6" w:rsidRDefault="00CA3DEE" w:rsidP="00CA3DEE">
      <w:pPr>
        <w:rPr>
          <w:rFonts w:asciiTheme="minorHAnsi" w:hAnsiTheme="minorHAnsi" w:cs="Arial"/>
          <w:b/>
          <w:bCs/>
          <w:color w:val="000000"/>
          <w:sz w:val="20"/>
        </w:rPr>
      </w:pPr>
      <w:r>
        <w:rPr>
          <w:rFonts w:asciiTheme="minorHAnsi" w:hAnsiTheme="minorHAnsi" w:cs="Arial"/>
          <w:b/>
          <w:bCs/>
          <w:color w:val="000000"/>
          <w:sz w:val="20"/>
        </w:rPr>
        <w:lastRenderedPageBreak/>
        <w:t xml:space="preserve">Table 6: </w:t>
      </w:r>
      <w:r w:rsidR="008D573F" w:rsidRPr="003262E6">
        <w:rPr>
          <w:rFonts w:asciiTheme="minorHAnsi" w:hAnsiTheme="minorHAnsi" w:cs="Arial"/>
          <w:b/>
          <w:bCs/>
          <w:color w:val="000000"/>
          <w:sz w:val="20"/>
        </w:rPr>
        <w:t>Item 31575, State/Territory</w:t>
      </w:r>
    </w:p>
    <w:tbl>
      <w:tblPr>
        <w:tblW w:w="89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tate and Territory service volumes for MBS item 31575 in 2013-17"/>
        <w:tblDescription w:val="For item 31575, the total service volumes across the 4 years since implementation was 50,100. This includes 16,486 in New South Wales, 638 in the Australian Capital Territory, 6,156 in Victoria and Tasmania, 15,364 in Queensland and the Northern Territory, 1,961 in South Australia and 9,495 in Western Australia. "/>
      </w:tblPr>
      <w:tblGrid>
        <w:gridCol w:w="1253"/>
        <w:gridCol w:w="1031"/>
        <w:gridCol w:w="1284"/>
        <w:gridCol w:w="1265"/>
        <w:gridCol w:w="1031"/>
        <w:gridCol w:w="1031"/>
        <w:gridCol w:w="1031"/>
        <w:gridCol w:w="1031"/>
      </w:tblGrid>
      <w:tr w:rsidR="008D573F" w:rsidTr="00540F30">
        <w:trPr>
          <w:trHeight w:val="420"/>
        </w:trPr>
        <w:tc>
          <w:tcPr>
            <w:tcW w:w="1253" w:type="dxa"/>
            <w:tcBorders>
              <w:top w:val="nil"/>
              <w:left w:val="nil"/>
              <w:right w:val="single" w:sz="4" w:space="0" w:color="auto"/>
            </w:tcBorders>
            <w:shd w:val="clear" w:color="000000" w:fill="FFFFFF"/>
            <w:noWrap/>
            <w:vAlign w:val="center"/>
            <w:hideMark/>
          </w:tcPr>
          <w:p w:rsidR="008D573F" w:rsidRPr="00FB5604" w:rsidRDefault="008D573F" w:rsidP="008D573F">
            <w:pPr>
              <w:jc w:val="center"/>
              <w:rPr>
                <w:color w:val="000000"/>
                <w:sz w:val="20"/>
              </w:rPr>
            </w:pPr>
          </w:p>
        </w:tc>
        <w:tc>
          <w:tcPr>
            <w:tcW w:w="1031" w:type="dxa"/>
            <w:tcBorders>
              <w:left w:val="single" w:sz="4" w:space="0" w:color="auto"/>
            </w:tcBorders>
            <w:shd w:val="clear" w:color="000000" w:fill="548DD4"/>
            <w:noWrap/>
            <w:vAlign w:val="center"/>
            <w:hideMark/>
          </w:tcPr>
          <w:p w:rsidR="008D573F" w:rsidRPr="00FB5604" w:rsidRDefault="008D573F" w:rsidP="008D573F">
            <w:pPr>
              <w:jc w:val="center"/>
              <w:rPr>
                <w:rFonts w:ascii="Arial" w:hAnsi="Arial" w:cs="Arial"/>
                <w:b/>
                <w:bCs/>
                <w:color w:val="FFFFFF"/>
                <w:sz w:val="18"/>
                <w:szCs w:val="18"/>
              </w:rPr>
            </w:pPr>
            <w:r w:rsidRPr="00FB5604">
              <w:rPr>
                <w:rFonts w:ascii="Arial" w:hAnsi="Arial" w:cs="Arial"/>
                <w:b/>
                <w:bCs/>
                <w:color w:val="FFFFFF"/>
                <w:sz w:val="18"/>
                <w:szCs w:val="18"/>
              </w:rPr>
              <w:t>NSW</w:t>
            </w:r>
          </w:p>
        </w:tc>
        <w:tc>
          <w:tcPr>
            <w:tcW w:w="1284" w:type="dxa"/>
            <w:shd w:val="clear" w:color="000000" w:fill="548DD4"/>
            <w:noWrap/>
            <w:vAlign w:val="center"/>
            <w:hideMark/>
          </w:tcPr>
          <w:p w:rsidR="008D573F" w:rsidRPr="00FB5604" w:rsidRDefault="008D573F" w:rsidP="008D573F">
            <w:pPr>
              <w:jc w:val="center"/>
              <w:rPr>
                <w:rFonts w:ascii="Arial" w:hAnsi="Arial" w:cs="Arial"/>
                <w:b/>
                <w:bCs/>
                <w:color w:val="FFFFFF"/>
                <w:sz w:val="18"/>
                <w:szCs w:val="18"/>
              </w:rPr>
            </w:pPr>
            <w:r w:rsidRPr="00FB5604">
              <w:rPr>
                <w:rFonts w:ascii="Arial" w:hAnsi="Arial" w:cs="Arial"/>
                <w:b/>
                <w:bCs/>
                <w:color w:val="FFFFFF"/>
                <w:sz w:val="18"/>
                <w:szCs w:val="18"/>
              </w:rPr>
              <w:t>VIC &amp; TAS</w:t>
            </w:r>
          </w:p>
        </w:tc>
        <w:tc>
          <w:tcPr>
            <w:tcW w:w="1265" w:type="dxa"/>
            <w:shd w:val="clear" w:color="000000" w:fill="548DD4"/>
            <w:noWrap/>
            <w:vAlign w:val="center"/>
            <w:hideMark/>
          </w:tcPr>
          <w:p w:rsidR="008D573F" w:rsidRPr="00FB5604" w:rsidRDefault="008D573F" w:rsidP="008D573F">
            <w:pPr>
              <w:jc w:val="center"/>
              <w:rPr>
                <w:rFonts w:ascii="Arial" w:hAnsi="Arial" w:cs="Arial"/>
                <w:b/>
                <w:bCs/>
                <w:color w:val="FFFFFF"/>
                <w:sz w:val="18"/>
                <w:szCs w:val="18"/>
              </w:rPr>
            </w:pPr>
            <w:r w:rsidRPr="00FB5604">
              <w:rPr>
                <w:rFonts w:ascii="Arial" w:hAnsi="Arial" w:cs="Arial"/>
                <w:b/>
                <w:bCs/>
                <w:color w:val="FFFFFF"/>
                <w:sz w:val="18"/>
                <w:szCs w:val="18"/>
              </w:rPr>
              <w:t>QLD</w:t>
            </w:r>
            <w:r>
              <w:rPr>
                <w:rFonts w:ascii="Arial" w:hAnsi="Arial" w:cs="Arial"/>
                <w:b/>
                <w:bCs/>
                <w:color w:val="FFFFFF"/>
                <w:sz w:val="18"/>
                <w:szCs w:val="18"/>
              </w:rPr>
              <w:t xml:space="preserve"> &amp; NT</w:t>
            </w:r>
          </w:p>
        </w:tc>
        <w:tc>
          <w:tcPr>
            <w:tcW w:w="1031" w:type="dxa"/>
            <w:shd w:val="clear" w:color="000000" w:fill="548DD4"/>
            <w:noWrap/>
            <w:vAlign w:val="center"/>
            <w:hideMark/>
          </w:tcPr>
          <w:p w:rsidR="008D573F" w:rsidRPr="00FB5604" w:rsidRDefault="008D573F" w:rsidP="008D573F">
            <w:pPr>
              <w:jc w:val="center"/>
              <w:rPr>
                <w:rFonts w:ascii="Arial" w:hAnsi="Arial" w:cs="Arial"/>
                <w:b/>
                <w:bCs/>
                <w:color w:val="FFFFFF"/>
                <w:sz w:val="18"/>
                <w:szCs w:val="18"/>
              </w:rPr>
            </w:pPr>
            <w:r w:rsidRPr="00FB5604">
              <w:rPr>
                <w:rFonts w:ascii="Arial" w:hAnsi="Arial" w:cs="Arial"/>
                <w:b/>
                <w:bCs/>
                <w:color w:val="FFFFFF"/>
                <w:sz w:val="18"/>
                <w:szCs w:val="18"/>
              </w:rPr>
              <w:t>SA</w:t>
            </w:r>
          </w:p>
        </w:tc>
        <w:tc>
          <w:tcPr>
            <w:tcW w:w="1031" w:type="dxa"/>
            <w:shd w:val="clear" w:color="000000" w:fill="548DD4"/>
            <w:noWrap/>
            <w:vAlign w:val="center"/>
            <w:hideMark/>
          </w:tcPr>
          <w:p w:rsidR="008D573F" w:rsidRPr="00FB5604" w:rsidRDefault="008D573F" w:rsidP="008D573F">
            <w:pPr>
              <w:jc w:val="center"/>
              <w:rPr>
                <w:rFonts w:ascii="Arial" w:hAnsi="Arial" w:cs="Arial"/>
                <w:b/>
                <w:bCs/>
                <w:color w:val="FFFFFF"/>
                <w:sz w:val="18"/>
                <w:szCs w:val="18"/>
              </w:rPr>
            </w:pPr>
            <w:r w:rsidRPr="00FB5604">
              <w:rPr>
                <w:rFonts w:ascii="Arial" w:hAnsi="Arial" w:cs="Arial"/>
                <w:b/>
                <w:bCs/>
                <w:color w:val="FFFFFF"/>
                <w:sz w:val="18"/>
                <w:szCs w:val="18"/>
              </w:rPr>
              <w:t>WA</w:t>
            </w:r>
          </w:p>
        </w:tc>
        <w:tc>
          <w:tcPr>
            <w:tcW w:w="1031" w:type="dxa"/>
            <w:shd w:val="clear" w:color="000000" w:fill="548DD4"/>
            <w:noWrap/>
            <w:vAlign w:val="center"/>
            <w:hideMark/>
          </w:tcPr>
          <w:p w:rsidR="008D573F" w:rsidRPr="00FB5604" w:rsidRDefault="008D573F" w:rsidP="008D573F">
            <w:pPr>
              <w:jc w:val="center"/>
              <w:rPr>
                <w:rFonts w:ascii="Arial" w:hAnsi="Arial" w:cs="Arial"/>
                <w:b/>
                <w:bCs/>
                <w:color w:val="FFFFFF"/>
                <w:sz w:val="18"/>
                <w:szCs w:val="18"/>
              </w:rPr>
            </w:pPr>
            <w:r w:rsidRPr="00FB5604">
              <w:rPr>
                <w:rFonts w:ascii="Arial" w:hAnsi="Arial" w:cs="Arial"/>
                <w:b/>
                <w:bCs/>
                <w:color w:val="FFFFFF"/>
                <w:sz w:val="18"/>
                <w:szCs w:val="18"/>
              </w:rPr>
              <w:t>ACT</w:t>
            </w:r>
          </w:p>
        </w:tc>
        <w:tc>
          <w:tcPr>
            <w:tcW w:w="1031" w:type="dxa"/>
            <w:shd w:val="clear" w:color="000000" w:fill="548DD4"/>
            <w:noWrap/>
            <w:vAlign w:val="center"/>
            <w:hideMark/>
          </w:tcPr>
          <w:p w:rsidR="008D573F" w:rsidRPr="00FB5604" w:rsidRDefault="008D573F" w:rsidP="008D573F">
            <w:pPr>
              <w:jc w:val="center"/>
              <w:rPr>
                <w:rFonts w:ascii="Arial" w:hAnsi="Arial" w:cs="Arial"/>
                <w:b/>
                <w:bCs/>
                <w:color w:val="FFFFFF"/>
                <w:sz w:val="18"/>
                <w:szCs w:val="18"/>
              </w:rPr>
            </w:pPr>
            <w:r w:rsidRPr="00FB5604">
              <w:rPr>
                <w:rFonts w:ascii="Arial" w:hAnsi="Arial" w:cs="Arial"/>
                <w:b/>
                <w:bCs/>
                <w:color w:val="FFFFFF"/>
                <w:sz w:val="18"/>
                <w:szCs w:val="18"/>
              </w:rPr>
              <w:t>Total</w:t>
            </w:r>
          </w:p>
        </w:tc>
      </w:tr>
      <w:tr w:rsidR="008D573F" w:rsidTr="00540F30">
        <w:trPr>
          <w:trHeight w:val="420"/>
        </w:trPr>
        <w:tc>
          <w:tcPr>
            <w:tcW w:w="1253" w:type="dxa"/>
            <w:shd w:val="clear" w:color="000000" w:fill="FFFFFF"/>
            <w:noWrap/>
            <w:vAlign w:val="center"/>
            <w:hideMark/>
          </w:tcPr>
          <w:p w:rsidR="008D573F" w:rsidRPr="00FB5604" w:rsidRDefault="008D573F" w:rsidP="008D573F">
            <w:pPr>
              <w:jc w:val="center"/>
              <w:rPr>
                <w:rFonts w:ascii="Arial" w:hAnsi="Arial" w:cs="Arial"/>
                <w:b/>
                <w:bCs/>
                <w:color w:val="000000"/>
                <w:sz w:val="18"/>
                <w:szCs w:val="18"/>
              </w:rPr>
            </w:pPr>
            <w:r w:rsidRPr="00FB5604">
              <w:rPr>
                <w:rFonts w:ascii="Arial" w:hAnsi="Arial" w:cs="Arial"/>
                <w:b/>
                <w:bCs/>
                <w:color w:val="000000"/>
                <w:sz w:val="18"/>
                <w:szCs w:val="18"/>
              </w:rPr>
              <w:t>2013/14</w:t>
            </w:r>
          </w:p>
        </w:tc>
        <w:tc>
          <w:tcPr>
            <w:tcW w:w="1031" w:type="dxa"/>
            <w:shd w:val="clear" w:color="000000" w:fill="FFFFFF"/>
            <w:noWrap/>
            <w:vAlign w:val="center"/>
            <w:hideMark/>
          </w:tcPr>
          <w:p w:rsidR="008D573F" w:rsidRPr="00FB5604" w:rsidRDefault="008D573F" w:rsidP="008D573F">
            <w:pPr>
              <w:jc w:val="center"/>
              <w:rPr>
                <w:rFonts w:ascii="Arial" w:hAnsi="Arial" w:cs="Arial"/>
                <w:color w:val="000000"/>
                <w:sz w:val="18"/>
                <w:szCs w:val="18"/>
              </w:rPr>
            </w:pPr>
            <w:r w:rsidRPr="00FB5604">
              <w:rPr>
                <w:rFonts w:ascii="Arial" w:hAnsi="Arial" w:cs="Arial"/>
                <w:color w:val="000000"/>
                <w:sz w:val="18"/>
                <w:szCs w:val="18"/>
              </w:rPr>
              <w:t>3,109</w:t>
            </w:r>
          </w:p>
        </w:tc>
        <w:tc>
          <w:tcPr>
            <w:tcW w:w="1284" w:type="dxa"/>
            <w:shd w:val="clear" w:color="000000" w:fill="FFFFFF"/>
            <w:noWrap/>
            <w:vAlign w:val="center"/>
            <w:hideMark/>
          </w:tcPr>
          <w:p w:rsidR="008D573F" w:rsidRPr="00FB5604" w:rsidRDefault="008D573F" w:rsidP="008D573F">
            <w:pPr>
              <w:jc w:val="center"/>
              <w:rPr>
                <w:rFonts w:ascii="Arial" w:hAnsi="Arial" w:cs="Arial"/>
                <w:color w:val="000000"/>
                <w:sz w:val="18"/>
                <w:szCs w:val="18"/>
              </w:rPr>
            </w:pPr>
            <w:r w:rsidRPr="00FB5604">
              <w:rPr>
                <w:rFonts w:ascii="Arial" w:hAnsi="Arial" w:cs="Arial"/>
                <w:color w:val="000000"/>
                <w:sz w:val="18"/>
                <w:szCs w:val="18"/>
              </w:rPr>
              <w:t>1,119</w:t>
            </w:r>
          </w:p>
        </w:tc>
        <w:tc>
          <w:tcPr>
            <w:tcW w:w="1265" w:type="dxa"/>
            <w:shd w:val="clear" w:color="000000" w:fill="FFFFFF"/>
            <w:noWrap/>
            <w:vAlign w:val="center"/>
            <w:hideMark/>
          </w:tcPr>
          <w:p w:rsidR="008D573F" w:rsidRPr="00FB5604" w:rsidRDefault="008D573F" w:rsidP="008D573F">
            <w:pPr>
              <w:jc w:val="center"/>
              <w:rPr>
                <w:rFonts w:ascii="Arial" w:hAnsi="Arial" w:cs="Arial"/>
                <w:color w:val="000000"/>
                <w:sz w:val="18"/>
                <w:szCs w:val="18"/>
              </w:rPr>
            </w:pPr>
            <w:r w:rsidRPr="00FB5604">
              <w:rPr>
                <w:rFonts w:ascii="Arial" w:hAnsi="Arial" w:cs="Arial"/>
                <w:color w:val="000000"/>
                <w:sz w:val="18"/>
                <w:szCs w:val="18"/>
              </w:rPr>
              <w:t>2,476</w:t>
            </w:r>
          </w:p>
        </w:tc>
        <w:tc>
          <w:tcPr>
            <w:tcW w:w="1031" w:type="dxa"/>
            <w:shd w:val="clear" w:color="000000" w:fill="FFFFFF"/>
            <w:noWrap/>
            <w:vAlign w:val="center"/>
            <w:hideMark/>
          </w:tcPr>
          <w:p w:rsidR="008D573F" w:rsidRPr="00FB5604" w:rsidRDefault="008D573F" w:rsidP="008D573F">
            <w:pPr>
              <w:jc w:val="center"/>
              <w:rPr>
                <w:rFonts w:ascii="Arial" w:hAnsi="Arial" w:cs="Arial"/>
                <w:color w:val="000000"/>
                <w:sz w:val="18"/>
                <w:szCs w:val="18"/>
              </w:rPr>
            </w:pPr>
            <w:r w:rsidRPr="00FB5604">
              <w:rPr>
                <w:rFonts w:ascii="Arial" w:hAnsi="Arial" w:cs="Arial"/>
                <w:color w:val="000000"/>
                <w:sz w:val="18"/>
                <w:szCs w:val="18"/>
              </w:rPr>
              <w:t>460</w:t>
            </w:r>
          </w:p>
        </w:tc>
        <w:tc>
          <w:tcPr>
            <w:tcW w:w="1031" w:type="dxa"/>
            <w:shd w:val="clear" w:color="000000" w:fill="FFFFFF"/>
            <w:noWrap/>
            <w:vAlign w:val="center"/>
            <w:hideMark/>
          </w:tcPr>
          <w:p w:rsidR="008D573F" w:rsidRPr="00FB5604" w:rsidRDefault="008D573F" w:rsidP="008D573F">
            <w:pPr>
              <w:jc w:val="center"/>
              <w:rPr>
                <w:rFonts w:ascii="Arial" w:hAnsi="Arial" w:cs="Arial"/>
                <w:color w:val="000000"/>
                <w:sz w:val="18"/>
                <w:szCs w:val="18"/>
              </w:rPr>
            </w:pPr>
            <w:r w:rsidRPr="00FB5604">
              <w:rPr>
                <w:rFonts w:ascii="Arial" w:hAnsi="Arial" w:cs="Arial"/>
                <w:color w:val="000000"/>
                <w:sz w:val="18"/>
                <w:szCs w:val="18"/>
              </w:rPr>
              <w:t>1,860</w:t>
            </w:r>
          </w:p>
        </w:tc>
        <w:tc>
          <w:tcPr>
            <w:tcW w:w="1031" w:type="dxa"/>
            <w:shd w:val="clear" w:color="000000" w:fill="FFFFFF"/>
            <w:noWrap/>
            <w:vAlign w:val="center"/>
            <w:hideMark/>
          </w:tcPr>
          <w:p w:rsidR="008D573F" w:rsidRPr="00FB5604" w:rsidRDefault="008D573F" w:rsidP="008D573F">
            <w:pPr>
              <w:jc w:val="center"/>
              <w:rPr>
                <w:rFonts w:ascii="Arial" w:hAnsi="Arial" w:cs="Arial"/>
                <w:color w:val="000000"/>
                <w:sz w:val="18"/>
                <w:szCs w:val="18"/>
              </w:rPr>
            </w:pPr>
            <w:r w:rsidRPr="00FB5604">
              <w:rPr>
                <w:rFonts w:ascii="Arial" w:hAnsi="Arial" w:cs="Arial"/>
                <w:color w:val="000000"/>
                <w:sz w:val="18"/>
                <w:szCs w:val="18"/>
              </w:rPr>
              <w:t>153</w:t>
            </w:r>
          </w:p>
        </w:tc>
        <w:tc>
          <w:tcPr>
            <w:tcW w:w="1031" w:type="dxa"/>
            <w:shd w:val="clear" w:color="000000" w:fill="FFFFFF"/>
            <w:noWrap/>
            <w:vAlign w:val="center"/>
            <w:hideMark/>
          </w:tcPr>
          <w:p w:rsidR="008D573F" w:rsidRPr="00FB5604" w:rsidRDefault="008D573F" w:rsidP="008D573F">
            <w:pPr>
              <w:jc w:val="center"/>
              <w:rPr>
                <w:rFonts w:ascii="Arial" w:hAnsi="Arial" w:cs="Arial"/>
                <w:b/>
                <w:bCs/>
                <w:color w:val="000000"/>
                <w:sz w:val="18"/>
                <w:szCs w:val="18"/>
              </w:rPr>
            </w:pPr>
            <w:r w:rsidRPr="00FB5604">
              <w:rPr>
                <w:rFonts w:ascii="Arial" w:hAnsi="Arial" w:cs="Arial"/>
                <w:b/>
                <w:bCs/>
                <w:color w:val="000000"/>
                <w:sz w:val="18"/>
                <w:szCs w:val="18"/>
              </w:rPr>
              <w:t>9,177</w:t>
            </w:r>
          </w:p>
        </w:tc>
      </w:tr>
      <w:tr w:rsidR="008D573F" w:rsidTr="00540F30">
        <w:trPr>
          <w:trHeight w:val="420"/>
        </w:trPr>
        <w:tc>
          <w:tcPr>
            <w:tcW w:w="1253" w:type="dxa"/>
            <w:shd w:val="clear" w:color="000000" w:fill="FFFFFF"/>
            <w:noWrap/>
            <w:vAlign w:val="center"/>
            <w:hideMark/>
          </w:tcPr>
          <w:p w:rsidR="008D573F" w:rsidRPr="00FB5604" w:rsidRDefault="008D573F" w:rsidP="008D573F">
            <w:pPr>
              <w:jc w:val="center"/>
              <w:rPr>
                <w:rFonts w:ascii="Arial" w:hAnsi="Arial" w:cs="Arial"/>
                <w:b/>
                <w:bCs/>
                <w:color w:val="000000"/>
                <w:sz w:val="18"/>
                <w:szCs w:val="18"/>
              </w:rPr>
            </w:pPr>
            <w:r w:rsidRPr="00FB5604">
              <w:rPr>
                <w:rFonts w:ascii="Arial" w:hAnsi="Arial" w:cs="Arial"/>
                <w:b/>
                <w:bCs/>
                <w:color w:val="000000"/>
                <w:sz w:val="18"/>
                <w:szCs w:val="18"/>
              </w:rPr>
              <w:t>2014/2015</w:t>
            </w:r>
          </w:p>
        </w:tc>
        <w:tc>
          <w:tcPr>
            <w:tcW w:w="1031" w:type="dxa"/>
            <w:shd w:val="clear" w:color="000000" w:fill="FFFFFF"/>
            <w:noWrap/>
            <w:vAlign w:val="center"/>
            <w:hideMark/>
          </w:tcPr>
          <w:p w:rsidR="008D573F" w:rsidRPr="00FB5604" w:rsidRDefault="008D573F" w:rsidP="008D573F">
            <w:pPr>
              <w:jc w:val="center"/>
              <w:rPr>
                <w:rFonts w:ascii="Arial" w:hAnsi="Arial" w:cs="Arial"/>
                <w:color w:val="000000"/>
                <w:sz w:val="18"/>
                <w:szCs w:val="18"/>
              </w:rPr>
            </w:pPr>
            <w:r w:rsidRPr="00FB5604">
              <w:rPr>
                <w:rFonts w:ascii="Arial" w:hAnsi="Arial" w:cs="Arial"/>
                <w:color w:val="000000"/>
                <w:sz w:val="18"/>
                <w:szCs w:val="18"/>
              </w:rPr>
              <w:t>3,721</w:t>
            </w:r>
          </w:p>
        </w:tc>
        <w:tc>
          <w:tcPr>
            <w:tcW w:w="1284" w:type="dxa"/>
            <w:shd w:val="clear" w:color="000000" w:fill="FFFFFF"/>
            <w:noWrap/>
            <w:vAlign w:val="center"/>
            <w:hideMark/>
          </w:tcPr>
          <w:p w:rsidR="008D573F" w:rsidRPr="00FB5604" w:rsidRDefault="008D573F" w:rsidP="008D573F">
            <w:pPr>
              <w:jc w:val="center"/>
              <w:rPr>
                <w:rFonts w:ascii="Arial" w:hAnsi="Arial" w:cs="Arial"/>
                <w:color w:val="000000"/>
                <w:sz w:val="18"/>
                <w:szCs w:val="18"/>
              </w:rPr>
            </w:pPr>
            <w:r w:rsidRPr="00FB5604">
              <w:rPr>
                <w:rFonts w:ascii="Arial" w:hAnsi="Arial" w:cs="Arial"/>
                <w:color w:val="000000"/>
                <w:sz w:val="18"/>
                <w:szCs w:val="18"/>
              </w:rPr>
              <w:t>1,398</w:t>
            </w:r>
          </w:p>
        </w:tc>
        <w:tc>
          <w:tcPr>
            <w:tcW w:w="1265" w:type="dxa"/>
            <w:shd w:val="clear" w:color="000000" w:fill="FFFFFF"/>
            <w:noWrap/>
            <w:vAlign w:val="center"/>
            <w:hideMark/>
          </w:tcPr>
          <w:p w:rsidR="008D573F" w:rsidRPr="00FB5604" w:rsidRDefault="008D573F" w:rsidP="008D573F">
            <w:pPr>
              <w:jc w:val="center"/>
              <w:rPr>
                <w:rFonts w:ascii="Arial" w:hAnsi="Arial" w:cs="Arial"/>
                <w:color w:val="000000"/>
                <w:sz w:val="18"/>
                <w:szCs w:val="18"/>
              </w:rPr>
            </w:pPr>
            <w:r w:rsidRPr="00FB5604">
              <w:rPr>
                <w:rFonts w:ascii="Arial" w:hAnsi="Arial" w:cs="Arial"/>
                <w:color w:val="000000"/>
                <w:sz w:val="18"/>
                <w:szCs w:val="18"/>
              </w:rPr>
              <w:t>3,1</w:t>
            </w:r>
            <w:r>
              <w:rPr>
                <w:rFonts w:ascii="Arial" w:hAnsi="Arial" w:cs="Arial"/>
                <w:color w:val="000000"/>
                <w:sz w:val="18"/>
                <w:szCs w:val="18"/>
              </w:rPr>
              <w:t>59</w:t>
            </w:r>
          </w:p>
        </w:tc>
        <w:tc>
          <w:tcPr>
            <w:tcW w:w="1031" w:type="dxa"/>
            <w:shd w:val="clear" w:color="000000" w:fill="FFFFFF"/>
            <w:noWrap/>
            <w:vAlign w:val="center"/>
            <w:hideMark/>
          </w:tcPr>
          <w:p w:rsidR="008D573F" w:rsidRPr="00FB5604" w:rsidRDefault="008D573F" w:rsidP="008D573F">
            <w:pPr>
              <w:jc w:val="center"/>
              <w:rPr>
                <w:rFonts w:ascii="Arial" w:hAnsi="Arial" w:cs="Arial"/>
                <w:color w:val="000000"/>
                <w:sz w:val="18"/>
                <w:szCs w:val="18"/>
              </w:rPr>
            </w:pPr>
            <w:r w:rsidRPr="00FB5604">
              <w:rPr>
                <w:rFonts w:ascii="Arial" w:hAnsi="Arial" w:cs="Arial"/>
                <w:color w:val="000000"/>
                <w:sz w:val="18"/>
                <w:szCs w:val="18"/>
              </w:rPr>
              <w:t>497</w:t>
            </w:r>
          </w:p>
        </w:tc>
        <w:tc>
          <w:tcPr>
            <w:tcW w:w="1031" w:type="dxa"/>
            <w:shd w:val="clear" w:color="000000" w:fill="FFFFFF"/>
            <w:noWrap/>
            <w:vAlign w:val="center"/>
            <w:hideMark/>
          </w:tcPr>
          <w:p w:rsidR="008D573F" w:rsidRPr="00FB5604" w:rsidRDefault="008D573F" w:rsidP="008D573F">
            <w:pPr>
              <w:jc w:val="center"/>
              <w:rPr>
                <w:rFonts w:ascii="Arial" w:hAnsi="Arial" w:cs="Arial"/>
                <w:color w:val="000000"/>
                <w:sz w:val="18"/>
                <w:szCs w:val="18"/>
              </w:rPr>
            </w:pPr>
            <w:r w:rsidRPr="00FB5604">
              <w:rPr>
                <w:rFonts w:ascii="Arial" w:hAnsi="Arial" w:cs="Arial"/>
                <w:color w:val="000000"/>
                <w:sz w:val="18"/>
                <w:szCs w:val="18"/>
              </w:rPr>
              <w:t>2,399</w:t>
            </w:r>
          </w:p>
        </w:tc>
        <w:tc>
          <w:tcPr>
            <w:tcW w:w="1031" w:type="dxa"/>
            <w:shd w:val="clear" w:color="000000" w:fill="FFFFFF"/>
            <w:noWrap/>
            <w:vAlign w:val="center"/>
            <w:hideMark/>
          </w:tcPr>
          <w:p w:rsidR="008D573F" w:rsidRPr="00FB5604" w:rsidRDefault="008D573F" w:rsidP="008D573F">
            <w:pPr>
              <w:jc w:val="center"/>
              <w:rPr>
                <w:rFonts w:ascii="Arial" w:hAnsi="Arial" w:cs="Arial"/>
                <w:color w:val="000000"/>
                <w:sz w:val="18"/>
                <w:szCs w:val="18"/>
              </w:rPr>
            </w:pPr>
            <w:r w:rsidRPr="00FB5604">
              <w:rPr>
                <w:rFonts w:ascii="Arial" w:hAnsi="Arial" w:cs="Arial"/>
                <w:color w:val="000000"/>
                <w:sz w:val="18"/>
                <w:szCs w:val="18"/>
              </w:rPr>
              <w:t>156</w:t>
            </w:r>
          </w:p>
        </w:tc>
        <w:tc>
          <w:tcPr>
            <w:tcW w:w="1031" w:type="dxa"/>
            <w:shd w:val="clear" w:color="000000" w:fill="FFFFFF"/>
            <w:noWrap/>
            <w:vAlign w:val="center"/>
            <w:hideMark/>
          </w:tcPr>
          <w:p w:rsidR="008D573F" w:rsidRPr="00FB5604" w:rsidRDefault="008D573F" w:rsidP="008D573F">
            <w:pPr>
              <w:jc w:val="center"/>
              <w:rPr>
                <w:rFonts w:ascii="Arial" w:hAnsi="Arial" w:cs="Arial"/>
                <w:b/>
                <w:bCs/>
                <w:color w:val="000000"/>
                <w:sz w:val="18"/>
                <w:szCs w:val="18"/>
              </w:rPr>
            </w:pPr>
            <w:r w:rsidRPr="00FB5604">
              <w:rPr>
                <w:rFonts w:ascii="Arial" w:hAnsi="Arial" w:cs="Arial"/>
                <w:b/>
                <w:bCs/>
                <w:color w:val="000000"/>
                <w:sz w:val="18"/>
                <w:szCs w:val="18"/>
              </w:rPr>
              <w:t>11,330</w:t>
            </w:r>
          </w:p>
        </w:tc>
      </w:tr>
      <w:tr w:rsidR="008D573F" w:rsidTr="00540F30">
        <w:trPr>
          <w:trHeight w:val="420"/>
        </w:trPr>
        <w:tc>
          <w:tcPr>
            <w:tcW w:w="1253" w:type="dxa"/>
            <w:shd w:val="clear" w:color="000000" w:fill="FFFFFF"/>
            <w:noWrap/>
            <w:vAlign w:val="center"/>
            <w:hideMark/>
          </w:tcPr>
          <w:p w:rsidR="008D573F" w:rsidRPr="00FB5604" w:rsidRDefault="008D573F" w:rsidP="008D573F">
            <w:pPr>
              <w:jc w:val="center"/>
              <w:rPr>
                <w:rFonts w:ascii="Arial" w:hAnsi="Arial" w:cs="Arial"/>
                <w:b/>
                <w:bCs/>
                <w:color w:val="000000"/>
                <w:sz w:val="18"/>
                <w:szCs w:val="18"/>
              </w:rPr>
            </w:pPr>
            <w:r w:rsidRPr="00FB5604">
              <w:rPr>
                <w:rFonts w:ascii="Arial" w:hAnsi="Arial" w:cs="Arial"/>
                <w:b/>
                <w:bCs/>
                <w:color w:val="000000"/>
                <w:sz w:val="18"/>
                <w:szCs w:val="18"/>
              </w:rPr>
              <w:t>2015/2016</w:t>
            </w:r>
          </w:p>
        </w:tc>
        <w:tc>
          <w:tcPr>
            <w:tcW w:w="1031" w:type="dxa"/>
            <w:shd w:val="clear" w:color="000000" w:fill="FFFFFF"/>
            <w:noWrap/>
            <w:vAlign w:val="center"/>
            <w:hideMark/>
          </w:tcPr>
          <w:p w:rsidR="008D573F" w:rsidRPr="00FB5604" w:rsidRDefault="008D573F" w:rsidP="008D573F">
            <w:pPr>
              <w:jc w:val="center"/>
              <w:rPr>
                <w:rFonts w:ascii="Arial" w:hAnsi="Arial" w:cs="Arial"/>
                <w:color w:val="000000"/>
                <w:sz w:val="18"/>
                <w:szCs w:val="18"/>
              </w:rPr>
            </w:pPr>
            <w:r w:rsidRPr="00FB5604">
              <w:rPr>
                <w:rFonts w:ascii="Arial" w:hAnsi="Arial" w:cs="Arial"/>
                <w:color w:val="000000"/>
                <w:sz w:val="18"/>
                <w:szCs w:val="18"/>
              </w:rPr>
              <w:t>4,602</w:t>
            </w:r>
          </w:p>
        </w:tc>
        <w:tc>
          <w:tcPr>
            <w:tcW w:w="1284" w:type="dxa"/>
            <w:shd w:val="clear" w:color="000000" w:fill="FFFFFF"/>
            <w:noWrap/>
            <w:vAlign w:val="center"/>
            <w:hideMark/>
          </w:tcPr>
          <w:p w:rsidR="008D573F" w:rsidRPr="00FB5604" w:rsidRDefault="008D573F" w:rsidP="008D573F">
            <w:pPr>
              <w:jc w:val="center"/>
              <w:rPr>
                <w:rFonts w:ascii="Arial" w:hAnsi="Arial" w:cs="Arial"/>
                <w:color w:val="000000"/>
                <w:sz w:val="18"/>
                <w:szCs w:val="18"/>
              </w:rPr>
            </w:pPr>
            <w:r w:rsidRPr="00FB5604">
              <w:rPr>
                <w:rFonts w:ascii="Arial" w:hAnsi="Arial" w:cs="Arial"/>
                <w:color w:val="000000"/>
                <w:sz w:val="18"/>
                <w:szCs w:val="18"/>
              </w:rPr>
              <w:t>1,590</w:t>
            </w:r>
          </w:p>
        </w:tc>
        <w:tc>
          <w:tcPr>
            <w:tcW w:w="1265" w:type="dxa"/>
            <w:shd w:val="clear" w:color="000000" w:fill="FFFFFF"/>
            <w:noWrap/>
            <w:vAlign w:val="center"/>
            <w:hideMark/>
          </w:tcPr>
          <w:p w:rsidR="008D573F" w:rsidRPr="00FB5604" w:rsidRDefault="008D573F" w:rsidP="008D573F">
            <w:pPr>
              <w:jc w:val="center"/>
              <w:rPr>
                <w:rFonts w:ascii="Arial" w:hAnsi="Arial" w:cs="Arial"/>
                <w:color w:val="000000"/>
                <w:sz w:val="18"/>
                <w:szCs w:val="18"/>
              </w:rPr>
            </w:pPr>
            <w:r w:rsidRPr="00FB5604">
              <w:rPr>
                <w:rFonts w:ascii="Arial" w:hAnsi="Arial" w:cs="Arial"/>
                <w:color w:val="000000"/>
                <w:sz w:val="18"/>
                <w:szCs w:val="18"/>
              </w:rPr>
              <w:t>4,1</w:t>
            </w:r>
            <w:r>
              <w:rPr>
                <w:rFonts w:ascii="Arial" w:hAnsi="Arial" w:cs="Arial"/>
                <w:color w:val="000000"/>
                <w:sz w:val="18"/>
                <w:szCs w:val="18"/>
              </w:rPr>
              <w:t>95</w:t>
            </w:r>
          </w:p>
        </w:tc>
        <w:tc>
          <w:tcPr>
            <w:tcW w:w="1031" w:type="dxa"/>
            <w:shd w:val="clear" w:color="000000" w:fill="FFFFFF"/>
            <w:noWrap/>
            <w:vAlign w:val="center"/>
            <w:hideMark/>
          </w:tcPr>
          <w:p w:rsidR="008D573F" w:rsidRPr="00FB5604" w:rsidRDefault="008D573F" w:rsidP="008D573F">
            <w:pPr>
              <w:jc w:val="center"/>
              <w:rPr>
                <w:rFonts w:ascii="Arial" w:hAnsi="Arial" w:cs="Arial"/>
                <w:color w:val="000000"/>
                <w:sz w:val="18"/>
                <w:szCs w:val="18"/>
              </w:rPr>
            </w:pPr>
            <w:r w:rsidRPr="00FB5604">
              <w:rPr>
                <w:rFonts w:ascii="Arial" w:hAnsi="Arial" w:cs="Arial"/>
                <w:color w:val="000000"/>
                <w:sz w:val="18"/>
                <w:szCs w:val="18"/>
              </w:rPr>
              <w:t>464</w:t>
            </w:r>
          </w:p>
        </w:tc>
        <w:tc>
          <w:tcPr>
            <w:tcW w:w="1031" w:type="dxa"/>
            <w:shd w:val="clear" w:color="000000" w:fill="FFFFFF"/>
            <w:noWrap/>
            <w:vAlign w:val="center"/>
            <w:hideMark/>
          </w:tcPr>
          <w:p w:rsidR="008D573F" w:rsidRPr="00FB5604" w:rsidRDefault="008D573F" w:rsidP="008D573F">
            <w:pPr>
              <w:jc w:val="center"/>
              <w:rPr>
                <w:rFonts w:ascii="Arial" w:hAnsi="Arial" w:cs="Arial"/>
                <w:color w:val="000000"/>
                <w:sz w:val="18"/>
                <w:szCs w:val="18"/>
              </w:rPr>
            </w:pPr>
            <w:r w:rsidRPr="00FB5604">
              <w:rPr>
                <w:rFonts w:ascii="Arial" w:hAnsi="Arial" w:cs="Arial"/>
                <w:color w:val="000000"/>
                <w:sz w:val="18"/>
                <w:szCs w:val="18"/>
              </w:rPr>
              <w:t>2,608</w:t>
            </w:r>
          </w:p>
        </w:tc>
        <w:tc>
          <w:tcPr>
            <w:tcW w:w="1031" w:type="dxa"/>
            <w:shd w:val="clear" w:color="000000" w:fill="FFFFFF"/>
            <w:noWrap/>
            <w:vAlign w:val="center"/>
            <w:hideMark/>
          </w:tcPr>
          <w:p w:rsidR="008D573F" w:rsidRPr="00FB5604" w:rsidRDefault="008D573F" w:rsidP="008D573F">
            <w:pPr>
              <w:jc w:val="center"/>
              <w:rPr>
                <w:rFonts w:ascii="Arial" w:hAnsi="Arial" w:cs="Arial"/>
                <w:color w:val="000000"/>
                <w:sz w:val="18"/>
                <w:szCs w:val="18"/>
              </w:rPr>
            </w:pPr>
            <w:r w:rsidRPr="00FB5604">
              <w:rPr>
                <w:rFonts w:ascii="Arial" w:hAnsi="Arial" w:cs="Arial"/>
                <w:color w:val="000000"/>
                <w:sz w:val="18"/>
                <w:szCs w:val="18"/>
              </w:rPr>
              <w:t>154</w:t>
            </w:r>
          </w:p>
        </w:tc>
        <w:tc>
          <w:tcPr>
            <w:tcW w:w="1031" w:type="dxa"/>
            <w:shd w:val="clear" w:color="000000" w:fill="FFFFFF"/>
            <w:noWrap/>
            <w:vAlign w:val="center"/>
            <w:hideMark/>
          </w:tcPr>
          <w:p w:rsidR="008D573F" w:rsidRPr="00FB5604" w:rsidRDefault="008D573F" w:rsidP="008D573F">
            <w:pPr>
              <w:jc w:val="center"/>
              <w:rPr>
                <w:rFonts w:ascii="Arial" w:hAnsi="Arial" w:cs="Arial"/>
                <w:b/>
                <w:bCs/>
                <w:color w:val="000000"/>
                <w:sz w:val="18"/>
                <w:szCs w:val="18"/>
              </w:rPr>
            </w:pPr>
            <w:r w:rsidRPr="00FB5604">
              <w:rPr>
                <w:rFonts w:ascii="Arial" w:hAnsi="Arial" w:cs="Arial"/>
                <w:b/>
                <w:bCs/>
                <w:color w:val="000000"/>
                <w:sz w:val="18"/>
                <w:szCs w:val="18"/>
              </w:rPr>
              <w:t>13,613</w:t>
            </w:r>
          </w:p>
        </w:tc>
      </w:tr>
      <w:tr w:rsidR="008D573F" w:rsidTr="00540F30">
        <w:trPr>
          <w:trHeight w:val="420"/>
        </w:trPr>
        <w:tc>
          <w:tcPr>
            <w:tcW w:w="1253" w:type="dxa"/>
            <w:shd w:val="clear" w:color="000000" w:fill="FFFFFF"/>
            <w:noWrap/>
            <w:vAlign w:val="center"/>
            <w:hideMark/>
          </w:tcPr>
          <w:p w:rsidR="008D573F" w:rsidRPr="00FB5604" w:rsidRDefault="008D573F" w:rsidP="008D573F">
            <w:pPr>
              <w:jc w:val="center"/>
              <w:rPr>
                <w:rFonts w:ascii="Arial" w:hAnsi="Arial" w:cs="Arial"/>
                <w:b/>
                <w:bCs/>
                <w:color w:val="000000"/>
                <w:sz w:val="18"/>
                <w:szCs w:val="18"/>
              </w:rPr>
            </w:pPr>
            <w:r>
              <w:rPr>
                <w:rFonts w:ascii="Arial" w:hAnsi="Arial" w:cs="Arial"/>
                <w:b/>
                <w:bCs/>
                <w:color w:val="000000"/>
                <w:sz w:val="18"/>
                <w:szCs w:val="18"/>
              </w:rPr>
              <w:t>2016/2017</w:t>
            </w:r>
          </w:p>
        </w:tc>
        <w:tc>
          <w:tcPr>
            <w:tcW w:w="1031" w:type="dxa"/>
            <w:shd w:val="clear" w:color="000000" w:fill="FFFFFF"/>
            <w:noWrap/>
            <w:vAlign w:val="center"/>
            <w:hideMark/>
          </w:tcPr>
          <w:p w:rsidR="008D573F" w:rsidRPr="00FB5604" w:rsidRDefault="008D573F" w:rsidP="008D573F">
            <w:pPr>
              <w:jc w:val="center"/>
              <w:rPr>
                <w:rFonts w:ascii="Arial" w:hAnsi="Arial" w:cs="Arial"/>
                <w:color w:val="000000"/>
                <w:sz w:val="18"/>
                <w:szCs w:val="18"/>
              </w:rPr>
            </w:pPr>
            <w:r w:rsidRPr="00FB5604">
              <w:rPr>
                <w:rFonts w:ascii="Arial" w:hAnsi="Arial" w:cs="Arial"/>
                <w:color w:val="000000"/>
                <w:sz w:val="18"/>
                <w:szCs w:val="18"/>
              </w:rPr>
              <w:t>5,054</w:t>
            </w:r>
          </w:p>
        </w:tc>
        <w:tc>
          <w:tcPr>
            <w:tcW w:w="1284" w:type="dxa"/>
            <w:shd w:val="clear" w:color="000000" w:fill="FFFFFF"/>
            <w:noWrap/>
            <w:vAlign w:val="center"/>
            <w:hideMark/>
          </w:tcPr>
          <w:p w:rsidR="008D573F" w:rsidRPr="00FB5604" w:rsidRDefault="008D573F" w:rsidP="008D573F">
            <w:pPr>
              <w:jc w:val="center"/>
              <w:rPr>
                <w:rFonts w:ascii="Arial" w:hAnsi="Arial" w:cs="Arial"/>
                <w:color w:val="000000"/>
                <w:sz w:val="18"/>
                <w:szCs w:val="18"/>
              </w:rPr>
            </w:pPr>
            <w:r w:rsidRPr="00FB5604">
              <w:rPr>
                <w:rFonts w:ascii="Arial" w:hAnsi="Arial" w:cs="Arial"/>
                <w:color w:val="000000"/>
                <w:sz w:val="18"/>
                <w:szCs w:val="18"/>
              </w:rPr>
              <w:t>2,049</w:t>
            </w:r>
          </w:p>
        </w:tc>
        <w:tc>
          <w:tcPr>
            <w:tcW w:w="1265" w:type="dxa"/>
            <w:shd w:val="clear" w:color="000000" w:fill="FFFFFF"/>
            <w:noWrap/>
            <w:vAlign w:val="center"/>
            <w:hideMark/>
          </w:tcPr>
          <w:p w:rsidR="008D573F" w:rsidRPr="00FB5604" w:rsidRDefault="008D573F" w:rsidP="008D573F">
            <w:pPr>
              <w:jc w:val="center"/>
              <w:rPr>
                <w:rFonts w:ascii="Arial" w:hAnsi="Arial" w:cs="Arial"/>
                <w:color w:val="000000"/>
                <w:sz w:val="18"/>
                <w:szCs w:val="18"/>
              </w:rPr>
            </w:pPr>
            <w:r w:rsidRPr="00FB5604">
              <w:rPr>
                <w:rFonts w:ascii="Arial" w:hAnsi="Arial" w:cs="Arial"/>
                <w:color w:val="000000"/>
                <w:sz w:val="18"/>
                <w:szCs w:val="18"/>
              </w:rPr>
              <w:t>5,</w:t>
            </w:r>
            <w:r>
              <w:rPr>
                <w:rFonts w:ascii="Arial" w:hAnsi="Arial" w:cs="Arial"/>
                <w:color w:val="000000"/>
                <w:sz w:val="18"/>
                <w:szCs w:val="18"/>
              </w:rPr>
              <w:t>534</w:t>
            </w:r>
          </w:p>
        </w:tc>
        <w:tc>
          <w:tcPr>
            <w:tcW w:w="1031" w:type="dxa"/>
            <w:shd w:val="clear" w:color="000000" w:fill="FFFFFF"/>
            <w:noWrap/>
            <w:vAlign w:val="center"/>
            <w:hideMark/>
          </w:tcPr>
          <w:p w:rsidR="008D573F" w:rsidRPr="00FB5604" w:rsidRDefault="008D573F" w:rsidP="008D573F">
            <w:pPr>
              <w:jc w:val="center"/>
              <w:rPr>
                <w:rFonts w:ascii="Arial" w:hAnsi="Arial" w:cs="Arial"/>
                <w:color w:val="000000"/>
                <w:sz w:val="18"/>
                <w:szCs w:val="18"/>
              </w:rPr>
            </w:pPr>
            <w:r w:rsidRPr="00FB5604">
              <w:rPr>
                <w:rFonts w:ascii="Arial" w:hAnsi="Arial" w:cs="Arial"/>
                <w:color w:val="000000"/>
                <w:sz w:val="18"/>
                <w:szCs w:val="18"/>
              </w:rPr>
              <w:t>540</w:t>
            </w:r>
          </w:p>
        </w:tc>
        <w:tc>
          <w:tcPr>
            <w:tcW w:w="1031" w:type="dxa"/>
            <w:shd w:val="clear" w:color="000000" w:fill="FFFFFF"/>
            <w:noWrap/>
            <w:vAlign w:val="center"/>
            <w:hideMark/>
          </w:tcPr>
          <w:p w:rsidR="008D573F" w:rsidRPr="00FB5604" w:rsidRDefault="008D573F" w:rsidP="008D573F">
            <w:pPr>
              <w:jc w:val="center"/>
              <w:rPr>
                <w:rFonts w:ascii="Arial" w:hAnsi="Arial" w:cs="Arial"/>
                <w:color w:val="000000"/>
                <w:sz w:val="18"/>
                <w:szCs w:val="18"/>
              </w:rPr>
            </w:pPr>
            <w:r w:rsidRPr="00FB5604">
              <w:rPr>
                <w:rFonts w:ascii="Arial" w:hAnsi="Arial" w:cs="Arial"/>
                <w:color w:val="000000"/>
                <w:sz w:val="18"/>
                <w:szCs w:val="18"/>
              </w:rPr>
              <w:t>2,628</w:t>
            </w:r>
          </w:p>
        </w:tc>
        <w:tc>
          <w:tcPr>
            <w:tcW w:w="1031" w:type="dxa"/>
            <w:shd w:val="clear" w:color="000000" w:fill="FFFFFF"/>
            <w:noWrap/>
            <w:vAlign w:val="center"/>
            <w:hideMark/>
          </w:tcPr>
          <w:p w:rsidR="008D573F" w:rsidRPr="00FB5604" w:rsidRDefault="008D573F" w:rsidP="008D573F">
            <w:pPr>
              <w:jc w:val="center"/>
              <w:rPr>
                <w:rFonts w:ascii="Arial" w:hAnsi="Arial" w:cs="Arial"/>
                <w:color w:val="000000"/>
                <w:sz w:val="18"/>
                <w:szCs w:val="18"/>
              </w:rPr>
            </w:pPr>
            <w:r w:rsidRPr="00FB5604">
              <w:rPr>
                <w:rFonts w:ascii="Arial" w:hAnsi="Arial" w:cs="Arial"/>
                <w:color w:val="000000"/>
                <w:sz w:val="18"/>
                <w:szCs w:val="18"/>
              </w:rPr>
              <w:t>175</w:t>
            </w:r>
          </w:p>
        </w:tc>
        <w:tc>
          <w:tcPr>
            <w:tcW w:w="1031" w:type="dxa"/>
            <w:shd w:val="clear" w:color="000000" w:fill="FFFFFF"/>
            <w:noWrap/>
            <w:vAlign w:val="center"/>
            <w:hideMark/>
          </w:tcPr>
          <w:p w:rsidR="008D573F" w:rsidRPr="00FB5604" w:rsidRDefault="008D573F" w:rsidP="008D573F">
            <w:pPr>
              <w:jc w:val="center"/>
              <w:rPr>
                <w:rFonts w:ascii="Arial" w:hAnsi="Arial" w:cs="Arial"/>
                <w:b/>
                <w:bCs/>
                <w:color w:val="000000"/>
                <w:sz w:val="18"/>
                <w:szCs w:val="18"/>
              </w:rPr>
            </w:pPr>
            <w:r w:rsidRPr="00FB5604">
              <w:rPr>
                <w:rFonts w:ascii="Arial" w:hAnsi="Arial" w:cs="Arial"/>
                <w:b/>
                <w:bCs/>
                <w:color w:val="000000"/>
                <w:sz w:val="18"/>
                <w:szCs w:val="18"/>
              </w:rPr>
              <w:t>15,980</w:t>
            </w:r>
          </w:p>
        </w:tc>
      </w:tr>
      <w:tr w:rsidR="008D573F" w:rsidTr="00540F30">
        <w:trPr>
          <w:trHeight w:val="420"/>
        </w:trPr>
        <w:tc>
          <w:tcPr>
            <w:tcW w:w="1253" w:type="dxa"/>
            <w:shd w:val="clear" w:color="000000" w:fill="FFFFFF"/>
            <w:noWrap/>
            <w:vAlign w:val="center"/>
            <w:hideMark/>
          </w:tcPr>
          <w:p w:rsidR="008D573F" w:rsidRPr="00FB5604" w:rsidRDefault="008D573F" w:rsidP="008D573F">
            <w:pPr>
              <w:jc w:val="center"/>
              <w:rPr>
                <w:rFonts w:ascii="Arial" w:hAnsi="Arial" w:cs="Arial"/>
                <w:b/>
                <w:bCs/>
                <w:color w:val="000000"/>
                <w:sz w:val="18"/>
                <w:szCs w:val="18"/>
              </w:rPr>
            </w:pPr>
            <w:r w:rsidRPr="00FB5604">
              <w:rPr>
                <w:rFonts w:ascii="Arial" w:hAnsi="Arial" w:cs="Arial"/>
                <w:b/>
                <w:bCs/>
                <w:color w:val="000000"/>
                <w:sz w:val="18"/>
                <w:szCs w:val="18"/>
              </w:rPr>
              <w:t>Total</w:t>
            </w:r>
          </w:p>
        </w:tc>
        <w:tc>
          <w:tcPr>
            <w:tcW w:w="1031" w:type="dxa"/>
            <w:shd w:val="clear" w:color="000000" w:fill="FFFFFF"/>
            <w:noWrap/>
            <w:vAlign w:val="center"/>
            <w:hideMark/>
          </w:tcPr>
          <w:p w:rsidR="008D573F" w:rsidRPr="00FB5604" w:rsidRDefault="008D573F" w:rsidP="008D573F">
            <w:pPr>
              <w:jc w:val="center"/>
              <w:rPr>
                <w:rFonts w:ascii="Arial" w:hAnsi="Arial" w:cs="Arial"/>
                <w:b/>
                <w:color w:val="000000"/>
                <w:sz w:val="18"/>
                <w:szCs w:val="18"/>
              </w:rPr>
            </w:pPr>
            <w:r w:rsidRPr="00FB5604">
              <w:rPr>
                <w:rFonts w:ascii="Arial" w:hAnsi="Arial" w:cs="Arial"/>
                <w:b/>
                <w:color w:val="000000"/>
                <w:sz w:val="18"/>
                <w:szCs w:val="18"/>
              </w:rPr>
              <w:t>16,486</w:t>
            </w:r>
          </w:p>
        </w:tc>
        <w:tc>
          <w:tcPr>
            <w:tcW w:w="1284" w:type="dxa"/>
            <w:shd w:val="clear" w:color="000000" w:fill="FFFFFF"/>
            <w:noWrap/>
            <w:vAlign w:val="center"/>
            <w:hideMark/>
          </w:tcPr>
          <w:p w:rsidR="008D573F" w:rsidRPr="00FB5604" w:rsidRDefault="008D573F" w:rsidP="008D573F">
            <w:pPr>
              <w:jc w:val="center"/>
              <w:rPr>
                <w:rFonts w:ascii="Arial" w:hAnsi="Arial" w:cs="Arial"/>
                <w:b/>
                <w:color w:val="000000"/>
                <w:sz w:val="18"/>
                <w:szCs w:val="18"/>
              </w:rPr>
            </w:pPr>
            <w:r w:rsidRPr="00FB5604">
              <w:rPr>
                <w:rFonts w:ascii="Arial" w:hAnsi="Arial" w:cs="Arial"/>
                <w:b/>
                <w:color w:val="000000"/>
                <w:sz w:val="18"/>
                <w:szCs w:val="18"/>
              </w:rPr>
              <w:t>6,156</w:t>
            </w:r>
          </w:p>
        </w:tc>
        <w:tc>
          <w:tcPr>
            <w:tcW w:w="1265" w:type="dxa"/>
            <w:shd w:val="clear" w:color="000000" w:fill="FFFFFF"/>
            <w:noWrap/>
            <w:vAlign w:val="center"/>
            <w:hideMark/>
          </w:tcPr>
          <w:p w:rsidR="008D573F" w:rsidRPr="00FB5604" w:rsidRDefault="008D573F" w:rsidP="008D573F">
            <w:pPr>
              <w:jc w:val="center"/>
              <w:rPr>
                <w:rFonts w:ascii="Arial" w:hAnsi="Arial" w:cs="Arial"/>
                <w:b/>
                <w:color w:val="000000"/>
                <w:sz w:val="18"/>
                <w:szCs w:val="18"/>
              </w:rPr>
            </w:pPr>
            <w:r w:rsidRPr="00FB5604">
              <w:rPr>
                <w:rFonts w:ascii="Arial" w:hAnsi="Arial" w:cs="Arial"/>
                <w:b/>
                <w:color w:val="000000"/>
                <w:sz w:val="18"/>
                <w:szCs w:val="18"/>
              </w:rPr>
              <w:t>15,</w:t>
            </w:r>
            <w:r>
              <w:rPr>
                <w:rFonts w:ascii="Arial" w:hAnsi="Arial" w:cs="Arial"/>
                <w:b/>
                <w:color w:val="000000"/>
                <w:sz w:val="18"/>
                <w:szCs w:val="18"/>
              </w:rPr>
              <w:t>364</w:t>
            </w:r>
          </w:p>
        </w:tc>
        <w:tc>
          <w:tcPr>
            <w:tcW w:w="1031" w:type="dxa"/>
            <w:shd w:val="clear" w:color="000000" w:fill="FFFFFF"/>
            <w:noWrap/>
            <w:vAlign w:val="center"/>
            <w:hideMark/>
          </w:tcPr>
          <w:p w:rsidR="008D573F" w:rsidRPr="00FB5604" w:rsidRDefault="008D573F" w:rsidP="008D573F">
            <w:pPr>
              <w:jc w:val="center"/>
              <w:rPr>
                <w:rFonts w:ascii="Arial" w:hAnsi="Arial" w:cs="Arial"/>
                <w:b/>
                <w:color w:val="000000"/>
                <w:sz w:val="18"/>
                <w:szCs w:val="18"/>
              </w:rPr>
            </w:pPr>
            <w:r w:rsidRPr="00FB5604">
              <w:rPr>
                <w:rFonts w:ascii="Arial" w:hAnsi="Arial" w:cs="Arial"/>
                <w:b/>
                <w:color w:val="000000"/>
                <w:sz w:val="18"/>
                <w:szCs w:val="18"/>
              </w:rPr>
              <w:t>1,961</w:t>
            </w:r>
          </w:p>
        </w:tc>
        <w:tc>
          <w:tcPr>
            <w:tcW w:w="1031" w:type="dxa"/>
            <w:shd w:val="clear" w:color="000000" w:fill="FFFFFF"/>
            <w:noWrap/>
            <w:vAlign w:val="center"/>
            <w:hideMark/>
          </w:tcPr>
          <w:p w:rsidR="008D573F" w:rsidRPr="00FB5604" w:rsidRDefault="008D573F" w:rsidP="008D573F">
            <w:pPr>
              <w:jc w:val="center"/>
              <w:rPr>
                <w:rFonts w:ascii="Arial" w:hAnsi="Arial" w:cs="Arial"/>
                <w:b/>
                <w:color w:val="000000"/>
                <w:sz w:val="18"/>
                <w:szCs w:val="18"/>
              </w:rPr>
            </w:pPr>
            <w:r w:rsidRPr="00FB5604">
              <w:rPr>
                <w:rFonts w:ascii="Arial" w:hAnsi="Arial" w:cs="Arial"/>
                <w:b/>
                <w:color w:val="000000"/>
                <w:sz w:val="18"/>
                <w:szCs w:val="18"/>
              </w:rPr>
              <w:t>9,495</w:t>
            </w:r>
          </w:p>
        </w:tc>
        <w:tc>
          <w:tcPr>
            <w:tcW w:w="1031" w:type="dxa"/>
            <w:shd w:val="clear" w:color="000000" w:fill="FFFFFF"/>
            <w:noWrap/>
            <w:vAlign w:val="center"/>
            <w:hideMark/>
          </w:tcPr>
          <w:p w:rsidR="008D573F" w:rsidRPr="00FB5604" w:rsidRDefault="008D573F" w:rsidP="008D573F">
            <w:pPr>
              <w:jc w:val="center"/>
              <w:rPr>
                <w:rFonts w:ascii="Arial" w:hAnsi="Arial" w:cs="Arial"/>
                <w:b/>
                <w:color w:val="000000"/>
                <w:sz w:val="18"/>
                <w:szCs w:val="18"/>
              </w:rPr>
            </w:pPr>
            <w:r w:rsidRPr="00FB5604">
              <w:rPr>
                <w:rFonts w:ascii="Arial" w:hAnsi="Arial" w:cs="Arial"/>
                <w:b/>
                <w:color w:val="000000"/>
                <w:sz w:val="18"/>
                <w:szCs w:val="18"/>
              </w:rPr>
              <w:t>638</w:t>
            </w:r>
          </w:p>
        </w:tc>
        <w:tc>
          <w:tcPr>
            <w:tcW w:w="1031" w:type="dxa"/>
            <w:shd w:val="clear" w:color="000000" w:fill="FFFFFF"/>
            <w:noWrap/>
            <w:vAlign w:val="center"/>
            <w:hideMark/>
          </w:tcPr>
          <w:p w:rsidR="008D573F" w:rsidRPr="00FB5604" w:rsidRDefault="008D573F" w:rsidP="008D573F">
            <w:pPr>
              <w:jc w:val="center"/>
              <w:rPr>
                <w:rFonts w:ascii="Arial" w:hAnsi="Arial" w:cs="Arial"/>
                <w:b/>
                <w:bCs/>
                <w:color w:val="000000"/>
                <w:sz w:val="18"/>
                <w:szCs w:val="18"/>
              </w:rPr>
            </w:pPr>
            <w:r w:rsidRPr="00FB5604">
              <w:rPr>
                <w:rFonts w:ascii="Arial" w:hAnsi="Arial" w:cs="Arial"/>
                <w:b/>
                <w:bCs/>
                <w:color w:val="000000"/>
                <w:sz w:val="18"/>
                <w:szCs w:val="18"/>
              </w:rPr>
              <w:t>50,100</w:t>
            </w:r>
          </w:p>
        </w:tc>
      </w:tr>
    </w:tbl>
    <w:p w:rsidR="00D167A6" w:rsidRPr="007105F2" w:rsidRDefault="008D573F" w:rsidP="007105F2">
      <w:pPr>
        <w:rPr>
          <w:rFonts w:asciiTheme="minorHAnsi" w:hAnsiTheme="minorHAnsi" w:cstheme="minorHAnsi"/>
          <w:i/>
          <w:sz w:val="16"/>
          <w:szCs w:val="16"/>
        </w:rPr>
      </w:pPr>
      <w:r w:rsidRPr="00D409BF">
        <w:rPr>
          <w:rFonts w:asciiTheme="minorHAnsi" w:hAnsiTheme="minorHAnsi" w:cstheme="minorHAnsi"/>
          <w:i/>
          <w:sz w:val="16"/>
          <w:szCs w:val="16"/>
        </w:rPr>
        <w:t>Source: Department of Health, Medical Benefits Division, Primary Care and Diagnostics Branch, MBS Analytics Section, Reference no.: Q20863, July 2017</w:t>
      </w:r>
    </w:p>
    <w:p w:rsidR="008D573F" w:rsidRPr="003262E6" w:rsidRDefault="00CA3DEE" w:rsidP="00CA3DEE">
      <w:pPr>
        <w:rPr>
          <w:rFonts w:asciiTheme="minorHAnsi" w:hAnsiTheme="minorHAnsi" w:cs="Arial"/>
          <w:b/>
          <w:bCs/>
          <w:color w:val="000000"/>
          <w:sz w:val="20"/>
        </w:rPr>
      </w:pPr>
      <w:r>
        <w:rPr>
          <w:rFonts w:asciiTheme="minorHAnsi" w:hAnsiTheme="minorHAnsi" w:cs="Arial"/>
          <w:b/>
          <w:bCs/>
          <w:color w:val="000000"/>
          <w:sz w:val="20"/>
        </w:rPr>
        <w:t xml:space="preserve">Table 7: </w:t>
      </w:r>
      <w:r w:rsidR="00D167A6">
        <w:rPr>
          <w:rFonts w:asciiTheme="minorHAnsi" w:hAnsiTheme="minorHAnsi" w:cs="Arial"/>
          <w:b/>
          <w:bCs/>
          <w:color w:val="000000"/>
          <w:sz w:val="20"/>
        </w:rPr>
        <w:t>I</w:t>
      </w:r>
      <w:r w:rsidR="008D573F" w:rsidRPr="003262E6">
        <w:rPr>
          <w:rFonts w:asciiTheme="minorHAnsi" w:hAnsiTheme="minorHAnsi" w:cs="Arial"/>
          <w:b/>
          <w:bCs/>
          <w:color w:val="000000"/>
          <w:sz w:val="20"/>
        </w:rPr>
        <w:t>tem 31584, State/Territory</w:t>
      </w:r>
    </w:p>
    <w:tbl>
      <w:tblPr>
        <w:tblW w:w="89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tate and Territory service volumes for MBS item 31584 in 2013-17"/>
        <w:tblDescription w:val="For item 31584, the total service volumes across the 4 years since implementation was 14,418. This includes 2,947 in New South Wales, 73 in  the Australian Capital Territory, 3,367 in Victoria, 501 in Tasmania, 3,182 in Queensland, 65 in the Northern Territory, 1,224 in South Australia and 3,059 in Western Australia. "/>
      </w:tblPr>
      <w:tblGrid>
        <w:gridCol w:w="1145"/>
        <w:gridCol w:w="867"/>
        <w:gridCol w:w="867"/>
        <w:gridCol w:w="867"/>
        <w:gridCol w:w="867"/>
        <w:gridCol w:w="867"/>
        <w:gridCol w:w="867"/>
        <w:gridCol w:w="867"/>
        <w:gridCol w:w="867"/>
        <w:gridCol w:w="867"/>
      </w:tblGrid>
      <w:tr w:rsidR="00540F30" w:rsidTr="00540F30">
        <w:trPr>
          <w:trHeight w:val="462"/>
        </w:trPr>
        <w:tc>
          <w:tcPr>
            <w:tcW w:w="1145" w:type="dxa"/>
            <w:tcBorders>
              <w:top w:val="nil"/>
              <w:left w:val="nil"/>
            </w:tcBorders>
            <w:shd w:val="clear" w:color="000000" w:fill="FFFFFF"/>
            <w:vAlign w:val="center"/>
            <w:hideMark/>
          </w:tcPr>
          <w:p w:rsidR="008D573F" w:rsidRDefault="008D573F" w:rsidP="008D573F">
            <w:pPr>
              <w:jc w:val="center"/>
              <w:rPr>
                <w:color w:val="000000"/>
                <w:sz w:val="20"/>
              </w:rPr>
            </w:pPr>
          </w:p>
        </w:tc>
        <w:tc>
          <w:tcPr>
            <w:tcW w:w="867" w:type="dxa"/>
            <w:shd w:val="clear" w:color="000000" w:fill="548DD4"/>
            <w:noWrap/>
            <w:vAlign w:val="center"/>
            <w:hideMark/>
          </w:tcPr>
          <w:p w:rsidR="008D573F" w:rsidRDefault="008D573F" w:rsidP="008D573F">
            <w:pPr>
              <w:jc w:val="center"/>
              <w:rPr>
                <w:rFonts w:ascii="Arial" w:hAnsi="Arial" w:cs="Arial"/>
                <w:b/>
                <w:bCs/>
                <w:color w:val="FFFFFF"/>
                <w:sz w:val="18"/>
                <w:szCs w:val="18"/>
              </w:rPr>
            </w:pPr>
            <w:r>
              <w:rPr>
                <w:rFonts w:ascii="Arial" w:hAnsi="Arial" w:cs="Arial"/>
                <w:b/>
                <w:bCs/>
                <w:color w:val="FFFFFF"/>
                <w:sz w:val="18"/>
                <w:szCs w:val="18"/>
              </w:rPr>
              <w:t>NSW</w:t>
            </w:r>
          </w:p>
        </w:tc>
        <w:tc>
          <w:tcPr>
            <w:tcW w:w="867" w:type="dxa"/>
            <w:shd w:val="clear" w:color="000000" w:fill="548DD4"/>
            <w:noWrap/>
            <w:vAlign w:val="center"/>
            <w:hideMark/>
          </w:tcPr>
          <w:p w:rsidR="008D573F" w:rsidRDefault="008D573F" w:rsidP="008D573F">
            <w:pPr>
              <w:jc w:val="center"/>
              <w:rPr>
                <w:rFonts w:ascii="Arial" w:hAnsi="Arial" w:cs="Arial"/>
                <w:b/>
                <w:bCs/>
                <w:color w:val="FFFFFF"/>
                <w:sz w:val="18"/>
                <w:szCs w:val="18"/>
              </w:rPr>
            </w:pPr>
            <w:r>
              <w:rPr>
                <w:rFonts w:ascii="Arial" w:hAnsi="Arial" w:cs="Arial"/>
                <w:b/>
                <w:bCs/>
                <w:color w:val="FFFFFF"/>
                <w:sz w:val="18"/>
                <w:szCs w:val="18"/>
              </w:rPr>
              <w:t>VIC</w:t>
            </w:r>
          </w:p>
        </w:tc>
        <w:tc>
          <w:tcPr>
            <w:tcW w:w="867" w:type="dxa"/>
            <w:shd w:val="clear" w:color="000000" w:fill="548DD4"/>
            <w:noWrap/>
            <w:vAlign w:val="center"/>
            <w:hideMark/>
          </w:tcPr>
          <w:p w:rsidR="008D573F" w:rsidRDefault="008D573F" w:rsidP="008D573F">
            <w:pPr>
              <w:jc w:val="center"/>
              <w:rPr>
                <w:rFonts w:ascii="Arial" w:hAnsi="Arial" w:cs="Arial"/>
                <w:b/>
                <w:bCs/>
                <w:color w:val="FFFFFF"/>
                <w:sz w:val="18"/>
                <w:szCs w:val="18"/>
              </w:rPr>
            </w:pPr>
            <w:r>
              <w:rPr>
                <w:rFonts w:ascii="Arial" w:hAnsi="Arial" w:cs="Arial"/>
                <w:b/>
                <w:bCs/>
                <w:color w:val="FFFFFF"/>
                <w:sz w:val="18"/>
                <w:szCs w:val="18"/>
              </w:rPr>
              <w:t>QLD</w:t>
            </w:r>
          </w:p>
        </w:tc>
        <w:tc>
          <w:tcPr>
            <w:tcW w:w="867" w:type="dxa"/>
            <w:shd w:val="clear" w:color="000000" w:fill="548DD4"/>
            <w:noWrap/>
            <w:vAlign w:val="center"/>
            <w:hideMark/>
          </w:tcPr>
          <w:p w:rsidR="008D573F" w:rsidRDefault="008D573F" w:rsidP="008D573F">
            <w:pPr>
              <w:jc w:val="center"/>
              <w:rPr>
                <w:rFonts w:ascii="Arial" w:hAnsi="Arial" w:cs="Arial"/>
                <w:b/>
                <w:bCs/>
                <w:color w:val="FFFFFF"/>
                <w:sz w:val="18"/>
                <w:szCs w:val="18"/>
              </w:rPr>
            </w:pPr>
            <w:r>
              <w:rPr>
                <w:rFonts w:ascii="Arial" w:hAnsi="Arial" w:cs="Arial"/>
                <w:b/>
                <w:bCs/>
                <w:color w:val="FFFFFF"/>
                <w:sz w:val="18"/>
                <w:szCs w:val="18"/>
              </w:rPr>
              <w:t>SA</w:t>
            </w:r>
          </w:p>
        </w:tc>
        <w:tc>
          <w:tcPr>
            <w:tcW w:w="867" w:type="dxa"/>
            <w:shd w:val="clear" w:color="000000" w:fill="548DD4"/>
            <w:noWrap/>
            <w:vAlign w:val="center"/>
            <w:hideMark/>
          </w:tcPr>
          <w:p w:rsidR="008D573F" w:rsidRDefault="008D573F" w:rsidP="008D573F">
            <w:pPr>
              <w:jc w:val="center"/>
              <w:rPr>
                <w:rFonts w:ascii="Arial" w:hAnsi="Arial" w:cs="Arial"/>
                <w:b/>
                <w:bCs/>
                <w:color w:val="FFFFFF"/>
                <w:sz w:val="18"/>
                <w:szCs w:val="18"/>
              </w:rPr>
            </w:pPr>
            <w:r>
              <w:rPr>
                <w:rFonts w:ascii="Arial" w:hAnsi="Arial" w:cs="Arial"/>
                <w:b/>
                <w:bCs/>
                <w:color w:val="FFFFFF"/>
                <w:sz w:val="18"/>
                <w:szCs w:val="18"/>
              </w:rPr>
              <w:t>WA</w:t>
            </w:r>
          </w:p>
        </w:tc>
        <w:tc>
          <w:tcPr>
            <w:tcW w:w="867" w:type="dxa"/>
            <w:shd w:val="clear" w:color="000000" w:fill="548DD4"/>
            <w:noWrap/>
            <w:vAlign w:val="center"/>
            <w:hideMark/>
          </w:tcPr>
          <w:p w:rsidR="008D573F" w:rsidRDefault="008D573F" w:rsidP="008D573F">
            <w:pPr>
              <w:jc w:val="center"/>
              <w:rPr>
                <w:rFonts w:ascii="Arial" w:hAnsi="Arial" w:cs="Arial"/>
                <w:b/>
                <w:bCs/>
                <w:color w:val="FFFFFF"/>
                <w:sz w:val="18"/>
                <w:szCs w:val="18"/>
              </w:rPr>
            </w:pPr>
            <w:r>
              <w:rPr>
                <w:rFonts w:ascii="Arial" w:hAnsi="Arial" w:cs="Arial"/>
                <w:b/>
                <w:bCs/>
                <w:color w:val="FFFFFF"/>
                <w:sz w:val="18"/>
                <w:szCs w:val="18"/>
              </w:rPr>
              <w:t>TAS</w:t>
            </w:r>
          </w:p>
        </w:tc>
        <w:tc>
          <w:tcPr>
            <w:tcW w:w="867" w:type="dxa"/>
            <w:shd w:val="clear" w:color="000000" w:fill="548DD4"/>
            <w:noWrap/>
            <w:vAlign w:val="center"/>
            <w:hideMark/>
          </w:tcPr>
          <w:p w:rsidR="008D573F" w:rsidRDefault="008D573F" w:rsidP="008D573F">
            <w:pPr>
              <w:jc w:val="center"/>
              <w:rPr>
                <w:rFonts w:ascii="Arial" w:hAnsi="Arial" w:cs="Arial"/>
                <w:b/>
                <w:bCs/>
                <w:color w:val="FFFFFF"/>
                <w:sz w:val="18"/>
                <w:szCs w:val="18"/>
              </w:rPr>
            </w:pPr>
            <w:r>
              <w:rPr>
                <w:rFonts w:ascii="Arial" w:hAnsi="Arial" w:cs="Arial"/>
                <w:b/>
                <w:bCs/>
                <w:color w:val="FFFFFF"/>
                <w:sz w:val="18"/>
                <w:szCs w:val="18"/>
              </w:rPr>
              <w:t>NT</w:t>
            </w:r>
          </w:p>
        </w:tc>
        <w:tc>
          <w:tcPr>
            <w:tcW w:w="867" w:type="dxa"/>
            <w:shd w:val="clear" w:color="000000" w:fill="548DD4"/>
            <w:noWrap/>
            <w:vAlign w:val="center"/>
            <w:hideMark/>
          </w:tcPr>
          <w:p w:rsidR="008D573F" w:rsidRDefault="008D573F" w:rsidP="008D573F">
            <w:pPr>
              <w:jc w:val="center"/>
              <w:rPr>
                <w:rFonts w:ascii="Arial" w:hAnsi="Arial" w:cs="Arial"/>
                <w:b/>
                <w:bCs/>
                <w:color w:val="FFFFFF"/>
                <w:sz w:val="18"/>
                <w:szCs w:val="18"/>
              </w:rPr>
            </w:pPr>
            <w:r>
              <w:rPr>
                <w:rFonts w:ascii="Arial" w:hAnsi="Arial" w:cs="Arial"/>
                <w:b/>
                <w:bCs/>
                <w:color w:val="FFFFFF"/>
                <w:sz w:val="18"/>
                <w:szCs w:val="18"/>
              </w:rPr>
              <w:t>ACT</w:t>
            </w:r>
          </w:p>
        </w:tc>
        <w:tc>
          <w:tcPr>
            <w:tcW w:w="867" w:type="dxa"/>
            <w:shd w:val="clear" w:color="000000" w:fill="548DD4"/>
            <w:noWrap/>
            <w:vAlign w:val="center"/>
            <w:hideMark/>
          </w:tcPr>
          <w:p w:rsidR="008D573F" w:rsidRDefault="008D573F" w:rsidP="008D573F">
            <w:pPr>
              <w:jc w:val="center"/>
              <w:rPr>
                <w:rFonts w:ascii="Arial" w:hAnsi="Arial" w:cs="Arial"/>
                <w:b/>
                <w:bCs/>
                <w:color w:val="FFFFFF"/>
                <w:sz w:val="18"/>
                <w:szCs w:val="18"/>
              </w:rPr>
            </w:pPr>
            <w:r>
              <w:rPr>
                <w:rFonts w:ascii="Arial" w:hAnsi="Arial" w:cs="Arial"/>
                <w:b/>
                <w:bCs/>
                <w:color w:val="FFFFFF"/>
                <w:sz w:val="18"/>
                <w:szCs w:val="18"/>
              </w:rPr>
              <w:t>Total</w:t>
            </w:r>
          </w:p>
        </w:tc>
      </w:tr>
      <w:tr w:rsidR="00540F30" w:rsidTr="00540F30">
        <w:trPr>
          <w:trHeight w:val="462"/>
        </w:trPr>
        <w:tc>
          <w:tcPr>
            <w:tcW w:w="1145" w:type="dxa"/>
            <w:shd w:val="clear" w:color="000000" w:fill="FFFFFF"/>
            <w:noWrap/>
            <w:vAlign w:val="center"/>
            <w:hideMark/>
          </w:tcPr>
          <w:p w:rsidR="008D573F" w:rsidRPr="00937BF2" w:rsidRDefault="008D573F" w:rsidP="008D573F">
            <w:pPr>
              <w:jc w:val="center"/>
              <w:rPr>
                <w:rFonts w:ascii="Arial" w:hAnsi="Arial" w:cs="Arial"/>
                <w:b/>
                <w:bCs/>
                <w:color w:val="000000"/>
                <w:sz w:val="18"/>
                <w:szCs w:val="18"/>
              </w:rPr>
            </w:pPr>
            <w:r w:rsidRPr="00937BF2">
              <w:rPr>
                <w:rFonts w:ascii="Arial" w:hAnsi="Arial" w:cs="Arial"/>
                <w:b/>
                <w:bCs/>
                <w:color w:val="000000"/>
                <w:sz w:val="18"/>
                <w:szCs w:val="18"/>
              </w:rPr>
              <w:t>2013/14</w:t>
            </w:r>
          </w:p>
        </w:tc>
        <w:tc>
          <w:tcPr>
            <w:tcW w:w="867" w:type="dxa"/>
            <w:shd w:val="clear" w:color="000000" w:fill="FFFFFF"/>
            <w:noWrap/>
            <w:vAlign w:val="center"/>
            <w:hideMark/>
          </w:tcPr>
          <w:p w:rsidR="008D573F" w:rsidRPr="00937BF2" w:rsidRDefault="008D573F" w:rsidP="008D573F">
            <w:pPr>
              <w:jc w:val="center"/>
              <w:rPr>
                <w:rFonts w:ascii="Arial" w:hAnsi="Arial" w:cs="Arial"/>
                <w:color w:val="000000"/>
                <w:sz w:val="18"/>
                <w:szCs w:val="18"/>
              </w:rPr>
            </w:pPr>
            <w:r w:rsidRPr="00937BF2">
              <w:rPr>
                <w:rFonts w:ascii="Arial" w:hAnsi="Arial" w:cs="Arial"/>
                <w:color w:val="000000"/>
                <w:sz w:val="18"/>
                <w:szCs w:val="18"/>
              </w:rPr>
              <w:t>710</w:t>
            </w:r>
          </w:p>
        </w:tc>
        <w:tc>
          <w:tcPr>
            <w:tcW w:w="867" w:type="dxa"/>
            <w:shd w:val="clear" w:color="000000" w:fill="FFFFFF"/>
            <w:noWrap/>
            <w:vAlign w:val="center"/>
            <w:hideMark/>
          </w:tcPr>
          <w:p w:rsidR="008D573F" w:rsidRPr="00937BF2" w:rsidRDefault="008D573F" w:rsidP="008D573F">
            <w:pPr>
              <w:jc w:val="center"/>
              <w:rPr>
                <w:rFonts w:ascii="Arial" w:hAnsi="Arial" w:cs="Arial"/>
                <w:color w:val="000000"/>
                <w:sz w:val="18"/>
                <w:szCs w:val="18"/>
              </w:rPr>
            </w:pPr>
            <w:r w:rsidRPr="00937BF2">
              <w:rPr>
                <w:rFonts w:ascii="Arial" w:hAnsi="Arial" w:cs="Arial"/>
                <w:color w:val="000000"/>
                <w:sz w:val="18"/>
                <w:szCs w:val="18"/>
              </w:rPr>
              <w:t>866</w:t>
            </w:r>
          </w:p>
        </w:tc>
        <w:tc>
          <w:tcPr>
            <w:tcW w:w="867" w:type="dxa"/>
            <w:shd w:val="clear" w:color="000000" w:fill="FFFFFF"/>
            <w:noWrap/>
            <w:vAlign w:val="center"/>
            <w:hideMark/>
          </w:tcPr>
          <w:p w:rsidR="008D573F" w:rsidRPr="00937BF2" w:rsidRDefault="008D573F" w:rsidP="008D573F">
            <w:pPr>
              <w:jc w:val="center"/>
              <w:rPr>
                <w:rFonts w:ascii="Arial" w:hAnsi="Arial" w:cs="Arial"/>
                <w:color w:val="000000"/>
                <w:sz w:val="18"/>
                <w:szCs w:val="18"/>
              </w:rPr>
            </w:pPr>
            <w:r w:rsidRPr="00937BF2">
              <w:rPr>
                <w:rFonts w:ascii="Arial" w:hAnsi="Arial" w:cs="Arial"/>
                <w:color w:val="000000"/>
                <w:sz w:val="18"/>
                <w:szCs w:val="18"/>
              </w:rPr>
              <w:t>815</w:t>
            </w:r>
          </w:p>
        </w:tc>
        <w:tc>
          <w:tcPr>
            <w:tcW w:w="867" w:type="dxa"/>
            <w:shd w:val="clear" w:color="000000" w:fill="FFFFFF"/>
            <w:noWrap/>
            <w:vAlign w:val="center"/>
            <w:hideMark/>
          </w:tcPr>
          <w:p w:rsidR="008D573F" w:rsidRPr="00937BF2" w:rsidRDefault="008D573F" w:rsidP="008D573F">
            <w:pPr>
              <w:jc w:val="center"/>
              <w:rPr>
                <w:rFonts w:ascii="Arial" w:hAnsi="Arial" w:cs="Arial"/>
                <w:color w:val="000000"/>
                <w:sz w:val="18"/>
                <w:szCs w:val="18"/>
              </w:rPr>
            </w:pPr>
            <w:r w:rsidRPr="00937BF2">
              <w:rPr>
                <w:rFonts w:ascii="Arial" w:hAnsi="Arial" w:cs="Arial"/>
                <w:color w:val="000000"/>
                <w:sz w:val="18"/>
                <w:szCs w:val="18"/>
              </w:rPr>
              <w:t>281</w:t>
            </w:r>
          </w:p>
        </w:tc>
        <w:tc>
          <w:tcPr>
            <w:tcW w:w="867" w:type="dxa"/>
            <w:shd w:val="clear" w:color="000000" w:fill="FFFFFF"/>
            <w:noWrap/>
            <w:vAlign w:val="center"/>
            <w:hideMark/>
          </w:tcPr>
          <w:p w:rsidR="008D573F" w:rsidRPr="00937BF2" w:rsidRDefault="008D573F" w:rsidP="008D573F">
            <w:pPr>
              <w:jc w:val="center"/>
              <w:rPr>
                <w:rFonts w:ascii="Arial" w:hAnsi="Arial" w:cs="Arial"/>
                <w:color w:val="000000"/>
                <w:sz w:val="18"/>
                <w:szCs w:val="18"/>
              </w:rPr>
            </w:pPr>
            <w:r w:rsidRPr="00937BF2">
              <w:rPr>
                <w:rFonts w:ascii="Arial" w:hAnsi="Arial" w:cs="Arial"/>
                <w:color w:val="000000"/>
                <w:sz w:val="18"/>
                <w:szCs w:val="18"/>
              </w:rPr>
              <w:t>691</w:t>
            </w:r>
          </w:p>
        </w:tc>
        <w:tc>
          <w:tcPr>
            <w:tcW w:w="867" w:type="dxa"/>
            <w:shd w:val="clear" w:color="000000" w:fill="FFFFFF"/>
            <w:noWrap/>
            <w:vAlign w:val="center"/>
            <w:hideMark/>
          </w:tcPr>
          <w:p w:rsidR="008D573F" w:rsidRPr="00937BF2" w:rsidRDefault="008D573F" w:rsidP="008D573F">
            <w:pPr>
              <w:jc w:val="center"/>
              <w:rPr>
                <w:rFonts w:ascii="Arial" w:hAnsi="Arial" w:cs="Arial"/>
                <w:color w:val="000000"/>
                <w:sz w:val="18"/>
                <w:szCs w:val="18"/>
              </w:rPr>
            </w:pPr>
            <w:r w:rsidRPr="00937BF2">
              <w:rPr>
                <w:rFonts w:ascii="Arial" w:hAnsi="Arial" w:cs="Arial"/>
                <w:color w:val="000000"/>
                <w:sz w:val="18"/>
                <w:szCs w:val="18"/>
              </w:rPr>
              <w:t>127</w:t>
            </w:r>
          </w:p>
        </w:tc>
        <w:tc>
          <w:tcPr>
            <w:tcW w:w="867" w:type="dxa"/>
            <w:shd w:val="clear" w:color="000000" w:fill="FFFFFF"/>
            <w:noWrap/>
            <w:vAlign w:val="center"/>
            <w:hideMark/>
          </w:tcPr>
          <w:p w:rsidR="008D573F" w:rsidRPr="00937BF2" w:rsidRDefault="008D573F" w:rsidP="008D573F">
            <w:pPr>
              <w:jc w:val="center"/>
              <w:rPr>
                <w:rFonts w:ascii="Arial" w:hAnsi="Arial" w:cs="Arial"/>
                <w:color w:val="000000"/>
                <w:sz w:val="18"/>
                <w:szCs w:val="18"/>
              </w:rPr>
            </w:pPr>
            <w:r w:rsidRPr="00937BF2">
              <w:rPr>
                <w:rFonts w:ascii="Arial" w:hAnsi="Arial" w:cs="Arial"/>
                <w:color w:val="000000"/>
                <w:sz w:val="18"/>
                <w:szCs w:val="18"/>
              </w:rPr>
              <w:t>15</w:t>
            </w:r>
          </w:p>
        </w:tc>
        <w:tc>
          <w:tcPr>
            <w:tcW w:w="867" w:type="dxa"/>
            <w:shd w:val="clear" w:color="000000" w:fill="FFFFFF"/>
            <w:noWrap/>
            <w:vAlign w:val="center"/>
            <w:hideMark/>
          </w:tcPr>
          <w:p w:rsidR="008D573F" w:rsidRPr="00937BF2" w:rsidRDefault="008D573F" w:rsidP="008D573F">
            <w:pPr>
              <w:jc w:val="center"/>
              <w:rPr>
                <w:rFonts w:ascii="Arial" w:hAnsi="Arial" w:cs="Arial"/>
                <w:color w:val="000000"/>
                <w:sz w:val="18"/>
                <w:szCs w:val="18"/>
              </w:rPr>
            </w:pPr>
            <w:r w:rsidRPr="00937BF2">
              <w:rPr>
                <w:rFonts w:ascii="Arial" w:hAnsi="Arial" w:cs="Arial"/>
                <w:color w:val="000000"/>
                <w:sz w:val="18"/>
                <w:szCs w:val="18"/>
              </w:rPr>
              <w:t>20</w:t>
            </w:r>
          </w:p>
        </w:tc>
        <w:tc>
          <w:tcPr>
            <w:tcW w:w="867" w:type="dxa"/>
            <w:shd w:val="clear" w:color="000000" w:fill="FFFFFF"/>
            <w:noWrap/>
            <w:vAlign w:val="center"/>
            <w:hideMark/>
          </w:tcPr>
          <w:p w:rsidR="008D573F" w:rsidRPr="00937BF2" w:rsidRDefault="008D573F" w:rsidP="008D573F">
            <w:pPr>
              <w:jc w:val="center"/>
              <w:rPr>
                <w:rFonts w:ascii="Arial" w:hAnsi="Arial" w:cs="Arial"/>
                <w:b/>
                <w:bCs/>
                <w:color w:val="000000"/>
                <w:sz w:val="18"/>
                <w:szCs w:val="18"/>
              </w:rPr>
            </w:pPr>
            <w:r w:rsidRPr="00937BF2">
              <w:rPr>
                <w:rFonts w:ascii="Arial" w:hAnsi="Arial" w:cs="Arial"/>
                <w:b/>
                <w:bCs/>
                <w:color w:val="000000"/>
                <w:sz w:val="18"/>
                <w:szCs w:val="18"/>
              </w:rPr>
              <w:t>3,525</w:t>
            </w:r>
          </w:p>
        </w:tc>
      </w:tr>
      <w:tr w:rsidR="00540F30" w:rsidTr="00540F30">
        <w:trPr>
          <w:trHeight w:val="462"/>
        </w:trPr>
        <w:tc>
          <w:tcPr>
            <w:tcW w:w="1145" w:type="dxa"/>
            <w:shd w:val="clear" w:color="000000" w:fill="FFFFFF"/>
            <w:noWrap/>
            <w:vAlign w:val="center"/>
            <w:hideMark/>
          </w:tcPr>
          <w:p w:rsidR="008D573F" w:rsidRPr="00937BF2" w:rsidRDefault="008D573F" w:rsidP="008D573F">
            <w:pPr>
              <w:jc w:val="center"/>
              <w:rPr>
                <w:rFonts w:ascii="Arial" w:hAnsi="Arial" w:cs="Arial"/>
                <w:b/>
                <w:bCs/>
                <w:color w:val="000000"/>
                <w:sz w:val="18"/>
                <w:szCs w:val="18"/>
              </w:rPr>
            </w:pPr>
            <w:r w:rsidRPr="00937BF2">
              <w:rPr>
                <w:rFonts w:ascii="Arial" w:hAnsi="Arial" w:cs="Arial"/>
                <w:b/>
                <w:bCs/>
                <w:color w:val="000000"/>
                <w:sz w:val="18"/>
                <w:szCs w:val="18"/>
              </w:rPr>
              <w:t>2014/2015</w:t>
            </w:r>
          </w:p>
        </w:tc>
        <w:tc>
          <w:tcPr>
            <w:tcW w:w="867" w:type="dxa"/>
            <w:shd w:val="clear" w:color="000000" w:fill="FFFFFF"/>
            <w:noWrap/>
            <w:vAlign w:val="center"/>
            <w:hideMark/>
          </w:tcPr>
          <w:p w:rsidR="008D573F" w:rsidRPr="00937BF2" w:rsidRDefault="008D573F" w:rsidP="008D573F">
            <w:pPr>
              <w:jc w:val="center"/>
              <w:rPr>
                <w:rFonts w:ascii="Arial" w:hAnsi="Arial" w:cs="Arial"/>
                <w:color w:val="000000"/>
                <w:sz w:val="18"/>
                <w:szCs w:val="18"/>
              </w:rPr>
            </w:pPr>
            <w:r w:rsidRPr="00937BF2">
              <w:rPr>
                <w:rFonts w:ascii="Arial" w:hAnsi="Arial" w:cs="Arial"/>
                <w:color w:val="000000"/>
                <w:sz w:val="18"/>
                <w:szCs w:val="18"/>
              </w:rPr>
              <w:t>736</w:t>
            </w:r>
          </w:p>
        </w:tc>
        <w:tc>
          <w:tcPr>
            <w:tcW w:w="867" w:type="dxa"/>
            <w:shd w:val="clear" w:color="000000" w:fill="FFFFFF"/>
            <w:noWrap/>
            <w:vAlign w:val="center"/>
            <w:hideMark/>
          </w:tcPr>
          <w:p w:rsidR="008D573F" w:rsidRPr="00937BF2" w:rsidRDefault="008D573F" w:rsidP="008D573F">
            <w:pPr>
              <w:jc w:val="center"/>
              <w:rPr>
                <w:rFonts w:ascii="Arial" w:hAnsi="Arial" w:cs="Arial"/>
                <w:color w:val="000000"/>
                <w:sz w:val="18"/>
                <w:szCs w:val="18"/>
              </w:rPr>
            </w:pPr>
            <w:r w:rsidRPr="00937BF2">
              <w:rPr>
                <w:rFonts w:ascii="Arial" w:hAnsi="Arial" w:cs="Arial"/>
                <w:color w:val="000000"/>
                <w:sz w:val="18"/>
                <w:szCs w:val="18"/>
              </w:rPr>
              <w:t>885</w:t>
            </w:r>
          </w:p>
        </w:tc>
        <w:tc>
          <w:tcPr>
            <w:tcW w:w="867" w:type="dxa"/>
            <w:shd w:val="clear" w:color="000000" w:fill="FFFFFF"/>
            <w:noWrap/>
            <w:vAlign w:val="center"/>
            <w:hideMark/>
          </w:tcPr>
          <w:p w:rsidR="008D573F" w:rsidRPr="00937BF2" w:rsidRDefault="008D573F" w:rsidP="008D573F">
            <w:pPr>
              <w:jc w:val="center"/>
              <w:rPr>
                <w:rFonts w:ascii="Arial" w:hAnsi="Arial" w:cs="Arial"/>
                <w:color w:val="000000"/>
                <w:sz w:val="18"/>
                <w:szCs w:val="18"/>
              </w:rPr>
            </w:pPr>
            <w:r w:rsidRPr="00937BF2">
              <w:rPr>
                <w:rFonts w:ascii="Arial" w:hAnsi="Arial" w:cs="Arial"/>
                <w:color w:val="000000"/>
                <w:sz w:val="18"/>
                <w:szCs w:val="18"/>
              </w:rPr>
              <w:t>728</w:t>
            </w:r>
          </w:p>
        </w:tc>
        <w:tc>
          <w:tcPr>
            <w:tcW w:w="867" w:type="dxa"/>
            <w:shd w:val="clear" w:color="000000" w:fill="FFFFFF"/>
            <w:noWrap/>
            <w:vAlign w:val="center"/>
            <w:hideMark/>
          </w:tcPr>
          <w:p w:rsidR="008D573F" w:rsidRPr="00937BF2" w:rsidRDefault="008D573F" w:rsidP="008D573F">
            <w:pPr>
              <w:jc w:val="center"/>
              <w:rPr>
                <w:rFonts w:ascii="Arial" w:hAnsi="Arial" w:cs="Arial"/>
                <w:color w:val="000000"/>
                <w:sz w:val="18"/>
                <w:szCs w:val="18"/>
              </w:rPr>
            </w:pPr>
            <w:r w:rsidRPr="00937BF2">
              <w:rPr>
                <w:rFonts w:ascii="Arial" w:hAnsi="Arial" w:cs="Arial"/>
                <w:color w:val="000000"/>
                <w:sz w:val="18"/>
                <w:szCs w:val="18"/>
              </w:rPr>
              <w:t>345</w:t>
            </w:r>
          </w:p>
        </w:tc>
        <w:tc>
          <w:tcPr>
            <w:tcW w:w="867" w:type="dxa"/>
            <w:shd w:val="clear" w:color="000000" w:fill="FFFFFF"/>
            <w:noWrap/>
            <w:vAlign w:val="center"/>
            <w:hideMark/>
          </w:tcPr>
          <w:p w:rsidR="008D573F" w:rsidRPr="00937BF2" w:rsidRDefault="008D573F" w:rsidP="008D573F">
            <w:pPr>
              <w:jc w:val="center"/>
              <w:rPr>
                <w:rFonts w:ascii="Arial" w:hAnsi="Arial" w:cs="Arial"/>
                <w:color w:val="000000"/>
                <w:sz w:val="18"/>
                <w:szCs w:val="18"/>
              </w:rPr>
            </w:pPr>
            <w:r w:rsidRPr="00937BF2">
              <w:rPr>
                <w:rFonts w:ascii="Arial" w:hAnsi="Arial" w:cs="Arial"/>
                <w:color w:val="000000"/>
                <w:sz w:val="18"/>
                <w:szCs w:val="18"/>
              </w:rPr>
              <w:t>773</w:t>
            </w:r>
          </w:p>
        </w:tc>
        <w:tc>
          <w:tcPr>
            <w:tcW w:w="867" w:type="dxa"/>
            <w:shd w:val="clear" w:color="000000" w:fill="FFFFFF"/>
            <w:noWrap/>
            <w:vAlign w:val="center"/>
            <w:hideMark/>
          </w:tcPr>
          <w:p w:rsidR="008D573F" w:rsidRPr="00937BF2" w:rsidRDefault="008D573F" w:rsidP="008D573F">
            <w:pPr>
              <w:jc w:val="center"/>
              <w:rPr>
                <w:rFonts w:ascii="Arial" w:hAnsi="Arial" w:cs="Arial"/>
                <w:color w:val="000000"/>
                <w:sz w:val="18"/>
                <w:szCs w:val="18"/>
              </w:rPr>
            </w:pPr>
            <w:r w:rsidRPr="00937BF2">
              <w:rPr>
                <w:rFonts w:ascii="Arial" w:hAnsi="Arial" w:cs="Arial"/>
                <w:color w:val="000000"/>
                <w:sz w:val="18"/>
                <w:szCs w:val="18"/>
              </w:rPr>
              <w:t>110</w:t>
            </w:r>
          </w:p>
        </w:tc>
        <w:tc>
          <w:tcPr>
            <w:tcW w:w="867" w:type="dxa"/>
            <w:shd w:val="clear" w:color="000000" w:fill="FFFFFF"/>
            <w:noWrap/>
            <w:vAlign w:val="center"/>
            <w:hideMark/>
          </w:tcPr>
          <w:p w:rsidR="008D573F" w:rsidRPr="00937BF2" w:rsidRDefault="008D573F" w:rsidP="008D573F">
            <w:pPr>
              <w:jc w:val="center"/>
              <w:rPr>
                <w:rFonts w:ascii="Arial" w:hAnsi="Arial" w:cs="Arial"/>
                <w:color w:val="000000"/>
                <w:sz w:val="18"/>
                <w:szCs w:val="18"/>
              </w:rPr>
            </w:pPr>
            <w:r w:rsidRPr="00937BF2">
              <w:rPr>
                <w:rFonts w:ascii="Arial" w:hAnsi="Arial" w:cs="Arial"/>
                <w:color w:val="000000"/>
                <w:sz w:val="18"/>
                <w:szCs w:val="18"/>
              </w:rPr>
              <w:t>17</w:t>
            </w:r>
          </w:p>
        </w:tc>
        <w:tc>
          <w:tcPr>
            <w:tcW w:w="867" w:type="dxa"/>
            <w:shd w:val="clear" w:color="000000" w:fill="FFFFFF"/>
            <w:noWrap/>
            <w:vAlign w:val="center"/>
            <w:hideMark/>
          </w:tcPr>
          <w:p w:rsidR="008D573F" w:rsidRPr="00937BF2" w:rsidRDefault="008D573F" w:rsidP="008D573F">
            <w:pPr>
              <w:jc w:val="center"/>
              <w:rPr>
                <w:rFonts w:ascii="Arial" w:hAnsi="Arial" w:cs="Arial"/>
                <w:color w:val="000000"/>
                <w:sz w:val="18"/>
                <w:szCs w:val="18"/>
              </w:rPr>
            </w:pPr>
            <w:r w:rsidRPr="00937BF2">
              <w:rPr>
                <w:rFonts w:ascii="Arial" w:hAnsi="Arial" w:cs="Arial"/>
                <w:color w:val="000000"/>
                <w:sz w:val="18"/>
                <w:szCs w:val="18"/>
              </w:rPr>
              <w:t>18</w:t>
            </w:r>
          </w:p>
        </w:tc>
        <w:tc>
          <w:tcPr>
            <w:tcW w:w="867" w:type="dxa"/>
            <w:shd w:val="clear" w:color="000000" w:fill="FFFFFF"/>
            <w:noWrap/>
            <w:vAlign w:val="center"/>
            <w:hideMark/>
          </w:tcPr>
          <w:p w:rsidR="008D573F" w:rsidRPr="00937BF2" w:rsidRDefault="008D573F" w:rsidP="008D573F">
            <w:pPr>
              <w:jc w:val="center"/>
              <w:rPr>
                <w:rFonts w:ascii="Arial" w:hAnsi="Arial" w:cs="Arial"/>
                <w:b/>
                <w:bCs/>
                <w:color w:val="000000"/>
                <w:sz w:val="18"/>
                <w:szCs w:val="18"/>
              </w:rPr>
            </w:pPr>
            <w:r w:rsidRPr="00937BF2">
              <w:rPr>
                <w:rFonts w:ascii="Arial" w:hAnsi="Arial" w:cs="Arial"/>
                <w:b/>
                <w:bCs/>
                <w:color w:val="000000"/>
                <w:sz w:val="18"/>
                <w:szCs w:val="18"/>
              </w:rPr>
              <w:t>3,612</w:t>
            </w:r>
          </w:p>
        </w:tc>
      </w:tr>
      <w:tr w:rsidR="00540F30" w:rsidTr="00540F30">
        <w:trPr>
          <w:trHeight w:val="462"/>
        </w:trPr>
        <w:tc>
          <w:tcPr>
            <w:tcW w:w="1145" w:type="dxa"/>
            <w:shd w:val="clear" w:color="000000" w:fill="FFFFFF"/>
            <w:noWrap/>
            <w:vAlign w:val="center"/>
            <w:hideMark/>
          </w:tcPr>
          <w:p w:rsidR="008D573F" w:rsidRPr="00937BF2" w:rsidRDefault="008D573F" w:rsidP="008D573F">
            <w:pPr>
              <w:jc w:val="center"/>
              <w:rPr>
                <w:rFonts w:ascii="Arial" w:hAnsi="Arial" w:cs="Arial"/>
                <w:b/>
                <w:bCs/>
                <w:color w:val="000000"/>
                <w:sz w:val="18"/>
                <w:szCs w:val="18"/>
              </w:rPr>
            </w:pPr>
            <w:r w:rsidRPr="00937BF2">
              <w:rPr>
                <w:rFonts w:ascii="Arial" w:hAnsi="Arial" w:cs="Arial"/>
                <w:b/>
                <w:bCs/>
                <w:color w:val="000000"/>
                <w:sz w:val="18"/>
                <w:szCs w:val="18"/>
              </w:rPr>
              <w:t>2015/2016</w:t>
            </w:r>
          </w:p>
        </w:tc>
        <w:tc>
          <w:tcPr>
            <w:tcW w:w="867" w:type="dxa"/>
            <w:shd w:val="clear" w:color="000000" w:fill="FFFFFF"/>
            <w:noWrap/>
            <w:vAlign w:val="center"/>
            <w:hideMark/>
          </w:tcPr>
          <w:p w:rsidR="008D573F" w:rsidRPr="00937BF2" w:rsidRDefault="008D573F" w:rsidP="008D573F">
            <w:pPr>
              <w:jc w:val="center"/>
              <w:rPr>
                <w:rFonts w:ascii="Arial" w:hAnsi="Arial" w:cs="Arial"/>
                <w:color w:val="000000"/>
                <w:sz w:val="18"/>
                <w:szCs w:val="18"/>
              </w:rPr>
            </w:pPr>
            <w:r w:rsidRPr="00937BF2">
              <w:rPr>
                <w:rFonts w:ascii="Arial" w:hAnsi="Arial" w:cs="Arial"/>
                <w:color w:val="000000"/>
                <w:sz w:val="18"/>
                <w:szCs w:val="18"/>
              </w:rPr>
              <w:t>739</w:t>
            </w:r>
          </w:p>
        </w:tc>
        <w:tc>
          <w:tcPr>
            <w:tcW w:w="867" w:type="dxa"/>
            <w:shd w:val="clear" w:color="000000" w:fill="FFFFFF"/>
            <w:noWrap/>
            <w:vAlign w:val="center"/>
            <w:hideMark/>
          </w:tcPr>
          <w:p w:rsidR="008D573F" w:rsidRPr="00937BF2" w:rsidRDefault="008D573F" w:rsidP="008D573F">
            <w:pPr>
              <w:jc w:val="center"/>
              <w:rPr>
                <w:rFonts w:ascii="Arial" w:hAnsi="Arial" w:cs="Arial"/>
                <w:color w:val="000000"/>
                <w:sz w:val="18"/>
                <w:szCs w:val="18"/>
              </w:rPr>
            </w:pPr>
            <w:r w:rsidRPr="00937BF2">
              <w:rPr>
                <w:rFonts w:ascii="Arial" w:hAnsi="Arial" w:cs="Arial"/>
                <w:color w:val="000000"/>
                <w:sz w:val="18"/>
                <w:szCs w:val="18"/>
              </w:rPr>
              <w:t>806</w:t>
            </w:r>
          </w:p>
        </w:tc>
        <w:tc>
          <w:tcPr>
            <w:tcW w:w="867" w:type="dxa"/>
            <w:shd w:val="clear" w:color="000000" w:fill="FFFFFF"/>
            <w:noWrap/>
            <w:vAlign w:val="center"/>
            <w:hideMark/>
          </w:tcPr>
          <w:p w:rsidR="008D573F" w:rsidRPr="00937BF2" w:rsidRDefault="008D573F" w:rsidP="008D573F">
            <w:pPr>
              <w:jc w:val="center"/>
              <w:rPr>
                <w:rFonts w:ascii="Arial" w:hAnsi="Arial" w:cs="Arial"/>
                <w:color w:val="000000"/>
                <w:sz w:val="18"/>
                <w:szCs w:val="18"/>
              </w:rPr>
            </w:pPr>
            <w:r w:rsidRPr="00937BF2">
              <w:rPr>
                <w:rFonts w:ascii="Arial" w:hAnsi="Arial" w:cs="Arial"/>
                <w:color w:val="000000"/>
                <w:sz w:val="18"/>
                <w:szCs w:val="18"/>
              </w:rPr>
              <w:t>809</w:t>
            </w:r>
          </w:p>
        </w:tc>
        <w:tc>
          <w:tcPr>
            <w:tcW w:w="867" w:type="dxa"/>
            <w:shd w:val="clear" w:color="000000" w:fill="FFFFFF"/>
            <w:noWrap/>
            <w:vAlign w:val="center"/>
            <w:hideMark/>
          </w:tcPr>
          <w:p w:rsidR="008D573F" w:rsidRPr="00937BF2" w:rsidRDefault="008D573F" w:rsidP="008D573F">
            <w:pPr>
              <w:jc w:val="center"/>
              <w:rPr>
                <w:rFonts w:ascii="Arial" w:hAnsi="Arial" w:cs="Arial"/>
                <w:color w:val="000000"/>
                <w:sz w:val="18"/>
                <w:szCs w:val="18"/>
              </w:rPr>
            </w:pPr>
            <w:r w:rsidRPr="00937BF2">
              <w:rPr>
                <w:rFonts w:ascii="Arial" w:hAnsi="Arial" w:cs="Arial"/>
                <w:color w:val="000000"/>
                <w:sz w:val="18"/>
                <w:szCs w:val="18"/>
              </w:rPr>
              <w:t>293</w:t>
            </w:r>
          </w:p>
        </w:tc>
        <w:tc>
          <w:tcPr>
            <w:tcW w:w="867" w:type="dxa"/>
            <w:shd w:val="clear" w:color="000000" w:fill="FFFFFF"/>
            <w:noWrap/>
            <w:vAlign w:val="center"/>
            <w:hideMark/>
          </w:tcPr>
          <w:p w:rsidR="008D573F" w:rsidRPr="00937BF2" w:rsidRDefault="008D573F" w:rsidP="008D573F">
            <w:pPr>
              <w:jc w:val="center"/>
              <w:rPr>
                <w:rFonts w:ascii="Arial" w:hAnsi="Arial" w:cs="Arial"/>
                <w:color w:val="000000"/>
                <w:sz w:val="18"/>
                <w:szCs w:val="18"/>
              </w:rPr>
            </w:pPr>
            <w:r w:rsidRPr="00937BF2">
              <w:rPr>
                <w:rFonts w:ascii="Arial" w:hAnsi="Arial" w:cs="Arial"/>
                <w:color w:val="000000"/>
                <w:sz w:val="18"/>
                <w:szCs w:val="18"/>
              </w:rPr>
              <w:t>792</w:t>
            </w:r>
          </w:p>
        </w:tc>
        <w:tc>
          <w:tcPr>
            <w:tcW w:w="867" w:type="dxa"/>
            <w:shd w:val="clear" w:color="000000" w:fill="FFFFFF"/>
            <w:noWrap/>
            <w:vAlign w:val="center"/>
            <w:hideMark/>
          </w:tcPr>
          <w:p w:rsidR="008D573F" w:rsidRPr="00937BF2" w:rsidRDefault="008D573F" w:rsidP="008D573F">
            <w:pPr>
              <w:jc w:val="center"/>
              <w:rPr>
                <w:rFonts w:ascii="Arial" w:hAnsi="Arial" w:cs="Arial"/>
                <w:color w:val="000000"/>
                <w:sz w:val="18"/>
                <w:szCs w:val="18"/>
              </w:rPr>
            </w:pPr>
            <w:r w:rsidRPr="00937BF2">
              <w:rPr>
                <w:rFonts w:ascii="Arial" w:hAnsi="Arial" w:cs="Arial"/>
                <w:color w:val="000000"/>
                <w:sz w:val="18"/>
                <w:szCs w:val="18"/>
              </w:rPr>
              <w:t>123</w:t>
            </w:r>
          </w:p>
        </w:tc>
        <w:tc>
          <w:tcPr>
            <w:tcW w:w="867" w:type="dxa"/>
            <w:shd w:val="clear" w:color="000000" w:fill="FFFFFF"/>
            <w:noWrap/>
            <w:vAlign w:val="center"/>
            <w:hideMark/>
          </w:tcPr>
          <w:p w:rsidR="008D573F" w:rsidRPr="00937BF2" w:rsidRDefault="008D573F" w:rsidP="008D573F">
            <w:pPr>
              <w:jc w:val="center"/>
              <w:rPr>
                <w:rFonts w:ascii="Arial" w:hAnsi="Arial" w:cs="Arial"/>
                <w:color w:val="000000"/>
                <w:sz w:val="18"/>
                <w:szCs w:val="18"/>
              </w:rPr>
            </w:pPr>
            <w:r w:rsidRPr="00937BF2">
              <w:rPr>
                <w:rFonts w:ascii="Arial" w:hAnsi="Arial" w:cs="Arial"/>
                <w:color w:val="000000"/>
                <w:sz w:val="18"/>
                <w:szCs w:val="18"/>
              </w:rPr>
              <w:t>11</w:t>
            </w:r>
          </w:p>
        </w:tc>
        <w:tc>
          <w:tcPr>
            <w:tcW w:w="867" w:type="dxa"/>
            <w:shd w:val="clear" w:color="000000" w:fill="FFFFFF"/>
            <w:noWrap/>
            <w:vAlign w:val="center"/>
            <w:hideMark/>
          </w:tcPr>
          <w:p w:rsidR="008D573F" w:rsidRPr="00937BF2" w:rsidRDefault="008D573F" w:rsidP="008D573F">
            <w:pPr>
              <w:jc w:val="center"/>
              <w:rPr>
                <w:rFonts w:ascii="Arial" w:hAnsi="Arial" w:cs="Arial"/>
                <w:color w:val="000000"/>
                <w:sz w:val="18"/>
                <w:szCs w:val="18"/>
              </w:rPr>
            </w:pPr>
            <w:r w:rsidRPr="00937BF2">
              <w:rPr>
                <w:rFonts w:ascii="Arial" w:hAnsi="Arial" w:cs="Arial"/>
                <w:color w:val="000000"/>
                <w:sz w:val="18"/>
                <w:szCs w:val="18"/>
              </w:rPr>
              <w:t>19</w:t>
            </w:r>
          </w:p>
        </w:tc>
        <w:tc>
          <w:tcPr>
            <w:tcW w:w="867" w:type="dxa"/>
            <w:shd w:val="clear" w:color="000000" w:fill="FFFFFF"/>
            <w:noWrap/>
            <w:vAlign w:val="center"/>
            <w:hideMark/>
          </w:tcPr>
          <w:p w:rsidR="008D573F" w:rsidRPr="00937BF2" w:rsidRDefault="008D573F" w:rsidP="008D573F">
            <w:pPr>
              <w:jc w:val="center"/>
              <w:rPr>
                <w:rFonts w:ascii="Arial" w:hAnsi="Arial" w:cs="Arial"/>
                <w:b/>
                <w:bCs/>
                <w:color w:val="000000"/>
                <w:sz w:val="18"/>
                <w:szCs w:val="18"/>
              </w:rPr>
            </w:pPr>
            <w:r w:rsidRPr="00937BF2">
              <w:rPr>
                <w:rFonts w:ascii="Arial" w:hAnsi="Arial" w:cs="Arial"/>
                <w:b/>
                <w:bCs/>
                <w:color w:val="000000"/>
                <w:sz w:val="18"/>
                <w:szCs w:val="18"/>
              </w:rPr>
              <w:t>3,592</w:t>
            </w:r>
          </w:p>
        </w:tc>
      </w:tr>
      <w:tr w:rsidR="00540F30" w:rsidTr="00540F30">
        <w:trPr>
          <w:trHeight w:val="462"/>
        </w:trPr>
        <w:tc>
          <w:tcPr>
            <w:tcW w:w="1145" w:type="dxa"/>
            <w:shd w:val="clear" w:color="000000" w:fill="FFFFFF"/>
            <w:noWrap/>
            <w:vAlign w:val="center"/>
            <w:hideMark/>
          </w:tcPr>
          <w:p w:rsidR="008D573F" w:rsidRPr="00937BF2" w:rsidRDefault="008D573F" w:rsidP="008D573F">
            <w:pPr>
              <w:jc w:val="center"/>
              <w:rPr>
                <w:rFonts w:ascii="Arial" w:hAnsi="Arial" w:cs="Arial"/>
                <w:b/>
                <w:bCs/>
                <w:color w:val="000000"/>
                <w:sz w:val="18"/>
                <w:szCs w:val="18"/>
              </w:rPr>
            </w:pPr>
            <w:r>
              <w:rPr>
                <w:rFonts w:ascii="Arial" w:hAnsi="Arial" w:cs="Arial"/>
                <w:b/>
                <w:bCs/>
                <w:color w:val="000000"/>
                <w:sz w:val="18"/>
                <w:szCs w:val="18"/>
              </w:rPr>
              <w:t>2016/2017</w:t>
            </w:r>
          </w:p>
        </w:tc>
        <w:tc>
          <w:tcPr>
            <w:tcW w:w="867" w:type="dxa"/>
            <w:shd w:val="clear" w:color="000000" w:fill="FFFFFF"/>
            <w:noWrap/>
            <w:vAlign w:val="center"/>
            <w:hideMark/>
          </w:tcPr>
          <w:p w:rsidR="008D573F" w:rsidRPr="00937BF2" w:rsidRDefault="008D573F" w:rsidP="008D573F">
            <w:pPr>
              <w:jc w:val="center"/>
              <w:rPr>
                <w:rFonts w:ascii="Arial" w:hAnsi="Arial" w:cs="Arial"/>
                <w:color w:val="000000"/>
                <w:sz w:val="18"/>
                <w:szCs w:val="18"/>
              </w:rPr>
            </w:pPr>
            <w:r w:rsidRPr="00937BF2">
              <w:rPr>
                <w:rFonts w:ascii="Arial" w:hAnsi="Arial" w:cs="Arial"/>
                <w:color w:val="000000"/>
                <w:sz w:val="18"/>
                <w:szCs w:val="18"/>
              </w:rPr>
              <w:t>762</w:t>
            </w:r>
          </w:p>
        </w:tc>
        <w:tc>
          <w:tcPr>
            <w:tcW w:w="867" w:type="dxa"/>
            <w:shd w:val="clear" w:color="000000" w:fill="FFFFFF"/>
            <w:noWrap/>
            <w:vAlign w:val="center"/>
            <w:hideMark/>
          </w:tcPr>
          <w:p w:rsidR="008D573F" w:rsidRPr="00937BF2" w:rsidRDefault="008D573F" w:rsidP="008D573F">
            <w:pPr>
              <w:jc w:val="center"/>
              <w:rPr>
                <w:rFonts w:ascii="Arial" w:hAnsi="Arial" w:cs="Arial"/>
                <w:color w:val="000000"/>
                <w:sz w:val="18"/>
                <w:szCs w:val="18"/>
              </w:rPr>
            </w:pPr>
            <w:r w:rsidRPr="00937BF2">
              <w:rPr>
                <w:rFonts w:ascii="Arial" w:hAnsi="Arial" w:cs="Arial"/>
                <w:color w:val="000000"/>
                <w:sz w:val="18"/>
                <w:szCs w:val="18"/>
              </w:rPr>
              <w:t>810</w:t>
            </w:r>
          </w:p>
        </w:tc>
        <w:tc>
          <w:tcPr>
            <w:tcW w:w="867" w:type="dxa"/>
            <w:shd w:val="clear" w:color="000000" w:fill="FFFFFF"/>
            <w:noWrap/>
            <w:vAlign w:val="center"/>
            <w:hideMark/>
          </w:tcPr>
          <w:p w:rsidR="008D573F" w:rsidRPr="00937BF2" w:rsidRDefault="008D573F" w:rsidP="008D573F">
            <w:pPr>
              <w:jc w:val="center"/>
              <w:rPr>
                <w:rFonts w:ascii="Arial" w:hAnsi="Arial" w:cs="Arial"/>
                <w:color w:val="000000"/>
                <w:sz w:val="18"/>
                <w:szCs w:val="18"/>
              </w:rPr>
            </w:pPr>
            <w:r w:rsidRPr="00937BF2">
              <w:rPr>
                <w:rFonts w:ascii="Arial" w:hAnsi="Arial" w:cs="Arial"/>
                <w:color w:val="000000"/>
                <w:sz w:val="18"/>
                <w:szCs w:val="18"/>
              </w:rPr>
              <w:t>830</w:t>
            </w:r>
          </w:p>
        </w:tc>
        <w:tc>
          <w:tcPr>
            <w:tcW w:w="867" w:type="dxa"/>
            <w:shd w:val="clear" w:color="000000" w:fill="FFFFFF"/>
            <w:noWrap/>
            <w:vAlign w:val="center"/>
            <w:hideMark/>
          </w:tcPr>
          <w:p w:rsidR="008D573F" w:rsidRPr="00937BF2" w:rsidRDefault="008D573F" w:rsidP="008D573F">
            <w:pPr>
              <w:jc w:val="center"/>
              <w:rPr>
                <w:rFonts w:ascii="Arial" w:hAnsi="Arial" w:cs="Arial"/>
                <w:color w:val="000000"/>
                <w:sz w:val="18"/>
                <w:szCs w:val="18"/>
              </w:rPr>
            </w:pPr>
            <w:r w:rsidRPr="00937BF2">
              <w:rPr>
                <w:rFonts w:ascii="Arial" w:hAnsi="Arial" w:cs="Arial"/>
                <w:color w:val="000000"/>
                <w:sz w:val="18"/>
                <w:szCs w:val="18"/>
              </w:rPr>
              <w:t>305</w:t>
            </w:r>
          </w:p>
        </w:tc>
        <w:tc>
          <w:tcPr>
            <w:tcW w:w="867" w:type="dxa"/>
            <w:shd w:val="clear" w:color="000000" w:fill="FFFFFF"/>
            <w:noWrap/>
            <w:vAlign w:val="center"/>
            <w:hideMark/>
          </w:tcPr>
          <w:p w:rsidR="008D573F" w:rsidRPr="00937BF2" w:rsidRDefault="008D573F" w:rsidP="008D573F">
            <w:pPr>
              <w:jc w:val="center"/>
              <w:rPr>
                <w:rFonts w:ascii="Arial" w:hAnsi="Arial" w:cs="Arial"/>
                <w:color w:val="000000"/>
                <w:sz w:val="18"/>
                <w:szCs w:val="18"/>
              </w:rPr>
            </w:pPr>
            <w:r w:rsidRPr="00937BF2">
              <w:rPr>
                <w:rFonts w:ascii="Arial" w:hAnsi="Arial" w:cs="Arial"/>
                <w:color w:val="000000"/>
                <w:sz w:val="18"/>
                <w:szCs w:val="18"/>
              </w:rPr>
              <w:t>803</w:t>
            </w:r>
          </w:p>
        </w:tc>
        <w:tc>
          <w:tcPr>
            <w:tcW w:w="867" w:type="dxa"/>
            <w:shd w:val="clear" w:color="000000" w:fill="FFFFFF"/>
            <w:noWrap/>
            <w:vAlign w:val="center"/>
            <w:hideMark/>
          </w:tcPr>
          <w:p w:rsidR="008D573F" w:rsidRPr="00937BF2" w:rsidRDefault="008D573F" w:rsidP="008D573F">
            <w:pPr>
              <w:jc w:val="center"/>
              <w:rPr>
                <w:rFonts w:ascii="Arial" w:hAnsi="Arial" w:cs="Arial"/>
                <w:color w:val="000000"/>
                <w:sz w:val="18"/>
                <w:szCs w:val="18"/>
              </w:rPr>
            </w:pPr>
            <w:r w:rsidRPr="00937BF2">
              <w:rPr>
                <w:rFonts w:ascii="Arial" w:hAnsi="Arial" w:cs="Arial"/>
                <w:color w:val="000000"/>
                <w:sz w:val="18"/>
                <w:szCs w:val="18"/>
              </w:rPr>
              <w:t>141</w:t>
            </w:r>
          </w:p>
        </w:tc>
        <w:tc>
          <w:tcPr>
            <w:tcW w:w="867" w:type="dxa"/>
            <w:shd w:val="clear" w:color="000000" w:fill="FFFFFF"/>
            <w:noWrap/>
            <w:vAlign w:val="center"/>
            <w:hideMark/>
          </w:tcPr>
          <w:p w:rsidR="008D573F" w:rsidRPr="00937BF2" w:rsidRDefault="008D573F" w:rsidP="008D573F">
            <w:pPr>
              <w:jc w:val="center"/>
              <w:rPr>
                <w:rFonts w:ascii="Arial" w:hAnsi="Arial" w:cs="Arial"/>
                <w:color w:val="000000"/>
                <w:sz w:val="18"/>
                <w:szCs w:val="18"/>
              </w:rPr>
            </w:pPr>
            <w:r w:rsidRPr="00937BF2">
              <w:rPr>
                <w:rFonts w:ascii="Arial" w:hAnsi="Arial" w:cs="Arial"/>
                <w:color w:val="000000"/>
                <w:sz w:val="18"/>
                <w:szCs w:val="18"/>
              </w:rPr>
              <w:t>22</w:t>
            </w:r>
          </w:p>
        </w:tc>
        <w:tc>
          <w:tcPr>
            <w:tcW w:w="867" w:type="dxa"/>
            <w:shd w:val="clear" w:color="000000" w:fill="FFFFFF"/>
            <w:noWrap/>
            <w:vAlign w:val="center"/>
            <w:hideMark/>
          </w:tcPr>
          <w:p w:rsidR="008D573F" w:rsidRPr="00937BF2" w:rsidRDefault="008D573F" w:rsidP="008D573F">
            <w:pPr>
              <w:jc w:val="center"/>
              <w:rPr>
                <w:rFonts w:ascii="Arial" w:hAnsi="Arial" w:cs="Arial"/>
                <w:color w:val="000000"/>
                <w:sz w:val="18"/>
                <w:szCs w:val="18"/>
              </w:rPr>
            </w:pPr>
            <w:r w:rsidRPr="00937BF2">
              <w:rPr>
                <w:rFonts w:ascii="Arial" w:hAnsi="Arial" w:cs="Arial"/>
                <w:color w:val="000000"/>
                <w:sz w:val="18"/>
                <w:szCs w:val="18"/>
              </w:rPr>
              <w:t>16</w:t>
            </w:r>
          </w:p>
        </w:tc>
        <w:tc>
          <w:tcPr>
            <w:tcW w:w="867" w:type="dxa"/>
            <w:shd w:val="clear" w:color="000000" w:fill="FFFFFF"/>
            <w:noWrap/>
            <w:vAlign w:val="center"/>
            <w:hideMark/>
          </w:tcPr>
          <w:p w:rsidR="008D573F" w:rsidRPr="00937BF2" w:rsidRDefault="008D573F" w:rsidP="008D573F">
            <w:pPr>
              <w:jc w:val="center"/>
              <w:rPr>
                <w:rFonts w:ascii="Arial" w:hAnsi="Arial" w:cs="Arial"/>
                <w:b/>
                <w:bCs/>
                <w:color w:val="000000"/>
                <w:sz w:val="18"/>
                <w:szCs w:val="18"/>
              </w:rPr>
            </w:pPr>
            <w:r w:rsidRPr="00937BF2">
              <w:rPr>
                <w:rFonts w:ascii="Arial" w:hAnsi="Arial" w:cs="Arial"/>
                <w:b/>
                <w:bCs/>
                <w:color w:val="000000"/>
                <w:sz w:val="18"/>
                <w:szCs w:val="18"/>
              </w:rPr>
              <w:t>3,689</w:t>
            </w:r>
          </w:p>
        </w:tc>
      </w:tr>
      <w:tr w:rsidR="00540F30" w:rsidTr="00540F30">
        <w:trPr>
          <w:trHeight w:val="462"/>
        </w:trPr>
        <w:tc>
          <w:tcPr>
            <w:tcW w:w="1145" w:type="dxa"/>
            <w:shd w:val="clear" w:color="000000" w:fill="FFFFFF"/>
            <w:noWrap/>
            <w:vAlign w:val="center"/>
            <w:hideMark/>
          </w:tcPr>
          <w:p w:rsidR="008D573F" w:rsidRPr="00937BF2" w:rsidRDefault="008D573F" w:rsidP="008D573F">
            <w:pPr>
              <w:jc w:val="center"/>
              <w:rPr>
                <w:rFonts w:ascii="Arial" w:hAnsi="Arial" w:cs="Arial"/>
                <w:b/>
                <w:bCs/>
                <w:color w:val="000000"/>
                <w:sz w:val="18"/>
                <w:szCs w:val="18"/>
              </w:rPr>
            </w:pPr>
            <w:r w:rsidRPr="00937BF2">
              <w:rPr>
                <w:rFonts w:ascii="Arial" w:hAnsi="Arial" w:cs="Arial"/>
                <w:b/>
                <w:bCs/>
                <w:color w:val="000000"/>
                <w:sz w:val="18"/>
                <w:szCs w:val="18"/>
              </w:rPr>
              <w:t>Total</w:t>
            </w:r>
          </w:p>
        </w:tc>
        <w:tc>
          <w:tcPr>
            <w:tcW w:w="867" w:type="dxa"/>
            <w:shd w:val="clear" w:color="000000" w:fill="FFFFFF"/>
            <w:noWrap/>
            <w:vAlign w:val="center"/>
            <w:hideMark/>
          </w:tcPr>
          <w:p w:rsidR="008D573F" w:rsidRPr="00937BF2" w:rsidRDefault="008D573F" w:rsidP="008D573F">
            <w:pPr>
              <w:jc w:val="center"/>
              <w:rPr>
                <w:rFonts w:ascii="Arial" w:hAnsi="Arial" w:cs="Arial"/>
                <w:b/>
                <w:bCs/>
                <w:color w:val="000000"/>
                <w:sz w:val="18"/>
                <w:szCs w:val="18"/>
              </w:rPr>
            </w:pPr>
            <w:r w:rsidRPr="00937BF2">
              <w:rPr>
                <w:rFonts w:ascii="Arial" w:hAnsi="Arial" w:cs="Arial"/>
                <w:b/>
                <w:bCs/>
                <w:color w:val="000000"/>
                <w:sz w:val="18"/>
                <w:szCs w:val="18"/>
              </w:rPr>
              <w:t>2,947</w:t>
            </w:r>
          </w:p>
        </w:tc>
        <w:tc>
          <w:tcPr>
            <w:tcW w:w="867" w:type="dxa"/>
            <w:shd w:val="clear" w:color="000000" w:fill="FFFFFF"/>
            <w:noWrap/>
            <w:vAlign w:val="center"/>
            <w:hideMark/>
          </w:tcPr>
          <w:p w:rsidR="008D573F" w:rsidRPr="00937BF2" w:rsidRDefault="008D573F" w:rsidP="008D573F">
            <w:pPr>
              <w:jc w:val="center"/>
              <w:rPr>
                <w:rFonts w:ascii="Arial" w:hAnsi="Arial" w:cs="Arial"/>
                <w:b/>
                <w:bCs/>
                <w:color w:val="000000"/>
                <w:sz w:val="18"/>
                <w:szCs w:val="18"/>
              </w:rPr>
            </w:pPr>
            <w:r w:rsidRPr="00937BF2">
              <w:rPr>
                <w:rFonts w:ascii="Arial" w:hAnsi="Arial" w:cs="Arial"/>
                <w:b/>
                <w:bCs/>
                <w:color w:val="000000"/>
                <w:sz w:val="18"/>
                <w:szCs w:val="18"/>
              </w:rPr>
              <w:t>3,367</w:t>
            </w:r>
          </w:p>
        </w:tc>
        <w:tc>
          <w:tcPr>
            <w:tcW w:w="867" w:type="dxa"/>
            <w:shd w:val="clear" w:color="000000" w:fill="FFFFFF"/>
            <w:noWrap/>
            <w:vAlign w:val="center"/>
            <w:hideMark/>
          </w:tcPr>
          <w:p w:rsidR="008D573F" w:rsidRPr="00937BF2" w:rsidRDefault="008D573F" w:rsidP="008D573F">
            <w:pPr>
              <w:jc w:val="center"/>
              <w:rPr>
                <w:rFonts w:ascii="Arial" w:hAnsi="Arial" w:cs="Arial"/>
                <w:b/>
                <w:bCs/>
                <w:color w:val="000000"/>
                <w:sz w:val="18"/>
                <w:szCs w:val="18"/>
              </w:rPr>
            </w:pPr>
            <w:r w:rsidRPr="00937BF2">
              <w:rPr>
                <w:rFonts w:ascii="Arial" w:hAnsi="Arial" w:cs="Arial"/>
                <w:b/>
                <w:bCs/>
                <w:color w:val="000000"/>
                <w:sz w:val="18"/>
                <w:szCs w:val="18"/>
              </w:rPr>
              <w:t>3,182</w:t>
            </w:r>
          </w:p>
        </w:tc>
        <w:tc>
          <w:tcPr>
            <w:tcW w:w="867" w:type="dxa"/>
            <w:shd w:val="clear" w:color="000000" w:fill="FFFFFF"/>
            <w:noWrap/>
            <w:vAlign w:val="center"/>
            <w:hideMark/>
          </w:tcPr>
          <w:p w:rsidR="008D573F" w:rsidRPr="00937BF2" w:rsidRDefault="008D573F" w:rsidP="008D573F">
            <w:pPr>
              <w:jc w:val="center"/>
              <w:rPr>
                <w:rFonts w:ascii="Arial" w:hAnsi="Arial" w:cs="Arial"/>
                <w:b/>
                <w:bCs/>
                <w:color w:val="000000"/>
                <w:sz w:val="18"/>
                <w:szCs w:val="18"/>
              </w:rPr>
            </w:pPr>
            <w:r w:rsidRPr="00937BF2">
              <w:rPr>
                <w:rFonts w:ascii="Arial" w:hAnsi="Arial" w:cs="Arial"/>
                <w:b/>
                <w:bCs/>
                <w:color w:val="000000"/>
                <w:sz w:val="18"/>
                <w:szCs w:val="18"/>
              </w:rPr>
              <w:t>1,224</w:t>
            </w:r>
          </w:p>
        </w:tc>
        <w:tc>
          <w:tcPr>
            <w:tcW w:w="867" w:type="dxa"/>
            <w:shd w:val="clear" w:color="000000" w:fill="FFFFFF"/>
            <w:noWrap/>
            <w:vAlign w:val="center"/>
            <w:hideMark/>
          </w:tcPr>
          <w:p w:rsidR="008D573F" w:rsidRPr="00937BF2" w:rsidRDefault="008D573F" w:rsidP="008D573F">
            <w:pPr>
              <w:jc w:val="center"/>
              <w:rPr>
                <w:rFonts w:ascii="Arial" w:hAnsi="Arial" w:cs="Arial"/>
                <w:b/>
                <w:bCs/>
                <w:color w:val="000000"/>
                <w:sz w:val="18"/>
                <w:szCs w:val="18"/>
              </w:rPr>
            </w:pPr>
            <w:r w:rsidRPr="00937BF2">
              <w:rPr>
                <w:rFonts w:ascii="Arial" w:hAnsi="Arial" w:cs="Arial"/>
                <w:b/>
                <w:bCs/>
                <w:color w:val="000000"/>
                <w:sz w:val="18"/>
                <w:szCs w:val="18"/>
              </w:rPr>
              <w:t>3,059</w:t>
            </w:r>
          </w:p>
        </w:tc>
        <w:tc>
          <w:tcPr>
            <w:tcW w:w="867" w:type="dxa"/>
            <w:shd w:val="clear" w:color="000000" w:fill="FFFFFF"/>
            <w:noWrap/>
            <w:vAlign w:val="center"/>
            <w:hideMark/>
          </w:tcPr>
          <w:p w:rsidR="008D573F" w:rsidRPr="00937BF2" w:rsidRDefault="008D573F" w:rsidP="008D573F">
            <w:pPr>
              <w:jc w:val="center"/>
              <w:rPr>
                <w:rFonts w:ascii="Arial" w:hAnsi="Arial" w:cs="Arial"/>
                <w:b/>
                <w:bCs/>
                <w:color w:val="000000"/>
                <w:sz w:val="18"/>
                <w:szCs w:val="18"/>
              </w:rPr>
            </w:pPr>
            <w:r w:rsidRPr="00937BF2">
              <w:rPr>
                <w:rFonts w:ascii="Arial" w:hAnsi="Arial" w:cs="Arial"/>
                <w:b/>
                <w:bCs/>
                <w:color w:val="000000"/>
                <w:sz w:val="18"/>
                <w:szCs w:val="18"/>
              </w:rPr>
              <w:t>501</w:t>
            </w:r>
          </w:p>
        </w:tc>
        <w:tc>
          <w:tcPr>
            <w:tcW w:w="867" w:type="dxa"/>
            <w:shd w:val="clear" w:color="000000" w:fill="FFFFFF"/>
            <w:noWrap/>
            <w:vAlign w:val="center"/>
            <w:hideMark/>
          </w:tcPr>
          <w:p w:rsidR="008D573F" w:rsidRPr="00937BF2" w:rsidRDefault="008D573F" w:rsidP="008D573F">
            <w:pPr>
              <w:jc w:val="center"/>
              <w:rPr>
                <w:rFonts w:ascii="Arial" w:hAnsi="Arial" w:cs="Arial"/>
                <w:b/>
                <w:bCs/>
                <w:color w:val="000000"/>
                <w:sz w:val="18"/>
                <w:szCs w:val="18"/>
              </w:rPr>
            </w:pPr>
            <w:r w:rsidRPr="00937BF2">
              <w:rPr>
                <w:rFonts w:ascii="Arial" w:hAnsi="Arial" w:cs="Arial"/>
                <w:b/>
                <w:bCs/>
                <w:color w:val="000000"/>
                <w:sz w:val="18"/>
                <w:szCs w:val="18"/>
              </w:rPr>
              <w:t>65</w:t>
            </w:r>
          </w:p>
        </w:tc>
        <w:tc>
          <w:tcPr>
            <w:tcW w:w="867" w:type="dxa"/>
            <w:shd w:val="clear" w:color="000000" w:fill="FFFFFF"/>
            <w:noWrap/>
            <w:vAlign w:val="center"/>
            <w:hideMark/>
          </w:tcPr>
          <w:p w:rsidR="008D573F" w:rsidRPr="00937BF2" w:rsidRDefault="008D573F" w:rsidP="008D573F">
            <w:pPr>
              <w:jc w:val="center"/>
              <w:rPr>
                <w:rFonts w:ascii="Arial" w:hAnsi="Arial" w:cs="Arial"/>
                <w:b/>
                <w:bCs/>
                <w:color w:val="000000"/>
                <w:sz w:val="18"/>
                <w:szCs w:val="18"/>
              </w:rPr>
            </w:pPr>
            <w:r w:rsidRPr="00937BF2">
              <w:rPr>
                <w:rFonts w:ascii="Arial" w:hAnsi="Arial" w:cs="Arial"/>
                <w:b/>
                <w:bCs/>
                <w:color w:val="000000"/>
                <w:sz w:val="18"/>
                <w:szCs w:val="18"/>
              </w:rPr>
              <w:t>73</w:t>
            </w:r>
          </w:p>
        </w:tc>
        <w:tc>
          <w:tcPr>
            <w:tcW w:w="867" w:type="dxa"/>
            <w:shd w:val="clear" w:color="000000" w:fill="FFFFFF"/>
            <w:noWrap/>
            <w:vAlign w:val="center"/>
            <w:hideMark/>
          </w:tcPr>
          <w:p w:rsidR="008D573F" w:rsidRPr="00937BF2" w:rsidRDefault="008D573F" w:rsidP="008D573F">
            <w:pPr>
              <w:jc w:val="center"/>
              <w:rPr>
                <w:rFonts w:ascii="Arial" w:hAnsi="Arial" w:cs="Arial"/>
                <w:b/>
                <w:bCs/>
                <w:color w:val="000000"/>
                <w:sz w:val="18"/>
                <w:szCs w:val="18"/>
              </w:rPr>
            </w:pPr>
            <w:r w:rsidRPr="00937BF2">
              <w:rPr>
                <w:rFonts w:ascii="Arial" w:hAnsi="Arial" w:cs="Arial"/>
                <w:b/>
                <w:bCs/>
                <w:color w:val="000000"/>
                <w:sz w:val="18"/>
                <w:szCs w:val="18"/>
              </w:rPr>
              <w:t>14,418</w:t>
            </w:r>
          </w:p>
        </w:tc>
      </w:tr>
    </w:tbl>
    <w:p w:rsidR="008D573F" w:rsidRPr="00D409BF" w:rsidRDefault="008D573F" w:rsidP="00D167A6">
      <w:pPr>
        <w:rPr>
          <w:rFonts w:asciiTheme="minorHAnsi" w:hAnsiTheme="minorHAnsi" w:cstheme="minorHAnsi"/>
          <w:i/>
          <w:sz w:val="16"/>
          <w:szCs w:val="16"/>
        </w:rPr>
      </w:pPr>
      <w:r w:rsidRPr="00D409BF">
        <w:rPr>
          <w:rFonts w:asciiTheme="minorHAnsi" w:hAnsiTheme="minorHAnsi" w:cstheme="minorHAnsi"/>
          <w:i/>
          <w:sz w:val="16"/>
          <w:szCs w:val="16"/>
        </w:rPr>
        <w:t>Source: Department of Health, Medical Benefits Division, Primary Care and Diagnostics Branch, MBS Analytics Section, Reference no.: Q20863, July 2017</w:t>
      </w:r>
    </w:p>
    <w:p w:rsidR="008D573F" w:rsidRPr="003262E6" w:rsidRDefault="00CA3DEE" w:rsidP="00CA3DEE">
      <w:pPr>
        <w:rPr>
          <w:rFonts w:asciiTheme="minorHAnsi" w:hAnsiTheme="minorHAnsi" w:cs="Arial"/>
          <w:b/>
          <w:bCs/>
          <w:color w:val="000000"/>
          <w:sz w:val="20"/>
        </w:rPr>
      </w:pPr>
      <w:r>
        <w:rPr>
          <w:rFonts w:asciiTheme="minorHAnsi" w:hAnsiTheme="minorHAnsi" w:cs="Arial"/>
          <w:b/>
          <w:bCs/>
          <w:color w:val="000000"/>
          <w:sz w:val="20"/>
        </w:rPr>
        <w:t xml:space="preserve">Table 8: </w:t>
      </w:r>
      <w:r w:rsidR="008D573F" w:rsidRPr="003262E6">
        <w:rPr>
          <w:rFonts w:asciiTheme="minorHAnsi" w:hAnsiTheme="minorHAnsi" w:cs="Arial"/>
          <w:b/>
          <w:bCs/>
          <w:color w:val="000000"/>
          <w:sz w:val="20"/>
        </w:rPr>
        <w:t>Item 31587, State/Territory</w:t>
      </w:r>
    </w:p>
    <w:tbl>
      <w:tblPr>
        <w:tblW w:w="88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tate and Territory service volumes for MBS item 31587 in 2013-17"/>
        <w:tblDescription w:val="For item 31587, the total service volumes across the 4 years since implementation was 332,059. This includes 38,529 in New South Wales, 2,688 in the Australian Capital Territory, 119,782 in Victoria, 37,634 in Tasmania, 51,021 in Queensland, 4,382 in the Northern Territory, 25,007 in South Australia and 53,016 in Western Australia. "/>
      </w:tblPr>
      <w:tblGrid>
        <w:gridCol w:w="1135"/>
        <w:gridCol w:w="856"/>
        <w:gridCol w:w="867"/>
        <w:gridCol w:w="856"/>
        <w:gridCol w:w="856"/>
        <w:gridCol w:w="856"/>
        <w:gridCol w:w="856"/>
        <w:gridCol w:w="856"/>
        <w:gridCol w:w="856"/>
        <w:gridCol w:w="867"/>
      </w:tblGrid>
      <w:tr w:rsidR="008D573F" w:rsidTr="00540F30">
        <w:trPr>
          <w:trHeight w:val="420"/>
        </w:trPr>
        <w:tc>
          <w:tcPr>
            <w:tcW w:w="1135" w:type="dxa"/>
            <w:tcBorders>
              <w:top w:val="nil"/>
              <w:left w:val="nil"/>
            </w:tcBorders>
            <w:shd w:val="clear" w:color="000000" w:fill="FFFFFF"/>
            <w:vAlign w:val="center"/>
            <w:hideMark/>
          </w:tcPr>
          <w:p w:rsidR="008D573F" w:rsidRPr="004F4D90" w:rsidRDefault="008D573F" w:rsidP="008D573F">
            <w:pPr>
              <w:jc w:val="center"/>
              <w:rPr>
                <w:color w:val="000000"/>
                <w:sz w:val="20"/>
              </w:rPr>
            </w:pPr>
          </w:p>
        </w:tc>
        <w:tc>
          <w:tcPr>
            <w:tcW w:w="856" w:type="dxa"/>
            <w:shd w:val="clear" w:color="000000" w:fill="548DD4"/>
            <w:noWrap/>
            <w:vAlign w:val="center"/>
            <w:hideMark/>
          </w:tcPr>
          <w:p w:rsidR="008D573F" w:rsidRPr="004F4D90" w:rsidRDefault="008D573F" w:rsidP="008D573F">
            <w:pPr>
              <w:jc w:val="center"/>
              <w:rPr>
                <w:rFonts w:ascii="Arial" w:hAnsi="Arial" w:cs="Arial"/>
                <w:b/>
                <w:bCs/>
                <w:color w:val="FFFFFF"/>
                <w:sz w:val="18"/>
                <w:szCs w:val="18"/>
              </w:rPr>
            </w:pPr>
            <w:r w:rsidRPr="004F4D90">
              <w:rPr>
                <w:rFonts w:ascii="Arial" w:hAnsi="Arial" w:cs="Arial"/>
                <w:b/>
                <w:bCs/>
                <w:color w:val="FFFFFF"/>
                <w:sz w:val="18"/>
                <w:szCs w:val="18"/>
              </w:rPr>
              <w:t>NSW</w:t>
            </w:r>
          </w:p>
        </w:tc>
        <w:tc>
          <w:tcPr>
            <w:tcW w:w="866" w:type="dxa"/>
            <w:shd w:val="clear" w:color="000000" w:fill="548DD4"/>
            <w:noWrap/>
            <w:vAlign w:val="center"/>
            <w:hideMark/>
          </w:tcPr>
          <w:p w:rsidR="008D573F" w:rsidRPr="004F4D90" w:rsidRDefault="008D573F" w:rsidP="008D573F">
            <w:pPr>
              <w:jc w:val="center"/>
              <w:rPr>
                <w:rFonts w:ascii="Arial" w:hAnsi="Arial" w:cs="Arial"/>
                <w:b/>
                <w:bCs/>
                <w:color w:val="FFFFFF"/>
                <w:sz w:val="18"/>
                <w:szCs w:val="18"/>
              </w:rPr>
            </w:pPr>
            <w:r w:rsidRPr="004F4D90">
              <w:rPr>
                <w:rFonts w:ascii="Arial" w:hAnsi="Arial" w:cs="Arial"/>
                <w:b/>
                <w:bCs/>
                <w:color w:val="FFFFFF"/>
                <w:sz w:val="18"/>
                <w:szCs w:val="18"/>
              </w:rPr>
              <w:t>VIC</w:t>
            </w:r>
          </w:p>
        </w:tc>
        <w:tc>
          <w:tcPr>
            <w:tcW w:w="856" w:type="dxa"/>
            <w:shd w:val="clear" w:color="000000" w:fill="548DD4"/>
            <w:noWrap/>
            <w:vAlign w:val="center"/>
            <w:hideMark/>
          </w:tcPr>
          <w:p w:rsidR="008D573F" w:rsidRPr="004F4D90" w:rsidRDefault="008D573F" w:rsidP="008D573F">
            <w:pPr>
              <w:jc w:val="center"/>
              <w:rPr>
                <w:rFonts w:ascii="Arial" w:hAnsi="Arial" w:cs="Arial"/>
                <w:b/>
                <w:bCs/>
                <w:color w:val="FFFFFF"/>
                <w:sz w:val="18"/>
                <w:szCs w:val="18"/>
              </w:rPr>
            </w:pPr>
            <w:r w:rsidRPr="004F4D90">
              <w:rPr>
                <w:rFonts w:ascii="Arial" w:hAnsi="Arial" w:cs="Arial"/>
                <w:b/>
                <w:bCs/>
                <w:color w:val="FFFFFF"/>
                <w:sz w:val="18"/>
                <w:szCs w:val="18"/>
              </w:rPr>
              <w:t>QLD</w:t>
            </w:r>
          </w:p>
        </w:tc>
        <w:tc>
          <w:tcPr>
            <w:tcW w:w="856" w:type="dxa"/>
            <w:shd w:val="clear" w:color="000000" w:fill="548DD4"/>
            <w:noWrap/>
            <w:vAlign w:val="center"/>
            <w:hideMark/>
          </w:tcPr>
          <w:p w:rsidR="008D573F" w:rsidRPr="004F4D90" w:rsidRDefault="008D573F" w:rsidP="008D573F">
            <w:pPr>
              <w:jc w:val="center"/>
              <w:rPr>
                <w:rFonts w:ascii="Arial" w:hAnsi="Arial" w:cs="Arial"/>
                <w:b/>
                <w:bCs/>
                <w:color w:val="FFFFFF"/>
                <w:sz w:val="18"/>
                <w:szCs w:val="18"/>
              </w:rPr>
            </w:pPr>
            <w:r w:rsidRPr="004F4D90">
              <w:rPr>
                <w:rFonts w:ascii="Arial" w:hAnsi="Arial" w:cs="Arial"/>
                <w:b/>
                <w:bCs/>
                <w:color w:val="FFFFFF"/>
                <w:sz w:val="18"/>
                <w:szCs w:val="18"/>
              </w:rPr>
              <w:t>SA</w:t>
            </w:r>
          </w:p>
        </w:tc>
        <w:tc>
          <w:tcPr>
            <w:tcW w:w="856" w:type="dxa"/>
            <w:shd w:val="clear" w:color="000000" w:fill="548DD4"/>
            <w:noWrap/>
            <w:vAlign w:val="center"/>
            <w:hideMark/>
          </w:tcPr>
          <w:p w:rsidR="008D573F" w:rsidRPr="004F4D90" w:rsidRDefault="008D573F" w:rsidP="008D573F">
            <w:pPr>
              <w:jc w:val="center"/>
              <w:rPr>
                <w:rFonts w:ascii="Arial" w:hAnsi="Arial" w:cs="Arial"/>
                <w:b/>
                <w:bCs/>
                <w:color w:val="FFFFFF"/>
                <w:sz w:val="18"/>
                <w:szCs w:val="18"/>
              </w:rPr>
            </w:pPr>
            <w:r w:rsidRPr="004F4D90">
              <w:rPr>
                <w:rFonts w:ascii="Arial" w:hAnsi="Arial" w:cs="Arial"/>
                <w:b/>
                <w:bCs/>
                <w:color w:val="FFFFFF"/>
                <w:sz w:val="18"/>
                <w:szCs w:val="18"/>
              </w:rPr>
              <w:t>WA</w:t>
            </w:r>
          </w:p>
        </w:tc>
        <w:tc>
          <w:tcPr>
            <w:tcW w:w="856" w:type="dxa"/>
            <w:shd w:val="clear" w:color="000000" w:fill="548DD4"/>
            <w:noWrap/>
            <w:vAlign w:val="center"/>
            <w:hideMark/>
          </w:tcPr>
          <w:p w:rsidR="008D573F" w:rsidRPr="004F4D90" w:rsidRDefault="008D573F" w:rsidP="008D573F">
            <w:pPr>
              <w:jc w:val="center"/>
              <w:rPr>
                <w:rFonts w:ascii="Arial" w:hAnsi="Arial" w:cs="Arial"/>
                <w:b/>
                <w:bCs/>
                <w:color w:val="FFFFFF"/>
                <w:sz w:val="18"/>
                <w:szCs w:val="18"/>
              </w:rPr>
            </w:pPr>
            <w:r w:rsidRPr="004F4D90">
              <w:rPr>
                <w:rFonts w:ascii="Arial" w:hAnsi="Arial" w:cs="Arial"/>
                <w:b/>
                <w:bCs/>
                <w:color w:val="FFFFFF"/>
                <w:sz w:val="18"/>
                <w:szCs w:val="18"/>
              </w:rPr>
              <w:t>TAS</w:t>
            </w:r>
          </w:p>
        </w:tc>
        <w:tc>
          <w:tcPr>
            <w:tcW w:w="856" w:type="dxa"/>
            <w:shd w:val="clear" w:color="000000" w:fill="548DD4"/>
            <w:noWrap/>
            <w:vAlign w:val="center"/>
            <w:hideMark/>
          </w:tcPr>
          <w:p w:rsidR="008D573F" w:rsidRPr="004F4D90" w:rsidRDefault="008D573F" w:rsidP="008D573F">
            <w:pPr>
              <w:jc w:val="center"/>
              <w:rPr>
                <w:rFonts w:ascii="Arial" w:hAnsi="Arial" w:cs="Arial"/>
                <w:b/>
                <w:bCs/>
                <w:color w:val="FFFFFF"/>
                <w:sz w:val="18"/>
                <w:szCs w:val="18"/>
              </w:rPr>
            </w:pPr>
            <w:r w:rsidRPr="004F4D90">
              <w:rPr>
                <w:rFonts w:ascii="Arial" w:hAnsi="Arial" w:cs="Arial"/>
                <w:b/>
                <w:bCs/>
                <w:color w:val="FFFFFF"/>
                <w:sz w:val="18"/>
                <w:szCs w:val="18"/>
              </w:rPr>
              <w:t>NT</w:t>
            </w:r>
          </w:p>
        </w:tc>
        <w:tc>
          <w:tcPr>
            <w:tcW w:w="856" w:type="dxa"/>
            <w:shd w:val="clear" w:color="000000" w:fill="548DD4"/>
            <w:noWrap/>
            <w:vAlign w:val="center"/>
            <w:hideMark/>
          </w:tcPr>
          <w:p w:rsidR="008D573F" w:rsidRPr="004F4D90" w:rsidRDefault="008D573F" w:rsidP="008D573F">
            <w:pPr>
              <w:jc w:val="center"/>
              <w:rPr>
                <w:rFonts w:ascii="Arial" w:hAnsi="Arial" w:cs="Arial"/>
                <w:b/>
                <w:bCs/>
                <w:color w:val="FFFFFF"/>
                <w:sz w:val="18"/>
                <w:szCs w:val="18"/>
              </w:rPr>
            </w:pPr>
            <w:r w:rsidRPr="004F4D90">
              <w:rPr>
                <w:rFonts w:ascii="Arial" w:hAnsi="Arial" w:cs="Arial"/>
                <w:b/>
                <w:bCs/>
                <w:color w:val="FFFFFF"/>
                <w:sz w:val="18"/>
                <w:szCs w:val="18"/>
              </w:rPr>
              <w:t>ACT</w:t>
            </w:r>
          </w:p>
        </w:tc>
        <w:tc>
          <w:tcPr>
            <w:tcW w:w="866" w:type="dxa"/>
            <w:shd w:val="clear" w:color="000000" w:fill="548DD4"/>
            <w:noWrap/>
            <w:vAlign w:val="center"/>
            <w:hideMark/>
          </w:tcPr>
          <w:p w:rsidR="008D573F" w:rsidRPr="004F4D90" w:rsidRDefault="008D573F" w:rsidP="008D573F">
            <w:pPr>
              <w:jc w:val="center"/>
              <w:rPr>
                <w:rFonts w:ascii="Arial" w:hAnsi="Arial" w:cs="Arial"/>
                <w:b/>
                <w:bCs/>
                <w:color w:val="FFFFFF"/>
                <w:sz w:val="18"/>
                <w:szCs w:val="18"/>
              </w:rPr>
            </w:pPr>
            <w:r w:rsidRPr="004F4D90">
              <w:rPr>
                <w:rFonts w:ascii="Arial" w:hAnsi="Arial" w:cs="Arial"/>
                <w:b/>
                <w:bCs/>
                <w:color w:val="FFFFFF"/>
                <w:sz w:val="18"/>
                <w:szCs w:val="18"/>
              </w:rPr>
              <w:t>Total</w:t>
            </w:r>
          </w:p>
        </w:tc>
      </w:tr>
      <w:tr w:rsidR="008D573F" w:rsidTr="00540F30">
        <w:trPr>
          <w:trHeight w:val="420"/>
        </w:trPr>
        <w:tc>
          <w:tcPr>
            <w:tcW w:w="1135" w:type="dxa"/>
            <w:shd w:val="clear" w:color="000000" w:fill="FFFFFF"/>
            <w:noWrap/>
            <w:vAlign w:val="center"/>
            <w:hideMark/>
          </w:tcPr>
          <w:p w:rsidR="008D573F" w:rsidRPr="004F4D90" w:rsidRDefault="008D573F" w:rsidP="008D573F">
            <w:pPr>
              <w:jc w:val="center"/>
              <w:rPr>
                <w:rFonts w:ascii="Arial" w:hAnsi="Arial" w:cs="Arial"/>
                <w:b/>
                <w:bCs/>
                <w:color w:val="000000"/>
                <w:sz w:val="18"/>
                <w:szCs w:val="18"/>
              </w:rPr>
            </w:pPr>
            <w:r w:rsidRPr="004F4D90">
              <w:rPr>
                <w:rFonts w:ascii="Arial" w:hAnsi="Arial" w:cs="Arial"/>
                <w:b/>
                <w:bCs/>
                <w:color w:val="000000"/>
                <w:sz w:val="18"/>
                <w:szCs w:val="18"/>
              </w:rPr>
              <w:t>2013/14</w:t>
            </w:r>
          </w:p>
        </w:tc>
        <w:tc>
          <w:tcPr>
            <w:tcW w:w="856" w:type="dxa"/>
            <w:shd w:val="clear" w:color="000000" w:fill="FFFFFF"/>
            <w:noWrap/>
            <w:vAlign w:val="center"/>
            <w:hideMark/>
          </w:tcPr>
          <w:p w:rsidR="008D573F" w:rsidRPr="004F4D90" w:rsidRDefault="008D573F" w:rsidP="008D573F">
            <w:pPr>
              <w:jc w:val="center"/>
              <w:rPr>
                <w:rFonts w:ascii="Arial" w:hAnsi="Arial" w:cs="Arial"/>
                <w:color w:val="000000"/>
                <w:sz w:val="18"/>
                <w:szCs w:val="18"/>
              </w:rPr>
            </w:pPr>
            <w:r w:rsidRPr="004F4D90">
              <w:rPr>
                <w:rFonts w:ascii="Arial" w:hAnsi="Arial" w:cs="Arial"/>
                <w:color w:val="000000"/>
                <w:sz w:val="18"/>
                <w:szCs w:val="18"/>
              </w:rPr>
              <w:t>12,466</w:t>
            </w:r>
          </w:p>
        </w:tc>
        <w:tc>
          <w:tcPr>
            <w:tcW w:w="866" w:type="dxa"/>
            <w:shd w:val="clear" w:color="000000" w:fill="FFFFFF"/>
            <w:noWrap/>
            <w:vAlign w:val="center"/>
            <w:hideMark/>
          </w:tcPr>
          <w:p w:rsidR="008D573F" w:rsidRPr="004F4D90" w:rsidRDefault="008D573F" w:rsidP="008D573F">
            <w:pPr>
              <w:jc w:val="center"/>
              <w:rPr>
                <w:rFonts w:ascii="Arial" w:hAnsi="Arial" w:cs="Arial"/>
                <w:color w:val="000000"/>
                <w:sz w:val="18"/>
                <w:szCs w:val="18"/>
              </w:rPr>
            </w:pPr>
            <w:r w:rsidRPr="004F4D90">
              <w:rPr>
                <w:rFonts w:ascii="Arial" w:hAnsi="Arial" w:cs="Arial"/>
                <w:color w:val="000000"/>
                <w:sz w:val="18"/>
                <w:szCs w:val="18"/>
              </w:rPr>
              <w:t>32,944</w:t>
            </w:r>
          </w:p>
        </w:tc>
        <w:tc>
          <w:tcPr>
            <w:tcW w:w="856" w:type="dxa"/>
            <w:shd w:val="clear" w:color="000000" w:fill="FFFFFF"/>
            <w:noWrap/>
            <w:vAlign w:val="center"/>
            <w:hideMark/>
          </w:tcPr>
          <w:p w:rsidR="008D573F" w:rsidRPr="004F4D90" w:rsidRDefault="008D573F" w:rsidP="008D573F">
            <w:pPr>
              <w:jc w:val="center"/>
              <w:rPr>
                <w:rFonts w:ascii="Arial" w:hAnsi="Arial" w:cs="Arial"/>
                <w:color w:val="000000"/>
                <w:sz w:val="18"/>
                <w:szCs w:val="18"/>
              </w:rPr>
            </w:pPr>
            <w:r w:rsidRPr="004F4D90">
              <w:rPr>
                <w:rFonts w:ascii="Arial" w:hAnsi="Arial" w:cs="Arial"/>
                <w:color w:val="000000"/>
                <w:sz w:val="18"/>
                <w:szCs w:val="18"/>
              </w:rPr>
              <w:t>16,059</w:t>
            </w:r>
          </w:p>
        </w:tc>
        <w:tc>
          <w:tcPr>
            <w:tcW w:w="856" w:type="dxa"/>
            <w:shd w:val="clear" w:color="000000" w:fill="FFFFFF"/>
            <w:noWrap/>
            <w:vAlign w:val="center"/>
            <w:hideMark/>
          </w:tcPr>
          <w:p w:rsidR="008D573F" w:rsidRPr="004F4D90" w:rsidRDefault="008D573F" w:rsidP="008D573F">
            <w:pPr>
              <w:jc w:val="center"/>
              <w:rPr>
                <w:rFonts w:ascii="Arial" w:hAnsi="Arial" w:cs="Arial"/>
                <w:color w:val="000000"/>
                <w:sz w:val="18"/>
                <w:szCs w:val="18"/>
              </w:rPr>
            </w:pPr>
            <w:r w:rsidRPr="004F4D90">
              <w:rPr>
                <w:rFonts w:ascii="Arial" w:hAnsi="Arial" w:cs="Arial"/>
                <w:color w:val="000000"/>
                <w:sz w:val="18"/>
                <w:szCs w:val="18"/>
              </w:rPr>
              <w:t>7,998</w:t>
            </w:r>
          </w:p>
        </w:tc>
        <w:tc>
          <w:tcPr>
            <w:tcW w:w="856" w:type="dxa"/>
            <w:shd w:val="clear" w:color="000000" w:fill="FFFFFF"/>
            <w:noWrap/>
            <w:vAlign w:val="center"/>
            <w:hideMark/>
          </w:tcPr>
          <w:p w:rsidR="008D573F" w:rsidRPr="004F4D90" w:rsidRDefault="008D573F" w:rsidP="008D573F">
            <w:pPr>
              <w:jc w:val="center"/>
              <w:rPr>
                <w:rFonts w:ascii="Arial" w:hAnsi="Arial" w:cs="Arial"/>
                <w:color w:val="000000"/>
                <w:sz w:val="18"/>
                <w:szCs w:val="18"/>
              </w:rPr>
            </w:pPr>
            <w:r w:rsidRPr="004F4D90">
              <w:rPr>
                <w:rFonts w:ascii="Arial" w:hAnsi="Arial" w:cs="Arial"/>
                <w:color w:val="000000"/>
                <w:sz w:val="18"/>
                <w:szCs w:val="18"/>
              </w:rPr>
              <w:t>17,216</w:t>
            </w:r>
          </w:p>
        </w:tc>
        <w:tc>
          <w:tcPr>
            <w:tcW w:w="856" w:type="dxa"/>
            <w:shd w:val="clear" w:color="000000" w:fill="FFFFFF"/>
            <w:noWrap/>
            <w:vAlign w:val="center"/>
            <w:hideMark/>
          </w:tcPr>
          <w:p w:rsidR="008D573F" w:rsidRPr="004F4D90" w:rsidRDefault="008D573F" w:rsidP="008D573F">
            <w:pPr>
              <w:jc w:val="center"/>
              <w:rPr>
                <w:rFonts w:ascii="Arial" w:hAnsi="Arial" w:cs="Arial"/>
                <w:color w:val="000000"/>
                <w:sz w:val="18"/>
                <w:szCs w:val="18"/>
              </w:rPr>
            </w:pPr>
            <w:r w:rsidRPr="004F4D90">
              <w:rPr>
                <w:rFonts w:ascii="Arial" w:hAnsi="Arial" w:cs="Arial"/>
                <w:color w:val="000000"/>
                <w:sz w:val="18"/>
                <w:szCs w:val="18"/>
              </w:rPr>
              <w:t>9,627</w:t>
            </w:r>
          </w:p>
        </w:tc>
        <w:tc>
          <w:tcPr>
            <w:tcW w:w="856" w:type="dxa"/>
            <w:shd w:val="clear" w:color="000000" w:fill="FFFFFF"/>
            <w:noWrap/>
            <w:vAlign w:val="center"/>
            <w:hideMark/>
          </w:tcPr>
          <w:p w:rsidR="008D573F" w:rsidRPr="004F4D90" w:rsidRDefault="008D573F" w:rsidP="008D573F">
            <w:pPr>
              <w:jc w:val="center"/>
              <w:rPr>
                <w:rFonts w:ascii="Arial" w:hAnsi="Arial" w:cs="Arial"/>
                <w:color w:val="000000"/>
                <w:sz w:val="18"/>
                <w:szCs w:val="18"/>
              </w:rPr>
            </w:pPr>
            <w:r w:rsidRPr="004F4D90">
              <w:rPr>
                <w:rFonts w:ascii="Arial" w:hAnsi="Arial" w:cs="Arial"/>
                <w:color w:val="000000"/>
                <w:sz w:val="18"/>
                <w:szCs w:val="18"/>
              </w:rPr>
              <w:t>1,152</w:t>
            </w:r>
          </w:p>
        </w:tc>
        <w:tc>
          <w:tcPr>
            <w:tcW w:w="856" w:type="dxa"/>
            <w:shd w:val="clear" w:color="000000" w:fill="FFFFFF"/>
            <w:noWrap/>
            <w:vAlign w:val="center"/>
            <w:hideMark/>
          </w:tcPr>
          <w:p w:rsidR="008D573F" w:rsidRPr="004F4D90" w:rsidRDefault="008D573F" w:rsidP="008D573F">
            <w:pPr>
              <w:jc w:val="center"/>
              <w:rPr>
                <w:rFonts w:ascii="Arial" w:hAnsi="Arial" w:cs="Arial"/>
                <w:color w:val="000000"/>
                <w:sz w:val="18"/>
                <w:szCs w:val="18"/>
              </w:rPr>
            </w:pPr>
            <w:r w:rsidRPr="004F4D90">
              <w:rPr>
                <w:rFonts w:ascii="Arial" w:hAnsi="Arial" w:cs="Arial"/>
                <w:color w:val="000000"/>
                <w:sz w:val="18"/>
                <w:szCs w:val="18"/>
              </w:rPr>
              <w:t>902</w:t>
            </w:r>
          </w:p>
        </w:tc>
        <w:tc>
          <w:tcPr>
            <w:tcW w:w="866" w:type="dxa"/>
            <w:shd w:val="clear" w:color="000000" w:fill="FFFFFF"/>
            <w:noWrap/>
            <w:vAlign w:val="center"/>
            <w:hideMark/>
          </w:tcPr>
          <w:p w:rsidR="008D573F" w:rsidRPr="004F4D90" w:rsidRDefault="008D573F" w:rsidP="008D573F">
            <w:pPr>
              <w:jc w:val="center"/>
              <w:rPr>
                <w:rFonts w:ascii="Arial" w:hAnsi="Arial" w:cs="Arial"/>
                <w:b/>
                <w:bCs/>
                <w:color w:val="000000"/>
                <w:sz w:val="18"/>
                <w:szCs w:val="18"/>
              </w:rPr>
            </w:pPr>
            <w:r w:rsidRPr="004F4D90">
              <w:rPr>
                <w:rFonts w:ascii="Arial" w:hAnsi="Arial" w:cs="Arial"/>
                <w:b/>
                <w:bCs/>
                <w:color w:val="000000"/>
                <w:sz w:val="18"/>
                <w:szCs w:val="18"/>
              </w:rPr>
              <w:t>98,364</w:t>
            </w:r>
          </w:p>
        </w:tc>
      </w:tr>
      <w:tr w:rsidR="008D573F" w:rsidTr="00540F30">
        <w:trPr>
          <w:trHeight w:val="420"/>
        </w:trPr>
        <w:tc>
          <w:tcPr>
            <w:tcW w:w="1135" w:type="dxa"/>
            <w:shd w:val="clear" w:color="000000" w:fill="FFFFFF"/>
            <w:noWrap/>
            <w:vAlign w:val="center"/>
            <w:hideMark/>
          </w:tcPr>
          <w:p w:rsidR="008D573F" w:rsidRPr="004F4D90" w:rsidRDefault="008D573F" w:rsidP="008D573F">
            <w:pPr>
              <w:jc w:val="center"/>
              <w:rPr>
                <w:rFonts w:ascii="Arial" w:hAnsi="Arial" w:cs="Arial"/>
                <w:b/>
                <w:bCs/>
                <w:color w:val="000000"/>
                <w:sz w:val="18"/>
                <w:szCs w:val="18"/>
              </w:rPr>
            </w:pPr>
            <w:r w:rsidRPr="004F4D90">
              <w:rPr>
                <w:rFonts w:ascii="Arial" w:hAnsi="Arial" w:cs="Arial"/>
                <w:b/>
                <w:bCs/>
                <w:color w:val="000000"/>
                <w:sz w:val="18"/>
                <w:szCs w:val="18"/>
              </w:rPr>
              <w:t>2014/2015</w:t>
            </w:r>
          </w:p>
        </w:tc>
        <w:tc>
          <w:tcPr>
            <w:tcW w:w="856" w:type="dxa"/>
            <w:shd w:val="clear" w:color="000000" w:fill="FFFFFF"/>
            <w:noWrap/>
            <w:vAlign w:val="center"/>
            <w:hideMark/>
          </w:tcPr>
          <w:p w:rsidR="008D573F" w:rsidRPr="004F4D90" w:rsidRDefault="008D573F" w:rsidP="008D573F">
            <w:pPr>
              <w:jc w:val="center"/>
              <w:rPr>
                <w:rFonts w:ascii="Arial" w:hAnsi="Arial" w:cs="Arial"/>
                <w:color w:val="000000"/>
                <w:sz w:val="18"/>
                <w:szCs w:val="18"/>
              </w:rPr>
            </w:pPr>
            <w:r w:rsidRPr="004F4D90">
              <w:rPr>
                <w:rFonts w:ascii="Arial" w:hAnsi="Arial" w:cs="Arial"/>
                <w:color w:val="000000"/>
                <w:sz w:val="18"/>
                <w:szCs w:val="18"/>
              </w:rPr>
              <w:t>10,369</w:t>
            </w:r>
          </w:p>
        </w:tc>
        <w:tc>
          <w:tcPr>
            <w:tcW w:w="866" w:type="dxa"/>
            <w:shd w:val="clear" w:color="000000" w:fill="FFFFFF"/>
            <w:noWrap/>
            <w:vAlign w:val="center"/>
            <w:hideMark/>
          </w:tcPr>
          <w:p w:rsidR="008D573F" w:rsidRPr="004F4D90" w:rsidRDefault="008D573F" w:rsidP="008D573F">
            <w:pPr>
              <w:jc w:val="center"/>
              <w:rPr>
                <w:rFonts w:ascii="Arial" w:hAnsi="Arial" w:cs="Arial"/>
                <w:color w:val="000000"/>
                <w:sz w:val="18"/>
                <w:szCs w:val="18"/>
              </w:rPr>
            </w:pPr>
            <w:r w:rsidRPr="004F4D90">
              <w:rPr>
                <w:rFonts w:ascii="Arial" w:hAnsi="Arial" w:cs="Arial"/>
                <w:color w:val="000000"/>
                <w:sz w:val="18"/>
                <w:szCs w:val="18"/>
              </w:rPr>
              <w:t>31,483</w:t>
            </w:r>
          </w:p>
        </w:tc>
        <w:tc>
          <w:tcPr>
            <w:tcW w:w="856" w:type="dxa"/>
            <w:shd w:val="clear" w:color="000000" w:fill="FFFFFF"/>
            <w:noWrap/>
            <w:vAlign w:val="center"/>
            <w:hideMark/>
          </w:tcPr>
          <w:p w:rsidR="008D573F" w:rsidRPr="004F4D90" w:rsidRDefault="008D573F" w:rsidP="008D573F">
            <w:pPr>
              <w:jc w:val="center"/>
              <w:rPr>
                <w:rFonts w:ascii="Arial" w:hAnsi="Arial" w:cs="Arial"/>
                <w:color w:val="000000"/>
                <w:sz w:val="18"/>
                <w:szCs w:val="18"/>
              </w:rPr>
            </w:pPr>
            <w:r w:rsidRPr="004F4D90">
              <w:rPr>
                <w:rFonts w:ascii="Arial" w:hAnsi="Arial" w:cs="Arial"/>
                <w:color w:val="000000"/>
                <w:sz w:val="18"/>
                <w:szCs w:val="18"/>
              </w:rPr>
              <w:t>13,736</w:t>
            </w:r>
          </w:p>
        </w:tc>
        <w:tc>
          <w:tcPr>
            <w:tcW w:w="856" w:type="dxa"/>
            <w:shd w:val="clear" w:color="000000" w:fill="FFFFFF"/>
            <w:noWrap/>
            <w:vAlign w:val="center"/>
            <w:hideMark/>
          </w:tcPr>
          <w:p w:rsidR="008D573F" w:rsidRPr="004F4D90" w:rsidRDefault="008D573F" w:rsidP="008D573F">
            <w:pPr>
              <w:jc w:val="center"/>
              <w:rPr>
                <w:rFonts w:ascii="Arial" w:hAnsi="Arial" w:cs="Arial"/>
                <w:color w:val="000000"/>
                <w:sz w:val="18"/>
                <w:szCs w:val="18"/>
              </w:rPr>
            </w:pPr>
            <w:r w:rsidRPr="004F4D90">
              <w:rPr>
                <w:rFonts w:ascii="Arial" w:hAnsi="Arial" w:cs="Arial"/>
                <w:color w:val="000000"/>
                <w:sz w:val="18"/>
                <w:szCs w:val="18"/>
              </w:rPr>
              <w:t>6,678</w:t>
            </w:r>
          </w:p>
        </w:tc>
        <w:tc>
          <w:tcPr>
            <w:tcW w:w="856" w:type="dxa"/>
            <w:shd w:val="clear" w:color="000000" w:fill="FFFFFF"/>
            <w:noWrap/>
            <w:vAlign w:val="center"/>
            <w:hideMark/>
          </w:tcPr>
          <w:p w:rsidR="008D573F" w:rsidRPr="004F4D90" w:rsidRDefault="008D573F" w:rsidP="008D573F">
            <w:pPr>
              <w:jc w:val="center"/>
              <w:rPr>
                <w:rFonts w:ascii="Arial" w:hAnsi="Arial" w:cs="Arial"/>
                <w:color w:val="000000"/>
                <w:sz w:val="18"/>
                <w:szCs w:val="18"/>
              </w:rPr>
            </w:pPr>
            <w:r w:rsidRPr="004F4D90">
              <w:rPr>
                <w:rFonts w:ascii="Arial" w:hAnsi="Arial" w:cs="Arial"/>
                <w:color w:val="000000"/>
                <w:sz w:val="18"/>
                <w:szCs w:val="18"/>
              </w:rPr>
              <w:t>14,586</w:t>
            </w:r>
          </w:p>
        </w:tc>
        <w:tc>
          <w:tcPr>
            <w:tcW w:w="856" w:type="dxa"/>
            <w:shd w:val="clear" w:color="000000" w:fill="FFFFFF"/>
            <w:noWrap/>
            <w:vAlign w:val="center"/>
            <w:hideMark/>
          </w:tcPr>
          <w:p w:rsidR="008D573F" w:rsidRPr="004F4D90" w:rsidRDefault="008D573F" w:rsidP="008D573F">
            <w:pPr>
              <w:jc w:val="center"/>
              <w:rPr>
                <w:rFonts w:ascii="Arial" w:hAnsi="Arial" w:cs="Arial"/>
                <w:color w:val="000000"/>
                <w:sz w:val="18"/>
                <w:szCs w:val="18"/>
              </w:rPr>
            </w:pPr>
            <w:r w:rsidRPr="004F4D90">
              <w:rPr>
                <w:rFonts w:ascii="Arial" w:hAnsi="Arial" w:cs="Arial"/>
                <w:color w:val="000000"/>
                <w:sz w:val="18"/>
                <w:szCs w:val="18"/>
              </w:rPr>
              <w:t>9,370</w:t>
            </w:r>
          </w:p>
        </w:tc>
        <w:tc>
          <w:tcPr>
            <w:tcW w:w="856" w:type="dxa"/>
            <w:shd w:val="clear" w:color="000000" w:fill="FFFFFF"/>
            <w:noWrap/>
            <w:vAlign w:val="center"/>
            <w:hideMark/>
          </w:tcPr>
          <w:p w:rsidR="008D573F" w:rsidRPr="004F4D90" w:rsidRDefault="008D573F" w:rsidP="008D573F">
            <w:pPr>
              <w:jc w:val="center"/>
              <w:rPr>
                <w:rFonts w:ascii="Arial" w:hAnsi="Arial" w:cs="Arial"/>
                <w:color w:val="000000"/>
                <w:sz w:val="18"/>
                <w:szCs w:val="18"/>
              </w:rPr>
            </w:pPr>
            <w:r w:rsidRPr="004F4D90">
              <w:rPr>
                <w:rFonts w:ascii="Arial" w:hAnsi="Arial" w:cs="Arial"/>
                <w:color w:val="000000"/>
                <w:sz w:val="18"/>
                <w:szCs w:val="18"/>
              </w:rPr>
              <w:t>1,149</w:t>
            </w:r>
          </w:p>
        </w:tc>
        <w:tc>
          <w:tcPr>
            <w:tcW w:w="856" w:type="dxa"/>
            <w:shd w:val="clear" w:color="000000" w:fill="FFFFFF"/>
            <w:noWrap/>
            <w:vAlign w:val="center"/>
            <w:hideMark/>
          </w:tcPr>
          <w:p w:rsidR="008D573F" w:rsidRPr="004F4D90" w:rsidRDefault="008D573F" w:rsidP="008D573F">
            <w:pPr>
              <w:jc w:val="center"/>
              <w:rPr>
                <w:rFonts w:ascii="Arial" w:hAnsi="Arial" w:cs="Arial"/>
                <w:color w:val="000000"/>
                <w:sz w:val="18"/>
                <w:szCs w:val="18"/>
              </w:rPr>
            </w:pPr>
            <w:r w:rsidRPr="004F4D90">
              <w:rPr>
                <w:rFonts w:ascii="Arial" w:hAnsi="Arial" w:cs="Arial"/>
                <w:color w:val="000000"/>
                <w:sz w:val="18"/>
                <w:szCs w:val="18"/>
              </w:rPr>
              <w:t>657</w:t>
            </w:r>
          </w:p>
        </w:tc>
        <w:tc>
          <w:tcPr>
            <w:tcW w:w="866" w:type="dxa"/>
            <w:shd w:val="clear" w:color="000000" w:fill="FFFFFF"/>
            <w:noWrap/>
            <w:vAlign w:val="center"/>
            <w:hideMark/>
          </w:tcPr>
          <w:p w:rsidR="008D573F" w:rsidRPr="004F4D90" w:rsidRDefault="008D573F" w:rsidP="008D573F">
            <w:pPr>
              <w:jc w:val="center"/>
              <w:rPr>
                <w:rFonts w:ascii="Arial" w:hAnsi="Arial" w:cs="Arial"/>
                <w:b/>
                <w:bCs/>
                <w:color w:val="000000"/>
                <w:sz w:val="18"/>
                <w:szCs w:val="18"/>
              </w:rPr>
            </w:pPr>
            <w:r w:rsidRPr="004F4D90">
              <w:rPr>
                <w:rFonts w:ascii="Arial" w:hAnsi="Arial" w:cs="Arial"/>
                <w:b/>
                <w:bCs/>
                <w:color w:val="000000"/>
                <w:sz w:val="18"/>
                <w:szCs w:val="18"/>
              </w:rPr>
              <w:t>88,028</w:t>
            </w:r>
          </w:p>
        </w:tc>
      </w:tr>
      <w:tr w:rsidR="008D573F" w:rsidTr="00540F30">
        <w:trPr>
          <w:trHeight w:val="420"/>
        </w:trPr>
        <w:tc>
          <w:tcPr>
            <w:tcW w:w="1135" w:type="dxa"/>
            <w:shd w:val="clear" w:color="000000" w:fill="FFFFFF"/>
            <w:noWrap/>
            <w:vAlign w:val="center"/>
            <w:hideMark/>
          </w:tcPr>
          <w:p w:rsidR="008D573F" w:rsidRPr="004F4D90" w:rsidRDefault="008D573F" w:rsidP="008D573F">
            <w:pPr>
              <w:jc w:val="center"/>
              <w:rPr>
                <w:rFonts w:ascii="Arial" w:hAnsi="Arial" w:cs="Arial"/>
                <w:b/>
                <w:bCs/>
                <w:color w:val="000000"/>
                <w:sz w:val="18"/>
                <w:szCs w:val="18"/>
              </w:rPr>
            </w:pPr>
            <w:r w:rsidRPr="004F4D90">
              <w:rPr>
                <w:rFonts w:ascii="Arial" w:hAnsi="Arial" w:cs="Arial"/>
                <w:b/>
                <w:bCs/>
                <w:color w:val="000000"/>
                <w:sz w:val="18"/>
                <w:szCs w:val="18"/>
              </w:rPr>
              <w:t>2015/2016</w:t>
            </w:r>
          </w:p>
        </w:tc>
        <w:tc>
          <w:tcPr>
            <w:tcW w:w="856" w:type="dxa"/>
            <w:shd w:val="clear" w:color="000000" w:fill="FFFFFF"/>
            <w:noWrap/>
            <w:vAlign w:val="center"/>
            <w:hideMark/>
          </w:tcPr>
          <w:p w:rsidR="008D573F" w:rsidRPr="004F4D90" w:rsidRDefault="008D573F" w:rsidP="008D573F">
            <w:pPr>
              <w:jc w:val="center"/>
              <w:rPr>
                <w:rFonts w:ascii="Arial" w:hAnsi="Arial" w:cs="Arial"/>
                <w:color w:val="000000"/>
                <w:sz w:val="18"/>
                <w:szCs w:val="18"/>
              </w:rPr>
            </w:pPr>
            <w:r w:rsidRPr="004F4D90">
              <w:rPr>
                <w:rFonts w:ascii="Arial" w:hAnsi="Arial" w:cs="Arial"/>
                <w:color w:val="000000"/>
                <w:sz w:val="18"/>
                <w:szCs w:val="18"/>
              </w:rPr>
              <w:t>9,161</w:t>
            </w:r>
          </w:p>
        </w:tc>
        <w:tc>
          <w:tcPr>
            <w:tcW w:w="866" w:type="dxa"/>
            <w:shd w:val="clear" w:color="000000" w:fill="FFFFFF"/>
            <w:noWrap/>
            <w:vAlign w:val="center"/>
            <w:hideMark/>
          </w:tcPr>
          <w:p w:rsidR="008D573F" w:rsidRPr="004F4D90" w:rsidRDefault="008D573F" w:rsidP="008D573F">
            <w:pPr>
              <w:jc w:val="center"/>
              <w:rPr>
                <w:rFonts w:ascii="Arial" w:hAnsi="Arial" w:cs="Arial"/>
                <w:color w:val="000000"/>
                <w:sz w:val="18"/>
                <w:szCs w:val="18"/>
              </w:rPr>
            </w:pPr>
            <w:r w:rsidRPr="004F4D90">
              <w:rPr>
                <w:rFonts w:ascii="Arial" w:hAnsi="Arial" w:cs="Arial"/>
                <w:color w:val="000000"/>
                <w:sz w:val="18"/>
                <w:szCs w:val="18"/>
              </w:rPr>
              <w:t>28,854</w:t>
            </w:r>
          </w:p>
        </w:tc>
        <w:tc>
          <w:tcPr>
            <w:tcW w:w="856" w:type="dxa"/>
            <w:shd w:val="clear" w:color="000000" w:fill="FFFFFF"/>
            <w:noWrap/>
            <w:vAlign w:val="center"/>
            <w:hideMark/>
          </w:tcPr>
          <w:p w:rsidR="008D573F" w:rsidRPr="004F4D90" w:rsidRDefault="008D573F" w:rsidP="008D573F">
            <w:pPr>
              <w:jc w:val="center"/>
              <w:rPr>
                <w:rFonts w:ascii="Arial" w:hAnsi="Arial" w:cs="Arial"/>
                <w:color w:val="000000"/>
                <w:sz w:val="18"/>
                <w:szCs w:val="18"/>
              </w:rPr>
            </w:pPr>
            <w:r w:rsidRPr="004F4D90">
              <w:rPr>
                <w:rFonts w:ascii="Arial" w:hAnsi="Arial" w:cs="Arial"/>
                <w:color w:val="000000"/>
                <w:sz w:val="18"/>
                <w:szCs w:val="18"/>
              </w:rPr>
              <w:t>11,980</w:t>
            </w:r>
          </w:p>
        </w:tc>
        <w:tc>
          <w:tcPr>
            <w:tcW w:w="856" w:type="dxa"/>
            <w:shd w:val="clear" w:color="000000" w:fill="FFFFFF"/>
            <w:noWrap/>
            <w:vAlign w:val="center"/>
            <w:hideMark/>
          </w:tcPr>
          <w:p w:rsidR="008D573F" w:rsidRPr="004F4D90" w:rsidRDefault="008D573F" w:rsidP="008D573F">
            <w:pPr>
              <w:jc w:val="center"/>
              <w:rPr>
                <w:rFonts w:ascii="Arial" w:hAnsi="Arial" w:cs="Arial"/>
                <w:color w:val="000000"/>
                <w:sz w:val="18"/>
                <w:szCs w:val="18"/>
              </w:rPr>
            </w:pPr>
            <w:r w:rsidRPr="004F4D90">
              <w:rPr>
                <w:rFonts w:ascii="Arial" w:hAnsi="Arial" w:cs="Arial"/>
                <w:color w:val="000000"/>
                <w:sz w:val="18"/>
                <w:szCs w:val="18"/>
              </w:rPr>
              <w:t>5,720</w:t>
            </w:r>
          </w:p>
        </w:tc>
        <w:tc>
          <w:tcPr>
            <w:tcW w:w="856" w:type="dxa"/>
            <w:shd w:val="clear" w:color="000000" w:fill="FFFFFF"/>
            <w:noWrap/>
            <w:vAlign w:val="center"/>
            <w:hideMark/>
          </w:tcPr>
          <w:p w:rsidR="008D573F" w:rsidRPr="004F4D90" w:rsidRDefault="008D573F" w:rsidP="008D573F">
            <w:pPr>
              <w:jc w:val="center"/>
              <w:rPr>
                <w:rFonts w:ascii="Arial" w:hAnsi="Arial" w:cs="Arial"/>
                <w:color w:val="000000"/>
                <w:sz w:val="18"/>
                <w:szCs w:val="18"/>
              </w:rPr>
            </w:pPr>
            <w:r w:rsidRPr="004F4D90">
              <w:rPr>
                <w:rFonts w:ascii="Arial" w:hAnsi="Arial" w:cs="Arial"/>
                <w:color w:val="000000"/>
                <w:sz w:val="18"/>
                <w:szCs w:val="18"/>
              </w:rPr>
              <w:t>11,673</w:t>
            </w:r>
          </w:p>
        </w:tc>
        <w:tc>
          <w:tcPr>
            <w:tcW w:w="856" w:type="dxa"/>
            <w:shd w:val="clear" w:color="000000" w:fill="FFFFFF"/>
            <w:noWrap/>
            <w:vAlign w:val="center"/>
            <w:hideMark/>
          </w:tcPr>
          <w:p w:rsidR="008D573F" w:rsidRPr="004F4D90" w:rsidRDefault="008D573F" w:rsidP="008D573F">
            <w:pPr>
              <w:jc w:val="center"/>
              <w:rPr>
                <w:rFonts w:ascii="Arial" w:hAnsi="Arial" w:cs="Arial"/>
                <w:color w:val="000000"/>
                <w:sz w:val="18"/>
                <w:szCs w:val="18"/>
              </w:rPr>
            </w:pPr>
            <w:r w:rsidRPr="004F4D90">
              <w:rPr>
                <w:rFonts w:ascii="Arial" w:hAnsi="Arial" w:cs="Arial"/>
                <w:color w:val="000000"/>
                <w:sz w:val="18"/>
                <w:szCs w:val="18"/>
              </w:rPr>
              <w:t>10,354</w:t>
            </w:r>
          </w:p>
        </w:tc>
        <w:tc>
          <w:tcPr>
            <w:tcW w:w="856" w:type="dxa"/>
            <w:shd w:val="clear" w:color="000000" w:fill="FFFFFF"/>
            <w:noWrap/>
            <w:vAlign w:val="center"/>
            <w:hideMark/>
          </w:tcPr>
          <w:p w:rsidR="008D573F" w:rsidRPr="004F4D90" w:rsidRDefault="008D573F" w:rsidP="008D573F">
            <w:pPr>
              <w:jc w:val="center"/>
              <w:rPr>
                <w:rFonts w:ascii="Arial" w:hAnsi="Arial" w:cs="Arial"/>
                <w:color w:val="000000"/>
                <w:sz w:val="18"/>
                <w:szCs w:val="18"/>
              </w:rPr>
            </w:pPr>
            <w:r w:rsidRPr="004F4D90">
              <w:rPr>
                <w:rFonts w:ascii="Arial" w:hAnsi="Arial" w:cs="Arial"/>
                <w:color w:val="000000"/>
                <w:sz w:val="18"/>
                <w:szCs w:val="18"/>
              </w:rPr>
              <w:t>1,075</w:t>
            </w:r>
          </w:p>
        </w:tc>
        <w:tc>
          <w:tcPr>
            <w:tcW w:w="856" w:type="dxa"/>
            <w:shd w:val="clear" w:color="000000" w:fill="FFFFFF"/>
            <w:noWrap/>
            <w:vAlign w:val="center"/>
            <w:hideMark/>
          </w:tcPr>
          <w:p w:rsidR="008D573F" w:rsidRPr="004F4D90" w:rsidRDefault="008D573F" w:rsidP="008D573F">
            <w:pPr>
              <w:jc w:val="center"/>
              <w:rPr>
                <w:rFonts w:ascii="Arial" w:hAnsi="Arial" w:cs="Arial"/>
                <w:color w:val="000000"/>
                <w:sz w:val="18"/>
                <w:szCs w:val="18"/>
              </w:rPr>
            </w:pPr>
            <w:r w:rsidRPr="004F4D90">
              <w:rPr>
                <w:rFonts w:ascii="Arial" w:hAnsi="Arial" w:cs="Arial"/>
                <w:color w:val="000000"/>
                <w:sz w:val="18"/>
                <w:szCs w:val="18"/>
              </w:rPr>
              <w:t>604</w:t>
            </w:r>
          </w:p>
        </w:tc>
        <w:tc>
          <w:tcPr>
            <w:tcW w:w="866" w:type="dxa"/>
            <w:shd w:val="clear" w:color="000000" w:fill="FFFFFF"/>
            <w:noWrap/>
            <w:vAlign w:val="center"/>
            <w:hideMark/>
          </w:tcPr>
          <w:p w:rsidR="008D573F" w:rsidRPr="004F4D90" w:rsidRDefault="008D573F" w:rsidP="008D573F">
            <w:pPr>
              <w:jc w:val="center"/>
              <w:rPr>
                <w:rFonts w:ascii="Arial" w:hAnsi="Arial" w:cs="Arial"/>
                <w:b/>
                <w:bCs/>
                <w:color w:val="000000"/>
                <w:sz w:val="18"/>
                <w:szCs w:val="18"/>
              </w:rPr>
            </w:pPr>
            <w:r w:rsidRPr="004F4D90">
              <w:rPr>
                <w:rFonts w:ascii="Arial" w:hAnsi="Arial" w:cs="Arial"/>
                <w:b/>
                <w:bCs/>
                <w:color w:val="000000"/>
                <w:sz w:val="18"/>
                <w:szCs w:val="18"/>
              </w:rPr>
              <w:t>79,421</w:t>
            </w:r>
          </w:p>
        </w:tc>
      </w:tr>
      <w:tr w:rsidR="008D573F" w:rsidTr="00540F30">
        <w:trPr>
          <w:trHeight w:val="420"/>
        </w:trPr>
        <w:tc>
          <w:tcPr>
            <w:tcW w:w="1135" w:type="dxa"/>
            <w:shd w:val="clear" w:color="000000" w:fill="FFFFFF"/>
            <w:noWrap/>
            <w:vAlign w:val="center"/>
            <w:hideMark/>
          </w:tcPr>
          <w:p w:rsidR="008D573F" w:rsidRPr="004F4D90" w:rsidRDefault="008D573F" w:rsidP="008D573F">
            <w:pPr>
              <w:jc w:val="center"/>
              <w:rPr>
                <w:rFonts w:ascii="Arial" w:hAnsi="Arial" w:cs="Arial"/>
                <w:b/>
                <w:bCs/>
                <w:color w:val="000000"/>
                <w:sz w:val="18"/>
                <w:szCs w:val="18"/>
              </w:rPr>
            </w:pPr>
            <w:r>
              <w:rPr>
                <w:rFonts w:ascii="Arial" w:hAnsi="Arial" w:cs="Arial"/>
                <w:b/>
                <w:bCs/>
                <w:color w:val="000000"/>
                <w:sz w:val="18"/>
                <w:szCs w:val="18"/>
              </w:rPr>
              <w:t>2016/2017</w:t>
            </w:r>
          </w:p>
        </w:tc>
        <w:tc>
          <w:tcPr>
            <w:tcW w:w="856" w:type="dxa"/>
            <w:shd w:val="clear" w:color="000000" w:fill="FFFFFF"/>
            <w:noWrap/>
            <w:vAlign w:val="center"/>
            <w:hideMark/>
          </w:tcPr>
          <w:p w:rsidR="008D573F" w:rsidRPr="004F4D90" w:rsidRDefault="008D573F" w:rsidP="008D573F">
            <w:pPr>
              <w:jc w:val="center"/>
              <w:rPr>
                <w:rFonts w:ascii="Arial" w:hAnsi="Arial" w:cs="Arial"/>
                <w:color w:val="000000"/>
                <w:sz w:val="18"/>
                <w:szCs w:val="18"/>
              </w:rPr>
            </w:pPr>
            <w:r w:rsidRPr="004F4D90">
              <w:rPr>
                <w:rFonts w:ascii="Arial" w:hAnsi="Arial" w:cs="Arial"/>
                <w:color w:val="000000"/>
                <w:sz w:val="18"/>
                <w:szCs w:val="18"/>
              </w:rPr>
              <w:t>6,533</w:t>
            </w:r>
          </w:p>
        </w:tc>
        <w:tc>
          <w:tcPr>
            <w:tcW w:w="866" w:type="dxa"/>
            <w:shd w:val="clear" w:color="000000" w:fill="FFFFFF"/>
            <w:noWrap/>
            <w:vAlign w:val="center"/>
            <w:hideMark/>
          </w:tcPr>
          <w:p w:rsidR="008D573F" w:rsidRPr="004F4D90" w:rsidRDefault="008D573F" w:rsidP="008D573F">
            <w:pPr>
              <w:jc w:val="center"/>
              <w:rPr>
                <w:rFonts w:ascii="Arial" w:hAnsi="Arial" w:cs="Arial"/>
                <w:color w:val="000000"/>
                <w:sz w:val="18"/>
                <w:szCs w:val="18"/>
              </w:rPr>
            </w:pPr>
            <w:r w:rsidRPr="004F4D90">
              <w:rPr>
                <w:rFonts w:ascii="Arial" w:hAnsi="Arial" w:cs="Arial"/>
                <w:color w:val="000000"/>
                <w:sz w:val="18"/>
                <w:szCs w:val="18"/>
              </w:rPr>
              <w:t>26,501</w:t>
            </w:r>
          </w:p>
        </w:tc>
        <w:tc>
          <w:tcPr>
            <w:tcW w:w="856" w:type="dxa"/>
            <w:shd w:val="clear" w:color="000000" w:fill="FFFFFF"/>
            <w:noWrap/>
            <w:vAlign w:val="center"/>
            <w:hideMark/>
          </w:tcPr>
          <w:p w:rsidR="008D573F" w:rsidRPr="004F4D90" w:rsidRDefault="008D573F" w:rsidP="008D573F">
            <w:pPr>
              <w:jc w:val="center"/>
              <w:rPr>
                <w:rFonts w:ascii="Arial" w:hAnsi="Arial" w:cs="Arial"/>
                <w:color w:val="000000"/>
                <w:sz w:val="18"/>
                <w:szCs w:val="18"/>
              </w:rPr>
            </w:pPr>
            <w:r w:rsidRPr="004F4D90">
              <w:rPr>
                <w:rFonts w:ascii="Arial" w:hAnsi="Arial" w:cs="Arial"/>
                <w:color w:val="000000"/>
                <w:sz w:val="18"/>
                <w:szCs w:val="18"/>
              </w:rPr>
              <w:t>9,246</w:t>
            </w:r>
          </w:p>
        </w:tc>
        <w:tc>
          <w:tcPr>
            <w:tcW w:w="856" w:type="dxa"/>
            <w:shd w:val="clear" w:color="000000" w:fill="FFFFFF"/>
            <w:noWrap/>
            <w:vAlign w:val="center"/>
            <w:hideMark/>
          </w:tcPr>
          <w:p w:rsidR="008D573F" w:rsidRPr="004F4D90" w:rsidRDefault="008D573F" w:rsidP="008D573F">
            <w:pPr>
              <w:jc w:val="center"/>
              <w:rPr>
                <w:rFonts w:ascii="Arial" w:hAnsi="Arial" w:cs="Arial"/>
                <w:color w:val="000000"/>
                <w:sz w:val="18"/>
                <w:szCs w:val="18"/>
              </w:rPr>
            </w:pPr>
            <w:r w:rsidRPr="004F4D90">
              <w:rPr>
                <w:rFonts w:ascii="Arial" w:hAnsi="Arial" w:cs="Arial"/>
                <w:color w:val="000000"/>
                <w:sz w:val="18"/>
                <w:szCs w:val="18"/>
              </w:rPr>
              <w:t>4,611</w:t>
            </w:r>
          </w:p>
        </w:tc>
        <w:tc>
          <w:tcPr>
            <w:tcW w:w="856" w:type="dxa"/>
            <w:shd w:val="clear" w:color="000000" w:fill="FFFFFF"/>
            <w:noWrap/>
            <w:vAlign w:val="center"/>
            <w:hideMark/>
          </w:tcPr>
          <w:p w:rsidR="008D573F" w:rsidRPr="004F4D90" w:rsidRDefault="008D573F" w:rsidP="008D573F">
            <w:pPr>
              <w:jc w:val="center"/>
              <w:rPr>
                <w:rFonts w:ascii="Arial" w:hAnsi="Arial" w:cs="Arial"/>
                <w:color w:val="000000"/>
                <w:sz w:val="18"/>
                <w:szCs w:val="18"/>
              </w:rPr>
            </w:pPr>
            <w:r w:rsidRPr="004F4D90">
              <w:rPr>
                <w:rFonts w:ascii="Arial" w:hAnsi="Arial" w:cs="Arial"/>
                <w:color w:val="000000"/>
                <w:sz w:val="18"/>
                <w:szCs w:val="18"/>
              </w:rPr>
              <w:t>9,541</w:t>
            </w:r>
          </w:p>
        </w:tc>
        <w:tc>
          <w:tcPr>
            <w:tcW w:w="856" w:type="dxa"/>
            <w:shd w:val="clear" w:color="000000" w:fill="FFFFFF"/>
            <w:noWrap/>
            <w:vAlign w:val="center"/>
            <w:hideMark/>
          </w:tcPr>
          <w:p w:rsidR="008D573F" w:rsidRPr="004F4D90" w:rsidRDefault="008D573F" w:rsidP="008D573F">
            <w:pPr>
              <w:jc w:val="center"/>
              <w:rPr>
                <w:rFonts w:ascii="Arial" w:hAnsi="Arial" w:cs="Arial"/>
                <w:color w:val="000000"/>
                <w:sz w:val="18"/>
                <w:szCs w:val="18"/>
              </w:rPr>
            </w:pPr>
            <w:r w:rsidRPr="004F4D90">
              <w:rPr>
                <w:rFonts w:ascii="Arial" w:hAnsi="Arial" w:cs="Arial"/>
                <w:color w:val="000000"/>
                <w:sz w:val="18"/>
                <w:szCs w:val="18"/>
              </w:rPr>
              <w:t>8,283</w:t>
            </w:r>
          </w:p>
        </w:tc>
        <w:tc>
          <w:tcPr>
            <w:tcW w:w="856" w:type="dxa"/>
            <w:shd w:val="clear" w:color="000000" w:fill="FFFFFF"/>
            <w:noWrap/>
            <w:vAlign w:val="center"/>
            <w:hideMark/>
          </w:tcPr>
          <w:p w:rsidR="008D573F" w:rsidRPr="004F4D90" w:rsidRDefault="008D573F" w:rsidP="008D573F">
            <w:pPr>
              <w:jc w:val="center"/>
              <w:rPr>
                <w:rFonts w:ascii="Arial" w:hAnsi="Arial" w:cs="Arial"/>
                <w:color w:val="000000"/>
                <w:sz w:val="18"/>
                <w:szCs w:val="18"/>
              </w:rPr>
            </w:pPr>
            <w:r w:rsidRPr="004F4D90">
              <w:rPr>
                <w:rFonts w:ascii="Arial" w:hAnsi="Arial" w:cs="Arial"/>
                <w:color w:val="000000"/>
                <w:sz w:val="18"/>
                <w:szCs w:val="18"/>
              </w:rPr>
              <w:t>1,006</w:t>
            </w:r>
          </w:p>
        </w:tc>
        <w:tc>
          <w:tcPr>
            <w:tcW w:w="856" w:type="dxa"/>
            <w:shd w:val="clear" w:color="000000" w:fill="FFFFFF"/>
            <w:noWrap/>
            <w:vAlign w:val="center"/>
            <w:hideMark/>
          </w:tcPr>
          <w:p w:rsidR="008D573F" w:rsidRPr="004F4D90" w:rsidRDefault="008D573F" w:rsidP="008D573F">
            <w:pPr>
              <w:jc w:val="center"/>
              <w:rPr>
                <w:rFonts w:ascii="Arial" w:hAnsi="Arial" w:cs="Arial"/>
                <w:color w:val="000000"/>
                <w:sz w:val="18"/>
                <w:szCs w:val="18"/>
              </w:rPr>
            </w:pPr>
            <w:r w:rsidRPr="004F4D90">
              <w:rPr>
                <w:rFonts w:ascii="Arial" w:hAnsi="Arial" w:cs="Arial"/>
                <w:color w:val="000000"/>
                <w:sz w:val="18"/>
                <w:szCs w:val="18"/>
              </w:rPr>
              <w:t>525</w:t>
            </w:r>
          </w:p>
        </w:tc>
        <w:tc>
          <w:tcPr>
            <w:tcW w:w="866" w:type="dxa"/>
            <w:shd w:val="clear" w:color="000000" w:fill="FFFFFF"/>
            <w:noWrap/>
            <w:vAlign w:val="center"/>
            <w:hideMark/>
          </w:tcPr>
          <w:p w:rsidR="008D573F" w:rsidRPr="004F4D90" w:rsidRDefault="008D573F" w:rsidP="008D573F">
            <w:pPr>
              <w:jc w:val="center"/>
              <w:rPr>
                <w:rFonts w:ascii="Arial" w:hAnsi="Arial" w:cs="Arial"/>
                <w:b/>
                <w:bCs/>
                <w:color w:val="000000"/>
                <w:sz w:val="18"/>
                <w:szCs w:val="18"/>
              </w:rPr>
            </w:pPr>
            <w:r w:rsidRPr="004F4D90">
              <w:rPr>
                <w:rFonts w:ascii="Arial" w:hAnsi="Arial" w:cs="Arial"/>
                <w:b/>
                <w:bCs/>
                <w:color w:val="000000"/>
                <w:sz w:val="18"/>
                <w:szCs w:val="18"/>
              </w:rPr>
              <w:t>66,246</w:t>
            </w:r>
          </w:p>
        </w:tc>
      </w:tr>
      <w:tr w:rsidR="008D573F" w:rsidTr="00540F30">
        <w:trPr>
          <w:trHeight w:val="420"/>
        </w:trPr>
        <w:tc>
          <w:tcPr>
            <w:tcW w:w="1135" w:type="dxa"/>
            <w:shd w:val="clear" w:color="000000" w:fill="FFFFFF"/>
            <w:noWrap/>
            <w:vAlign w:val="center"/>
            <w:hideMark/>
          </w:tcPr>
          <w:p w:rsidR="008D573F" w:rsidRPr="004F4D90" w:rsidRDefault="008D573F" w:rsidP="008D573F">
            <w:pPr>
              <w:jc w:val="center"/>
              <w:rPr>
                <w:rFonts w:ascii="Arial" w:hAnsi="Arial" w:cs="Arial"/>
                <w:b/>
                <w:bCs/>
                <w:color w:val="000000"/>
                <w:sz w:val="18"/>
                <w:szCs w:val="18"/>
              </w:rPr>
            </w:pPr>
            <w:r w:rsidRPr="004F4D90">
              <w:rPr>
                <w:rFonts w:ascii="Arial" w:hAnsi="Arial" w:cs="Arial"/>
                <w:b/>
                <w:bCs/>
                <w:color w:val="000000"/>
                <w:sz w:val="18"/>
                <w:szCs w:val="18"/>
              </w:rPr>
              <w:t>Total</w:t>
            </w:r>
          </w:p>
        </w:tc>
        <w:tc>
          <w:tcPr>
            <w:tcW w:w="856" w:type="dxa"/>
            <w:shd w:val="clear" w:color="000000" w:fill="FFFFFF"/>
            <w:noWrap/>
            <w:vAlign w:val="center"/>
            <w:hideMark/>
          </w:tcPr>
          <w:p w:rsidR="008D573F" w:rsidRPr="004F4D90" w:rsidRDefault="008D573F" w:rsidP="008D573F">
            <w:pPr>
              <w:jc w:val="center"/>
              <w:rPr>
                <w:rFonts w:ascii="Arial" w:hAnsi="Arial" w:cs="Arial"/>
                <w:b/>
                <w:color w:val="000000"/>
                <w:sz w:val="18"/>
                <w:szCs w:val="18"/>
              </w:rPr>
            </w:pPr>
            <w:r w:rsidRPr="004F4D90">
              <w:rPr>
                <w:rFonts w:ascii="Arial" w:hAnsi="Arial" w:cs="Arial"/>
                <w:b/>
                <w:color w:val="000000"/>
                <w:sz w:val="18"/>
                <w:szCs w:val="18"/>
              </w:rPr>
              <w:t>38,529</w:t>
            </w:r>
          </w:p>
        </w:tc>
        <w:tc>
          <w:tcPr>
            <w:tcW w:w="866" w:type="dxa"/>
            <w:shd w:val="clear" w:color="000000" w:fill="FFFFFF"/>
            <w:noWrap/>
            <w:vAlign w:val="center"/>
            <w:hideMark/>
          </w:tcPr>
          <w:p w:rsidR="008D573F" w:rsidRPr="004F4D90" w:rsidRDefault="008D573F" w:rsidP="008D573F">
            <w:pPr>
              <w:jc w:val="center"/>
              <w:rPr>
                <w:rFonts w:ascii="Arial" w:hAnsi="Arial" w:cs="Arial"/>
                <w:b/>
                <w:color w:val="000000"/>
                <w:sz w:val="18"/>
                <w:szCs w:val="18"/>
              </w:rPr>
            </w:pPr>
            <w:r w:rsidRPr="004F4D90">
              <w:rPr>
                <w:rFonts w:ascii="Arial" w:hAnsi="Arial" w:cs="Arial"/>
                <w:b/>
                <w:color w:val="000000"/>
                <w:sz w:val="18"/>
                <w:szCs w:val="18"/>
              </w:rPr>
              <w:t>119,782</w:t>
            </w:r>
          </w:p>
        </w:tc>
        <w:tc>
          <w:tcPr>
            <w:tcW w:w="856" w:type="dxa"/>
            <w:shd w:val="clear" w:color="000000" w:fill="FFFFFF"/>
            <w:noWrap/>
            <w:vAlign w:val="center"/>
            <w:hideMark/>
          </w:tcPr>
          <w:p w:rsidR="008D573F" w:rsidRPr="004F4D90" w:rsidRDefault="008D573F" w:rsidP="008D573F">
            <w:pPr>
              <w:jc w:val="center"/>
              <w:rPr>
                <w:rFonts w:ascii="Arial" w:hAnsi="Arial" w:cs="Arial"/>
                <w:b/>
                <w:color w:val="000000"/>
                <w:sz w:val="18"/>
                <w:szCs w:val="18"/>
              </w:rPr>
            </w:pPr>
            <w:r w:rsidRPr="004F4D90">
              <w:rPr>
                <w:rFonts w:ascii="Arial" w:hAnsi="Arial" w:cs="Arial"/>
                <w:b/>
                <w:color w:val="000000"/>
                <w:sz w:val="18"/>
                <w:szCs w:val="18"/>
              </w:rPr>
              <w:t>51,021</w:t>
            </w:r>
          </w:p>
        </w:tc>
        <w:tc>
          <w:tcPr>
            <w:tcW w:w="856" w:type="dxa"/>
            <w:shd w:val="clear" w:color="000000" w:fill="FFFFFF"/>
            <w:noWrap/>
            <w:vAlign w:val="center"/>
            <w:hideMark/>
          </w:tcPr>
          <w:p w:rsidR="008D573F" w:rsidRPr="004F4D90" w:rsidRDefault="008D573F" w:rsidP="008D573F">
            <w:pPr>
              <w:jc w:val="center"/>
              <w:rPr>
                <w:rFonts w:ascii="Arial" w:hAnsi="Arial" w:cs="Arial"/>
                <w:b/>
                <w:color w:val="000000"/>
                <w:sz w:val="18"/>
                <w:szCs w:val="18"/>
              </w:rPr>
            </w:pPr>
            <w:r w:rsidRPr="004F4D90">
              <w:rPr>
                <w:rFonts w:ascii="Arial" w:hAnsi="Arial" w:cs="Arial"/>
                <w:b/>
                <w:color w:val="000000"/>
                <w:sz w:val="18"/>
                <w:szCs w:val="18"/>
              </w:rPr>
              <w:t>25,007</w:t>
            </w:r>
          </w:p>
        </w:tc>
        <w:tc>
          <w:tcPr>
            <w:tcW w:w="856" w:type="dxa"/>
            <w:shd w:val="clear" w:color="000000" w:fill="FFFFFF"/>
            <w:noWrap/>
            <w:vAlign w:val="center"/>
            <w:hideMark/>
          </w:tcPr>
          <w:p w:rsidR="008D573F" w:rsidRPr="004F4D90" w:rsidRDefault="008D573F" w:rsidP="008D573F">
            <w:pPr>
              <w:jc w:val="center"/>
              <w:rPr>
                <w:rFonts w:ascii="Arial" w:hAnsi="Arial" w:cs="Arial"/>
                <w:b/>
                <w:color w:val="000000"/>
                <w:sz w:val="18"/>
                <w:szCs w:val="18"/>
              </w:rPr>
            </w:pPr>
            <w:r w:rsidRPr="004F4D90">
              <w:rPr>
                <w:rFonts w:ascii="Arial" w:hAnsi="Arial" w:cs="Arial"/>
                <w:b/>
                <w:color w:val="000000"/>
                <w:sz w:val="18"/>
                <w:szCs w:val="18"/>
              </w:rPr>
              <w:t>53,016</w:t>
            </w:r>
          </w:p>
        </w:tc>
        <w:tc>
          <w:tcPr>
            <w:tcW w:w="856" w:type="dxa"/>
            <w:shd w:val="clear" w:color="000000" w:fill="FFFFFF"/>
            <w:noWrap/>
            <w:vAlign w:val="center"/>
            <w:hideMark/>
          </w:tcPr>
          <w:p w:rsidR="008D573F" w:rsidRPr="004F4D90" w:rsidRDefault="008D573F" w:rsidP="008D573F">
            <w:pPr>
              <w:jc w:val="center"/>
              <w:rPr>
                <w:rFonts w:ascii="Arial" w:hAnsi="Arial" w:cs="Arial"/>
                <w:b/>
                <w:bCs/>
                <w:color w:val="000000"/>
                <w:sz w:val="18"/>
                <w:szCs w:val="18"/>
              </w:rPr>
            </w:pPr>
            <w:r w:rsidRPr="004F4D90">
              <w:rPr>
                <w:rFonts w:ascii="Arial" w:hAnsi="Arial" w:cs="Arial"/>
                <w:b/>
                <w:bCs/>
                <w:color w:val="000000"/>
                <w:sz w:val="18"/>
                <w:szCs w:val="18"/>
              </w:rPr>
              <w:t>37,634</w:t>
            </w:r>
          </w:p>
        </w:tc>
        <w:tc>
          <w:tcPr>
            <w:tcW w:w="856" w:type="dxa"/>
            <w:shd w:val="clear" w:color="000000" w:fill="FFFFFF"/>
            <w:noWrap/>
            <w:vAlign w:val="center"/>
            <w:hideMark/>
          </w:tcPr>
          <w:p w:rsidR="008D573F" w:rsidRPr="004F4D90" w:rsidRDefault="008D573F" w:rsidP="008D573F">
            <w:pPr>
              <w:jc w:val="center"/>
              <w:rPr>
                <w:rFonts w:ascii="Arial" w:hAnsi="Arial" w:cs="Arial"/>
                <w:b/>
                <w:color w:val="000000"/>
                <w:sz w:val="18"/>
                <w:szCs w:val="18"/>
              </w:rPr>
            </w:pPr>
            <w:r w:rsidRPr="004F4D90">
              <w:rPr>
                <w:rFonts w:ascii="Arial" w:hAnsi="Arial" w:cs="Arial"/>
                <w:b/>
                <w:color w:val="000000"/>
                <w:sz w:val="18"/>
                <w:szCs w:val="18"/>
              </w:rPr>
              <w:t>4,382</w:t>
            </w:r>
          </w:p>
        </w:tc>
        <w:tc>
          <w:tcPr>
            <w:tcW w:w="856" w:type="dxa"/>
            <w:shd w:val="clear" w:color="000000" w:fill="FFFFFF"/>
            <w:noWrap/>
            <w:vAlign w:val="center"/>
            <w:hideMark/>
          </w:tcPr>
          <w:p w:rsidR="008D573F" w:rsidRPr="004F4D90" w:rsidRDefault="008D573F" w:rsidP="008D573F">
            <w:pPr>
              <w:jc w:val="center"/>
              <w:rPr>
                <w:rFonts w:ascii="Arial" w:hAnsi="Arial" w:cs="Arial"/>
                <w:b/>
                <w:color w:val="000000"/>
                <w:sz w:val="18"/>
                <w:szCs w:val="18"/>
              </w:rPr>
            </w:pPr>
            <w:r w:rsidRPr="004F4D90">
              <w:rPr>
                <w:rFonts w:ascii="Arial" w:hAnsi="Arial" w:cs="Arial"/>
                <w:b/>
                <w:color w:val="000000"/>
                <w:sz w:val="18"/>
                <w:szCs w:val="18"/>
              </w:rPr>
              <w:t>2,688</w:t>
            </w:r>
          </w:p>
        </w:tc>
        <w:tc>
          <w:tcPr>
            <w:tcW w:w="866" w:type="dxa"/>
            <w:shd w:val="clear" w:color="000000" w:fill="FFFFFF"/>
            <w:noWrap/>
            <w:vAlign w:val="center"/>
            <w:hideMark/>
          </w:tcPr>
          <w:p w:rsidR="008D573F" w:rsidRPr="004F4D90" w:rsidRDefault="008D573F" w:rsidP="008D573F">
            <w:pPr>
              <w:jc w:val="center"/>
              <w:rPr>
                <w:rFonts w:ascii="Arial" w:hAnsi="Arial" w:cs="Arial"/>
                <w:b/>
                <w:bCs/>
                <w:color w:val="000000"/>
                <w:sz w:val="18"/>
                <w:szCs w:val="18"/>
              </w:rPr>
            </w:pPr>
            <w:r w:rsidRPr="004F4D90">
              <w:rPr>
                <w:rFonts w:ascii="Arial" w:hAnsi="Arial" w:cs="Arial"/>
                <w:b/>
                <w:bCs/>
                <w:color w:val="000000"/>
                <w:sz w:val="18"/>
                <w:szCs w:val="18"/>
              </w:rPr>
              <w:t>332,059</w:t>
            </w:r>
          </w:p>
        </w:tc>
      </w:tr>
    </w:tbl>
    <w:p w:rsidR="002E542D" w:rsidRPr="007105F2" w:rsidRDefault="008D573F" w:rsidP="007105F2">
      <w:pPr>
        <w:rPr>
          <w:rFonts w:asciiTheme="minorHAnsi" w:hAnsiTheme="minorHAnsi" w:cstheme="minorHAnsi"/>
          <w:i/>
          <w:sz w:val="16"/>
          <w:szCs w:val="16"/>
        </w:rPr>
      </w:pPr>
      <w:r w:rsidRPr="00D409BF">
        <w:rPr>
          <w:rFonts w:asciiTheme="minorHAnsi" w:hAnsiTheme="minorHAnsi" w:cstheme="minorHAnsi"/>
          <w:i/>
          <w:sz w:val="16"/>
          <w:szCs w:val="16"/>
        </w:rPr>
        <w:t>Source: Department of Health, Medical Benefits Division, Primary Care and Diagnostics Branch, MBS Analytics Section, Reference no.: Q20863, July 2017</w:t>
      </w:r>
    </w:p>
    <w:p w:rsidR="008D573F" w:rsidRPr="003262E6" w:rsidRDefault="00CA3DEE" w:rsidP="00CA3DEE">
      <w:pPr>
        <w:rPr>
          <w:rFonts w:asciiTheme="minorHAnsi" w:hAnsiTheme="minorHAnsi" w:cs="Arial"/>
          <w:b/>
          <w:bCs/>
          <w:color w:val="000000"/>
          <w:sz w:val="20"/>
        </w:rPr>
      </w:pPr>
      <w:r>
        <w:rPr>
          <w:rFonts w:asciiTheme="minorHAnsi" w:hAnsiTheme="minorHAnsi" w:cs="Arial"/>
          <w:b/>
          <w:bCs/>
          <w:color w:val="000000"/>
          <w:sz w:val="20"/>
        </w:rPr>
        <w:t xml:space="preserve">Table 9: </w:t>
      </w:r>
      <w:r w:rsidR="008D573F" w:rsidRPr="003262E6">
        <w:rPr>
          <w:rFonts w:asciiTheme="minorHAnsi" w:hAnsiTheme="minorHAnsi" w:cs="Arial"/>
          <w:b/>
          <w:bCs/>
          <w:color w:val="000000"/>
          <w:sz w:val="20"/>
        </w:rPr>
        <w:t>Item 31590, State/Territory</w:t>
      </w:r>
    </w:p>
    <w:tbl>
      <w:tblPr>
        <w:tblW w:w="88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tate and Territory service volumes for MBS item 31590 in 2013-17"/>
        <w:tblDescription w:val="For item 31590, the total service volumes across the 4 years since implementation was . This includes 309 in New South Wales and the Australian Capital Territory, 917 in Victoria, 323 in Tasmania, 303 in Queensland the Northern Territory, 186 in South Australia and 301 in Western Australia. "/>
      </w:tblPr>
      <w:tblGrid>
        <w:gridCol w:w="1258"/>
        <w:gridCol w:w="1261"/>
        <w:gridCol w:w="1062"/>
        <w:gridCol w:w="1062"/>
        <w:gridCol w:w="1062"/>
        <w:gridCol w:w="1062"/>
        <w:gridCol w:w="1062"/>
        <w:gridCol w:w="1062"/>
      </w:tblGrid>
      <w:tr w:rsidR="008D573F" w:rsidTr="00540F30">
        <w:trPr>
          <w:trHeight w:val="386"/>
        </w:trPr>
        <w:tc>
          <w:tcPr>
            <w:tcW w:w="1258" w:type="dxa"/>
            <w:tcBorders>
              <w:top w:val="nil"/>
              <w:left w:val="nil"/>
            </w:tcBorders>
            <w:shd w:val="clear" w:color="000000" w:fill="FFFFFF"/>
            <w:vAlign w:val="center"/>
            <w:hideMark/>
          </w:tcPr>
          <w:p w:rsidR="008D573F" w:rsidRPr="00321BD6" w:rsidRDefault="008D573F" w:rsidP="008D573F">
            <w:pPr>
              <w:rPr>
                <w:color w:val="000000"/>
                <w:sz w:val="20"/>
              </w:rPr>
            </w:pPr>
            <w:r w:rsidRPr="00321BD6">
              <w:rPr>
                <w:color w:val="000000"/>
                <w:sz w:val="20"/>
              </w:rPr>
              <w:t> </w:t>
            </w:r>
          </w:p>
        </w:tc>
        <w:tc>
          <w:tcPr>
            <w:tcW w:w="1261" w:type="dxa"/>
            <w:shd w:val="clear" w:color="000000" w:fill="548DD4"/>
            <w:noWrap/>
            <w:vAlign w:val="center"/>
            <w:hideMark/>
          </w:tcPr>
          <w:p w:rsidR="008D573F" w:rsidRPr="00321BD6" w:rsidRDefault="008D573F" w:rsidP="008D573F">
            <w:pPr>
              <w:jc w:val="center"/>
              <w:rPr>
                <w:rFonts w:ascii="Arial" w:hAnsi="Arial" w:cs="Arial"/>
                <w:b/>
                <w:bCs/>
                <w:color w:val="FFFFFF"/>
                <w:sz w:val="18"/>
                <w:szCs w:val="18"/>
              </w:rPr>
            </w:pPr>
            <w:r w:rsidRPr="00321BD6">
              <w:rPr>
                <w:rFonts w:ascii="Arial" w:hAnsi="Arial" w:cs="Arial"/>
                <w:b/>
                <w:bCs/>
                <w:color w:val="FFFFFF"/>
                <w:sz w:val="18"/>
                <w:szCs w:val="18"/>
              </w:rPr>
              <w:t xml:space="preserve"> NSW &amp; ACT</w:t>
            </w:r>
          </w:p>
        </w:tc>
        <w:tc>
          <w:tcPr>
            <w:tcW w:w="1062" w:type="dxa"/>
            <w:shd w:val="clear" w:color="000000" w:fill="548DD4"/>
            <w:noWrap/>
            <w:vAlign w:val="center"/>
            <w:hideMark/>
          </w:tcPr>
          <w:p w:rsidR="008D573F" w:rsidRPr="00321BD6" w:rsidRDefault="008D573F" w:rsidP="008D573F">
            <w:pPr>
              <w:jc w:val="center"/>
              <w:rPr>
                <w:rFonts w:ascii="Arial" w:hAnsi="Arial" w:cs="Arial"/>
                <w:b/>
                <w:bCs/>
                <w:color w:val="FFFFFF"/>
                <w:sz w:val="18"/>
                <w:szCs w:val="18"/>
              </w:rPr>
            </w:pPr>
            <w:r w:rsidRPr="00321BD6">
              <w:rPr>
                <w:rFonts w:ascii="Arial" w:hAnsi="Arial" w:cs="Arial"/>
                <w:b/>
                <w:bCs/>
                <w:color w:val="FFFFFF"/>
                <w:sz w:val="18"/>
                <w:szCs w:val="18"/>
              </w:rPr>
              <w:t>VIC</w:t>
            </w:r>
          </w:p>
        </w:tc>
        <w:tc>
          <w:tcPr>
            <w:tcW w:w="1062" w:type="dxa"/>
            <w:shd w:val="clear" w:color="000000" w:fill="548DD4"/>
            <w:noWrap/>
            <w:vAlign w:val="center"/>
            <w:hideMark/>
          </w:tcPr>
          <w:p w:rsidR="008D573F" w:rsidRPr="00321BD6" w:rsidRDefault="008D573F" w:rsidP="008D573F">
            <w:pPr>
              <w:jc w:val="center"/>
              <w:rPr>
                <w:rFonts w:ascii="Arial" w:hAnsi="Arial" w:cs="Arial"/>
                <w:b/>
                <w:bCs/>
                <w:color w:val="FFFFFF"/>
                <w:sz w:val="18"/>
                <w:szCs w:val="18"/>
              </w:rPr>
            </w:pPr>
            <w:r w:rsidRPr="00321BD6">
              <w:rPr>
                <w:rFonts w:ascii="Arial" w:hAnsi="Arial" w:cs="Arial"/>
                <w:b/>
                <w:bCs/>
                <w:color w:val="FFFFFF"/>
                <w:sz w:val="18"/>
                <w:szCs w:val="18"/>
              </w:rPr>
              <w:t>QLD &amp; NT</w:t>
            </w:r>
          </w:p>
        </w:tc>
        <w:tc>
          <w:tcPr>
            <w:tcW w:w="1062" w:type="dxa"/>
            <w:shd w:val="clear" w:color="000000" w:fill="548DD4"/>
            <w:noWrap/>
            <w:vAlign w:val="center"/>
            <w:hideMark/>
          </w:tcPr>
          <w:p w:rsidR="008D573F" w:rsidRPr="00321BD6" w:rsidRDefault="008D573F" w:rsidP="008D573F">
            <w:pPr>
              <w:jc w:val="center"/>
              <w:rPr>
                <w:rFonts w:ascii="Arial" w:hAnsi="Arial" w:cs="Arial"/>
                <w:b/>
                <w:bCs/>
                <w:color w:val="FFFFFF"/>
                <w:sz w:val="18"/>
                <w:szCs w:val="18"/>
              </w:rPr>
            </w:pPr>
            <w:r w:rsidRPr="00321BD6">
              <w:rPr>
                <w:rFonts w:ascii="Arial" w:hAnsi="Arial" w:cs="Arial"/>
                <w:b/>
                <w:bCs/>
                <w:color w:val="FFFFFF"/>
                <w:sz w:val="18"/>
                <w:szCs w:val="18"/>
              </w:rPr>
              <w:t>SA</w:t>
            </w:r>
          </w:p>
        </w:tc>
        <w:tc>
          <w:tcPr>
            <w:tcW w:w="1062" w:type="dxa"/>
            <w:shd w:val="clear" w:color="000000" w:fill="548DD4"/>
            <w:noWrap/>
            <w:vAlign w:val="center"/>
            <w:hideMark/>
          </w:tcPr>
          <w:p w:rsidR="008D573F" w:rsidRPr="00321BD6" w:rsidRDefault="008D573F" w:rsidP="008D573F">
            <w:pPr>
              <w:jc w:val="center"/>
              <w:rPr>
                <w:rFonts w:ascii="Arial" w:hAnsi="Arial" w:cs="Arial"/>
                <w:b/>
                <w:bCs/>
                <w:color w:val="FFFFFF"/>
                <w:sz w:val="18"/>
                <w:szCs w:val="18"/>
              </w:rPr>
            </w:pPr>
            <w:r w:rsidRPr="00321BD6">
              <w:rPr>
                <w:rFonts w:ascii="Arial" w:hAnsi="Arial" w:cs="Arial"/>
                <w:b/>
                <w:bCs/>
                <w:color w:val="FFFFFF"/>
                <w:sz w:val="18"/>
                <w:szCs w:val="18"/>
              </w:rPr>
              <w:t>WA</w:t>
            </w:r>
          </w:p>
        </w:tc>
        <w:tc>
          <w:tcPr>
            <w:tcW w:w="1062" w:type="dxa"/>
            <w:shd w:val="clear" w:color="000000" w:fill="548DD4"/>
            <w:noWrap/>
            <w:vAlign w:val="center"/>
            <w:hideMark/>
          </w:tcPr>
          <w:p w:rsidR="008D573F" w:rsidRPr="00321BD6" w:rsidRDefault="008D573F" w:rsidP="008D573F">
            <w:pPr>
              <w:jc w:val="center"/>
              <w:rPr>
                <w:rFonts w:ascii="Arial" w:hAnsi="Arial" w:cs="Arial"/>
                <w:b/>
                <w:bCs/>
                <w:color w:val="FFFFFF"/>
                <w:sz w:val="18"/>
                <w:szCs w:val="18"/>
              </w:rPr>
            </w:pPr>
            <w:r w:rsidRPr="00321BD6">
              <w:rPr>
                <w:rFonts w:ascii="Arial" w:hAnsi="Arial" w:cs="Arial"/>
                <w:b/>
                <w:bCs/>
                <w:color w:val="FFFFFF"/>
                <w:sz w:val="18"/>
                <w:szCs w:val="18"/>
              </w:rPr>
              <w:t>TAS</w:t>
            </w:r>
          </w:p>
        </w:tc>
        <w:tc>
          <w:tcPr>
            <w:tcW w:w="1062" w:type="dxa"/>
            <w:shd w:val="clear" w:color="000000" w:fill="548DD4"/>
            <w:noWrap/>
            <w:vAlign w:val="center"/>
            <w:hideMark/>
          </w:tcPr>
          <w:p w:rsidR="008D573F" w:rsidRPr="00321BD6" w:rsidRDefault="008D573F" w:rsidP="008D573F">
            <w:pPr>
              <w:jc w:val="center"/>
              <w:rPr>
                <w:rFonts w:ascii="Arial" w:hAnsi="Arial" w:cs="Arial"/>
                <w:b/>
                <w:bCs/>
                <w:color w:val="FFFFFF"/>
                <w:sz w:val="18"/>
                <w:szCs w:val="18"/>
              </w:rPr>
            </w:pPr>
            <w:r w:rsidRPr="00321BD6">
              <w:rPr>
                <w:rFonts w:ascii="Arial" w:hAnsi="Arial" w:cs="Arial"/>
                <w:b/>
                <w:bCs/>
                <w:color w:val="FFFFFF"/>
                <w:sz w:val="18"/>
                <w:szCs w:val="18"/>
              </w:rPr>
              <w:t>Total</w:t>
            </w:r>
          </w:p>
        </w:tc>
      </w:tr>
      <w:tr w:rsidR="008D573F" w:rsidTr="00540F30">
        <w:trPr>
          <w:trHeight w:val="386"/>
        </w:trPr>
        <w:tc>
          <w:tcPr>
            <w:tcW w:w="1258" w:type="dxa"/>
            <w:shd w:val="clear" w:color="000000" w:fill="FFFFFF"/>
            <w:noWrap/>
            <w:vAlign w:val="center"/>
            <w:hideMark/>
          </w:tcPr>
          <w:p w:rsidR="008D573F" w:rsidRPr="00321BD6" w:rsidRDefault="008D573F" w:rsidP="008D573F">
            <w:pPr>
              <w:jc w:val="center"/>
              <w:rPr>
                <w:rFonts w:ascii="Arial" w:hAnsi="Arial" w:cs="Arial"/>
                <w:b/>
                <w:bCs/>
                <w:color w:val="000000"/>
                <w:sz w:val="18"/>
                <w:szCs w:val="18"/>
              </w:rPr>
            </w:pPr>
            <w:r w:rsidRPr="00321BD6">
              <w:rPr>
                <w:rFonts w:ascii="Arial" w:hAnsi="Arial" w:cs="Arial"/>
                <w:b/>
                <w:bCs/>
                <w:color w:val="000000"/>
                <w:sz w:val="18"/>
                <w:szCs w:val="18"/>
              </w:rPr>
              <w:t>2013/14</w:t>
            </w:r>
          </w:p>
        </w:tc>
        <w:tc>
          <w:tcPr>
            <w:tcW w:w="1261" w:type="dxa"/>
            <w:shd w:val="clear" w:color="000000" w:fill="FFFFFF"/>
            <w:noWrap/>
            <w:vAlign w:val="center"/>
            <w:hideMark/>
          </w:tcPr>
          <w:p w:rsidR="008D573F" w:rsidRPr="00321BD6" w:rsidRDefault="008D573F" w:rsidP="008D573F">
            <w:pPr>
              <w:jc w:val="center"/>
              <w:rPr>
                <w:rFonts w:ascii="Arial" w:hAnsi="Arial" w:cs="Arial"/>
                <w:color w:val="000000"/>
                <w:sz w:val="18"/>
                <w:szCs w:val="18"/>
              </w:rPr>
            </w:pPr>
            <w:r w:rsidRPr="00321BD6">
              <w:rPr>
                <w:rFonts w:ascii="Arial" w:hAnsi="Arial" w:cs="Arial"/>
                <w:color w:val="000000"/>
                <w:sz w:val="18"/>
                <w:szCs w:val="18"/>
              </w:rPr>
              <w:t>96</w:t>
            </w:r>
          </w:p>
        </w:tc>
        <w:tc>
          <w:tcPr>
            <w:tcW w:w="1062" w:type="dxa"/>
            <w:shd w:val="clear" w:color="000000" w:fill="FFFFFF"/>
            <w:noWrap/>
            <w:vAlign w:val="center"/>
            <w:hideMark/>
          </w:tcPr>
          <w:p w:rsidR="008D573F" w:rsidRPr="00321BD6" w:rsidRDefault="008D573F" w:rsidP="008D573F">
            <w:pPr>
              <w:jc w:val="center"/>
              <w:rPr>
                <w:rFonts w:ascii="Arial" w:hAnsi="Arial" w:cs="Arial"/>
                <w:color w:val="000000"/>
                <w:sz w:val="18"/>
                <w:szCs w:val="18"/>
              </w:rPr>
            </w:pPr>
            <w:r w:rsidRPr="00321BD6">
              <w:rPr>
                <w:rFonts w:ascii="Arial" w:hAnsi="Arial" w:cs="Arial"/>
                <w:color w:val="000000"/>
                <w:sz w:val="18"/>
                <w:szCs w:val="18"/>
              </w:rPr>
              <w:t>254</w:t>
            </w:r>
          </w:p>
        </w:tc>
        <w:tc>
          <w:tcPr>
            <w:tcW w:w="1062" w:type="dxa"/>
            <w:shd w:val="clear" w:color="000000" w:fill="FFFFFF"/>
            <w:noWrap/>
            <w:vAlign w:val="center"/>
            <w:hideMark/>
          </w:tcPr>
          <w:p w:rsidR="008D573F" w:rsidRPr="00321BD6" w:rsidRDefault="008D573F" w:rsidP="008D573F">
            <w:pPr>
              <w:jc w:val="center"/>
              <w:rPr>
                <w:rFonts w:ascii="Arial" w:hAnsi="Arial" w:cs="Arial"/>
                <w:color w:val="000000"/>
                <w:sz w:val="18"/>
                <w:szCs w:val="18"/>
              </w:rPr>
            </w:pPr>
            <w:r w:rsidRPr="00321BD6">
              <w:rPr>
                <w:rFonts w:ascii="Arial" w:hAnsi="Arial" w:cs="Arial"/>
                <w:color w:val="000000"/>
                <w:sz w:val="18"/>
                <w:szCs w:val="18"/>
              </w:rPr>
              <w:t>116</w:t>
            </w:r>
          </w:p>
        </w:tc>
        <w:tc>
          <w:tcPr>
            <w:tcW w:w="1062" w:type="dxa"/>
            <w:shd w:val="clear" w:color="000000" w:fill="FFFFFF"/>
            <w:noWrap/>
            <w:vAlign w:val="center"/>
            <w:hideMark/>
          </w:tcPr>
          <w:p w:rsidR="008D573F" w:rsidRPr="00321BD6" w:rsidRDefault="008D573F" w:rsidP="008D573F">
            <w:pPr>
              <w:jc w:val="center"/>
              <w:rPr>
                <w:rFonts w:ascii="Arial" w:hAnsi="Arial" w:cs="Arial"/>
                <w:color w:val="000000"/>
                <w:sz w:val="18"/>
                <w:szCs w:val="18"/>
              </w:rPr>
            </w:pPr>
            <w:r w:rsidRPr="00321BD6">
              <w:rPr>
                <w:rFonts w:ascii="Arial" w:hAnsi="Arial" w:cs="Arial"/>
                <w:color w:val="000000"/>
                <w:sz w:val="18"/>
                <w:szCs w:val="18"/>
              </w:rPr>
              <w:t>50</w:t>
            </w:r>
          </w:p>
        </w:tc>
        <w:tc>
          <w:tcPr>
            <w:tcW w:w="1062" w:type="dxa"/>
            <w:shd w:val="clear" w:color="000000" w:fill="FFFFFF"/>
            <w:noWrap/>
            <w:vAlign w:val="center"/>
            <w:hideMark/>
          </w:tcPr>
          <w:p w:rsidR="008D573F" w:rsidRPr="00321BD6" w:rsidRDefault="008D573F" w:rsidP="008D573F">
            <w:pPr>
              <w:jc w:val="center"/>
              <w:rPr>
                <w:rFonts w:ascii="Arial" w:hAnsi="Arial" w:cs="Arial"/>
                <w:color w:val="000000"/>
                <w:sz w:val="18"/>
                <w:szCs w:val="18"/>
              </w:rPr>
            </w:pPr>
            <w:r w:rsidRPr="00321BD6">
              <w:rPr>
                <w:rFonts w:ascii="Arial" w:hAnsi="Arial" w:cs="Arial"/>
                <w:color w:val="000000"/>
                <w:sz w:val="18"/>
                <w:szCs w:val="18"/>
              </w:rPr>
              <w:t>109</w:t>
            </w:r>
          </w:p>
        </w:tc>
        <w:tc>
          <w:tcPr>
            <w:tcW w:w="1062" w:type="dxa"/>
            <w:shd w:val="clear" w:color="000000" w:fill="FFFFFF"/>
            <w:noWrap/>
            <w:vAlign w:val="center"/>
            <w:hideMark/>
          </w:tcPr>
          <w:p w:rsidR="008D573F" w:rsidRPr="00321BD6" w:rsidRDefault="008D573F" w:rsidP="008D573F">
            <w:pPr>
              <w:jc w:val="center"/>
              <w:rPr>
                <w:rFonts w:ascii="Arial" w:hAnsi="Arial" w:cs="Arial"/>
                <w:color w:val="000000"/>
                <w:sz w:val="18"/>
                <w:szCs w:val="18"/>
              </w:rPr>
            </w:pPr>
            <w:r w:rsidRPr="00321BD6">
              <w:rPr>
                <w:rFonts w:ascii="Arial" w:hAnsi="Arial" w:cs="Arial"/>
                <w:color w:val="000000"/>
                <w:sz w:val="18"/>
                <w:szCs w:val="18"/>
              </w:rPr>
              <w:t>95</w:t>
            </w:r>
          </w:p>
        </w:tc>
        <w:tc>
          <w:tcPr>
            <w:tcW w:w="1062" w:type="dxa"/>
            <w:shd w:val="clear" w:color="000000" w:fill="FFFFFF"/>
            <w:noWrap/>
            <w:vAlign w:val="center"/>
            <w:hideMark/>
          </w:tcPr>
          <w:p w:rsidR="008D573F" w:rsidRPr="00321BD6" w:rsidRDefault="008D573F" w:rsidP="008D573F">
            <w:pPr>
              <w:jc w:val="center"/>
              <w:rPr>
                <w:rFonts w:ascii="Arial" w:hAnsi="Arial" w:cs="Arial"/>
                <w:b/>
                <w:bCs/>
                <w:color w:val="000000"/>
                <w:sz w:val="18"/>
                <w:szCs w:val="18"/>
              </w:rPr>
            </w:pPr>
            <w:r w:rsidRPr="00321BD6">
              <w:rPr>
                <w:rFonts w:ascii="Arial" w:hAnsi="Arial" w:cs="Arial"/>
                <w:b/>
                <w:bCs/>
                <w:color w:val="000000"/>
                <w:sz w:val="18"/>
                <w:szCs w:val="18"/>
              </w:rPr>
              <w:t>720</w:t>
            </w:r>
          </w:p>
        </w:tc>
      </w:tr>
      <w:tr w:rsidR="008D573F" w:rsidTr="00540F30">
        <w:trPr>
          <w:trHeight w:val="386"/>
        </w:trPr>
        <w:tc>
          <w:tcPr>
            <w:tcW w:w="1258" w:type="dxa"/>
            <w:shd w:val="clear" w:color="000000" w:fill="FFFFFF"/>
            <w:noWrap/>
            <w:vAlign w:val="center"/>
            <w:hideMark/>
          </w:tcPr>
          <w:p w:rsidR="008D573F" w:rsidRPr="00321BD6" w:rsidRDefault="008D573F" w:rsidP="008D573F">
            <w:pPr>
              <w:jc w:val="center"/>
              <w:rPr>
                <w:rFonts w:ascii="Arial" w:hAnsi="Arial" w:cs="Arial"/>
                <w:b/>
                <w:bCs/>
                <w:color w:val="000000"/>
                <w:sz w:val="18"/>
                <w:szCs w:val="18"/>
              </w:rPr>
            </w:pPr>
            <w:r w:rsidRPr="00321BD6">
              <w:rPr>
                <w:rFonts w:ascii="Arial" w:hAnsi="Arial" w:cs="Arial"/>
                <w:b/>
                <w:bCs/>
                <w:color w:val="000000"/>
                <w:sz w:val="18"/>
                <w:szCs w:val="18"/>
              </w:rPr>
              <w:t>2014/2015</w:t>
            </w:r>
          </w:p>
        </w:tc>
        <w:tc>
          <w:tcPr>
            <w:tcW w:w="1261" w:type="dxa"/>
            <w:shd w:val="clear" w:color="000000" w:fill="FFFFFF"/>
            <w:noWrap/>
            <w:vAlign w:val="center"/>
            <w:hideMark/>
          </w:tcPr>
          <w:p w:rsidR="008D573F" w:rsidRPr="00321BD6" w:rsidRDefault="008D573F" w:rsidP="008D573F">
            <w:pPr>
              <w:jc w:val="center"/>
              <w:rPr>
                <w:rFonts w:ascii="Arial" w:hAnsi="Arial" w:cs="Arial"/>
                <w:color w:val="000000"/>
                <w:sz w:val="18"/>
                <w:szCs w:val="18"/>
              </w:rPr>
            </w:pPr>
            <w:r w:rsidRPr="00321BD6">
              <w:rPr>
                <w:rFonts w:ascii="Arial" w:hAnsi="Arial" w:cs="Arial"/>
                <w:color w:val="000000"/>
                <w:sz w:val="18"/>
                <w:szCs w:val="18"/>
              </w:rPr>
              <w:t>103</w:t>
            </w:r>
          </w:p>
        </w:tc>
        <w:tc>
          <w:tcPr>
            <w:tcW w:w="1062" w:type="dxa"/>
            <w:shd w:val="clear" w:color="000000" w:fill="FFFFFF"/>
            <w:noWrap/>
            <w:vAlign w:val="center"/>
            <w:hideMark/>
          </w:tcPr>
          <w:p w:rsidR="008D573F" w:rsidRPr="00321BD6" w:rsidRDefault="008D573F" w:rsidP="008D573F">
            <w:pPr>
              <w:jc w:val="center"/>
              <w:rPr>
                <w:rFonts w:ascii="Arial" w:hAnsi="Arial" w:cs="Arial"/>
                <w:color w:val="000000"/>
                <w:sz w:val="18"/>
                <w:szCs w:val="18"/>
              </w:rPr>
            </w:pPr>
            <w:r w:rsidRPr="00321BD6">
              <w:rPr>
                <w:rFonts w:ascii="Arial" w:hAnsi="Arial" w:cs="Arial"/>
                <w:color w:val="000000"/>
                <w:sz w:val="18"/>
                <w:szCs w:val="18"/>
              </w:rPr>
              <w:t>277</w:t>
            </w:r>
          </w:p>
        </w:tc>
        <w:tc>
          <w:tcPr>
            <w:tcW w:w="1062" w:type="dxa"/>
            <w:shd w:val="clear" w:color="000000" w:fill="FFFFFF"/>
            <w:noWrap/>
            <w:vAlign w:val="center"/>
            <w:hideMark/>
          </w:tcPr>
          <w:p w:rsidR="008D573F" w:rsidRPr="00321BD6" w:rsidRDefault="008D573F" w:rsidP="008D573F">
            <w:pPr>
              <w:jc w:val="center"/>
              <w:rPr>
                <w:rFonts w:ascii="Arial" w:hAnsi="Arial" w:cs="Arial"/>
                <w:color w:val="000000"/>
                <w:sz w:val="18"/>
                <w:szCs w:val="18"/>
              </w:rPr>
            </w:pPr>
            <w:r w:rsidRPr="00321BD6">
              <w:rPr>
                <w:rFonts w:ascii="Arial" w:hAnsi="Arial" w:cs="Arial"/>
                <w:color w:val="000000"/>
                <w:sz w:val="18"/>
                <w:szCs w:val="18"/>
              </w:rPr>
              <w:t>81</w:t>
            </w:r>
          </w:p>
        </w:tc>
        <w:tc>
          <w:tcPr>
            <w:tcW w:w="1062" w:type="dxa"/>
            <w:shd w:val="clear" w:color="000000" w:fill="FFFFFF"/>
            <w:noWrap/>
            <w:vAlign w:val="center"/>
            <w:hideMark/>
          </w:tcPr>
          <w:p w:rsidR="008D573F" w:rsidRPr="00321BD6" w:rsidRDefault="008D573F" w:rsidP="008D573F">
            <w:pPr>
              <w:jc w:val="center"/>
              <w:rPr>
                <w:rFonts w:ascii="Arial" w:hAnsi="Arial" w:cs="Arial"/>
                <w:color w:val="000000"/>
                <w:sz w:val="18"/>
                <w:szCs w:val="18"/>
              </w:rPr>
            </w:pPr>
            <w:r w:rsidRPr="00321BD6">
              <w:rPr>
                <w:rFonts w:ascii="Arial" w:hAnsi="Arial" w:cs="Arial"/>
                <w:color w:val="000000"/>
                <w:sz w:val="18"/>
                <w:szCs w:val="18"/>
              </w:rPr>
              <w:t>70</w:t>
            </w:r>
          </w:p>
        </w:tc>
        <w:tc>
          <w:tcPr>
            <w:tcW w:w="1062" w:type="dxa"/>
            <w:shd w:val="clear" w:color="000000" w:fill="FFFFFF"/>
            <w:noWrap/>
            <w:vAlign w:val="center"/>
            <w:hideMark/>
          </w:tcPr>
          <w:p w:rsidR="008D573F" w:rsidRPr="00321BD6" w:rsidRDefault="008D573F" w:rsidP="008D573F">
            <w:pPr>
              <w:jc w:val="center"/>
              <w:rPr>
                <w:rFonts w:ascii="Arial" w:hAnsi="Arial" w:cs="Arial"/>
                <w:color w:val="000000"/>
                <w:sz w:val="18"/>
                <w:szCs w:val="18"/>
              </w:rPr>
            </w:pPr>
            <w:r w:rsidRPr="00321BD6">
              <w:rPr>
                <w:rFonts w:ascii="Arial" w:hAnsi="Arial" w:cs="Arial"/>
                <w:color w:val="000000"/>
                <w:sz w:val="18"/>
                <w:szCs w:val="18"/>
              </w:rPr>
              <w:t>89</w:t>
            </w:r>
          </w:p>
        </w:tc>
        <w:tc>
          <w:tcPr>
            <w:tcW w:w="1062" w:type="dxa"/>
            <w:shd w:val="clear" w:color="000000" w:fill="FFFFFF"/>
            <w:noWrap/>
            <w:vAlign w:val="center"/>
            <w:hideMark/>
          </w:tcPr>
          <w:p w:rsidR="008D573F" w:rsidRPr="00321BD6" w:rsidRDefault="008D573F" w:rsidP="008D573F">
            <w:pPr>
              <w:jc w:val="center"/>
              <w:rPr>
                <w:rFonts w:ascii="Arial" w:hAnsi="Arial" w:cs="Arial"/>
                <w:color w:val="000000"/>
                <w:sz w:val="18"/>
                <w:szCs w:val="18"/>
              </w:rPr>
            </w:pPr>
            <w:r w:rsidRPr="00321BD6">
              <w:rPr>
                <w:rFonts w:ascii="Arial" w:hAnsi="Arial" w:cs="Arial"/>
                <w:color w:val="000000"/>
                <w:sz w:val="18"/>
                <w:szCs w:val="18"/>
              </w:rPr>
              <w:t>84</w:t>
            </w:r>
          </w:p>
        </w:tc>
        <w:tc>
          <w:tcPr>
            <w:tcW w:w="1062" w:type="dxa"/>
            <w:shd w:val="clear" w:color="000000" w:fill="FFFFFF"/>
            <w:noWrap/>
            <w:vAlign w:val="center"/>
            <w:hideMark/>
          </w:tcPr>
          <w:p w:rsidR="008D573F" w:rsidRPr="00321BD6" w:rsidRDefault="008D573F" w:rsidP="008D573F">
            <w:pPr>
              <w:jc w:val="center"/>
              <w:rPr>
                <w:rFonts w:ascii="Arial" w:hAnsi="Arial" w:cs="Arial"/>
                <w:b/>
                <w:bCs/>
                <w:color w:val="000000"/>
                <w:sz w:val="18"/>
                <w:szCs w:val="18"/>
              </w:rPr>
            </w:pPr>
            <w:r w:rsidRPr="00321BD6">
              <w:rPr>
                <w:rFonts w:ascii="Arial" w:hAnsi="Arial" w:cs="Arial"/>
                <w:b/>
                <w:bCs/>
                <w:color w:val="000000"/>
                <w:sz w:val="18"/>
                <w:szCs w:val="18"/>
              </w:rPr>
              <w:t>704</w:t>
            </w:r>
          </w:p>
        </w:tc>
      </w:tr>
      <w:tr w:rsidR="008D573F" w:rsidTr="00540F30">
        <w:trPr>
          <w:trHeight w:val="386"/>
        </w:trPr>
        <w:tc>
          <w:tcPr>
            <w:tcW w:w="1258" w:type="dxa"/>
            <w:shd w:val="clear" w:color="000000" w:fill="FFFFFF"/>
            <w:noWrap/>
            <w:vAlign w:val="center"/>
            <w:hideMark/>
          </w:tcPr>
          <w:p w:rsidR="008D573F" w:rsidRPr="00321BD6" w:rsidRDefault="008D573F" w:rsidP="008D573F">
            <w:pPr>
              <w:jc w:val="center"/>
              <w:rPr>
                <w:rFonts w:ascii="Arial" w:hAnsi="Arial" w:cs="Arial"/>
                <w:b/>
                <w:bCs/>
                <w:color w:val="000000"/>
                <w:sz w:val="18"/>
                <w:szCs w:val="18"/>
              </w:rPr>
            </w:pPr>
            <w:r w:rsidRPr="00321BD6">
              <w:rPr>
                <w:rFonts w:ascii="Arial" w:hAnsi="Arial" w:cs="Arial"/>
                <w:b/>
                <w:bCs/>
                <w:color w:val="000000"/>
                <w:sz w:val="18"/>
                <w:szCs w:val="18"/>
              </w:rPr>
              <w:t>2015/2016</w:t>
            </w:r>
          </w:p>
        </w:tc>
        <w:tc>
          <w:tcPr>
            <w:tcW w:w="1261" w:type="dxa"/>
            <w:shd w:val="clear" w:color="000000" w:fill="FFFFFF"/>
            <w:noWrap/>
            <w:vAlign w:val="center"/>
            <w:hideMark/>
          </w:tcPr>
          <w:p w:rsidR="008D573F" w:rsidRPr="00321BD6" w:rsidRDefault="008D573F" w:rsidP="008D573F">
            <w:pPr>
              <w:jc w:val="center"/>
              <w:rPr>
                <w:rFonts w:ascii="Arial" w:hAnsi="Arial" w:cs="Arial"/>
                <w:color w:val="000000"/>
                <w:sz w:val="18"/>
                <w:szCs w:val="18"/>
              </w:rPr>
            </w:pPr>
            <w:r w:rsidRPr="00321BD6">
              <w:rPr>
                <w:rFonts w:ascii="Arial" w:hAnsi="Arial" w:cs="Arial"/>
                <w:color w:val="000000"/>
                <w:sz w:val="18"/>
                <w:szCs w:val="18"/>
              </w:rPr>
              <w:t>64</w:t>
            </w:r>
          </w:p>
        </w:tc>
        <w:tc>
          <w:tcPr>
            <w:tcW w:w="1062" w:type="dxa"/>
            <w:shd w:val="clear" w:color="000000" w:fill="FFFFFF"/>
            <w:noWrap/>
            <w:vAlign w:val="center"/>
            <w:hideMark/>
          </w:tcPr>
          <w:p w:rsidR="008D573F" w:rsidRPr="00321BD6" w:rsidRDefault="008D573F" w:rsidP="008D573F">
            <w:pPr>
              <w:jc w:val="center"/>
              <w:rPr>
                <w:rFonts w:ascii="Arial" w:hAnsi="Arial" w:cs="Arial"/>
                <w:color w:val="000000"/>
                <w:sz w:val="18"/>
                <w:szCs w:val="18"/>
              </w:rPr>
            </w:pPr>
            <w:r w:rsidRPr="00321BD6">
              <w:rPr>
                <w:rFonts w:ascii="Arial" w:hAnsi="Arial" w:cs="Arial"/>
                <w:color w:val="000000"/>
                <w:sz w:val="18"/>
                <w:szCs w:val="18"/>
              </w:rPr>
              <w:t>217</w:t>
            </w:r>
          </w:p>
        </w:tc>
        <w:tc>
          <w:tcPr>
            <w:tcW w:w="1062" w:type="dxa"/>
            <w:shd w:val="clear" w:color="000000" w:fill="FFFFFF"/>
            <w:noWrap/>
            <w:vAlign w:val="center"/>
            <w:hideMark/>
          </w:tcPr>
          <w:p w:rsidR="008D573F" w:rsidRPr="00321BD6" w:rsidRDefault="008D573F" w:rsidP="008D573F">
            <w:pPr>
              <w:jc w:val="center"/>
              <w:rPr>
                <w:rFonts w:ascii="Arial" w:hAnsi="Arial" w:cs="Arial"/>
                <w:color w:val="000000"/>
                <w:sz w:val="18"/>
                <w:szCs w:val="18"/>
              </w:rPr>
            </w:pPr>
            <w:r w:rsidRPr="00321BD6">
              <w:rPr>
                <w:rFonts w:ascii="Arial" w:hAnsi="Arial" w:cs="Arial"/>
                <w:color w:val="000000"/>
                <w:sz w:val="18"/>
                <w:szCs w:val="18"/>
              </w:rPr>
              <w:t>56</w:t>
            </w:r>
          </w:p>
        </w:tc>
        <w:tc>
          <w:tcPr>
            <w:tcW w:w="1062" w:type="dxa"/>
            <w:shd w:val="clear" w:color="000000" w:fill="FFFFFF"/>
            <w:noWrap/>
            <w:vAlign w:val="center"/>
            <w:hideMark/>
          </w:tcPr>
          <w:p w:rsidR="008D573F" w:rsidRPr="00321BD6" w:rsidRDefault="008D573F" w:rsidP="008D573F">
            <w:pPr>
              <w:jc w:val="center"/>
              <w:rPr>
                <w:rFonts w:ascii="Arial" w:hAnsi="Arial" w:cs="Arial"/>
                <w:color w:val="000000"/>
                <w:sz w:val="18"/>
                <w:szCs w:val="18"/>
              </w:rPr>
            </w:pPr>
            <w:r w:rsidRPr="00321BD6">
              <w:rPr>
                <w:rFonts w:ascii="Arial" w:hAnsi="Arial" w:cs="Arial"/>
                <w:color w:val="000000"/>
                <w:sz w:val="18"/>
                <w:szCs w:val="18"/>
              </w:rPr>
              <w:t>46</w:t>
            </w:r>
          </w:p>
        </w:tc>
        <w:tc>
          <w:tcPr>
            <w:tcW w:w="1062" w:type="dxa"/>
            <w:shd w:val="clear" w:color="000000" w:fill="FFFFFF"/>
            <w:noWrap/>
            <w:vAlign w:val="center"/>
            <w:hideMark/>
          </w:tcPr>
          <w:p w:rsidR="008D573F" w:rsidRPr="00321BD6" w:rsidRDefault="008D573F" w:rsidP="008D573F">
            <w:pPr>
              <w:jc w:val="center"/>
              <w:rPr>
                <w:rFonts w:ascii="Arial" w:hAnsi="Arial" w:cs="Arial"/>
                <w:color w:val="000000"/>
                <w:sz w:val="18"/>
                <w:szCs w:val="18"/>
              </w:rPr>
            </w:pPr>
            <w:r w:rsidRPr="00321BD6">
              <w:rPr>
                <w:rFonts w:ascii="Arial" w:hAnsi="Arial" w:cs="Arial"/>
                <w:color w:val="000000"/>
                <w:sz w:val="18"/>
                <w:szCs w:val="18"/>
              </w:rPr>
              <w:t>56</w:t>
            </w:r>
          </w:p>
        </w:tc>
        <w:tc>
          <w:tcPr>
            <w:tcW w:w="1062" w:type="dxa"/>
            <w:shd w:val="clear" w:color="000000" w:fill="FFFFFF"/>
            <w:noWrap/>
            <w:vAlign w:val="center"/>
            <w:hideMark/>
          </w:tcPr>
          <w:p w:rsidR="008D573F" w:rsidRPr="00321BD6" w:rsidRDefault="008D573F" w:rsidP="008D573F">
            <w:pPr>
              <w:jc w:val="center"/>
              <w:rPr>
                <w:rFonts w:ascii="Arial" w:hAnsi="Arial" w:cs="Arial"/>
                <w:color w:val="000000"/>
                <w:sz w:val="18"/>
                <w:szCs w:val="18"/>
              </w:rPr>
            </w:pPr>
            <w:r w:rsidRPr="00321BD6">
              <w:rPr>
                <w:rFonts w:ascii="Arial" w:hAnsi="Arial" w:cs="Arial"/>
                <w:color w:val="000000"/>
                <w:sz w:val="18"/>
                <w:szCs w:val="18"/>
              </w:rPr>
              <w:t>67</w:t>
            </w:r>
          </w:p>
        </w:tc>
        <w:tc>
          <w:tcPr>
            <w:tcW w:w="1062" w:type="dxa"/>
            <w:shd w:val="clear" w:color="000000" w:fill="FFFFFF"/>
            <w:noWrap/>
            <w:vAlign w:val="center"/>
            <w:hideMark/>
          </w:tcPr>
          <w:p w:rsidR="008D573F" w:rsidRPr="00321BD6" w:rsidRDefault="008D573F" w:rsidP="008D573F">
            <w:pPr>
              <w:jc w:val="center"/>
              <w:rPr>
                <w:rFonts w:ascii="Arial" w:hAnsi="Arial" w:cs="Arial"/>
                <w:b/>
                <w:bCs/>
                <w:color w:val="000000"/>
                <w:sz w:val="18"/>
                <w:szCs w:val="18"/>
              </w:rPr>
            </w:pPr>
            <w:r w:rsidRPr="00321BD6">
              <w:rPr>
                <w:rFonts w:ascii="Arial" w:hAnsi="Arial" w:cs="Arial"/>
                <w:b/>
                <w:bCs/>
                <w:color w:val="000000"/>
                <w:sz w:val="18"/>
                <w:szCs w:val="18"/>
              </w:rPr>
              <w:t>506</w:t>
            </w:r>
          </w:p>
        </w:tc>
      </w:tr>
      <w:tr w:rsidR="008D573F" w:rsidTr="00540F30">
        <w:trPr>
          <w:trHeight w:val="386"/>
        </w:trPr>
        <w:tc>
          <w:tcPr>
            <w:tcW w:w="1258" w:type="dxa"/>
            <w:shd w:val="clear" w:color="000000" w:fill="FFFFFF"/>
            <w:noWrap/>
            <w:vAlign w:val="center"/>
            <w:hideMark/>
          </w:tcPr>
          <w:p w:rsidR="008D573F" w:rsidRPr="00321BD6" w:rsidRDefault="008D573F" w:rsidP="008D573F">
            <w:pPr>
              <w:jc w:val="center"/>
              <w:rPr>
                <w:rFonts w:ascii="Arial" w:hAnsi="Arial" w:cs="Arial"/>
                <w:b/>
                <w:bCs/>
                <w:color w:val="000000"/>
                <w:sz w:val="18"/>
                <w:szCs w:val="18"/>
              </w:rPr>
            </w:pPr>
            <w:r>
              <w:rPr>
                <w:rFonts w:ascii="Arial" w:hAnsi="Arial" w:cs="Arial"/>
                <w:b/>
                <w:bCs/>
                <w:color w:val="000000"/>
                <w:sz w:val="18"/>
                <w:szCs w:val="18"/>
              </w:rPr>
              <w:t>2016/2017</w:t>
            </w:r>
          </w:p>
        </w:tc>
        <w:tc>
          <w:tcPr>
            <w:tcW w:w="1261" w:type="dxa"/>
            <w:shd w:val="clear" w:color="000000" w:fill="FFFFFF"/>
            <w:noWrap/>
            <w:vAlign w:val="center"/>
            <w:hideMark/>
          </w:tcPr>
          <w:p w:rsidR="008D573F" w:rsidRPr="00321BD6" w:rsidRDefault="008D573F" w:rsidP="008D573F">
            <w:pPr>
              <w:jc w:val="center"/>
              <w:rPr>
                <w:rFonts w:ascii="Arial" w:hAnsi="Arial" w:cs="Arial"/>
                <w:color w:val="000000"/>
                <w:sz w:val="18"/>
                <w:szCs w:val="18"/>
              </w:rPr>
            </w:pPr>
            <w:r w:rsidRPr="00321BD6">
              <w:rPr>
                <w:rFonts w:ascii="Arial" w:hAnsi="Arial" w:cs="Arial"/>
                <w:color w:val="000000"/>
                <w:sz w:val="18"/>
                <w:szCs w:val="18"/>
              </w:rPr>
              <w:t>46</w:t>
            </w:r>
          </w:p>
        </w:tc>
        <w:tc>
          <w:tcPr>
            <w:tcW w:w="1062" w:type="dxa"/>
            <w:shd w:val="clear" w:color="000000" w:fill="FFFFFF"/>
            <w:noWrap/>
            <w:vAlign w:val="center"/>
            <w:hideMark/>
          </w:tcPr>
          <w:p w:rsidR="008D573F" w:rsidRPr="00321BD6" w:rsidRDefault="008D573F" w:rsidP="008D573F">
            <w:pPr>
              <w:jc w:val="center"/>
              <w:rPr>
                <w:rFonts w:ascii="Arial" w:hAnsi="Arial" w:cs="Arial"/>
                <w:color w:val="000000"/>
                <w:sz w:val="18"/>
                <w:szCs w:val="18"/>
              </w:rPr>
            </w:pPr>
            <w:r w:rsidRPr="00321BD6">
              <w:rPr>
                <w:rFonts w:ascii="Arial" w:hAnsi="Arial" w:cs="Arial"/>
                <w:color w:val="000000"/>
                <w:sz w:val="18"/>
                <w:szCs w:val="18"/>
              </w:rPr>
              <w:t>169</w:t>
            </w:r>
          </w:p>
        </w:tc>
        <w:tc>
          <w:tcPr>
            <w:tcW w:w="1062" w:type="dxa"/>
            <w:shd w:val="clear" w:color="000000" w:fill="FFFFFF"/>
            <w:noWrap/>
            <w:vAlign w:val="center"/>
            <w:hideMark/>
          </w:tcPr>
          <w:p w:rsidR="008D573F" w:rsidRPr="00321BD6" w:rsidRDefault="008D573F" w:rsidP="008D573F">
            <w:pPr>
              <w:jc w:val="center"/>
              <w:rPr>
                <w:rFonts w:ascii="Arial" w:hAnsi="Arial" w:cs="Arial"/>
                <w:color w:val="000000"/>
                <w:sz w:val="18"/>
                <w:szCs w:val="18"/>
              </w:rPr>
            </w:pPr>
            <w:r w:rsidRPr="00321BD6">
              <w:rPr>
                <w:rFonts w:ascii="Arial" w:hAnsi="Arial" w:cs="Arial"/>
                <w:color w:val="000000"/>
                <w:sz w:val="18"/>
                <w:szCs w:val="18"/>
              </w:rPr>
              <w:t>50</w:t>
            </w:r>
          </w:p>
        </w:tc>
        <w:tc>
          <w:tcPr>
            <w:tcW w:w="1062" w:type="dxa"/>
            <w:shd w:val="clear" w:color="000000" w:fill="FFFFFF"/>
            <w:noWrap/>
            <w:vAlign w:val="center"/>
            <w:hideMark/>
          </w:tcPr>
          <w:p w:rsidR="008D573F" w:rsidRPr="00321BD6" w:rsidRDefault="008D573F" w:rsidP="008D573F">
            <w:pPr>
              <w:jc w:val="center"/>
              <w:rPr>
                <w:rFonts w:ascii="Arial" w:hAnsi="Arial" w:cs="Arial"/>
                <w:color w:val="000000"/>
                <w:sz w:val="18"/>
                <w:szCs w:val="18"/>
              </w:rPr>
            </w:pPr>
            <w:r w:rsidRPr="00321BD6">
              <w:rPr>
                <w:rFonts w:ascii="Arial" w:hAnsi="Arial" w:cs="Arial"/>
                <w:color w:val="000000"/>
                <w:sz w:val="18"/>
                <w:szCs w:val="18"/>
              </w:rPr>
              <w:t>20</w:t>
            </w:r>
          </w:p>
        </w:tc>
        <w:tc>
          <w:tcPr>
            <w:tcW w:w="1062" w:type="dxa"/>
            <w:shd w:val="clear" w:color="000000" w:fill="FFFFFF"/>
            <w:noWrap/>
            <w:vAlign w:val="center"/>
            <w:hideMark/>
          </w:tcPr>
          <w:p w:rsidR="008D573F" w:rsidRPr="00321BD6" w:rsidRDefault="008D573F" w:rsidP="008D573F">
            <w:pPr>
              <w:jc w:val="center"/>
              <w:rPr>
                <w:rFonts w:ascii="Arial" w:hAnsi="Arial" w:cs="Arial"/>
                <w:color w:val="000000"/>
                <w:sz w:val="18"/>
                <w:szCs w:val="18"/>
              </w:rPr>
            </w:pPr>
            <w:r w:rsidRPr="00321BD6">
              <w:rPr>
                <w:rFonts w:ascii="Arial" w:hAnsi="Arial" w:cs="Arial"/>
                <w:color w:val="000000"/>
                <w:sz w:val="18"/>
                <w:szCs w:val="18"/>
              </w:rPr>
              <w:t>47</w:t>
            </w:r>
          </w:p>
        </w:tc>
        <w:tc>
          <w:tcPr>
            <w:tcW w:w="1062" w:type="dxa"/>
            <w:shd w:val="clear" w:color="000000" w:fill="FFFFFF"/>
            <w:noWrap/>
            <w:vAlign w:val="center"/>
            <w:hideMark/>
          </w:tcPr>
          <w:p w:rsidR="008D573F" w:rsidRPr="00321BD6" w:rsidRDefault="008D573F" w:rsidP="008D573F">
            <w:pPr>
              <w:jc w:val="center"/>
              <w:rPr>
                <w:rFonts w:ascii="Arial" w:hAnsi="Arial" w:cs="Arial"/>
                <w:color w:val="000000"/>
                <w:sz w:val="18"/>
                <w:szCs w:val="18"/>
              </w:rPr>
            </w:pPr>
            <w:r w:rsidRPr="00321BD6">
              <w:rPr>
                <w:rFonts w:ascii="Arial" w:hAnsi="Arial" w:cs="Arial"/>
                <w:color w:val="000000"/>
                <w:sz w:val="18"/>
                <w:szCs w:val="18"/>
              </w:rPr>
              <w:t>77</w:t>
            </w:r>
          </w:p>
        </w:tc>
        <w:tc>
          <w:tcPr>
            <w:tcW w:w="1062" w:type="dxa"/>
            <w:shd w:val="clear" w:color="000000" w:fill="FFFFFF"/>
            <w:noWrap/>
            <w:vAlign w:val="center"/>
            <w:hideMark/>
          </w:tcPr>
          <w:p w:rsidR="008D573F" w:rsidRPr="00321BD6" w:rsidRDefault="008D573F" w:rsidP="008D573F">
            <w:pPr>
              <w:jc w:val="center"/>
              <w:rPr>
                <w:rFonts w:ascii="Arial" w:hAnsi="Arial" w:cs="Arial"/>
                <w:b/>
                <w:bCs/>
                <w:color w:val="000000"/>
                <w:sz w:val="18"/>
                <w:szCs w:val="18"/>
              </w:rPr>
            </w:pPr>
            <w:r w:rsidRPr="00321BD6">
              <w:rPr>
                <w:rFonts w:ascii="Arial" w:hAnsi="Arial" w:cs="Arial"/>
                <w:b/>
                <w:bCs/>
                <w:color w:val="000000"/>
                <w:sz w:val="18"/>
                <w:szCs w:val="18"/>
              </w:rPr>
              <w:t>409</w:t>
            </w:r>
          </w:p>
        </w:tc>
      </w:tr>
      <w:tr w:rsidR="008D573F" w:rsidTr="00540F30">
        <w:trPr>
          <w:trHeight w:val="386"/>
        </w:trPr>
        <w:tc>
          <w:tcPr>
            <w:tcW w:w="1258" w:type="dxa"/>
            <w:shd w:val="clear" w:color="000000" w:fill="FFFFFF"/>
            <w:noWrap/>
            <w:vAlign w:val="center"/>
            <w:hideMark/>
          </w:tcPr>
          <w:p w:rsidR="008D573F" w:rsidRPr="00321BD6" w:rsidRDefault="008D573F" w:rsidP="008D573F">
            <w:pPr>
              <w:jc w:val="center"/>
              <w:rPr>
                <w:rFonts w:ascii="Arial" w:hAnsi="Arial" w:cs="Arial"/>
                <w:b/>
                <w:bCs/>
                <w:color w:val="000000"/>
                <w:sz w:val="18"/>
                <w:szCs w:val="18"/>
              </w:rPr>
            </w:pPr>
            <w:r w:rsidRPr="00321BD6">
              <w:rPr>
                <w:rFonts w:ascii="Arial" w:hAnsi="Arial" w:cs="Arial"/>
                <w:b/>
                <w:bCs/>
                <w:color w:val="000000"/>
                <w:sz w:val="18"/>
                <w:szCs w:val="18"/>
              </w:rPr>
              <w:t>Total</w:t>
            </w:r>
          </w:p>
        </w:tc>
        <w:tc>
          <w:tcPr>
            <w:tcW w:w="1261" w:type="dxa"/>
            <w:shd w:val="clear" w:color="000000" w:fill="FFFFFF"/>
            <w:noWrap/>
            <w:vAlign w:val="center"/>
            <w:hideMark/>
          </w:tcPr>
          <w:p w:rsidR="008D573F" w:rsidRPr="00321BD6" w:rsidRDefault="008D573F" w:rsidP="008D573F">
            <w:pPr>
              <w:jc w:val="center"/>
              <w:rPr>
                <w:rFonts w:ascii="Arial" w:hAnsi="Arial" w:cs="Arial"/>
                <w:b/>
                <w:color w:val="000000"/>
                <w:sz w:val="18"/>
                <w:szCs w:val="18"/>
              </w:rPr>
            </w:pPr>
            <w:r w:rsidRPr="00321BD6">
              <w:rPr>
                <w:rFonts w:ascii="Arial" w:hAnsi="Arial" w:cs="Arial"/>
                <w:b/>
                <w:color w:val="000000"/>
                <w:sz w:val="18"/>
                <w:szCs w:val="18"/>
              </w:rPr>
              <w:t>309</w:t>
            </w:r>
          </w:p>
        </w:tc>
        <w:tc>
          <w:tcPr>
            <w:tcW w:w="1062" w:type="dxa"/>
            <w:shd w:val="clear" w:color="000000" w:fill="FFFFFF"/>
            <w:noWrap/>
            <w:vAlign w:val="center"/>
            <w:hideMark/>
          </w:tcPr>
          <w:p w:rsidR="008D573F" w:rsidRPr="00321BD6" w:rsidRDefault="008D573F" w:rsidP="008D573F">
            <w:pPr>
              <w:jc w:val="center"/>
              <w:rPr>
                <w:rFonts w:ascii="Arial" w:hAnsi="Arial" w:cs="Arial"/>
                <w:b/>
                <w:color w:val="000000"/>
                <w:sz w:val="18"/>
                <w:szCs w:val="18"/>
              </w:rPr>
            </w:pPr>
            <w:r w:rsidRPr="00321BD6">
              <w:rPr>
                <w:rFonts w:ascii="Arial" w:hAnsi="Arial" w:cs="Arial"/>
                <w:b/>
                <w:color w:val="000000"/>
                <w:sz w:val="18"/>
                <w:szCs w:val="18"/>
              </w:rPr>
              <w:t>917</w:t>
            </w:r>
          </w:p>
        </w:tc>
        <w:tc>
          <w:tcPr>
            <w:tcW w:w="1062" w:type="dxa"/>
            <w:shd w:val="clear" w:color="000000" w:fill="FFFFFF"/>
            <w:noWrap/>
            <w:vAlign w:val="center"/>
            <w:hideMark/>
          </w:tcPr>
          <w:p w:rsidR="008D573F" w:rsidRPr="00321BD6" w:rsidRDefault="008D573F" w:rsidP="008D573F">
            <w:pPr>
              <w:jc w:val="center"/>
              <w:rPr>
                <w:rFonts w:ascii="Arial" w:hAnsi="Arial" w:cs="Arial"/>
                <w:b/>
                <w:color w:val="000000"/>
                <w:sz w:val="18"/>
                <w:szCs w:val="18"/>
              </w:rPr>
            </w:pPr>
            <w:r w:rsidRPr="00321BD6">
              <w:rPr>
                <w:rFonts w:ascii="Arial" w:hAnsi="Arial" w:cs="Arial"/>
                <w:b/>
                <w:color w:val="000000"/>
                <w:sz w:val="18"/>
                <w:szCs w:val="18"/>
              </w:rPr>
              <w:t>303</w:t>
            </w:r>
          </w:p>
        </w:tc>
        <w:tc>
          <w:tcPr>
            <w:tcW w:w="1062" w:type="dxa"/>
            <w:shd w:val="clear" w:color="000000" w:fill="FFFFFF"/>
            <w:noWrap/>
            <w:vAlign w:val="center"/>
            <w:hideMark/>
          </w:tcPr>
          <w:p w:rsidR="008D573F" w:rsidRPr="00321BD6" w:rsidRDefault="008D573F" w:rsidP="008D573F">
            <w:pPr>
              <w:jc w:val="center"/>
              <w:rPr>
                <w:rFonts w:ascii="Arial" w:hAnsi="Arial" w:cs="Arial"/>
                <w:b/>
                <w:color w:val="000000"/>
                <w:sz w:val="18"/>
                <w:szCs w:val="18"/>
              </w:rPr>
            </w:pPr>
            <w:r w:rsidRPr="00321BD6">
              <w:rPr>
                <w:rFonts w:ascii="Arial" w:hAnsi="Arial" w:cs="Arial"/>
                <w:b/>
                <w:color w:val="000000"/>
                <w:sz w:val="18"/>
                <w:szCs w:val="18"/>
              </w:rPr>
              <w:t>186</w:t>
            </w:r>
          </w:p>
        </w:tc>
        <w:tc>
          <w:tcPr>
            <w:tcW w:w="1062" w:type="dxa"/>
            <w:shd w:val="clear" w:color="000000" w:fill="FFFFFF"/>
            <w:noWrap/>
            <w:vAlign w:val="center"/>
            <w:hideMark/>
          </w:tcPr>
          <w:p w:rsidR="008D573F" w:rsidRPr="00321BD6" w:rsidRDefault="008D573F" w:rsidP="008D573F">
            <w:pPr>
              <w:jc w:val="center"/>
              <w:rPr>
                <w:rFonts w:ascii="Arial" w:hAnsi="Arial" w:cs="Arial"/>
                <w:b/>
                <w:color w:val="000000"/>
                <w:sz w:val="18"/>
                <w:szCs w:val="18"/>
              </w:rPr>
            </w:pPr>
            <w:r w:rsidRPr="00321BD6">
              <w:rPr>
                <w:rFonts w:ascii="Arial" w:hAnsi="Arial" w:cs="Arial"/>
                <w:b/>
                <w:color w:val="000000"/>
                <w:sz w:val="18"/>
                <w:szCs w:val="18"/>
              </w:rPr>
              <w:t>301</w:t>
            </w:r>
          </w:p>
        </w:tc>
        <w:tc>
          <w:tcPr>
            <w:tcW w:w="1062" w:type="dxa"/>
            <w:shd w:val="clear" w:color="000000" w:fill="FFFFFF"/>
            <w:noWrap/>
            <w:vAlign w:val="center"/>
            <w:hideMark/>
          </w:tcPr>
          <w:p w:rsidR="008D573F" w:rsidRPr="00321BD6" w:rsidRDefault="008D573F" w:rsidP="008D573F">
            <w:pPr>
              <w:jc w:val="center"/>
              <w:rPr>
                <w:rFonts w:ascii="Arial" w:hAnsi="Arial" w:cs="Arial"/>
                <w:b/>
                <w:color w:val="000000"/>
                <w:sz w:val="18"/>
                <w:szCs w:val="18"/>
              </w:rPr>
            </w:pPr>
            <w:r w:rsidRPr="00321BD6">
              <w:rPr>
                <w:rFonts w:ascii="Arial" w:hAnsi="Arial" w:cs="Arial"/>
                <w:b/>
                <w:color w:val="000000"/>
                <w:sz w:val="18"/>
                <w:szCs w:val="18"/>
              </w:rPr>
              <w:t>323</w:t>
            </w:r>
          </w:p>
        </w:tc>
        <w:tc>
          <w:tcPr>
            <w:tcW w:w="1062" w:type="dxa"/>
            <w:shd w:val="clear" w:color="000000" w:fill="FFFFFF"/>
            <w:noWrap/>
            <w:vAlign w:val="center"/>
            <w:hideMark/>
          </w:tcPr>
          <w:p w:rsidR="008D573F" w:rsidRPr="00321BD6" w:rsidRDefault="008D573F" w:rsidP="008D573F">
            <w:pPr>
              <w:jc w:val="center"/>
              <w:rPr>
                <w:rFonts w:ascii="Arial" w:hAnsi="Arial" w:cs="Arial"/>
                <w:b/>
                <w:bCs/>
                <w:color w:val="000000"/>
                <w:sz w:val="18"/>
                <w:szCs w:val="18"/>
              </w:rPr>
            </w:pPr>
            <w:r w:rsidRPr="00321BD6">
              <w:rPr>
                <w:rFonts w:ascii="Arial" w:hAnsi="Arial" w:cs="Arial"/>
                <w:b/>
                <w:bCs/>
                <w:color w:val="000000"/>
                <w:sz w:val="18"/>
                <w:szCs w:val="18"/>
              </w:rPr>
              <w:t>2,339</w:t>
            </w:r>
          </w:p>
        </w:tc>
      </w:tr>
    </w:tbl>
    <w:p w:rsidR="008D573F" w:rsidRPr="00D409BF" w:rsidRDefault="008D573F" w:rsidP="00D167A6">
      <w:pPr>
        <w:rPr>
          <w:rFonts w:asciiTheme="minorHAnsi" w:hAnsiTheme="minorHAnsi" w:cstheme="minorHAnsi"/>
          <w:i/>
          <w:sz w:val="16"/>
          <w:szCs w:val="16"/>
        </w:rPr>
      </w:pPr>
      <w:r w:rsidRPr="00D409BF">
        <w:rPr>
          <w:rFonts w:asciiTheme="minorHAnsi" w:hAnsiTheme="minorHAnsi" w:cstheme="minorHAnsi"/>
          <w:i/>
          <w:sz w:val="16"/>
          <w:szCs w:val="16"/>
        </w:rPr>
        <w:t>Source: Department of Health, Medical Benefits Division, Primary Care and Diagnostics Branch, MBS Analytics Section, Reference no.: Q20863, July 2017</w:t>
      </w:r>
    </w:p>
    <w:p w:rsidR="008D573F" w:rsidRPr="00863F70" w:rsidRDefault="008D573F" w:rsidP="008D573F">
      <w:pPr>
        <w:pStyle w:val="Heading2"/>
        <w:rPr>
          <w:rFonts w:ascii="Arial" w:hAnsi="Arial" w:cs="Arial"/>
          <w:szCs w:val="24"/>
        </w:rPr>
      </w:pPr>
      <w:bookmarkStart w:id="4" w:name="_Toc504051255"/>
      <w:bookmarkStart w:id="5" w:name="_Toc504652227"/>
      <w:r w:rsidRPr="00863F70">
        <w:rPr>
          <w:rFonts w:ascii="Arial" w:hAnsi="Arial" w:cs="Arial"/>
          <w:szCs w:val="24"/>
        </w:rPr>
        <w:t>Data on fee charged</w:t>
      </w:r>
      <w:bookmarkEnd w:id="4"/>
      <w:bookmarkEnd w:id="5"/>
      <w:r w:rsidRPr="00863F70">
        <w:rPr>
          <w:rFonts w:ascii="Arial" w:hAnsi="Arial" w:cs="Arial"/>
          <w:szCs w:val="24"/>
        </w:rPr>
        <w:t xml:space="preserve"> </w:t>
      </w:r>
    </w:p>
    <w:p w:rsidR="008D573F" w:rsidRPr="00863F70" w:rsidRDefault="008D573F" w:rsidP="008D573F">
      <w:pPr>
        <w:rPr>
          <w:spacing w:val="-3"/>
          <w:szCs w:val="24"/>
        </w:rPr>
      </w:pPr>
      <w:r w:rsidRPr="00863F70">
        <w:rPr>
          <w:spacing w:val="-3"/>
          <w:szCs w:val="24"/>
        </w:rPr>
        <w:t>The information provided on fees in Table 10 below is a snapshot of how the items are being claimed in practice for all six primary bariatric surgery items 31569, 31572, 31575, 31578, 31581 and 31584.</w:t>
      </w:r>
    </w:p>
    <w:p w:rsidR="008D573F" w:rsidRPr="00863F70" w:rsidRDefault="008D573F" w:rsidP="007105F2">
      <w:pPr>
        <w:spacing w:after="240"/>
        <w:rPr>
          <w:spacing w:val="-3"/>
          <w:szCs w:val="24"/>
        </w:rPr>
      </w:pPr>
      <w:r w:rsidRPr="00863F70">
        <w:rPr>
          <w:spacing w:val="-3"/>
          <w:szCs w:val="24"/>
        </w:rPr>
        <w:lastRenderedPageBreak/>
        <w:t>Sleeve gastrectomy item, 31575, has a schedule fee of $849.55. The average fee charged for this item in 2013-14 was $2,331.66. This increased only slightly to $2,342.64 in the most recent financial year.</w:t>
      </w:r>
    </w:p>
    <w:p w:rsidR="008D573F" w:rsidRPr="00863F70" w:rsidRDefault="008D573F" w:rsidP="007105F2">
      <w:pPr>
        <w:spacing w:after="240"/>
        <w:rPr>
          <w:spacing w:val="-3"/>
          <w:szCs w:val="24"/>
        </w:rPr>
      </w:pPr>
      <w:r w:rsidRPr="00863F70">
        <w:rPr>
          <w:spacing w:val="-3"/>
          <w:szCs w:val="24"/>
        </w:rPr>
        <w:t>The average fee charged across all six primary items has generally remained stable, with only slight increases each year. Item 31578 (gastroplasty) however, saw a drastic increase in average fee charged in 2016-15 to $2,483.02. This is an increase of more than double the average fee charged from the year prior. The average fee charged for item 31578 then decreased significantly in 2016-17 to $1,552.28.</w:t>
      </w:r>
    </w:p>
    <w:p w:rsidR="008D573F" w:rsidRPr="00863F70" w:rsidRDefault="008D573F" w:rsidP="007105F2">
      <w:pPr>
        <w:spacing w:after="240"/>
        <w:rPr>
          <w:spacing w:val="-3"/>
          <w:szCs w:val="24"/>
        </w:rPr>
      </w:pPr>
      <w:r w:rsidRPr="00863F70">
        <w:rPr>
          <w:spacing w:val="-3"/>
          <w:szCs w:val="24"/>
        </w:rPr>
        <w:t>The average fee charged for item 31581 has gradually decreased since implementatio</w:t>
      </w:r>
      <w:r w:rsidR="007105F2">
        <w:rPr>
          <w:spacing w:val="-3"/>
          <w:szCs w:val="24"/>
        </w:rPr>
        <w:t>n, from $2,691.65 to $2,278.47.</w:t>
      </w:r>
    </w:p>
    <w:p w:rsidR="008D573F" w:rsidRPr="00863F70" w:rsidRDefault="008D573F" w:rsidP="007105F2">
      <w:pPr>
        <w:spacing w:after="240"/>
        <w:rPr>
          <w:spacing w:val="-3"/>
          <w:szCs w:val="24"/>
        </w:rPr>
      </w:pPr>
      <w:r w:rsidRPr="00863F70">
        <w:rPr>
          <w:spacing w:val="-3"/>
          <w:szCs w:val="24"/>
        </w:rPr>
        <w:t>Figure 1 depicts the average fee charged by providers, as well as the variation in fees charged between the 25th and 95th percentile of providers. It is evident that the highest fee charged was for item 31575 (sleeve gastrectomy), where providers at the 95th percentile c</w:t>
      </w:r>
      <w:r w:rsidR="007105F2">
        <w:rPr>
          <w:spacing w:val="-3"/>
          <w:szCs w:val="24"/>
        </w:rPr>
        <w:t>harged $6,000 for this service.</w:t>
      </w:r>
    </w:p>
    <w:p w:rsidR="008F5DEE" w:rsidRPr="007105F2" w:rsidRDefault="008D573F" w:rsidP="007105F2">
      <w:pPr>
        <w:spacing w:after="240"/>
        <w:rPr>
          <w:spacing w:val="-3"/>
          <w:szCs w:val="24"/>
        </w:rPr>
      </w:pPr>
      <w:r w:rsidRPr="00863F70">
        <w:rPr>
          <w:spacing w:val="-3"/>
          <w:szCs w:val="24"/>
        </w:rPr>
        <w:t>It is important to note that for uninsured patients receiving bariatric surgery from a privately practicing physician, these patients can be out-of-pocket by more than $20,000. This is inclusive of expenses on top of surgeons’ fees, such as anaesthetists’ fees, theatre co</w:t>
      </w:r>
      <w:r w:rsidR="007105F2">
        <w:rPr>
          <w:spacing w:val="-3"/>
          <w:szCs w:val="24"/>
        </w:rPr>
        <w:t>sts and hospital accommodation.</w:t>
      </w:r>
    </w:p>
    <w:p w:rsidR="008D573F" w:rsidRPr="009418F3" w:rsidRDefault="008D573F" w:rsidP="009418F3">
      <w:pPr>
        <w:rPr>
          <w:rFonts w:ascii="Arial Narrow" w:hAnsi="Arial Narrow"/>
          <w:b/>
          <w:sz w:val="20"/>
        </w:rPr>
      </w:pPr>
      <w:r w:rsidRPr="009418F3">
        <w:rPr>
          <w:rFonts w:ascii="Arial Narrow" w:hAnsi="Arial Narrow"/>
          <w:b/>
          <w:sz w:val="20"/>
        </w:rPr>
        <w:t>Table 10: Statistics on fees charged for primary bariatric surgical items (31569-31584) from 2013-14 to 2016-17 (date of service).</w:t>
      </w:r>
    </w:p>
    <w:tbl>
      <w:tblPr>
        <w:tblW w:w="75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ees charged for primary bariatric surgery items from 2013 to 2017"/>
        <w:tblDescription w:val="This table depicts the average fee charged, the standard deviation, the median, the 25th percentile, the 95th percentile and the bulk billing percentage for each of the six primary bariatric items across each of the four years since implementation. "/>
      </w:tblPr>
      <w:tblGrid>
        <w:gridCol w:w="867"/>
        <w:gridCol w:w="1144"/>
        <w:gridCol w:w="1017"/>
        <w:gridCol w:w="1017"/>
        <w:gridCol w:w="1017"/>
        <w:gridCol w:w="1017"/>
        <w:gridCol w:w="1017"/>
        <w:gridCol w:w="1017"/>
      </w:tblGrid>
      <w:tr w:rsidR="008D573F" w:rsidTr="008D573F">
        <w:trPr>
          <w:trHeight w:val="315"/>
        </w:trPr>
        <w:tc>
          <w:tcPr>
            <w:tcW w:w="2027" w:type="dxa"/>
            <w:gridSpan w:val="2"/>
            <w:tcBorders>
              <w:top w:val="nil"/>
              <w:left w:val="nil"/>
            </w:tcBorders>
            <w:shd w:val="clear" w:color="auto" w:fill="auto"/>
            <w:vAlign w:val="center"/>
            <w:hideMark/>
          </w:tcPr>
          <w:p w:rsidR="008D573F" w:rsidRDefault="008D573F" w:rsidP="008D573F">
            <w:pPr>
              <w:jc w:val="center"/>
              <w:rPr>
                <w:color w:val="000000"/>
                <w:sz w:val="20"/>
              </w:rPr>
            </w:pPr>
            <w:r>
              <w:rPr>
                <w:color w:val="000000"/>
                <w:sz w:val="20"/>
              </w:rPr>
              <w:t> </w:t>
            </w:r>
          </w:p>
        </w:tc>
        <w:tc>
          <w:tcPr>
            <w:tcW w:w="1017" w:type="dxa"/>
            <w:shd w:val="clear" w:color="auto" w:fill="548DD4" w:themeFill="text2" w:themeFillTint="99"/>
            <w:vAlign w:val="center"/>
          </w:tcPr>
          <w:p w:rsidR="008D573F" w:rsidRDefault="008D573F" w:rsidP="008D573F">
            <w:pPr>
              <w:jc w:val="center"/>
              <w:rPr>
                <w:rFonts w:ascii="Arial" w:hAnsi="Arial" w:cs="Arial"/>
                <w:b/>
                <w:bCs/>
                <w:color w:val="FFFFFF"/>
                <w:sz w:val="18"/>
                <w:szCs w:val="18"/>
              </w:rPr>
            </w:pPr>
            <w:r>
              <w:rPr>
                <w:rFonts w:ascii="Arial" w:hAnsi="Arial" w:cs="Arial"/>
                <w:b/>
                <w:bCs/>
                <w:color w:val="FFFFFF"/>
                <w:sz w:val="18"/>
                <w:szCs w:val="18"/>
              </w:rPr>
              <w:t>31569</w:t>
            </w:r>
          </w:p>
        </w:tc>
        <w:tc>
          <w:tcPr>
            <w:tcW w:w="1017" w:type="dxa"/>
            <w:shd w:val="clear" w:color="000000" w:fill="548DD4"/>
            <w:vAlign w:val="center"/>
            <w:hideMark/>
          </w:tcPr>
          <w:p w:rsidR="008D573F" w:rsidRDefault="008D573F" w:rsidP="008D573F">
            <w:pPr>
              <w:jc w:val="center"/>
              <w:rPr>
                <w:rFonts w:ascii="Arial" w:hAnsi="Arial" w:cs="Arial"/>
                <w:b/>
                <w:bCs/>
                <w:color w:val="FFFFFF"/>
                <w:sz w:val="18"/>
                <w:szCs w:val="18"/>
              </w:rPr>
            </w:pPr>
            <w:r>
              <w:rPr>
                <w:rFonts w:ascii="Arial" w:hAnsi="Arial" w:cs="Arial"/>
                <w:b/>
                <w:bCs/>
                <w:color w:val="FFFFFF"/>
                <w:sz w:val="18"/>
                <w:szCs w:val="18"/>
              </w:rPr>
              <w:t>31572</w:t>
            </w:r>
          </w:p>
        </w:tc>
        <w:tc>
          <w:tcPr>
            <w:tcW w:w="1017" w:type="dxa"/>
            <w:shd w:val="clear" w:color="000000" w:fill="548DD4"/>
            <w:vAlign w:val="center"/>
            <w:hideMark/>
          </w:tcPr>
          <w:p w:rsidR="008D573F" w:rsidRDefault="008D573F" w:rsidP="008D573F">
            <w:pPr>
              <w:jc w:val="center"/>
              <w:rPr>
                <w:rFonts w:ascii="Arial" w:hAnsi="Arial" w:cs="Arial"/>
                <w:b/>
                <w:bCs/>
                <w:color w:val="FFFFFF"/>
                <w:sz w:val="18"/>
                <w:szCs w:val="18"/>
              </w:rPr>
            </w:pPr>
            <w:r>
              <w:rPr>
                <w:rFonts w:ascii="Arial" w:hAnsi="Arial" w:cs="Arial"/>
                <w:b/>
                <w:bCs/>
                <w:color w:val="FFFFFF"/>
                <w:sz w:val="18"/>
                <w:szCs w:val="18"/>
              </w:rPr>
              <w:t>31575</w:t>
            </w:r>
          </w:p>
        </w:tc>
        <w:tc>
          <w:tcPr>
            <w:tcW w:w="724" w:type="dxa"/>
            <w:shd w:val="clear" w:color="000000" w:fill="548DD4"/>
            <w:vAlign w:val="center"/>
          </w:tcPr>
          <w:p w:rsidR="008D573F" w:rsidRDefault="008D573F" w:rsidP="008D573F">
            <w:pPr>
              <w:jc w:val="center"/>
              <w:rPr>
                <w:rFonts w:ascii="Arial" w:hAnsi="Arial" w:cs="Arial"/>
                <w:b/>
                <w:bCs/>
                <w:color w:val="FFFFFF"/>
                <w:sz w:val="18"/>
                <w:szCs w:val="18"/>
              </w:rPr>
            </w:pPr>
            <w:r>
              <w:rPr>
                <w:rFonts w:ascii="Arial" w:hAnsi="Arial" w:cs="Arial"/>
                <w:b/>
                <w:bCs/>
                <w:color w:val="FFFFFF"/>
                <w:sz w:val="18"/>
                <w:szCs w:val="18"/>
              </w:rPr>
              <w:t>31578</w:t>
            </w:r>
          </w:p>
        </w:tc>
        <w:tc>
          <w:tcPr>
            <w:tcW w:w="723" w:type="dxa"/>
            <w:shd w:val="clear" w:color="000000" w:fill="548DD4"/>
            <w:vAlign w:val="center"/>
          </w:tcPr>
          <w:p w:rsidR="008D573F" w:rsidRDefault="008D573F" w:rsidP="008D573F">
            <w:pPr>
              <w:jc w:val="center"/>
              <w:rPr>
                <w:rFonts w:ascii="Arial" w:hAnsi="Arial" w:cs="Arial"/>
                <w:b/>
                <w:bCs/>
                <w:color w:val="FFFFFF"/>
                <w:sz w:val="18"/>
                <w:szCs w:val="18"/>
              </w:rPr>
            </w:pPr>
            <w:r>
              <w:rPr>
                <w:rFonts w:ascii="Arial" w:hAnsi="Arial" w:cs="Arial"/>
                <w:b/>
                <w:bCs/>
                <w:color w:val="FFFFFF"/>
                <w:sz w:val="18"/>
                <w:szCs w:val="18"/>
              </w:rPr>
              <w:t>31581</w:t>
            </w:r>
          </w:p>
        </w:tc>
        <w:tc>
          <w:tcPr>
            <w:tcW w:w="1017" w:type="dxa"/>
            <w:shd w:val="clear" w:color="000000" w:fill="548DD4"/>
            <w:vAlign w:val="center"/>
            <w:hideMark/>
          </w:tcPr>
          <w:p w:rsidR="008D573F" w:rsidRDefault="008D573F" w:rsidP="008D573F">
            <w:pPr>
              <w:jc w:val="center"/>
              <w:rPr>
                <w:rFonts w:ascii="Arial" w:hAnsi="Arial" w:cs="Arial"/>
                <w:b/>
                <w:bCs/>
                <w:color w:val="FFFFFF"/>
                <w:sz w:val="18"/>
                <w:szCs w:val="18"/>
              </w:rPr>
            </w:pPr>
            <w:r>
              <w:rPr>
                <w:rFonts w:ascii="Arial" w:hAnsi="Arial" w:cs="Arial"/>
                <w:b/>
                <w:bCs/>
                <w:color w:val="FFFFFF"/>
                <w:sz w:val="18"/>
                <w:szCs w:val="18"/>
              </w:rPr>
              <w:t>31584</w:t>
            </w:r>
          </w:p>
        </w:tc>
      </w:tr>
      <w:tr w:rsidR="008D573F" w:rsidTr="008D573F">
        <w:trPr>
          <w:trHeight w:val="632"/>
        </w:trPr>
        <w:tc>
          <w:tcPr>
            <w:tcW w:w="867" w:type="dxa"/>
            <w:vMerge w:val="restart"/>
            <w:shd w:val="clear" w:color="auto" w:fill="auto"/>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2013/14</w:t>
            </w:r>
          </w:p>
        </w:tc>
        <w:tc>
          <w:tcPr>
            <w:tcW w:w="1160" w:type="dxa"/>
            <w:shd w:val="clear" w:color="auto" w:fill="auto"/>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Average Fee Charged</w:t>
            </w:r>
          </w:p>
        </w:tc>
        <w:tc>
          <w:tcPr>
            <w:tcW w:w="1017" w:type="dxa"/>
            <w:vAlign w:val="center"/>
          </w:tcPr>
          <w:p w:rsidR="008D573F" w:rsidRDefault="008D573F" w:rsidP="008D573F">
            <w:pPr>
              <w:jc w:val="center"/>
              <w:rPr>
                <w:rFonts w:ascii="Arial" w:hAnsi="Arial" w:cs="Arial"/>
                <w:color w:val="000000"/>
                <w:sz w:val="18"/>
                <w:szCs w:val="18"/>
              </w:rPr>
            </w:pPr>
            <w:r w:rsidRPr="002C4F0B">
              <w:rPr>
                <w:rFonts w:ascii="Arial" w:hAnsi="Arial" w:cs="Arial"/>
                <w:color w:val="000000"/>
                <w:sz w:val="18"/>
                <w:szCs w:val="18"/>
              </w:rPr>
              <w:t>$1,646.62</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$1,668.02</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$2,331.66</w:t>
            </w:r>
          </w:p>
        </w:tc>
        <w:tc>
          <w:tcPr>
            <w:tcW w:w="724"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$972.23</w:t>
            </w:r>
          </w:p>
        </w:tc>
        <w:tc>
          <w:tcPr>
            <w:tcW w:w="723"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$2,691.65</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$2,133.57</w:t>
            </w:r>
          </w:p>
        </w:tc>
      </w:tr>
      <w:tr w:rsidR="008D573F" w:rsidTr="008D573F">
        <w:trPr>
          <w:trHeight w:val="635"/>
        </w:trPr>
        <w:tc>
          <w:tcPr>
            <w:tcW w:w="867" w:type="dxa"/>
            <w:vMerge/>
            <w:vAlign w:val="center"/>
            <w:hideMark/>
          </w:tcPr>
          <w:p w:rsidR="008D573F" w:rsidRDefault="008D573F" w:rsidP="008D573F">
            <w:pPr>
              <w:jc w:val="center"/>
              <w:rPr>
                <w:rFonts w:ascii="Arial" w:hAnsi="Arial" w:cs="Arial"/>
                <w:b/>
                <w:bCs/>
                <w:color w:val="000000"/>
                <w:sz w:val="18"/>
                <w:szCs w:val="18"/>
              </w:rPr>
            </w:pPr>
          </w:p>
        </w:tc>
        <w:tc>
          <w:tcPr>
            <w:tcW w:w="1160" w:type="dxa"/>
            <w:shd w:val="clear" w:color="auto" w:fill="auto"/>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Standard</w:t>
            </w:r>
          </w:p>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Deviation</w:t>
            </w:r>
          </w:p>
        </w:tc>
        <w:tc>
          <w:tcPr>
            <w:tcW w:w="1017" w:type="dxa"/>
            <w:vAlign w:val="center"/>
          </w:tcPr>
          <w:p w:rsidR="008D573F" w:rsidRDefault="008D573F" w:rsidP="008D573F">
            <w:pPr>
              <w:jc w:val="center"/>
              <w:rPr>
                <w:rFonts w:ascii="Arial" w:hAnsi="Arial" w:cs="Arial"/>
                <w:color w:val="000000"/>
                <w:sz w:val="18"/>
                <w:szCs w:val="18"/>
              </w:rPr>
            </w:pPr>
            <w:r w:rsidRPr="002C4F0B">
              <w:rPr>
                <w:rFonts w:ascii="Arial" w:hAnsi="Arial" w:cs="Arial"/>
                <w:color w:val="000000"/>
                <w:sz w:val="18"/>
                <w:szCs w:val="18"/>
              </w:rPr>
              <w:t>$1,201.76</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$1,230.58</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$1,731.13</w:t>
            </w:r>
          </w:p>
        </w:tc>
        <w:tc>
          <w:tcPr>
            <w:tcW w:w="724"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$943.98</w:t>
            </w:r>
          </w:p>
        </w:tc>
        <w:tc>
          <w:tcPr>
            <w:tcW w:w="723"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$1,443.37</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$417.96</w:t>
            </w:r>
          </w:p>
        </w:tc>
      </w:tr>
      <w:tr w:rsidR="008D573F" w:rsidTr="008D573F">
        <w:trPr>
          <w:trHeight w:val="527"/>
        </w:trPr>
        <w:tc>
          <w:tcPr>
            <w:tcW w:w="867" w:type="dxa"/>
            <w:vMerge/>
            <w:vAlign w:val="center"/>
            <w:hideMark/>
          </w:tcPr>
          <w:p w:rsidR="008D573F" w:rsidRDefault="008D573F" w:rsidP="008D573F">
            <w:pPr>
              <w:jc w:val="center"/>
              <w:rPr>
                <w:rFonts w:ascii="Arial" w:hAnsi="Arial" w:cs="Arial"/>
                <w:b/>
                <w:bCs/>
                <w:color w:val="000000"/>
                <w:sz w:val="18"/>
                <w:szCs w:val="18"/>
              </w:rPr>
            </w:pPr>
          </w:p>
        </w:tc>
        <w:tc>
          <w:tcPr>
            <w:tcW w:w="1160" w:type="dxa"/>
            <w:shd w:val="clear" w:color="auto" w:fill="auto"/>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Median</w:t>
            </w:r>
          </w:p>
        </w:tc>
        <w:tc>
          <w:tcPr>
            <w:tcW w:w="1017" w:type="dxa"/>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$1,163.45</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$1,400.00</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$1,240.35</w:t>
            </w:r>
          </w:p>
        </w:tc>
        <w:tc>
          <w:tcPr>
            <w:tcW w:w="724"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$586.28</w:t>
            </w:r>
          </w:p>
        </w:tc>
        <w:tc>
          <w:tcPr>
            <w:tcW w:w="723"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$2,090.60</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$2,107.90</w:t>
            </w:r>
          </w:p>
        </w:tc>
      </w:tr>
      <w:tr w:rsidR="008D573F" w:rsidTr="008D573F">
        <w:trPr>
          <w:trHeight w:val="847"/>
        </w:trPr>
        <w:tc>
          <w:tcPr>
            <w:tcW w:w="867" w:type="dxa"/>
            <w:vMerge/>
            <w:vAlign w:val="center"/>
            <w:hideMark/>
          </w:tcPr>
          <w:p w:rsidR="008D573F" w:rsidRDefault="008D573F" w:rsidP="008D573F">
            <w:pPr>
              <w:jc w:val="center"/>
              <w:rPr>
                <w:rFonts w:ascii="Arial" w:hAnsi="Arial" w:cs="Arial"/>
                <w:b/>
                <w:bCs/>
                <w:color w:val="000000"/>
                <w:sz w:val="18"/>
                <w:szCs w:val="18"/>
              </w:rPr>
            </w:pPr>
          </w:p>
        </w:tc>
        <w:tc>
          <w:tcPr>
            <w:tcW w:w="1160" w:type="dxa"/>
            <w:shd w:val="clear" w:color="auto" w:fill="auto"/>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25th Percentile</w:t>
            </w:r>
          </w:p>
        </w:tc>
        <w:tc>
          <w:tcPr>
            <w:tcW w:w="1017" w:type="dxa"/>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$849.55</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 xml:space="preserve">$1,045.40 </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$1,122.90</w:t>
            </w:r>
          </w:p>
        </w:tc>
        <w:tc>
          <w:tcPr>
            <w:tcW w:w="724"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 xml:space="preserve">$424.80 </w:t>
            </w:r>
          </w:p>
        </w:tc>
        <w:tc>
          <w:tcPr>
            <w:tcW w:w="723" w:type="dxa"/>
            <w:shd w:val="clear" w:color="000000" w:fill="FFFFFF"/>
            <w:vAlign w:val="center"/>
          </w:tcPr>
          <w:p w:rsidR="008D573F" w:rsidRDefault="008D573F" w:rsidP="008D573F">
            <w:pPr>
              <w:jc w:val="center"/>
              <w:rPr>
                <w:rFonts w:ascii="Arial" w:hAnsi="Arial" w:cs="Arial"/>
                <w:vanish/>
                <w:color w:val="000000"/>
                <w:sz w:val="18"/>
                <w:szCs w:val="18"/>
              </w:rPr>
            </w:pPr>
            <w:r>
              <w:rPr>
                <w:rFonts w:ascii="Arial" w:hAnsi="Arial" w:cs="Arial"/>
                <w:vanish/>
                <w:color w:val="000000"/>
                <w:sz w:val="18"/>
                <w:szCs w:val="18"/>
              </w:rPr>
              <w:t xml:space="preserve">$1,162.20 </w:t>
            </w:r>
          </w:p>
          <w:p w:rsidR="008D573F" w:rsidRDefault="008D573F" w:rsidP="008D573F">
            <w:pPr>
              <w:jc w:val="center"/>
              <w:rPr>
                <w:rFonts w:ascii="Arial" w:hAnsi="Arial" w:cs="Arial"/>
                <w:color w:val="000000"/>
                <w:sz w:val="18"/>
                <w:szCs w:val="18"/>
              </w:rPr>
            </w:pPr>
            <w:r>
              <w:rPr>
                <w:rFonts w:ascii="Arial" w:hAnsi="Arial" w:cs="Arial"/>
                <w:color w:val="000000"/>
                <w:sz w:val="18"/>
                <w:szCs w:val="18"/>
              </w:rPr>
              <w:t xml:space="preserve">$1,403.00 </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 xml:space="preserve">$2,034.35 </w:t>
            </w:r>
          </w:p>
        </w:tc>
      </w:tr>
      <w:tr w:rsidR="008D573F" w:rsidTr="008D573F">
        <w:trPr>
          <w:trHeight w:val="870"/>
        </w:trPr>
        <w:tc>
          <w:tcPr>
            <w:tcW w:w="867" w:type="dxa"/>
            <w:vMerge/>
            <w:vAlign w:val="center"/>
            <w:hideMark/>
          </w:tcPr>
          <w:p w:rsidR="008D573F" w:rsidRDefault="008D573F" w:rsidP="008D573F">
            <w:pPr>
              <w:jc w:val="center"/>
              <w:rPr>
                <w:rFonts w:ascii="Arial" w:hAnsi="Arial" w:cs="Arial"/>
                <w:b/>
                <w:bCs/>
                <w:color w:val="000000"/>
                <w:sz w:val="18"/>
                <w:szCs w:val="18"/>
              </w:rPr>
            </w:pPr>
          </w:p>
        </w:tc>
        <w:tc>
          <w:tcPr>
            <w:tcW w:w="1160" w:type="dxa"/>
            <w:shd w:val="clear" w:color="auto" w:fill="auto"/>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95th Percentile</w:t>
            </w:r>
            <w:r>
              <w:rPr>
                <w:rStyle w:val="FootnoteReference"/>
                <w:rFonts w:ascii="Arial" w:hAnsi="Arial" w:cs="Arial"/>
                <w:b/>
                <w:bCs/>
                <w:color w:val="000000"/>
                <w:sz w:val="18"/>
                <w:szCs w:val="18"/>
              </w:rPr>
              <w:footnoteReference w:id="3"/>
            </w:r>
          </w:p>
        </w:tc>
        <w:tc>
          <w:tcPr>
            <w:tcW w:w="1017" w:type="dxa"/>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$2,400.00</w:t>
            </w:r>
          </w:p>
        </w:tc>
        <w:tc>
          <w:tcPr>
            <w:tcW w:w="1017" w:type="dxa"/>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$4,800.00</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$5,600.00</w:t>
            </w:r>
          </w:p>
        </w:tc>
        <w:tc>
          <w:tcPr>
            <w:tcW w:w="724"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$3,849.55</w:t>
            </w:r>
          </w:p>
        </w:tc>
        <w:tc>
          <w:tcPr>
            <w:tcW w:w="723"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$4,920.00</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$2,800.00</w:t>
            </w:r>
          </w:p>
        </w:tc>
      </w:tr>
      <w:tr w:rsidR="008D573F" w:rsidTr="008D573F">
        <w:trPr>
          <w:trHeight w:val="635"/>
        </w:trPr>
        <w:tc>
          <w:tcPr>
            <w:tcW w:w="867" w:type="dxa"/>
            <w:vMerge/>
            <w:vAlign w:val="center"/>
            <w:hideMark/>
          </w:tcPr>
          <w:p w:rsidR="008D573F" w:rsidRDefault="008D573F" w:rsidP="008D573F">
            <w:pPr>
              <w:jc w:val="center"/>
              <w:rPr>
                <w:rFonts w:ascii="Arial" w:hAnsi="Arial" w:cs="Arial"/>
                <w:b/>
                <w:bCs/>
                <w:color w:val="000000"/>
                <w:sz w:val="18"/>
                <w:szCs w:val="18"/>
              </w:rPr>
            </w:pPr>
          </w:p>
        </w:tc>
        <w:tc>
          <w:tcPr>
            <w:tcW w:w="1160" w:type="dxa"/>
            <w:shd w:val="clear" w:color="auto" w:fill="auto"/>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Bulk Billed</w:t>
            </w:r>
          </w:p>
        </w:tc>
        <w:tc>
          <w:tcPr>
            <w:tcW w:w="1017" w:type="dxa"/>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3.7%</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1.20%</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3.30%</w:t>
            </w:r>
          </w:p>
        </w:tc>
        <w:tc>
          <w:tcPr>
            <w:tcW w:w="724"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np</w:t>
            </w:r>
          </w:p>
        </w:tc>
        <w:tc>
          <w:tcPr>
            <w:tcW w:w="723"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np</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0.60%</w:t>
            </w:r>
          </w:p>
        </w:tc>
      </w:tr>
      <w:tr w:rsidR="008D573F" w:rsidTr="008D573F">
        <w:trPr>
          <w:trHeight w:val="740"/>
        </w:trPr>
        <w:tc>
          <w:tcPr>
            <w:tcW w:w="867" w:type="dxa"/>
            <w:vMerge w:val="restart"/>
            <w:shd w:val="clear" w:color="auto" w:fill="auto"/>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2014/15</w:t>
            </w:r>
          </w:p>
        </w:tc>
        <w:tc>
          <w:tcPr>
            <w:tcW w:w="1160" w:type="dxa"/>
            <w:shd w:val="clear" w:color="auto" w:fill="auto"/>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Average Fee Charged</w:t>
            </w:r>
          </w:p>
        </w:tc>
        <w:tc>
          <w:tcPr>
            <w:tcW w:w="1017" w:type="dxa"/>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$1,694.92</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$1,899.49</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$2,286.06</w:t>
            </w:r>
          </w:p>
        </w:tc>
        <w:tc>
          <w:tcPr>
            <w:tcW w:w="724"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$1,162.46</w:t>
            </w:r>
          </w:p>
        </w:tc>
        <w:tc>
          <w:tcPr>
            <w:tcW w:w="723"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$2,364.03</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$2,190.01</w:t>
            </w:r>
          </w:p>
        </w:tc>
      </w:tr>
      <w:tr w:rsidR="008D573F" w:rsidTr="008D573F">
        <w:trPr>
          <w:trHeight w:val="635"/>
        </w:trPr>
        <w:tc>
          <w:tcPr>
            <w:tcW w:w="867" w:type="dxa"/>
            <w:vMerge/>
            <w:vAlign w:val="center"/>
            <w:hideMark/>
          </w:tcPr>
          <w:p w:rsidR="008D573F" w:rsidRDefault="008D573F" w:rsidP="008D573F">
            <w:pPr>
              <w:jc w:val="center"/>
              <w:rPr>
                <w:rFonts w:ascii="Arial" w:hAnsi="Arial" w:cs="Arial"/>
                <w:b/>
                <w:bCs/>
                <w:color w:val="000000"/>
                <w:sz w:val="18"/>
                <w:szCs w:val="18"/>
              </w:rPr>
            </w:pPr>
          </w:p>
        </w:tc>
        <w:tc>
          <w:tcPr>
            <w:tcW w:w="1160" w:type="dxa"/>
            <w:shd w:val="clear" w:color="auto" w:fill="auto"/>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Standard</w:t>
            </w:r>
          </w:p>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Deviation</w:t>
            </w:r>
          </w:p>
        </w:tc>
        <w:tc>
          <w:tcPr>
            <w:tcW w:w="1017" w:type="dxa"/>
            <w:vAlign w:val="center"/>
          </w:tcPr>
          <w:p w:rsidR="008D573F" w:rsidRPr="003C6710" w:rsidRDefault="008D573F" w:rsidP="008D573F">
            <w:pPr>
              <w:jc w:val="center"/>
              <w:rPr>
                <w:rFonts w:ascii="Arial" w:hAnsi="Arial" w:cs="Arial"/>
                <w:sz w:val="18"/>
                <w:szCs w:val="18"/>
              </w:rPr>
            </w:pPr>
            <w:r>
              <w:rPr>
                <w:rFonts w:ascii="Arial" w:hAnsi="Arial" w:cs="Arial"/>
                <w:color w:val="000000"/>
                <w:sz w:val="18"/>
                <w:szCs w:val="18"/>
              </w:rPr>
              <w:t>$1,286.18</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$1,453.98</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$1,778.25</w:t>
            </w:r>
          </w:p>
        </w:tc>
        <w:tc>
          <w:tcPr>
            <w:tcW w:w="724" w:type="dxa"/>
            <w:shd w:val="clear" w:color="000000" w:fill="FFFFFF"/>
            <w:vAlign w:val="center"/>
          </w:tcPr>
          <w:p w:rsidR="008D573F" w:rsidRPr="00E02B41" w:rsidRDefault="008D573F" w:rsidP="008D573F">
            <w:pPr>
              <w:jc w:val="center"/>
              <w:rPr>
                <w:rFonts w:ascii="Arial" w:hAnsi="Arial" w:cs="Arial"/>
                <w:sz w:val="18"/>
                <w:szCs w:val="18"/>
              </w:rPr>
            </w:pPr>
            <w:r>
              <w:rPr>
                <w:rFonts w:ascii="Arial" w:hAnsi="Arial" w:cs="Arial"/>
                <w:color w:val="000000"/>
                <w:sz w:val="18"/>
                <w:szCs w:val="18"/>
              </w:rPr>
              <w:t>$1,426.08</w:t>
            </w:r>
          </w:p>
        </w:tc>
        <w:tc>
          <w:tcPr>
            <w:tcW w:w="723"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$1,832.42</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$439.80</w:t>
            </w:r>
          </w:p>
        </w:tc>
      </w:tr>
      <w:tr w:rsidR="008D573F" w:rsidTr="008D573F">
        <w:trPr>
          <w:trHeight w:val="527"/>
        </w:trPr>
        <w:tc>
          <w:tcPr>
            <w:tcW w:w="867" w:type="dxa"/>
            <w:vMerge/>
            <w:vAlign w:val="center"/>
            <w:hideMark/>
          </w:tcPr>
          <w:p w:rsidR="008D573F" w:rsidRDefault="008D573F" w:rsidP="008D573F">
            <w:pPr>
              <w:jc w:val="center"/>
              <w:rPr>
                <w:rFonts w:ascii="Arial" w:hAnsi="Arial" w:cs="Arial"/>
                <w:b/>
                <w:bCs/>
                <w:color w:val="000000"/>
                <w:sz w:val="18"/>
                <w:szCs w:val="18"/>
              </w:rPr>
            </w:pPr>
          </w:p>
        </w:tc>
        <w:tc>
          <w:tcPr>
            <w:tcW w:w="1160" w:type="dxa"/>
            <w:shd w:val="clear" w:color="auto" w:fill="auto"/>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Median</w:t>
            </w:r>
          </w:p>
        </w:tc>
        <w:tc>
          <w:tcPr>
            <w:tcW w:w="1017" w:type="dxa"/>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$1,163.45</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$1,431.80</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$1,206.35</w:t>
            </w:r>
          </w:p>
        </w:tc>
        <w:tc>
          <w:tcPr>
            <w:tcW w:w="724"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 xml:space="preserve">$424.80 </w:t>
            </w:r>
          </w:p>
        </w:tc>
        <w:tc>
          <w:tcPr>
            <w:tcW w:w="723"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np</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$2,107.90</w:t>
            </w:r>
          </w:p>
        </w:tc>
      </w:tr>
      <w:tr w:rsidR="008D573F" w:rsidTr="008D573F">
        <w:trPr>
          <w:trHeight w:val="635"/>
        </w:trPr>
        <w:tc>
          <w:tcPr>
            <w:tcW w:w="867" w:type="dxa"/>
            <w:vMerge/>
            <w:vAlign w:val="center"/>
            <w:hideMark/>
          </w:tcPr>
          <w:p w:rsidR="008D573F" w:rsidRDefault="008D573F" w:rsidP="008D573F">
            <w:pPr>
              <w:jc w:val="center"/>
              <w:rPr>
                <w:rFonts w:ascii="Arial" w:hAnsi="Arial" w:cs="Arial"/>
                <w:b/>
                <w:bCs/>
                <w:color w:val="000000"/>
                <w:sz w:val="18"/>
                <w:szCs w:val="18"/>
              </w:rPr>
            </w:pPr>
          </w:p>
        </w:tc>
        <w:tc>
          <w:tcPr>
            <w:tcW w:w="1160" w:type="dxa"/>
            <w:shd w:val="clear" w:color="auto" w:fill="auto"/>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25th Percentile</w:t>
            </w:r>
          </w:p>
        </w:tc>
        <w:tc>
          <w:tcPr>
            <w:tcW w:w="1017" w:type="dxa"/>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$849.55</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 xml:space="preserve">$1,045.40 </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 xml:space="preserve">$1,061.90 </w:t>
            </w:r>
          </w:p>
        </w:tc>
        <w:tc>
          <w:tcPr>
            <w:tcW w:w="724"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 xml:space="preserve">$424.80 </w:t>
            </w:r>
          </w:p>
        </w:tc>
        <w:tc>
          <w:tcPr>
            <w:tcW w:w="723"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np</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 xml:space="preserve">$2,095.80 </w:t>
            </w:r>
          </w:p>
        </w:tc>
      </w:tr>
      <w:tr w:rsidR="008D573F" w:rsidTr="008D573F">
        <w:trPr>
          <w:trHeight w:val="635"/>
        </w:trPr>
        <w:tc>
          <w:tcPr>
            <w:tcW w:w="867" w:type="dxa"/>
            <w:vMerge/>
            <w:vAlign w:val="center"/>
            <w:hideMark/>
          </w:tcPr>
          <w:p w:rsidR="008D573F" w:rsidRDefault="008D573F" w:rsidP="008D573F">
            <w:pPr>
              <w:jc w:val="center"/>
              <w:rPr>
                <w:rFonts w:ascii="Arial" w:hAnsi="Arial" w:cs="Arial"/>
                <w:b/>
                <w:bCs/>
                <w:color w:val="000000"/>
                <w:sz w:val="18"/>
                <w:szCs w:val="18"/>
              </w:rPr>
            </w:pPr>
          </w:p>
        </w:tc>
        <w:tc>
          <w:tcPr>
            <w:tcW w:w="1160" w:type="dxa"/>
            <w:shd w:val="clear" w:color="auto" w:fill="auto"/>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95th Percentile</w:t>
            </w:r>
          </w:p>
        </w:tc>
        <w:tc>
          <w:tcPr>
            <w:tcW w:w="1017" w:type="dxa"/>
            <w:vAlign w:val="center"/>
          </w:tcPr>
          <w:p w:rsidR="008D573F" w:rsidRPr="003C6710" w:rsidRDefault="008D573F" w:rsidP="008D573F">
            <w:pPr>
              <w:jc w:val="center"/>
              <w:rPr>
                <w:rFonts w:ascii="Arial" w:hAnsi="Arial" w:cs="Arial"/>
                <w:sz w:val="18"/>
                <w:szCs w:val="18"/>
              </w:rPr>
            </w:pPr>
            <w:r>
              <w:rPr>
                <w:rFonts w:ascii="Arial" w:hAnsi="Arial" w:cs="Arial"/>
                <w:color w:val="000000"/>
                <w:sz w:val="18"/>
                <w:szCs w:val="18"/>
              </w:rPr>
              <w:t>$4,450.00</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$5,163.75</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$5,600.00</w:t>
            </w:r>
          </w:p>
        </w:tc>
        <w:tc>
          <w:tcPr>
            <w:tcW w:w="724"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$4,892.00</w:t>
            </w:r>
          </w:p>
        </w:tc>
        <w:tc>
          <w:tcPr>
            <w:tcW w:w="723"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np</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$2,820.95</w:t>
            </w:r>
          </w:p>
        </w:tc>
      </w:tr>
      <w:tr w:rsidR="008D573F" w:rsidTr="008D573F">
        <w:trPr>
          <w:trHeight w:val="635"/>
        </w:trPr>
        <w:tc>
          <w:tcPr>
            <w:tcW w:w="867" w:type="dxa"/>
            <w:vMerge/>
            <w:vAlign w:val="center"/>
            <w:hideMark/>
          </w:tcPr>
          <w:p w:rsidR="008D573F" w:rsidRDefault="008D573F" w:rsidP="008D573F">
            <w:pPr>
              <w:jc w:val="center"/>
              <w:rPr>
                <w:rFonts w:ascii="Arial" w:hAnsi="Arial" w:cs="Arial"/>
                <w:b/>
                <w:bCs/>
                <w:color w:val="000000"/>
                <w:sz w:val="18"/>
                <w:szCs w:val="18"/>
              </w:rPr>
            </w:pPr>
          </w:p>
        </w:tc>
        <w:tc>
          <w:tcPr>
            <w:tcW w:w="1160" w:type="dxa"/>
            <w:shd w:val="clear" w:color="auto" w:fill="auto"/>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Bulk Billed</w:t>
            </w:r>
          </w:p>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Rate</w:t>
            </w:r>
          </w:p>
        </w:tc>
        <w:tc>
          <w:tcPr>
            <w:tcW w:w="1017" w:type="dxa"/>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5.4%</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2.30%</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4.60%</w:t>
            </w:r>
          </w:p>
        </w:tc>
        <w:tc>
          <w:tcPr>
            <w:tcW w:w="724"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2.6%</w:t>
            </w:r>
          </w:p>
        </w:tc>
        <w:tc>
          <w:tcPr>
            <w:tcW w:w="723"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np</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0.80%</w:t>
            </w:r>
          </w:p>
        </w:tc>
      </w:tr>
      <w:tr w:rsidR="008D573F" w:rsidTr="008D573F">
        <w:trPr>
          <w:trHeight w:val="884"/>
        </w:trPr>
        <w:tc>
          <w:tcPr>
            <w:tcW w:w="867" w:type="dxa"/>
            <w:vMerge w:val="restart"/>
            <w:shd w:val="clear" w:color="auto" w:fill="auto"/>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2015/16</w:t>
            </w:r>
          </w:p>
        </w:tc>
        <w:tc>
          <w:tcPr>
            <w:tcW w:w="1160" w:type="dxa"/>
            <w:shd w:val="clear" w:color="auto" w:fill="auto"/>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Average Fee Charged</w:t>
            </w:r>
          </w:p>
        </w:tc>
        <w:tc>
          <w:tcPr>
            <w:tcW w:w="1017" w:type="dxa"/>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$1,926.84</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$1,936.24</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$2,301.35</w:t>
            </w:r>
          </w:p>
        </w:tc>
        <w:tc>
          <w:tcPr>
            <w:tcW w:w="724"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$2,483.02</w:t>
            </w:r>
          </w:p>
        </w:tc>
        <w:tc>
          <w:tcPr>
            <w:tcW w:w="723"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$2,197.46</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$2,196.40</w:t>
            </w:r>
          </w:p>
        </w:tc>
      </w:tr>
      <w:tr w:rsidR="008D573F" w:rsidTr="008D573F">
        <w:trPr>
          <w:trHeight w:val="635"/>
        </w:trPr>
        <w:tc>
          <w:tcPr>
            <w:tcW w:w="867" w:type="dxa"/>
            <w:vMerge/>
            <w:vAlign w:val="center"/>
            <w:hideMark/>
          </w:tcPr>
          <w:p w:rsidR="008D573F" w:rsidRDefault="008D573F" w:rsidP="008D573F">
            <w:pPr>
              <w:jc w:val="center"/>
              <w:rPr>
                <w:rFonts w:ascii="Arial" w:hAnsi="Arial" w:cs="Arial"/>
                <w:b/>
                <w:bCs/>
                <w:color w:val="000000"/>
                <w:sz w:val="18"/>
                <w:szCs w:val="18"/>
              </w:rPr>
            </w:pPr>
          </w:p>
        </w:tc>
        <w:tc>
          <w:tcPr>
            <w:tcW w:w="1160" w:type="dxa"/>
            <w:shd w:val="clear" w:color="auto" w:fill="auto"/>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Standard</w:t>
            </w:r>
          </w:p>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Deviation</w:t>
            </w:r>
          </w:p>
        </w:tc>
        <w:tc>
          <w:tcPr>
            <w:tcW w:w="1017" w:type="dxa"/>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$1,570.01</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$1,505.26</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$1,808.09</w:t>
            </w:r>
          </w:p>
        </w:tc>
        <w:tc>
          <w:tcPr>
            <w:tcW w:w="724"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$2,050.45</w:t>
            </w:r>
          </w:p>
        </w:tc>
        <w:tc>
          <w:tcPr>
            <w:tcW w:w="723"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$1,418.43</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$473.93</w:t>
            </w:r>
          </w:p>
        </w:tc>
      </w:tr>
      <w:tr w:rsidR="008D573F" w:rsidTr="008D573F">
        <w:trPr>
          <w:trHeight w:val="527"/>
        </w:trPr>
        <w:tc>
          <w:tcPr>
            <w:tcW w:w="867" w:type="dxa"/>
            <w:vMerge/>
            <w:vAlign w:val="center"/>
            <w:hideMark/>
          </w:tcPr>
          <w:p w:rsidR="008D573F" w:rsidRDefault="008D573F" w:rsidP="008D573F">
            <w:pPr>
              <w:jc w:val="center"/>
              <w:rPr>
                <w:rFonts w:ascii="Arial" w:hAnsi="Arial" w:cs="Arial"/>
                <w:b/>
                <w:bCs/>
                <w:color w:val="000000"/>
                <w:sz w:val="18"/>
                <w:szCs w:val="18"/>
              </w:rPr>
            </w:pPr>
          </w:p>
        </w:tc>
        <w:tc>
          <w:tcPr>
            <w:tcW w:w="1160" w:type="dxa"/>
            <w:shd w:val="clear" w:color="auto" w:fill="auto"/>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Median</w:t>
            </w:r>
          </w:p>
        </w:tc>
        <w:tc>
          <w:tcPr>
            <w:tcW w:w="1017" w:type="dxa"/>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$1,210.63</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$1,431.80</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$1,211.35</w:t>
            </w:r>
          </w:p>
        </w:tc>
        <w:tc>
          <w:tcPr>
            <w:tcW w:w="724"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$1,219.05</w:t>
            </w:r>
          </w:p>
        </w:tc>
        <w:tc>
          <w:tcPr>
            <w:tcW w:w="723"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$1,531.95</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$2,107.90</w:t>
            </w:r>
          </w:p>
        </w:tc>
      </w:tr>
      <w:tr w:rsidR="008D573F" w:rsidTr="008D573F">
        <w:trPr>
          <w:trHeight w:val="605"/>
        </w:trPr>
        <w:tc>
          <w:tcPr>
            <w:tcW w:w="867" w:type="dxa"/>
            <w:vMerge/>
            <w:vAlign w:val="center"/>
            <w:hideMark/>
          </w:tcPr>
          <w:p w:rsidR="008D573F" w:rsidRDefault="008D573F" w:rsidP="008D573F">
            <w:pPr>
              <w:jc w:val="center"/>
              <w:rPr>
                <w:rFonts w:ascii="Arial" w:hAnsi="Arial" w:cs="Arial"/>
                <w:b/>
                <w:bCs/>
                <w:color w:val="000000"/>
                <w:sz w:val="18"/>
                <w:szCs w:val="18"/>
              </w:rPr>
            </w:pPr>
          </w:p>
        </w:tc>
        <w:tc>
          <w:tcPr>
            <w:tcW w:w="1160" w:type="dxa"/>
            <w:shd w:val="clear" w:color="auto" w:fill="auto"/>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25th Percentile</w:t>
            </w:r>
          </w:p>
        </w:tc>
        <w:tc>
          <w:tcPr>
            <w:tcW w:w="1017" w:type="dxa"/>
            <w:vAlign w:val="center"/>
          </w:tcPr>
          <w:p w:rsidR="008D573F" w:rsidRPr="003C6710" w:rsidRDefault="008D573F" w:rsidP="008D573F">
            <w:pPr>
              <w:jc w:val="center"/>
              <w:rPr>
                <w:rFonts w:ascii="Arial" w:hAnsi="Arial" w:cs="Arial"/>
                <w:sz w:val="18"/>
                <w:szCs w:val="18"/>
              </w:rPr>
            </w:pPr>
            <w:r>
              <w:rPr>
                <w:rFonts w:ascii="Arial" w:hAnsi="Arial" w:cs="Arial"/>
                <w:color w:val="000000"/>
                <w:sz w:val="18"/>
                <w:szCs w:val="18"/>
              </w:rPr>
              <w:t>$849.55</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 xml:space="preserve">$1,045.40 </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 xml:space="preserve">$1,139.55 </w:t>
            </w:r>
          </w:p>
        </w:tc>
        <w:tc>
          <w:tcPr>
            <w:tcW w:w="724"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 xml:space="preserve">$749.45  </w:t>
            </w:r>
          </w:p>
        </w:tc>
        <w:tc>
          <w:tcPr>
            <w:tcW w:w="723"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 xml:space="preserve">$1,431.80 </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 xml:space="preserve">$2,102.00 </w:t>
            </w:r>
          </w:p>
        </w:tc>
      </w:tr>
      <w:tr w:rsidR="008D573F" w:rsidTr="008D573F">
        <w:trPr>
          <w:trHeight w:val="635"/>
        </w:trPr>
        <w:tc>
          <w:tcPr>
            <w:tcW w:w="867" w:type="dxa"/>
            <w:vMerge/>
            <w:vAlign w:val="center"/>
            <w:hideMark/>
          </w:tcPr>
          <w:p w:rsidR="008D573F" w:rsidRDefault="008D573F" w:rsidP="008D573F">
            <w:pPr>
              <w:jc w:val="center"/>
              <w:rPr>
                <w:rFonts w:ascii="Arial" w:hAnsi="Arial" w:cs="Arial"/>
                <w:b/>
                <w:bCs/>
                <w:color w:val="000000"/>
                <w:sz w:val="18"/>
                <w:szCs w:val="18"/>
              </w:rPr>
            </w:pPr>
          </w:p>
        </w:tc>
        <w:tc>
          <w:tcPr>
            <w:tcW w:w="1160" w:type="dxa"/>
            <w:shd w:val="clear" w:color="auto" w:fill="auto"/>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95th Percentile</w:t>
            </w:r>
          </w:p>
        </w:tc>
        <w:tc>
          <w:tcPr>
            <w:tcW w:w="1017" w:type="dxa"/>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$4,620.00</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$5,545.40</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$5,825.00</w:t>
            </w:r>
          </w:p>
        </w:tc>
        <w:tc>
          <w:tcPr>
            <w:tcW w:w="724"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$5,400.00</w:t>
            </w:r>
          </w:p>
        </w:tc>
        <w:tc>
          <w:tcPr>
            <w:tcW w:w="723"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$4,640.15</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$3,100.00</w:t>
            </w:r>
          </w:p>
        </w:tc>
      </w:tr>
      <w:tr w:rsidR="008D573F" w:rsidTr="008D573F">
        <w:trPr>
          <w:trHeight w:val="315"/>
        </w:trPr>
        <w:tc>
          <w:tcPr>
            <w:tcW w:w="867" w:type="dxa"/>
            <w:vMerge/>
            <w:vAlign w:val="center"/>
            <w:hideMark/>
          </w:tcPr>
          <w:p w:rsidR="008D573F" w:rsidRDefault="008D573F" w:rsidP="008D573F">
            <w:pPr>
              <w:jc w:val="center"/>
              <w:rPr>
                <w:rFonts w:ascii="Arial" w:hAnsi="Arial" w:cs="Arial"/>
                <w:b/>
                <w:bCs/>
                <w:color w:val="000000"/>
                <w:sz w:val="18"/>
                <w:szCs w:val="18"/>
              </w:rPr>
            </w:pPr>
          </w:p>
        </w:tc>
        <w:tc>
          <w:tcPr>
            <w:tcW w:w="1160" w:type="dxa"/>
            <w:shd w:val="clear" w:color="auto" w:fill="auto"/>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Bulk Billed Rate</w:t>
            </w:r>
          </w:p>
        </w:tc>
        <w:tc>
          <w:tcPr>
            <w:tcW w:w="1017" w:type="dxa"/>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5.5%</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2.20%</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6.20%</w:t>
            </w:r>
          </w:p>
        </w:tc>
        <w:tc>
          <w:tcPr>
            <w:tcW w:w="724"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6.9%</w:t>
            </w:r>
          </w:p>
        </w:tc>
        <w:tc>
          <w:tcPr>
            <w:tcW w:w="723"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np</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1.00%</w:t>
            </w:r>
          </w:p>
        </w:tc>
      </w:tr>
      <w:tr w:rsidR="008D573F" w:rsidTr="008D573F">
        <w:trPr>
          <w:trHeight w:val="740"/>
        </w:trPr>
        <w:tc>
          <w:tcPr>
            <w:tcW w:w="867" w:type="dxa"/>
            <w:vMerge w:val="restart"/>
            <w:shd w:val="clear" w:color="auto" w:fill="auto"/>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2016/17</w:t>
            </w:r>
          </w:p>
        </w:tc>
        <w:tc>
          <w:tcPr>
            <w:tcW w:w="1160" w:type="dxa"/>
            <w:shd w:val="clear" w:color="auto" w:fill="auto"/>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Average Fee Charged</w:t>
            </w:r>
          </w:p>
        </w:tc>
        <w:tc>
          <w:tcPr>
            <w:tcW w:w="1017" w:type="dxa"/>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$1,866.38</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$1,936.09</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$2,342.64</w:t>
            </w:r>
          </w:p>
        </w:tc>
        <w:tc>
          <w:tcPr>
            <w:tcW w:w="724"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$1,552.28</w:t>
            </w:r>
          </w:p>
        </w:tc>
        <w:tc>
          <w:tcPr>
            <w:tcW w:w="723"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$2,278.47</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$2,223.31</w:t>
            </w:r>
          </w:p>
        </w:tc>
      </w:tr>
      <w:tr w:rsidR="008D573F" w:rsidTr="008D573F">
        <w:trPr>
          <w:trHeight w:val="635"/>
        </w:trPr>
        <w:tc>
          <w:tcPr>
            <w:tcW w:w="867" w:type="dxa"/>
            <w:vMerge/>
            <w:vAlign w:val="center"/>
            <w:hideMark/>
          </w:tcPr>
          <w:p w:rsidR="008D573F" w:rsidRDefault="008D573F" w:rsidP="008D573F">
            <w:pPr>
              <w:jc w:val="center"/>
              <w:rPr>
                <w:rFonts w:ascii="Arial" w:hAnsi="Arial" w:cs="Arial"/>
                <w:b/>
                <w:bCs/>
                <w:color w:val="000000"/>
                <w:sz w:val="18"/>
                <w:szCs w:val="18"/>
              </w:rPr>
            </w:pPr>
          </w:p>
        </w:tc>
        <w:tc>
          <w:tcPr>
            <w:tcW w:w="1160" w:type="dxa"/>
            <w:shd w:val="clear" w:color="auto" w:fill="auto"/>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Standard</w:t>
            </w:r>
          </w:p>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Deviation</w:t>
            </w:r>
          </w:p>
        </w:tc>
        <w:tc>
          <w:tcPr>
            <w:tcW w:w="1017" w:type="dxa"/>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$1,585.05</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$1,511.58</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$1,879.25</w:t>
            </w:r>
          </w:p>
        </w:tc>
        <w:tc>
          <w:tcPr>
            <w:tcW w:w="724"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$1,215.78</w:t>
            </w:r>
          </w:p>
        </w:tc>
        <w:tc>
          <w:tcPr>
            <w:tcW w:w="723"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$1,567.79</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$531.43</w:t>
            </w:r>
          </w:p>
        </w:tc>
      </w:tr>
      <w:tr w:rsidR="008D573F" w:rsidTr="008D573F">
        <w:trPr>
          <w:trHeight w:val="527"/>
        </w:trPr>
        <w:tc>
          <w:tcPr>
            <w:tcW w:w="867" w:type="dxa"/>
            <w:vMerge/>
            <w:vAlign w:val="center"/>
            <w:hideMark/>
          </w:tcPr>
          <w:p w:rsidR="008D573F" w:rsidRDefault="008D573F" w:rsidP="008D573F">
            <w:pPr>
              <w:jc w:val="center"/>
              <w:rPr>
                <w:rFonts w:ascii="Arial" w:hAnsi="Arial" w:cs="Arial"/>
                <w:b/>
                <w:bCs/>
                <w:color w:val="000000"/>
                <w:sz w:val="18"/>
                <w:szCs w:val="18"/>
              </w:rPr>
            </w:pPr>
          </w:p>
        </w:tc>
        <w:tc>
          <w:tcPr>
            <w:tcW w:w="1160" w:type="dxa"/>
            <w:shd w:val="clear" w:color="auto" w:fill="auto"/>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Median</w:t>
            </w:r>
          </w:p>
        </w:tc>
        <w:tc>
          <w:tcPr>
            <w:tcW w:w="1017" w:type="dxa"/>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$1,163.45</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$1,431.80</w:t>
            </w:r>
          </w:p>
        </w:tc>
        <w:tc>
          <w:tcPr>
            <w:tcW w:w="1017" w:type="dxa"/>
            <w:shd w:val="clear" w:color="000000" w:fill="FFFFFF"/>
            <w:vAlign w:val="center"/>
            <w:hideMark/>
          </w:tcPr>
          <w:p w:rsidR="008D573F" w:rsidRDefault="008D573F" w:rsidP="008D573F">
            <w:pPr>
              <w:rPr>
                <w:rFonts w:ascii="Arial" w:hAnsi="Arial" w:cs="Arial"/>
                <w:color w:val="000000"/>
                <w:sz w:val="18"/>
                <w:szCs w:val="18"/>
              </w:rPr>
            </w:pPr>
            <w:r>
              <w:rPr>
                <w:rFonts w:ascii="Arial" w:hAnsi="Arial" w:cs="Arial"/>
                <w:color w:val="000000"/>
                <w:sz w:val="18"/>
                <w:szCs w:val="18"/>
              </w:rPr>
              <w:t>$1,211.35</w:t>
            </w:r>
          </w:p>
        </w:tc>
        <w:tc>
          <w:tcPr>
            <w:tcW w:w="724"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$1,181.45</w:t>
            </w:r>
          </w:p>
        </w:tc>
        <w:tc>
          <w:tcPr>
            <w:tcW w:w="723"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$1,490.60</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$2,107.90</w:t>
            </w:r>
          </w:p>
        </w:tc>
      </w:tr>
      <w:tr w:rsidR="008D573F" w:rsidTr="008D573F">
        <w:trPr>
          <w:trHeight w:val="635"/>
        </w:trPr>
        <w:tc>
          <w:tcPr>
            <w:tcW w:w="867" w:type="dxa"/>
            <w:vMerge/>
            <w:vAlign w:val="center"/>
            <w:hideMark/>
          </w:tcPr>
          <w:p w:rsidR="008D573F" w:rsidRDefault="008D573F" w:rsidP="008D573F">
            <w:pPr>
              <w:jc w:val="center"/>
              <w:rPr>
                <w:rFonts w:ascii="Arial" w:hAnsi="Arial" w:cs="Arial"/>
                <w:b/>
                <w:bCs/>
                <w:color w:val="000000"/>
                <w:sz w:val="18"/>
                <w:szCs w:val="18"/>
              </w:rPr>
            </w:pPr>
          </w:p>
        </w:tc>
        <w:tc>
          <w:tcPr>
            <w:tcW w:w="1160" w:type="dxa"/>
            <w:shd w:val="clear" w:color="auto" w:fill="auto"/>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25th Percentile</w:t>
            </w:r>
          </w:p>
        </w:tc>
        <w:tc>
          <w:tcPr>
            <w:tcW w:w="1017" w:type="dxa"/>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$849.55</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 xml:space="preserve">$1,045.40 </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$1,148.25</w:t>
            </w:r>
          </w:p>
        </w:tc>
        <w:tc>
          <w:tcPr>
            <w:tcW w:w="724" w:type="dxa"/>
            <w:shd w:val="clear" w:color="000000" w:fill="FFFFFF"/>
            <w:vAlign w:val="center"/>
          </w:tcPr>
          <w:p w:rsidR="008D573F" w:rsidRPr="0053472A" w:rsidRDefault="008D573F" w:rsidP="008D573F">
            <w:pPr>
              <w:jc w:val="center"/>
              <w:rPr>
                <w:rFonts w:ascii="Arial" w:hAnsi="Arial" w:cs="Arial"/>
                <w:color w:val="000000"/>
                <w:sz w:val="18"/>
                <w:szCs w:val="18"/>
              </w:rPr>
            </w:pPr>
            <w:r>
              <w:rPr>
                <w:rFonts w:ascii="Arial" w:hAnsi="Arial" w:cs="Arial"/>
                <w:color w:val="000000"/>
                <w:sz w:val="18"/>
                <w:szCs w:val="18"/>
              </w:rPr>
              <w:t xml:space="preserve">$1,162.20 </w:t>
            </w:r>
          </w:p>
        </w:tc>
        <w:tc>
          <w:tcPr>
            <w:tcW w:w="723" w:type="dxa"/>
            <w:shd w:val="clear" w:color="000000" w:fill="FFFFFF"/>
            <w:vAlign w:val="center"/>
          </w:tcPr>
          <w:p w:rsidR="008D573F" w:rsidRPr="00195E7A" w:rsidRDefault="008D573F" w:rsidP="008D573F">
            <w:pPr>
              <w:jc w:val="center"/>
              <w:rPr>
                <w:rFonts w:ascii="Arial" w:hAnsi="Arial" w:cs="Arial"/>
                <w:color w:val="000000"/>
                <w:sz w:val="18"/>
                <w:szCs w:val="18"/>
              </w:rPr>
            </w:pPr>
            <w:r>
              <w:rPr>
                <w:rFonts w:ascii="Arial" w:hAnsi="Arial" w:cs="Arial"/>
                <w:color w:val="000000"/>
                <w:sz w:val="18"/>
                <w:szCs w:val="18"/>
              </w:rPr>
              <w:t xml:space="preserve">$1,412.95 </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$2,102.00</w:t>
            </w:r>
          </w:p>
        </w:tc>
      </w:tr>
      <w:tr w:rsidR="008D573F" w:rsidTr="008D573F">
        <w:trPr>
          <w:trHeight w:val="635"/>
        </w:trPr>
        <w:tc>
          <w:tcPr>
            <w:tcW w:w="867" w:type="dxa"/>
            <w:vMerge/>
            <w:vAlign w:val="center"/>
            <w:hideMark/>
          </w:tcPr>
          <w:p w:rsidR="008D573F" w:rsidRDefault="008D573F" w:rsidP="008D573F">
            <w:pPr>
              <w:jc w:val="center"/>
              <w:rPr>
                <w:rFonts w:ascii="Arial" w:hAnsi="Arial" w:cs="Arial"/>
                <w:b/>
                <w:bCs/>
                <w:color w:val="000000"/>
                <w:sz w:val="18"/>
                <w:szCs w:val="18"/>
              </w:rPr>
            </w:pPr>
          </w:p>
        </w:tc>
        <w:tc>
          <w:tcPr>
            <w:tcW w:w="1160" w:type="dxa"/>
            <w:shd w:val="clear" w:color="auto" w:fill="auto"/>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95th Percentile</w:t>
            </w:r>
          </w:p>
        </w:tc>
        <w:tc>
          <w:tcPr>
            <w:tcW w:w="1017" w:type="dxa"/>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$5,050.00</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$5,597.75</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$6,000.00</w:t>
            </w:r>
          </w:p>
        </w:tc>
        <w:tc>
          <w:tcPr>
            <w:tcW w:w="724"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$4,892.00</w:t>
            </w:r>
          </w:p>
        </w:tc>
        <w:tc>
          <w:tcPr>
            <w:tcW w:w="723"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$4,900.00</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$3,550.00</w:t>
            </w:r>
          </w:p>
        </w:tc>
      </w:tr>
      <w:tr w:rsidR="008D573F" w:rsidTr="008D573F">
        <w:trPr>
          <w:trHeight w:val="660"/>
        </w:trPr>
        <w:tc>
          <w:tcPr>
            <w:tcW w:w="867" w:type="dxa"/>
            <w:vMerge/>
            <w:vAlign w:val="center"/>
            <w:hideMark/>
          </w:tcPr>
          <w:p w:rsidR="008D573F" w:rsidRDefault="008D573F" w:rsidP="008D573F">
            <w:pPr>
              <w:jc w:val="center"/>
              <w:rPr>
                <w:rFonts w:ascii="Arial" w:hAnsi="Arial" w:cs="Arial"/>
                <w:b/>
                <w:bCs/>
                <w:color w:val="000000"/>
                <w:sz w:val="18"/>
                <w:szCs w:val="18"/>
              </w:rPr>
            </w:pPr>
          </w:p>
        </w:tc>
        <w:tc>
          <w:tcPr>
            <w:tcW w:w="1160" w:type="dxa"/>
            <w:shd w:val="clear" w:color="auto" w:fill="auto"/>
            <w:vAlign w:val="center"/>
            <w:hideMark/>
          </w:tcPr>
          <w:p w:rsidR="008D573F" w:rsidRDefault="008D573F" w:rsidP="008D573F">
            <w:pPr>
              <w:jc w:val="center"/>
              <w:rPr>
                <w:rFonts w:ascii="Arial" w:hAnsi="Arial" w:cs="Arial"/>
                <w:b/>
                <w:bCs/>
                <w:color w:val="000000"/>
                <w:sz w:val="18"/>
                <w:szCs w:val="18"/>
              </w:rPr>
            </w:pPr>
            <w:r>
              <w:rPr>
                <w:rFonts w:ascii="Arial" w:hAnsi="Arial" w:cs="Arial"/>
                <w:b/>
                <w:bCs/>
                <w:color w:val="000000"/>
                <w:sz w:val="18"/>
                <w:szCs w:val="18"/>
              </w:rPr>
              <w:t>Bulk Billed Rate</w:t>
            </w:r>
          </w:p>
        </w:tc>
        <w:tc>
          <w:tcPr>
            <w:tcW w:w="1017" w:type="dxa"/>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7.8%</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2.90%</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8.70%</w:t>
            </w:r>
          </w:p>
        </w:tc>
        <w:tc>
          <w:tcPr>
            <w:tcW w:w="724" w:type="dxa"/>
            <w:shd w:val="clear" w:color="000000" w:fill="FFFFFF"/>
            <w:vAlign w:val="center"/>
          </w:tcPr>
          <w:p w:rsidR="008D573F" w:rsidRPr="005A6720" w:rsidRDefault="008D573F" w:rsidP="008D573F">
            <w:pPr>
              <w:jc w:val="center"/>
              <w:rPr>
                <w:rFonts w:ascii="Arial" w:hAnsi="Arial" w:cs="Arial"/>
                <w:sz w:val="18"/>
                <w:szCs w:val="18"/>
              </w:rPr>
            </w:pPr>
            <w:r>
              <w:rPr>
                <w:rFonts w:ascii="Arial" w:hAnsi="Arial" w:cs="Arial"/>
                <w:color w:val="000000"/>
                <w:sz w:val="18"/>
                <w:szCs w:val="18"/>
              </w:rPr>
              <w:t>16.5%</w:t>
            </w:r>
          </w:p>
        </w:tc>
        <w:tc>
          <w:tcPr>
            <w:tcW w:w="723"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4.0%</w:t>
            </w:r>
          </w:p>
        </w:tc>
        <w:tc>
          <w:tcPr>
            <w:tcW w:w="1017" w:type="dxa"/>
            <w:shd w:val="clear" w:color="000000" w:fill="FFFFFF"/>
            <w:vAlign w:val="center"/>
            <w:hideMark/>
          </w:tcPr>
          <w:p w:rsidR="008D573F" w:rsidRDefault="008D573F" w:rsidP="008D573F">
            <w:pPr>
              <w:jc w:val="center"/>
              <w:rPr>
                <w:rFonts w:ascii="Arial" w:hAnsi="Arial" w:cs="Arial"/>
                <w:color w:val="000000"/>
                <w:sz w:val="18"/>
                <w:szCs w:val="18"/>
              </w:rPr>
            </w:pPr>
            <w:r>
              <w:rPr>
                <w:rFonts w:ascii="Arial" w:hAnsi="Arial" w:cs="Arial"/>
                <w:color w:val="000000"/>
                <w:sz w:val="18"/>
                <w:szCs w:val="18"/>
              </w:rPr>
              <w:t>1.60%</w:t>
            </w:r>
          </w:p>
        </w:tc>
      </w:tr>
    </w:tbl>
    <w:p w:rsidR="008D573F" w:rsidRPr="00D73798" w:rsidRDefault="008D573F" w:rsidP="00D73798">
      <w:pPr>
        <w:rPr>
          <w:rFonts w:asciiTheme="minorHAnsi" w:hAnsiTheme="minorHAnsi" w:cstheme="minorHAnsi"/>
          <w:i/>
          <w:sz w:val="16"/>
          <w:szCs w:val="16"/>
        </w:rPr>
      </w:pPr>
      <w:r w:rsidRPr="00D73798">
        <w:rPr>
          <w:rFonts w:asciiTheme="minorHAnsi" w:hAnsiTheme="minorHAnsi" w:cstheme="minorHAnsi"/>
          <w:i/>
          <w:sz w:val="16"/>
          <w:szCs w:val="16"/>
        </w:rPr>
        <w:t>Source: Department of Health, Medical Benefits Division, Primary Care and Diagnostics Branch, MBS Analytics Section, Reference no.: Q20863, July 2017</w:t>
      </w:r>
    </w:p>
    <w:p w:rsidR="00D167A6" w:rsidRPr="007105F2" w:rsidRDefault="008D573F" w:rsidP="00672AC2">
      <w:pPr>
        <w:rPr>
          <w:rFonts w:asciiTheme="minorHAnsi" w:hAnsiTheme="minorHAnsi" w:cstheme="minorHAnsi"/>
          <w:i/>
          <w:sz w:val="16"/>
          <w:szCs w:val="16"/>
        </w:rPr>
      </w:pPr>
      <w:r w:rsidRPr="00D73798">
        <w:rPr>
          <w:rFonts w:asciiTheme="minorHAnsi" w:hAnsiTheme="minorHAnsi" w:cstheme="minorHAnsi"/>
          <w:i/>
          <w:sz w:val="16"/>
          <w:szCs w:val="16"/>
        </w:rPr>
        <w:t>NP = not printed</w:t>
      </w:r>
    </w:p>
    <w:p w:rsidR="00672AC2" w:rsidRPr="009418F3" w:rsidRDefault="008D573F" w:rsidP="009418F3">
      <w:pPr>
        <w:rPr>
          <w:rFonts w:ascii="Arial Narrow" w:hAnsi="Arial Narrow"/>
          <w:b/>
          <w:sz w:val="20"/>
        </w:rPr>
      </w:pPr>
      <w:r w:rsidRPr="009418F3">
        <w:rPr>
          <w:noProof/>
        </w:rPr>
        <w:lastRenderedPageBreak/>
        <w:drawing>
          <wp:inline distT="0" distB="0" distL="0" distR="0" wp14:anchorId="135E5B2C" wp14:editId="25DC7596">
            <wp:extent cx="5562600" cy="2905125"/>
            <wp:effectExtent l="0" t="0" r="19050" b="9525"/>
            <wp:docPr id="1" name="Chart 1" descr="This figure depicts the averge fee charged for all 6 primary bariatric surgery items from 2013-17, including the variation in fees charged from the 25th to the 95th percentiles.  " title="Average fee charged and variation in fees charged for primary bariatric services "/>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6" w:name="_Toc504051256"/>
      <w:bookmarkStart w:id="7" w:name="_Toc504652228"/>
      <w:r w:rsidR="00672AC2" w:rsidRPr="009418F3">
        <w:t xml:space="preserve"> </w:t>
      </w:r>
      <w:r w:rsidR="00672AC2" w:rsidRPr="009418F3">
        <w:rPr>
          <w:rFonts w:ascii="Arial Narrow" w:hAnsi="Arial Narrow"/>
          <w:b/>
          <w:sz w:val="20"/>
        </w:rPr>
        <w:t>Figure 1: Average fee charged and the variation in fees charged from the 25th to the 95th percentiles for primary bariatric surgery items between 2013-14 and 2016-17.</w:t>
      </w:r>
    </w:p>
    <w:p w:rsidR="002E542D" w:rsidRDefault="00672AC2" w:rsidP="002E542D">
      <w:pPr>
        <w:rPr>
          <w:rFonts w:asciiTheme="minorHAnsi" w:hAnsiTheme="minorHAnsi" w:cstheme="minorHAnsi"/>
          <w:i/>
          <w:sz w:val="16"/>
          <w:szCs w:val="16"/>
        </w:rPr>
      </w:pPr>
      <w:r w:rsidRPr="00D73798">
        <w:rPr>
          <w:rFonts w:asciiTheme="minorHAnsi" w:hAnsiTheme="minorHAnsi" w:cstheme="minorHAnsi"/>
          <w:i/>
          <w:sz w:val="16"/>
          <w:szCs w:val="16"/>
        </w:rPr>
        <w:t>Source: Department of Health, Medical Benefits Division, Primary Care and Diagnostics Branch, MBS Analytics Section, Reference no.: Q20863, July 2017</w:t>
      </w:r>
    </w:p>
    <w:p w:rsidR="008D573F" w:rsidRPr="002E542D" w:rsidRDefault="008D573F" w:rsidP="002E542D">
      <w:pPr>
        <w:pStyle w:val="Heading2"/>
        <w:rPr>
          <w:rFonts w:ascii="Arial" w:hAnsi="Arial" w:cs="Arial"/>
          <w:szCs w:val="24"/>
        </w:rPr>
      </w:pPr>
      <w:r w:rsidRPr="002E542D">
        <w:rPr>
          <w:rFonts w:ascii="Arial" w:hAnsi="Arial" w:cs="Arial"/>
          <w:szCs w:val="24"/>
        </w:rPr>
        <w:t>Patient breakdown</w:t>
      </w:r>
      <w:bookmarkEnd w:id="6"/>
      <w:bookmarkEnd w:id="7"/>
    </w:p>
    <w:p w:rsidR="008D573F" w:rsidRPr="00863F70" w:rsidRDefault="008D573F" w:rsidP="007105F2">
      <w:pPr>
        <w:spacing w:after="240"/>
        <w:rPr>
          <w:spacing w:val="-3"/>
          <w:szCs w:val="24"/>
        </w:rPr>
      </w:pPr>
      <w:r w:rsidRPr="00863F70">
        <w:rPr>
          <w:spacing w:val="-3"/>
          <w:szCs w:val="24"/>
        </w:rPr>
        <w:t>There were 48,097 patients who claimed bariatric services in 2016-17. 21,411 of these patients received a primary bariatric surgical service (31569-31584). This discrepancy in patient numbers is due to patients claiming multiple ongoing adjustment items (item 31587) after receiving gastric banding surgery.</w:t>
      </w:r>
    </w:p>
    <w:p w:rsidR="008D573F" w:rsidRPr="00863F70" w:rsidRDefault="008D573F" w:rsidP="007105F2">
      <w:pPr>
        <w:spacing w:after="240"/>
        <w:rPr>
          <w:spacing w:val="-3"/>
          <w:szCs w:val="24"/>
        </w:rPr>
      </w:pPr>
      <w:r w:rsidRPr="00863F70">
        <w:rPr>
          <w:spacing w:val="-3"/>
          <w:szCs w:val="24"/>
        </w:rPr>
        <w:t>Figures 2-5 represent patient demographics of those claiming bariatric items 31572, 31575, 31584 and 31587. These four items represent over 96% of total bariatric services rendered from 2013-14 to 2016-17.</w:t>
      </w:r>
    </w:p>
    <w:p w:rsidR="00540F30" w:rsidRPr="007105F2" w:rsidRDefault="008D573F" w:rsidP="007105F2">
      <w:pPr>
        <w:spacing w:after="240"/>
        <w:rPr>
          <w:spacing w:val="-3"/>
          <w:szCs w:val="24"/>
        </w:rPr>
      </w:pPr>
      <w:r w:rsidRPr="00863F70">
        <w:rPr>
          <w:spacing w:val="-3"/>
          <w:szCs w:val="24"/>
        </w:rPr>
        <w:t>The most common primary bariatric procedure, the sleeve gastrectomy (31575), is claimed predominantly by females aged 35-54. The most common of all the items, adjustment of a gastric band (31587), is claimed predominantly by females age</w:t>
      </w:r>
      <w:r w:rsidR="008F5DEE" w:rsidRPr="00863F70">
        <w:rPr>
          <w:spacing w:val="-3"/>
          <w:szCs w:val="24"/>
        </w:rPr>
        <w:t>d 45-54.</w:t>
      </w:r>
    </w:p>
    <w:p w:rsidR="008D573F" w:rsidRPr="009418F3" w:rsidRDefault="008D573F" w:rsidP="009418F3">
      <w:pPr>
        <w:rPr>
          <w:rFonts w:ascii="Arial Narrow" w:hAnsi="Arial Narrow"/>
          <w:b/>
          <w:sz w:val="20"/>
        </w:rPr>
      </w:pPr>
      <w:r w:rsidRPr="009418F3">
        <w:rPr>
          <w:rFonts w:ascii="Arial Narrow" w:hAnsi="Arial Narrow"/>
          <w:b/>
          <w:sz w:val="20"/>
        </w:rPr>
        <w:t>Table 11: Number of patients who received MBS listed bariatric services (31569-31590) from 2013-14 to 2016-17</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patients who received bariatric MBS services from 2013-2017"/>
        <w:tblDescription w:val="This table depicts the number of patients who claimed any of the eight MBS bariatric items over the fours years since their implementation. "/>
      </w:tblPr>
      <w:tblGrid>
        <w:gridCol w:w="1101"/>
        <w:gridCol w:w="814"/>
        <w:gridCol w:w="767"/>
        <w:gridCol w:w="814"/>
        <w:gridCol w:w="767"/>
        <w:gridCol w:w="717"/>
        <w:gridCol w:w="767"/>
        <w:gridCol w:w="867"/>
        <w:gridCol w:w="717"/>
        <w:gridCol w:w="867"/>
      </w:tblGrid>
      <w:tr w:rsidR="008D573F" w:rsidRPr="00DF44FD" w:rsidTr="008D573F">
        <w:trPr>
          <w:trHeight w:val="339"/>
          <w:jc w:val="center"/>
        </w:trPr>
        <w:tc>
          <w:tcPr>
            <w:tcW w:w="1101" w:type="dxa"/>
            <w:vMerge w:val="restart"/>
            <w:shd w:val="clear" w:color="auto" w:fill="548DD4" w:themeFill="text2" w:themeFillTint="99"/>
            <w:vAlign w:val="center"/>
            <w:hideMark/>
          </w:tcPr>
          <w:p w:rsidR="008D573F" w:rsidRPr="00DF44FD" w:rsidRDefault="008D573F" w:rsidP="008D573F">
            <w:pPr>
              <w:jc w:val="center"/>
              <w:rPr>
                <w:rFonts w:ascii="Arial" w:hAnsi="Arial" w:cs="Arial"/>
                <w:b/>
                <w:bCs/>
                <w:color w:val="FFFFFF"/>
                <w:sz w:val="18"/>
                <w:szCs w:val="18"/>
              </w:rPr>
            </w:pPr>
            <w:r w:rsidRPr="00DF44FD">
              <w:rPr>
                <w:rFonts w:ascii="Arial" w:hAnsi="Arial" w:cs="Arial"/>
                <w:b/>
                <w:bCs/>
                <w:color w:val="FFFFFF"/>
                <w:sz w:val="18"/>
                <w:szCs w:val="18"/>
              </w:rPr>
              <w:t>Financial</w:t>
            </w:r>
          </w:p>
          <w:p w:rsidR="008D573F" w:rsidRPr="00DF44FD" w:rsidRDefault="008D573F" w:rsidP="008D573F">
            <w:pPr>
              <w:jc w:val="center"/>
              <w:rPr>
                <w:rFonts w:ascii="Arial" w:hAnsi="Arial" w:cs="Arial"/>
                <w:b/>
                <w:bCs/>
                <w:color w:val="FFFFFF"/>
                <w:sz w:val="18"/>
                <w:szCs w:val="18"/>
              </w:rPr>
            </w:pPr>
            <w:r w:rsidRPr="00DF44FD">
              <w:rPr>
                <w:rFonts w:ascii="Arial" w:hAnsi="Arial" w:cs="Arial"/>
                <w:b/>
                <w:bCs/>
                <w:color w:val="FFFFFF"/>
                <w:sz w:val="18"/>
                <w:szCs w:val="18"/>
              </w:rPr>
              <w:t>Year</w:t>
            </w:r>
          </w:p>
        </w:tc>
        <w:tc>
          <w:tcPr>
            <w:tcW w:w="7018" w:type="dxa"/>
            <w:gridSpan w:val="9"/>
            <w:shd w:val="clear" w:color="auto" w:fill="548DD4" w:themeFill="text2" w:themeFillTint="99"/>
            <w:vAlign w:val="center"/>
            <w:hideMark/>
          </w:tcPr>
          <w:p w:rsidR="008D573F" w:rsidRDefault="008D573F" w:rsidP="008D573F">
            <w:pPr>
              <w:jc w:val="center"/>
              <w:rPr>
                <w:rFonts w:ascii="Arial" w:hAnsi="Arial" w:cs="Arial"/>
                <w:b/>
                <w:bCs/>
                <w:color w:val="FFFFFF"/>
                <w:sz w:val="18"/>
                <w:szCs w:val="18"/>
              </w:rPr>
            </w:pPr>
            <w:r>
              <w:rPr>
                <w:rFonts w:ascii="Arial" w:hAnsi="Arial" w:cs="Arial"/>
                <w:b/>
                <w:bCs/>
                <w:color w:val="FFFFFF"/>
                <w:sz w:val="18"/>
                <w:szCs w:val="18"/>
              </w:rPr>
              <w:t xml:space="preserve">Item no. </w:t>
            </w:r>
          </w:p>
        </w:tc>
      </w:tr>
      <w:tr w:rsidR="008D573F" w:rsidRPr="00DF44FD" w:rsidTr="008D573F">
        <w:trPr>
          <w:trHeight w:val="339"/>
          <w:jc w:val="center"/>
        </w:trPr>
        <w:tc>
          <w:tcPr>
            <w:tcW w:w="1101" w:type="dxa"/>
            <w:vMerge/>
            <w:shd w:val="clear" w:color="auto" w:fill="548DD4" w:themeFill="text2" w:themeFillTint="99"/>
            <w:vAlign w:val="center"/>
            <w:hideMark/>
          </w:tcPr>
          <w:p w:rsidR="008D573F" w:rsidRPr="00DF44FD" w:rsidRDefault="008D573F" w:rsidP="008D573F">
            <w:pPr>
              <w:jc w:val="center"/>
              <w:rPr>
                <w:rFonts w:ascii="Arial" w:hAnsi="Arial" w:cs="Arial"/>
                <w:b/>
                <w:bCs/>
                <w:color w:val="FFFFFF"/>
                <w:sz w:val="18"/>
                <w:szCs w:val="18"/>
              </w:rPr>
            </w:pPr>
          </w:p>
        </w:tc>
        <w:tc>
          <w:tcPr>
            <w:tcW w:w="814" w:type="dxa"/>
            <w:shd w:val="clear" w:color="auto" w:fill="548DD4" w:themeFill="text2" w:themeFillTint="99"/>
            <w:vAlign w:val="center"/>
            <w:hideMark/>
          </w:tcPr>
          <w:p w:rsidR="008D573F" w:rsidRPr="00DF44FD" w:rsidRDefault="008D573F" w:rsidP="008D573F">
            <w:pPr>
              <w:jc w:val="center"/>
              <w:rPr>
                <w:rFonts w:ascii="Arial" w:hAnsi="Arial" w:cs="Arial"/>
                <w:b/>
                <w:bCs/>
                <w:color w:val="FFFFFF"/>
                <w:sz w:val="18"/>
                <w:szCs w:val="18"/>
              </w:rPr>
            </w:pPr>
            <w:r>
              <w:rPr>
                <w:rFonts w:ascii="Arial" w:hAnsi="Arial" w:cs="Arial"/>
                <w:b/>
                <w:bCs/>
                <w:color w:val="FFFFFF"/>
                <w:sz w:val="18"/>
                <w:szCs w:val="18"/>
              </w:rPr>
              <w:t>31569</w:t>
            </w:r>
          </w:p>
        </w:tc>
        <w:tc>
          <w:tcPr>
            <w:tcW w:w="767" w:type="dxa"/>
            <w:shd w:val="clear" w:color="auto" w:fill="548DD4" w:themeFill="text2" w:themeFillTint="99"/>
            <w:vAlign w:val="center"/>
            <w:hideMark/>
          </w:tcPr>
          <w:p w:rsidR="008D573F" w:rsidRPr="00DF44FD" w:rsidRDefault="008D573F" w:rsidP="008D573F">
            <w:pPr>
              <w:jc w:val="center"/>
              <w:rPr>
                <w:rFonts w:ascii="Arial" w:hAnsi="Arial" w:cs="Arial"/>
                <w:b/>
                <w:bCs/>
                <w:color w:val="FFFFFF"/>
                <w:sz w:val="18"/>
                <w:szCs w:val="18"/>
              </w:rPr>
            </w:pPr>
            <w:r>
              <w:rPr>
                <w:rFonts w:ascii="Arial" w:hAnsi="Arial" w:cs="Arial"/>
                <w:b/>
                <w:bCs/>
                <w:color w:val="FFFFFF"/>
                <w:sz w:val="18"/>
                <w:szCs w:val="18"/>
              </w:rPr>
              <w:t>31572</w:t>
            </w:r>
          </w:p>
        </w:tc>
        <w:tc>
          <w:tcPr>
            <w:tcW w:w="814" w:type="dxa"/>
            <w:shd w:val="clear" w:color="auto" w:fill="548DD4" w:themeFill="text2" w:themeFillTint="99"/>
            <w:vAlign w:val="center"/>
            <w:hideMark/>
          </w:tcPr>
          <w:p w:rsidR="008D573F" w:rsidRPr="00DF44FD" w:rsidRDefault="008D573F" w:rsidP="008D573F">
            <w:pPr>
              <w:jc w:val="center"/>
              <w:rPr>
                <w:rFonts w:ascii="Arial" w:hAnsi="Arial" w:cs="Arial"/>
                <w:b/>
                <w:bCs/>
                <w:color w:val="FFFFFF"/>
                <w:sz w:val="18"/>
                <w:szCs w:val="18"/>
              </w:rPr>
            </w:pPr>
            <w:r>
              <w:rPr>
                <w:rFonts w:ascii="Arial" w:hAnsi="Arial" w:cs="Arial"/>
                <w:b/>
                <w:bCs/>
                <w:color w:val="FFFFFF"/>
                <w:sz w:val="18"/>
                <w:szCs w:val="18"/>
              </w:rPr>
              <w:t>31575</w:t>
            </w:r>
          </w:p>
        </w:tc>
        <w:tc>
          <w:tcPr>
            <w:tcW w:w="767" w:type="dxa"/>
            <w:shd w:val="clear" w:color="auto" w:fill="548DD4" w:themeFill="text2" w:themeFillTint="99"/>
            <w:vAlign w:val="center"/>
            <w:hideMark/>
          </w:tcPr>
          <w:p w:rsidR="008D573F" w:rsidRPr="00DF44FD" w:rsidRDefault="008D573F" w:rsidP="008D573F">
            <w:pPr>
              <w:jc w:val="center"/>
              <w:rPr>
                <w:rFonts w:ascii="Arial" w:hAnsi="Arial" w:cs="Arial"/>
                <w:b/>
                <w:bCs/>
                <w:color w:val="FFFFFF"/>
                <w:sz w:val="18"/>
                <w:szCs w:val="18"/>
              </w:rPr>
            </w:pPr>
            <w:r>
              <w:rPr>
                <w:rFonts w:ascii="Arial" w:hAnsi="Arial" w:cs="Arial"/>
                <w:b/>
                <w:bCs/>
                <w:color w:val="FFFFFF"/>
                <w:sz w:val="18"/>
                <w:szCs w:val="18"/>
              </w:rPr>
              <w:t>31578</w:t>
            </w:r>
          </w:p>
        </w:tc>
        <w:tc>
          <w:tcPr>
            <w:tcW w:w="681" w:type="dxa"/>
            <w:shd w:val="clear" w:color="auto" w:fill="548DD4" w:themeFill="text2" w:themeFillTint="99"/>
            <w:vAlign w:val="center"/>
            <w:hideMark/>
          </w:tcPr>
          <w:p w:rsidR="008D573F" w:rsidRPr="00DF44FD" w:rsidRDefault="008D573F" w:rsidP="008D573F">
            <w:pPr>
              <w:jc w:val="center"/>
              <w:rPr>
                <w:rFonts w:ascii="Arial" w:hAnsi="Arial" w:cs="Arial"/>
                <w:b/>
                <w:bCs/>
                <w:color w:val="FFFFFF"/>
                <w:sz w:val="18"/>
                <w:szCs w:val="18"/>
              </w:rPr>
            </w:pPr>
            <w:r>
              <w:rPr>
                <w:rFonts w:ascii="Arial" w:hAnsi="Arial" w:cs="Arial"/>
                <w:b/>
                <w:bCs/>
                <w:color w:val="FFFFFF"/>
                <w:sz w:val="18"/>
                <w:szCs w:val="18"/>
              </w:rPr>
              <w:t>31581</w:t>
            </w:r>
          </w:p>
        </w:tc>
        <w:tc>
          <w:tcPr>
            <w:tcW w:w="728" w:type="dxa"/>
            <w:shd w:val="clear" w:color="auto" w:fill="548DD4" w:themeFill="text2" w:themeFillTint="99"/>
            <w:vAlign w:val="center"/>
          </w:tcPr>
          <w:p w:rsidR="008D573F" w:rsidRDefault="008D573F" w:rsidP="008D573F">
            <w:pPr>
              <w:jc w:val="center"/>
              <w:rPr>
                <w:rFonts w:ascii="Arial" w:hAnsi="Arial" w:cs="Arial"/>
                <w:b/>
                <w:bCs/>
                <w:color w:val="FFFFFF"/>
                <w:sz w:val="18"/>
                <w:szCs w:val="18"/>
              </w:rPr>
            </w:pPr>
            <w:r>
              <w:rPr>
                <w:rFonts w:ascii="Arial" w:hAnsi="Arial" w:cs="Arial"/>
                <w:b/>
                <w:bCs/>
                <w:color w:val="FFFFFF"/>
                <w:sz w:val="18"/>
                <w:szCs w:val="18"/>
              </w:rPr>
              <w:t>31584</w:t>
            </w:r>
          </w:p>
        </w:tc>
        <w:tc>
          <w:tcPr>
            <w:tcW w:w="823" w:type="dxa"/>
            <w:shd w:val="clear" w:color="auto" w:fill="548DD4" w:themeFill="text2" w:themeFillTint="99"/>
            <w:vAlign w:val="center"/>
          </w:tcPr>
          <w:p w:rsidR="008D573F" w:rsidRDefault="008D573F" w:rsidP="008D573F">
            <w:pPr>
              <w:jc w:val="center"/>
              <w:rPr>
                <w:rFonts w:ascii="Arial" w:hAnsi="Arial" w:cs="Arial"/>
                <w:b/>
                <w:bCs/>
                <w:color w:val="FFFFFF"/>
                <w:sz w:val="18"/>
                <w:szCs w:val="18"/>
              </w:rPr>
            </w:pPr>
            <w:r>
              <w:rPr>
                <w:rFonts w:ascii="Arial" w:hAnsi="Arial" w:cs="Arial"/>
                <w:b/>
                <w:bCs/>
                <w:color w:val="FFFFFF"/>
                <w:sz w:val="18"/>
                <w:szCs w:val="18"/>
              </w:rPr>
              <w:t>31587</w:t>
            </w:r>
          </w:p>
        </w:tc>
        <w:tc>
          <w:tcPr>
            <w:tcW w:w="726" w:type="dxa"/>
            <w:shd w:val="clear" w:color="auto" w:fill="548DD4" w:themeFill="text2" w:themeFillTint="99"/>
            <w:vAlign w:val="center"/>
          </w:tcPr>
          <w:p w:rsidR="008D573F" w:rsidRDefault="008D573F" w:rsidP="008D573F">
            <w:pPr>
              <w:jc w:val="center"/>
              <w:rPr>
                <w:rFonts w:ascii="Arial" w:hAnsi="Arial" w:cs="Arial"/>
                <w:b/>
                <w:bCs/>
                <w:color w:val="FFFFFF"/>
                <w:sz w:val="18"/>
                <w:szCs w:val="18"/>
              </w:rPr>
            </w:pPr>
            <w:r>
              <w:rPr>
                <w:rFonts w:ascii="Arial" w:hAnsi="Arial" w:cs="Arial"/>
                <w:b/>
                <w:bCs/>
                <w:color w:val="FFFFFF"/>
                <w:sz w:val="18"/>
                <w:szCs w:val="18"/>
              </w:rPr>
              <w:t>31590</w:t>
            </w:r>
          </w:p>
        </w:tc>
        <w:tc>
          <w:tcPr>
            <w:tcW w:w="897" w:type="dxa"/>
            <w:shd w:val="clear" w:color="auto" w:fill="548DD4" w:themeFill="text2" w:themeFillTint="99"/>
          </w:tcPr>
          <w:p w:rsidR="008D573F" w:rsidRPr="00873741" w:rsidRDefault="008D573F" w:rsidP="008D573F">
            <w:pPr>
              <w:jc w:val="center"/>
              <w:rPr>
                <w:rFonts w:ascii="Arial" w:hAnsi="Arial" w:cs="Arial"/>
                <w:b/>
                <w:bCs/>
                <w:color w:val="FFFFFF"/>
                <w:sz w:val="18"/>
                <w:szCs w:val="18"/>
              </w:rPr>
            </w:pPr>
            <w:r w:rsidRPr="00873741">
              <w:rPr>
                <w:rFonts w:ascii="Arial" w:hAnsi="Arial" w:cs="Arial"/>
                <w:b/>
                <w:bCs/>
                <w:color w:val="FFFFFF"/>
                <w:sz w:val="18"/>
                <w:szCs w:val="18"/>
              </w:rPr>
              <w:t>Total</w:t>
            </w:r>
          </w:p>
        </w:tc>
      </w:tr>
      <w:tr w:rsidR="008D573F" w:rsidRPr="00873741" w:rsidTr="008D573F">
        <w:trPr>
          <w:trHeight w:val="339"/>
          <w:jc w:val="center"/>
        </w:trPr>
        <w:tc>
          <w:tcPr>
            <w:tcW w:w="1101" w:type="dxa"/>
            <w:shd w:val="clear" w:color="000000" w:fill="FFFFFF"/>
            <w:noWrap/>
            <w:vAlign w:val="center"/>
            <w:hideMark/>
          </w:tcPr>
          <w:p w:rsidR="008D573F" w:rsidRPr="00DF44FD" w:rsidRDefault="008D573F" w:rsidP="008D573F">
            <w:pPr>
              <w:jc w:val="center"/>
              <w:rPr>
                <w:rFonts w:ascii="Arial" w:hAnsi="Arial" w:cs="Arial"/>
                <w:b/>
                <w:color w:val="000000"/>
                <w:sz w:val="18"/>
                <w:szCs w:val="18"/>
              </w:rPr>
            </w:pPr>
            <w:r w:rsidRPr="00DF44FD">
              <w:rPr>
                <w:rFonts w:ascii="Arial" w:hAnsi="Arial" w:cs="Arial"/>
                <w:b/>
                <w:color w:val="000000"/>
                <w:sz w:val="18"/>
                <w:szCs w:val="18"/>
              </w:rPr>
              <w:t>2013-14</w:t>
            </w:r>
          </w:p>
        </w:tc>
        <w:tc>
          <w:tcPr>
            <w:tcW w:w="814" w:type="dxa"/>
            <w:shd w:val="clear" w:color="000000" w:fill="FFFFFF"/>
            <w:noWrap/>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4,082</w:t>
            </w:r>
          </w:p>
        </w:tc>
        <w:tc>
          <w:tcPr>
            <w:tcW w:w="767" w:type="dxa"/>
            <w:shd w:val="clear" w:color="000000" w:fill="FFFFFF"/>
            <w:noWrap/>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877</w:t>
            </w:r>
          </w:p>
        </w:tc>
        <w:tc>
          <w:tcPr>
            <w:tcW w:w="814" w:type="dxa"/>
            <w:shd w:val="clear" w:color="000000" w:fill="FFFFFF"/>
            <w:noWrap/>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9,169</w:t>
            </w:r>
          </w:p>
        </w:tc>
        <w:tc>
          <w:tcPr>
            <w:tcW w:w="767" w:type="dxa"/>
            <w:shd w:val="clear" w:color="000000" w:fill="FFFFFF"/>
            <w:noWrap/>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55</w:t>
            </w:r>
          </w:p>
        </w:tc>
        <w:tc>
          <w:tcPr>
            <w:tcW w:w="681" w:type="dxa"/>
            <w:shd w:val="clear" w:color="000000" w:fill="FFFFFF"/>
            <w:noWrap/>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26</w:t>
            </w:r>
          </w:p>
        </w:tc>
        <w:tc>
          <w:tcPr>
            <w:tcW w:w="728"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3,450</w:t>
            </w:r>
          </w:p>
        </w:tc>
        <w:tc>
          <w:tcPr>
            <w:tcW w:w="823"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33,322</w:t>
            </w:r>
          </w:p>
        </w:tc>
        <w:tc>
          <w:tcPr>
            <w:tcW w:w="726"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666</w:t>
            </w:r>
          </w:p>
        </w:tc>
        <w:tc>
          <w:tcPr>
            <w:tcW w:w="897" w:type="dxa"/>
            <w:shd w:val="clear" w:color="000000" w:fill="FFFFFF"/>
            <w:vAlign w:val="bottom"/>
          </w:tcPr>
          <w:p w:rsidR="008D573F" w:rsidRPr="00873741" w:rsidRDefault="008D573F" w:rsidP="008D573F">
            <w:pPr>
              <w:jc w:val="center"/>
              <w:rPr>
                <w:rFonts w:ascii="Arial" w:hAnsi="Arial" w:cs="Arial"/>
                <w:b/>
                <w:color w:val="000000"/>
                <w:sz w:val="18"/>
                <w:szCs w:val="18"/>
              </w:rPr>
            </w:pPr>
            <w:r w:rsidRPr="00873741">
              <w:rPr>
                <w:rFonts w:ascii="Arial" w:hAnsi="Arial" w:cs="Arial"/>
                <w:b/>
                <w:color w:val="000000"/>
                <w:sz w:val="18"/>
                <w:szCs w:val="18"/>
              </w:rPr>
              <w:t>51,647</w:t>
            </w:r>
          </w:p>
        </w:tc>
      </w:tr>
      <w:tr w:rsidR="008D573F" w:rsidRPr="00873741" w:rsidTr="008D573F">
        <w:trPr>
          <w:trHeight w:val="339"/>
          <w:jc w:val="center"/>
        </w:trPr>
        <w:tc>
          <w:tcPr>
            <w:tcW w:w="1101" w:type="dxa"/>
            <w:shd w:val="clear" w:color="000000" w:fill="FFFFFF"/>
            <w:noWrap/>
            <w:vAlign w:val="center"/>
            <w:hideMark/>
          </w:tcPr>
          <w:p w:rsidR="008D573F" w:rsidRPr="00DF44FD" w:rsidRDefault="008D573F" w:rsidP="008D573F">
            <w:pPr>
              <w:jc w:val="center"/>
              <w:rPr>
                <w:rFonts w:ascii="Arial" w:hAnsi="Arial" w:cs="Arial"/>
                <w:b/>
                <w:color w:val="000000"/>
                <w:sz w:val="18"/>
                <w:szCs w:val="18"/>
              </w:rPr>
            </w:pPr>
            <w:r w:rsidRPr="00DF44FD">
              <w:rPr>
                <w:rFonts w:ascii="Arial" w:hAnsi="Arial" w:cs="Arial"/>
                <w:b/>
                <w:color w:val="000000"/>
                <w:sz w:val="18"/>
                <w:szCs w:val="18"/>
              </w:rPr>
              <w:t>2014-15</w:t>
            </w:r>
          </w:p>
        </w:tc>
        <w:tc>
          <w:tcPr>
            <w:tcW w:w="814" w:type="dxa"/>
            <w:shd w:val="clear" w:color="000000" w:fill="FFFFFF"/>
            <w:noWrap/>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2,819</w:t>
            </w:r>
          </w:p>
        </w:tc>
        <w:tc>
          <w:tcPr>
            <w:tcW w:w="767" w:type="dxa"/>
            <w:shd w:val="clear" w:color="000000" w:fill="FFFFFF"/>
            <w:noWrap/>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1,315</w:t>
            </w:r>
          </w:p>
        </w:tc>
        <w:tc>
          <w:tcPr>
            <w:tcW w:w="814" w:type="dxa"/>
            <w:shd w:val="clear" w:color="000000" w:fill="FFFFFF"/>
            <w:noWrap/>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11,311</w:t>
            </w:r>
          </w:p>
        </w:tc>
        <w:tc>
          <w:tcPr>
            <w:tcW w:w="767" w:type="dxa"/>
            <w:shd w:val="clear" w:color="000000" w:fill="FFFFFF"/>
            <w:noWrap/>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39</w:t>
            </w:r>
          </w:p>
        </w:tc>
        <w:tc>
          <w:tcPr>
            <w:tcW w:w="681" w:type="dxa"/>
            <w:shd w:val="clear" w:color="000000" w:fill="FFFFFF"/>
            <w:noWrap/>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24</w:t>
            </w:r>
          </w:p>
        </w:tc>
        <w:tc>
          <w:tcPr>
            <w:tcW w:w="728"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3,525</w:t>
            </w:r>
          </w:p>
        </w:tc>
        <w:tc>
          <w:tcPr>
            <w:tcW w:w="823"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30,164</w:t>
            </w:r>
          </w:p>
        </w:tc>
        <w:tc>
          <w:tcPr>
            <w:tcW w:w="726"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638</w:t>
            </w:r>
          </w:p>
        </w:tc>
        <w:tc>
          <w:tcPr>
            <w:tcW w:w="897" w:type="dxa"/>
            <w:shd w:val="clear" w:color="000000" w:fill="FFFFFF"/>
            <w:vAlign w:val="bottom"/>
          </w:tcPr>
          <w:p w:rsidR="008D573F" w:rsidRPr="00873741" w:rsidRDefault="008D573F" w:rsidP="008D573F">
            <w:pPr>
              <w:jc w:val="center"/>
              <w:rPr>
                <w:rFonts w:ascii="Arial" w:hAnsi="Arial" w:cs="Arial"/>
                <w:b/>
                <w:color w:val="000000"/>
                <w:sz w:val="18"/>
                <w:szCs w:val="18"/>
              </w:rPr>
            </w:pPr>
            <w:r w:rsidRPr="00873741">
              <w:rPr>
                <w:rFonts w:ascii="Arial" w:hAnsi="Arial" w:cs="Arial"/>
                <w:b/>
                <w:color w:val="000000"/>
                <w:sz w:val="18"/>
                <w:szCs w:val="18"/>
              </w:rPr>
              <w:t>49,835</w:t>
            </w:r>
          </w:p>
        </w:tc>
      </w:tr>
      <w:tr w:rsidR="008D573F" w:rsidRPr="00873741" w:rsidTr="008D573F">
        <w:trPr>
          <w:trHeight w:val="339"/>
          <w:jc w:val="center"/>
        </w:trPr>
        <w:tc>
          <w:tcPr>
            <w:tcW w:w="1101" w:type="dxa"/>
            <w:shd w:val="clear" w:color="000000" w:fill="FFFFFF"/>
            <w:noWrap/>
            <w:vAlign w:val="center"/>
            <w:hideMark/>
          </w:tcPr>
          <w:p w:rsidR="008D573F" w:rsidRPr="00DF44FD" w:rsidRDefault="008D573F" w:rsidP="008D573F">
            <w:pPr>
              <w:jc w:val="center"/>
              <w:rPr>
                <w:rFonts w:ascii="Arial" w:hAnsi="Arial" w:cs="Arial"/>
                <w:b/>
                <w:color w:val="000000"/>
                <w:sz w:val="18"/>
                <w:szCs w:val="18"/>
              </w:rPr>
            </w:pPr>
            <w:r w:rsidRPr="00DF44FD">
              <w:rPr>
                <w:rFonts w:ascii="Arial" w:hAnsi="Arial" w:cs="Arial"/>
                <w:b/>
                <w:color w:val="000000"/>
                <w:sz w:val="18"/>
                <w:szCs w:val="18"/>
              </w:rPr>
              <w:t>2015-16</w:t>
            </w:r>
          </w:p>
        </w:tc>
        <w:tc>
          <w:tcPr>
            <w:tcW w:w="814" w:type="dxa"/>
            <w:shd w:val="clear" w:color="000000" w:fill="FFFFFF"/>
            <w:noWrap/>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2,169</w:t>
            </w:r>
          </w:p>
        </w:tc>
        <w:tc>
          <w:tcPr>
            <w:tcW w:w="767" w:type="dxa"/>
            <w:shd w:val="clear" w:color="000000" w:fill="FFFFFF"/>
            <w:noWrap/>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2,026</w:t>
            </w:r>
          </w:p>
        </w:tc>
        <w:tc>
          <w:tcPr>
            <w:tcW w:w="814" w:type="dxa"/>
            <w:shd w:val="clear" w:color="000000" w:fill="FFFFFF"/>
            <w:noWrap/>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13,591</w:t>
            </w:r>
          </w:p>
        </w:tc>
        <w:tc>
          <w:tcPr>
            <w:tcW w:w="767" w:type="dxa"/>
            <w:shd w:val="clear" w:color="000000" w:fill="FFFFFF"/>
            <w:noWrap/>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58</w:t>
            </w:r>
          </w:p>
        </w:tc>
        <w:tc>
          <w:tcPr>
            <w:tcW w:w="681" w:type="dxa"/>
            <w:shd w:val="clear" w:color="000000" w:fill="FFFFFF"/>
            <w:noWrap/>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59</w:t>
            </w:r>
          </w:p>
        </w:tc>
        <w:tc>
          <w:tcPr>
            <w:tcW w:w="728"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3,508</w:t>
            </w:r>
          </w:p>
        </w:tc>
        <w:tc>
          <w:tcPr>
            <w:tcW w:w="823"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27,517</w:t>
            </w:r>
          </w:p>
        </w:tc>
        <w:tc>
          <w:tcPr>
            <w:tcW w:w="726"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472</w:t>
            </w:r>
          </w:p>
        </w:tc>
        <w:tc>
          <w:tcPr>
            <w:tcW w:w="897" w:type="dxa"/>
            <w:shd w:val="clear" w:color="000000" w:fill="FFFFFF"/>
            <w:vAlign w:val="bottom"/>
          </w:tcPr>
          <w:p w:rsidR="008D573F" w:rsidRPr="00873741" w:rsidRDefault="008D573F" w:rsidP="008D573F">
            <w:pPr>
              <w:jc w:val="center"/>
              <w:rPr>
                <w:rFonts w:ascii="Arial" w:hAnsi="Arial" w:cs="Arial"/>
                <w:b/>
                <w:color w:val="000000"/>
                <w:sz w:val="18"/>
                <w:szCs w:val="18"/>
              </w:rPr>
            </w:pPr>
            <w:r w:rsidRPr="00873741">
              <w:rPr>
                <w:rFonts w:ascii="Arial" w:hAnsi="Arial" w:cs="Arial"/>
                <w:b/>
                <w:color w:val="000000"/>
                <w:sz w:val="18"/>
                <w:szCs w:val="18"/>
              </w:rPr>
              <w:t>49,400</w:t>
            </w:r>
          </w:p>
        </w:tc>
      </w:tr>
      <w:tr w:rsidR="008D573F" w:rsidRPr="00873741" w:rsidTr="008D573F">
        <w:trPr>
          <w:trHeight w:val="339"/>
          <w:jc w:val="center"/>
        </w:trPr>
        <w:tc>
          <w:tcPr>
            <w:tcW w:w="1101" w:type="dxa"/>
            <w:shd w:val="clear" w:color="000000" w:fill="FFFFFF"/>
            <w:noWrap/>
            <w:vAlign w:val="center"/>
          </w:tcPr>
          <w:p w:rsidR="008D573F" w:rsidRPr="00DF44FD" w:rsidRDefault="008D573F" w:rsidP="008D573F">
            <w:pPr>
              <w:jc w:val="center"/>
              <w:rPr>
                <w:rFonts w:ascii="Arial" w:hAnsi="Arial" w:cs="Arial"/>
                <w:b/>
                <w:color w:val="000000"/>
                <w:sz w:val="18"/>
                <w:szCs w:val="18"/>
              </w:rPr>
            </w:pPr>
            <w:r w:rsidRPr="00DF44FD">
              <w:rPr>
                <w:rFonts w:ascii="Arial" w:hAnsi="Arial" w:cs="Arial"/>
                <w:b/>
                <w:color w:val="000000"/>
                <w:sz w:val="18"/>
                <w:szCs w:val="18"/>
              </w:rPr>
              <w:t>2016-17</w:t>
            </w:r>
          </w:p>
        </w:tc>
        <w:tc>
          <w:tcPr>
            <w:tcW w:w="814" w:type="dxa"/>
            <w:shd w:val="clear" w:color="000000" w:fill="FFFFFF"/>
            <w:noWrap/>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1,504</w:t>
            </w:r>
          </w:p>
        </w:tc>
        <w:tc>
          <w:tcPr>
            <w:tcW w:w="767" w:type="dxa"/>
            <w:shd w:val="clear" w:color="000000" w:fill="FFFFFF"/>
            <w:noWrap/>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2,422</w:t>
            </w:r>
          </w:p>
        </w:tc>
        <w:tc>
          <w:tcPr>
            <w:tcW w:w="814" w:type="dxa"/>
            <w:shd w:val="clear" w:color="000000" w:fill="FFFFFF"/>
            <w:noWrap/>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15,950</w:t>
            </w:r>
          </w:p>
        </w:tc>
        <w:tc>
          <w:tcPr>
            <w:tcW w:w="767" w:type="dxa"/>
            <w:shd w:val="clear" w:color="000000" w:fill="FFFFFF"/>
            <w:noWrap/>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122</w:t>
            </w:r>
          </w:p>
        </w:tc>
        <w:tc>
          <w:tcPr>
            <w:tcW w:w="681" w:type="dxa"/>
            <w:shd w:val="clear" w:color="000000" w:fill="FFFFFF"/>
            <w:noWrap/>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101</w:t>
            </w:r>
          </w:p>
        </w:tc>
        <w:tc>
          <w:tcPr>
            <w:tcW w:w="728"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3,635</w:t>
            </w:r>
          </w:p>
        </w:tc>
        <w:tc>
          <w:tcPr>
            <w:tcW w:w="823"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23,974</w:t>
            </w:r>
          </w:p>
        </w:tc>
        <w:tc>
          <w:tcPr>
            <w:tcW w:w="726" w:type="dxa"/>
            <w:shd w:val="clear" w:color="000000" w:fill="FFFFFF"/>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389</w:t>
            </w:r>
          </w:p>
        </w:tc>
        <w:tc>
          <w:tcPr>
            <w:tcW w:w="897" w:type="dxa"/>
            <w:shd w:val="clear" w:color="000000" w:fill="FFFFFF"/>
            <w:vAlign w:val="bottom"/>
          </w:tcPr>
          <w:p w:rsidR="008D573F" w:rsidRPr="00873741" w:rsidRDefault="008D573F" w:rsidP="008D573F">
            <w:pPr>
              <w:jc w:val="center"/>
              <w:rPr>
                <w:rFonts w:ascii="Arial" w:hAnsi="Arial" w:cs="Arial"/>
                <w:b/>
                <w:color w:val="000000"/>
                <w:sz w:val="18"/>
                <w:szCs w:val="18"/>
              </w:rPr>
            </w:pPr>
            <w:r w:rsidRPr="00873741">
              <w:rPr>
                <w:rFonts w:ascii="Arial" w:hAnsi="Arial" w:cs="Arial"/>
                <w:b/>
                <w:color w:val="000000"/>
                <w:sz w:val="18"/>
                <w:szCs w:val="18"/>
              </w:rPr>
              <w:t>48,097</w:t>
            </w:r>
          </w:p>
        </w:tc>
      </w:tr>
      <w:tr w:rsidR="008D573F" w:rsidRPr="00B45352" w:rsidTr="008D573F">
        <w:trPr>
          <w:trHeight w:val="400"/>
          <w:jc w:val="center"/>
        </w:trPr>
        <w:tc>
          <w:tcPr>
            <w:tcW w:w="1101" w:type="dxa"/>
            <w:shd w:val="clear" w:color="000000" w:fill="FFFFFF"/>
            <w:noWrap/>
            <w:vAlign w:val="center"/>
          </w:tcPr>
          <w:p w:rsidR="008D573F" w:rsidRPr="00DF44FD" w:rsidRDefault="008D573F" w:rsidP="008D573F">
            <w:pPr>
              <w:jc w:val="center"/>
              <w:rPr>
                <w:rFonts w:ascii="Arial" w:hAnsi="Arial" w:cs="Arial"/>
                <w:b/>
                <w:color w:val="000000"/>
                <w:sz w:val="18"/>
                <w:szCs w:val="18"/>
              </w:rPr>
            </w:pPr>
            <w:r w:rsidRPr="00DF44FD">
              <w:rPr>
                <w:rFonts w:ascii="Arial" w:hAnsi="Arial" w:cs="Arial"/>
                <w:b/>
                <w:color w:val="000000"/>
                <w:sz w:val="18"/>
                <w:szCs w:val="18"/>
              </w:rPr>
              <w:t>Total</w:t>
            </w:r>
          </w:p>
        </w:tc>
        <w:tc>
          <w:tcPr>
            <w:tcW w:w="814" w:type="dxa"/>
            <w:shd w:val="clear" w:color="000000" w:fill="FFFFFF"/>
            <w:noWrap/>
            <w:vAlign w:val="center"/>
          </w:tcPr>
          <w:p w:rsidR="008D573F" w:rsidRPr="001C700A" w:rsidRDefault="008D573F" w:rsidP="008D573F">
            <w:pPr>
              <w:jc w:val="center"/>
              <w:rPr>
                <w:rFonts w:ascii="Arial" w:hAnsi="Arial" w:cs="Arial"/>
                <w:b/>
                <w:color w:val="000000"/>
                <w:sz w:val="18"/>
                <w:szCs w:val="18"/>
              </w:rPr>
            </w:pPr>
            <w:r w:rsidRPr="001C700A">
              <w:rPr>
                <w:rFonts w:ascii="Arial" w:hAnsi="Arial" w:cs="Arial"/>
                <w:b/>
                <w:color w:val="000000"/>
                <w:sz w:val="18"/>
                <w:szCs w:val="18"/>
              </w:rPr>
              <w:t>10,</w:t>
            </w:r>
            <w:r>
              <w:rPr>
                <w:rFonts w:ascii="Arial" w:hAnsi="Arial" w:cs="Arial"/>
                <w:b/>
                <w:color w:val="000000"/>
                <w:sz w:val="18"/>
                <w:szCs w:val="18"/>
              </w:rPr>
              <w:t>574</w:t>
            </w:r>
          </w:p>
        </w:tc>
        <w:tc>
          <w:tcPr>
            <w:tcW w:w="767" w:type="dxa"/>
            <w:shd w:val="clear" w:color="000000" w:fill="FFFFFF"/>
            <w:noWrap/>
            <w:vAlign w:val="center"/>
          </w:tcPr>
          <w:p w:rsidR="008D573F" w:rsidRPr="001C700A" w:rsidRDefault="008D573F" w:rsidP="008D573F">
            <w:pPr>
              <w:jc w:val="center"/>
              <w:rPr>
                <w:rFonts w:ascii="Arial" w:hAnsi="Arial" w:cs="Arial"/>
                <w:b/>
                <w:color w:val="000000"/>
                <w:sz w:val="18"/>
                <w:szCs w:val="18"/>
              </w:rPr>
            </w:pPr>
            <w:r>
              <w:rPr>
                <w:rFonts w:ascii="Arial" w:hAnsi="Arial" w:cs="Arial"/>
                <w:b/>
                <w:color w:val="000000"/>
                <w:sz w:val="18"/>
                <w:szCs w:val="18"/>
              </w:rPr>
              <w:t>6,640</w:t>
            </w:r>
          </w:p>
        </w:tc>
        <w:tc>
          <w:tcPr>
            <w:tcW w:w="814" w:type="dxa"/>
            <w:shd w:val="clear" w:color="000000" w:fill="FFFFFF"/>
            <w:noWrap/>
            <w:vAlign w:val="center"/>
          </w:tcPr>
          <w:p w:rsidR="008D573F" w:rsidRPr="001C700A" w:rsidRDefault="008D573F" w:rsidP="008D573F">
            <w:pPr>
              <w:jc w:val="center"/>
              <w:rPr>
                <w:rFonts w:ascii="Arial" w:hAnsi="Arial" w:cs="Arial"/>
                <w:b/>
                <w:color w:val="000000"/>
                <w:sz w:val="18"/>
                <w:szCs w:val="18"/>
              </w:rPr>
            </w:pPr>
            <w:r>
              <w:rPr>
                <w:rFonts w:ascii="Arial" w:hAnsi="Arial" w:cs="Arial"/>
                <w:b/>
                <w:color w:val="000000"/>
                <w:sz w:val="18"/>
                <w:szCs w:val="18"/>
              </w:rPr>
              <w:t>50,021</w:t>
            </w:r>
          </w:p>
        </w:tc>
        <w:tc>
          <w:tcPr>
            <w:tcW w:w="767" w:type="dxa"/>
            <w:shd w:val="clear" w:color="000000" w:fill="FFFFFF"/>
            <w:noWrap/>
            <w:vAlign w:val="center"/>
          </w:tcPr>
          <w:p w:rsidR="008D573F" w:rsidRPr="001C700A" w:rsidRDefault="008D573F" w:rsidP="008D573F">
            <w:pPr>
              <w:jc w:val="center"/>
              <w:rPr>
                <w:rFonts w:ascii="Arial" w:hAnsi="Arial" w:cs="Arial"/>
                <w:b/>
                <w:color w:val="000000"/>
                <w:sz w:val="18"/>
                <w:szCs w:val="18"/>
              </w:rPr>
            </w:pPr>
            <w:r>
              <w:rPr>
                <w:rFonts w:ascii="Arial" w:hAnsi="Arial" w:cs="Arial"/>
                <w:b/>
                <w:color w:val="000000"/>
                <w:sz w:val="18"/>
                <w:szCs w:val="18"/>
              </w:rPr>
              <w:t>274</w:t>
            </w:r>
          </w:p>
        </w:tc>
        <w:tc>
          <w:tcPr>
            <w:tcW w:w="681" w:type="dxa"/>
            <w:shd w:val="clear" w:color="000000" w:fill="FFFFFF"/>
            <w:noWrap/>
            <w:vAlign w:val="center"/>
          </w:tcPr>
          <w:p w:rsidR="008D573F" w:rsidRPr="001C700A" w:rsidRDefault="008D573F" w:rsidP="008D573F">
            <w:pPr>
              <w:jc w:val="center"/>
              <w:rPr>
                <w:rFonts w:ascii="Arial" w:hAnsi="Arial" w:cs="Arial"/>
                <w:b/>
                <w:color w:val="000000"/>
                <w:sz w:val="18"/>
                <w:szCs w:val="18"/>
              </w:rPr>
            </w:pPr>
            <w:r w:rsidRPr="001C700A">
              <w:rPr>
                <w:rFonts w:ascii="Arial" w:hAnsi="Arial" w:cs="Arial"/>
                <w:b/>
                <w:color w:val="000000"/>
                <w:sz w:val="18"/>
                <w:szCs w:val="18"/>
              </w:rPr>
              <w:t>210</w:t>
            </w:r>
          </w:p>
        </w:tc>
        <w:tc>
          <w:tcPr>
            <w:tcW w:w="728" w:type="dxa"/>
            <w:shd w:val="clear" w:color="000000" w:fill="FFFFFF"/>
            <w:vAlign w:val="center"/>
          </w:tcPr>
          <w:p w:rsidR="008D573F" w:rsidRPr="001C700A" w:rsidRDefault="008D573F" w:rsidP="008D573F">
            <w:pPr>
              <w:jc w:val="center"/>
              <w:rPr>
                <w:rFonts w:ascii="Arial" w:hAnsi="Arial" w:cs="Arial"/>
                <w:b/>
                <w:color w:val="000000"/>
                <w:sz w:val="18"/>
                <w:szCs w:val="18"/>
              </w:rPr>
            </w:pPr>
            <w:r>
              <w:rPr>
                <w:rFonts w:ascii="Arial" w:hAnsi="Arial" w:cs="Arial"/>
                <w:b/>
                <w:color w:val="000000"/>
                <w:sz w:val="18"/>
                <w:szCs w:val="18"/>
              </w:rPr>
              <w:t>14,118</w:t>
            </w:r>
          </w:p>
        </w:tc>
        <w:tc>
          <w:tcPr>
            <w:tcW w:w="823" w:type="dxa"/>
            <w:shd w:val="clear" w:color="000000" w:fill="FFFFFF"/>
            <w:vAlign w:val="center"/>
          </w:tcPr>
          <w:p w:rsidR="008D573F" w:rsidRPr="001C700A" w:rsidRDefault="008D573F" w:rsidP="008D573F">
            <w:pPr>
              <w:rPr>
                <w:rFonts w:ascii="Arial" w:hAnsi="Arial" w:cs="Arial"/>
                <w:b/>
                <w:color w:val="000000"/>
                <w:sz w:val="18"/>
                <w:szCs w:val="18"/>
              </w:rPr>
            </w:pPr>
            <w:r>
              <w:rPr>
                <w:rFonts w:ascii="Arial" w:hAnsi="Arial" w:cs="Arial"/>
                <w:b/>
                <w:color w:val="000000"/>
                <w:sz w:val="18"/>
                <w:szCs w:val="18"/>
              </w:rPr>
              <w:t>114,977</w:t>
            </w:r>
          </w:p>
        </w:tc>
        <w:tc>
          <w:tcPr>
            <w:tcW w:w="726" w:type="dxa"/>
            <w:shd w:val="clear" w:color="000000" w:fill="FFFFFF"/>
            <w:vAlign w:val="center"/>
          </w:tcPr>
          <w:p w:rsidR="008D573F" w:rsidRPr="001C700A" w:rsidRDefault="008D573F" w:rsidP="008D573F">
            <w:pPr>
              <w:jc w:val="center"/>
              <w:rPr>
                <w:rFonts w:ascii="Arial" w:hAnsi="Arial" w:cs="Arial"/>
                <w:b/>
                <w:color w:val="000000"/>
                <w:sz w:val="18"/>
                <w:szCs w:val="18"/>
              </w:rPr>
            </w:pPr>
            <w:r>
              <w:rPr>
                <w:rFonts w:ascii="Arial" w:hAnsi="Arial" w:cs="Arial"/>
                <w:b/>
                <w:color w:val="000000"/>
                <w:sz w:val="18"/>
                <w:szCs w:val="18"/>
              </w:rPr>
              <w:t>2,165</w:t>
            </w:r>
          </w:p>
        </w:tc>
        <w:tc>
          <w:tcPr>
            <w:tcW w:w="897" w:type="dxa"/>
            <w:shd w:val="clear" w:color="000000" w:fill="FFFFFF"/>
            <w:vAlign w:val="center"/>
          </w:tcPr>
          <w:p w:rsidR="008D573F" w:rsidRPr="001C700A" w:rsidRDefault="008D573F" w:rsidP="008D573F">
            <w:pPr>
              <w:jc w:val="center"/>
              <w:rPr>
                <w:rFonts w:ascii="Arial" w:hAnsi="Arial" w:cs="Arial"/>
                <w:b/>
                <w:color w:val="000000"/>
                <w:sz w:val="18"/>
                <w:szCs w:val="18"/>
              </w:rPr>
            </w:pPr>
            <w:r>
              <w:rPr>
                <w:rFonts w:ascii="Arial" w:hAnsi="Arial" w:cs="Arial"/>
                <w:b/>
                <w:color w:val="000000"/>
                <w:sz w:val="18"/>
                <w:szCs w:val="18"/>
              </w:rPr>
              <w:t>198,979</w:t>
            </w:r>
          </w:p>
        </w:tc>
      </w:tr>
    </w:tbl>
    <w:p w:rsidR="00D73798" w:rsidRDefault="008D573F" w:rsidP="00D73798">
      <w:pPr>
        <w:rPr>
          <w:rFonts w:asciiTheme="minorHAnsi" w:hAnsiTheme="minorHAnsi" w:cstheme="minorHAnsi"/>
          <w:i/>
          <w:sz w:val="16"/>
          <w:szCs w:val="16"/>
        </w:rPr>
      </w:pPr>
      <w:r w:rsidRPr="00D73798">
        <w:rPr>
          <w:rFonts w:asciiTheme="minorHAnsi" w:hAnsiTheme="minorHAnsi" w:cstheme="minorHAnsi"/>
          <w:i/>
          <w:sz w:val="16"/>
          <w:szCs w:val="16"/>
        </w:rPr>
        <w:t>Source: Department of Health, Medical Benefits Division, Primary Care and Diagnostics Branch, MBS Analytics Section, Reference no.: Q20863, July 2017</w:t>
      </w:r>
    </w:p>
    <w:p w:rsidR="00D73798" w:rsidRDefault="00D73798" w:rsidP="00D73798">
      <w:pPr>
        <w:rPr>
          <w:rFonts w:asciiTheme="minorHAnsi" w:hAnsiTheme="minorHAnsi" w:cstheme="minorHAnsi"/>
          <w:i/>
          <w:sz w:val="16"/>
          <w:szCs w:val="16"/>
        </w:rPr>
      </w:pPr>
      <w:r>
        <w:rPr>
          <w:rFonts w:asciiTheme="minorHAnsi" w:hAnsiTheme="minorHAnsi" w:cstheme="minorHAnsi"/>
          <w:i/>
          <w:noProof/>
          <w:sz w:val="16"/>
          <w:szCs w:val="16"/>
        </w:rPr>
        <w:lastRenderedPageBreak/>
        <w:drawing>
          <wp:inline distT="0" distB="0" distL="0" distR="0" wp14:anchorId="601CE96C" wp14:editId="6759E0B0">
            <wp:extent cx="5029835" cy="2883535"/>
            <wp:effectExtent l="0" t="0" r="0" b="0"/>
            <wp:docPr id="3" name="Picture 3" descr="This figure shows the demographic distribution of patients who claimed this service. This service is predominantly claimed by females. The largest portion is in the 45-54 age group, followed by 35-44, then 55-64, with the lowest proportion of claims being for those over 74." title="Demopgraphic profile for MBS  item 31572 for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835" cy="2883535"/>
                    </a:xfrm>
                    <a:prstGeom prst="rect">
                      <a:avLst/>
                    </a:prstGeom>
                    <a:noFill/>
                  </pic:spPr>
                </pic:pic>
              </a:graphicData>
            </a:graphic>
          </wp:inline>
        </w:drawing>
      </w:r>
    </w:p>
    <w:p w:rsidR="00D73798" w:rsidRPr="00D73798" w:rsidRDefault="00D73798" w:rsidP="00D73798">
      <w:pPr>
        <w:rPr>
          <w:rFonts w:asciiTheme="minorHAnsi" w:hAnsiTheme="minorHAnsi" w:cstheme="minorHAnsi"/>
          <w:i/>
          <w:sz w:val="16"/>
          <w:szCs w:val="16"/>
        </w:rPr>
      </w:pPr>
    </w:p>
    <w:p w:rsidR="008D573F" w:rsidRPr="009418F3" w:rsidRDefault="008D573F" w:rsidP="009418F3">
      <w:pPr>
        <w:rPr>
          <w:rFonts w:ascii="Arial Narrow" w:hAnsi="Arial Narrow"/>
          <w:b/>
          <w:sz w:val="20"/>
        </w:rPr>
      </w:pPr>
      <w:r w:rsidRPr="009418F3">
        <w:rPr>
          <w:rFonts w:ascii="Arial Narrow" w:hAnsi="Arial Narrow"/>
          <w:b/>
          <w:sz w:val="20"/>
        </w:rPr>
        <w:t>Figure 2: Demographic profile for MBS item 31572 processed from July 2015 to June 2016</w:t>
      </w:r>
    </w:p>
    <w:p w:rsidR="008D573F" w:rsidRPr="007105F2" w:rsidRDefault="008D573F" w:rsidP="007105F2">
      <w:pPr>
        <w:spacing w:after="240"/>
        <w:rPr>
          <w:rFonts w:asciiTheme="minorHAnsi" w:hAnsiTheme="minorHAnsi" w:cstheme="minorHAnsi"/>
          <w:i/>
          <w:sz w:val="16"/>
          <w:szCs w:val="16"/>
        </w:rPr>
      </w:pPr>
      <w:r w:rsidRPr="00D73798">
        <w:rPr>
          <w:rFonts w:asciiTheme="minorHAnsi" w:hAnsiTheme="minorHAnsi" w:cstheme="minorHAnsi"/>
          <w:i/>
          <w:sz w:val="16"/>
          <w:szCs w:val="16"/>
        </w:rPr>
        <w:t xml:space="preserve">Source: Medicare Statistics Online </w:t>
      </w:r>
    </w:p>
    <w:p w:rsidR="00D73798" w:rsidRPr="00D73798" w:rsidRDefault="008D573F">
      <w:pPr>
        <w:rPr>
          <w:rFonts w:asciiTheme="minorHAnsi" w:hAnsiTheme="minorHAnsi"/>
          <w:b/>
        </w:rPr>
      </w:pPr>
      <w:r w:rsidRPr="00AF533D">
        <w:rPr>
          <w:rFonts w:asciiTheme="minorHAnsi" w:hAnsiTheme="minorHAnsi"/>
          <w:b/>
          <w:noProof/>
        </w:rPr>
        <w:drawing>
          <wp:inline distT="0" distB="0" distL="0" distR="0" wp14:anchorId="1DCD5422" wp14:editId="50E598D0">
            <wp:extent cx="5274310" cy="3143250"/>
            <wp:effectExtent l="0" t="0" r="2540" b="0"/>
            <wp:docPr id="8" name="Picture 8" descr="This figure shows the demographic distribution of patients who claimed this service. This service is predominantly claimed by females. The largest portion is in the 35-44 age group, followed by 45-54, then 25-34, with the lowest proportion of claims being for those over 64. " title="Demopgraphic profile for MBS  item 31575 for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575 pt dem.PNG"/>
                    <pic:cNvPicPr/>
                  </pic:nvPicPr>
                  <pic:blipFill>
                    <a:blip r:embed="rId14">
                      <a:extLst>
                        <a:ext uri="{28A0092B-C50C-407E-A947-70E740481C1C}">
                          <a14:useLocalDpi xmlns:a14="http://schemas.microsoft.com/office/drawing/2010/main" val="0"/>
                        </a:ext>
                      </a:extLst>
                    </a:blip>
                    <a:stretch>
                      <a:fillRect/>
                    </a:stretch>
                  </pic:blipFill>
                  <pic:spPr>
                    <a:xfrm>
                      <a:off x="0" y="0"/>
                      <a:ext cx="5274310" cy="3143250"/>
                    </a:xfrm>
                    <a:prstGeom prst="rect">
                      <a:avLst/>
                    </a:prstGeom>
                  </pic:spPr>
                </pic:pic>
              </a:graphicData>
            </a:graphic>
          </wp:inline>
        </w:drawing>
      </w:r>
    </w:p>
    <w:p w:rsidR="008D573F" w:rsidRPr="009418F3" w:rsidRDefault="008D573F" w:rsidP="009418F3">
      <w:pPr>
        <w:rPr>
          <w:rFonts w:ascii="Arial Narrow" w:hAnsi="Arial Narrow"/>
          <w:b/>
          <w:sz w:val="20"/>
        </w:rPr>
      </w:pPr>
      <w:r w:rsidRPr="009418F3">
        <w:rPr>
          <w:rFonts w:ascii="Arial Narrow" w:hAnsi="Arial Narrow"/>
          <w:b/>
          <w:sz w:val="20"/>
        </w:rPr>
        <w:t>Figure 3: Demographic profile for MBS item 31575 processed from July 2015 to June 2016</w:t>
      </w:r>
    </w:p>
    <w:p w:rsidR="00672AC2" w:rsidRDefault="008D573F">
      <w:pPr>
        <w:rPr>
          <w:rFonts w:asciiTheme="minorHAnsi" w:hAnsiTheme="minorHAnsi"/>
          <w:bCs/>
          <w:i/>
          <w:sz w:val="16"/>
          <w:szCs w:val="16"/>
        </w:rPr>
      </w:pPr>
      <w:r w:rsidRPr="000533AF">
        <w:rPr>
          <w:rFonts w:asciiTheme="minorHAnsi" w:hAnsiTheme="minorHAnsi"/>
          <w:bCs/>
          <w:i/>
          <w:sz w:val="16"/>
          <w:szCs w:val="16"/>
        </w:rPr>
        <w:t>Source: Medicare Statistics Online</w:t>
      </w:r>
    </w:p>
    <w:p w:rsidR="00D73798" w:rsidRDefault="008D573F" w:rsidP="00D73798">
      <w:pPr>
        <w:rPr>
          <w:rFonts w:asciiTheme="minorHAnsi" w:hAnsiTheme="minorHAnsi"/>
        </w:rPr>
      </w:pPr>
      <w:r w:rsidRPr="00AF533D">
        <w:rPr>
          <w:rFonts w:asciiTheme="minorHAnsi" w:hAnsiTheme="minorHAnsi"/>
          <w:b/>
          <w:noProof/>
        </w:rPr>
        <w:lastRenderedPageBreak/>
        <w:drawing>
          <wp:inline distT="0" distB="0" distL="0" distR="0" wp14:anchorId="3F3C7B76" wp14:editId="61B907EB">
            <wp:extent cx="5274310" cy="3286760"/>
            <wp:effectExtent l="0" t="0" r="2540" b="8890"/>
            <wp:docPr id="9" name="Picture 9" descr="This figure shows the demographic distribution of patients who claimed this service. This service is predominantly claimed by females. The largest portion is in the 45-54 age group, followed by 35-44, then 55-64, with the lowest proportion of claims being for those under 25. " title="Demopgraphic profile for MBS  item 31584 for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584 pt dem.PNG"/>
                    <pic:cNvPicPr/>
                  </pic:nvPicPr>
                  <pic:blipFill>
                    <a:blip r:embed="rId15">
                      <a:extLst>
                        <a:ext uri="{28A0092B-C50C-407E-A947-70E740481C1C}">
                          <a14:useLocalDpi xmlns:a14="http://schemas.microsoft.com/office/drawing/2010/main" val="0"/>
                        </a:ext>
                      </a:extLst>
                    </a:blip>
                    <a:stretch>
                      <a:fillRect/>
                    </a:stretch>
                  </pic:blipFill>
                  <pic:spPr>
                    <a:xfrm>
                      <a:off x="0" y="0"/>
                      <a:ext cx="5274310" cy="3286760"/>
                    </a:xfrm>
                    <a:prstGeom prst="rect">
                      <a:avLst/>
                    </a:prstGeom>
                  </pic:spPr>
                </pic:pic>
              </a:graphicData>
            </a:graphic>
          </wp:inline>
        </w:drawing>
      </w:r>
    </w:p>
    <w:p w:rsidR="00D73798" w:rsidRPr="009418F3" w:rsidRDefault="00D73798" w:rsidP="009418F3">
      <w:pPr>
        <w:rPr>
          <w:rFonts w:ascii="Arial Narrow" w:hAnsi="Arial Narrow"/>
          <w:b/>
          <w:sz w:val="20"/>
        </w:rPr>
      </w:pPr>
      <w:r w:rsidRPr="009418F3">
        <w:rPr>
          <w:rFonts w:ascii="Arial Narrow" w:hAnsi="Arial Narrow"/>
          <w:b/>
          <w:sz w:val="20"/>
        </w:rPr>
        <w:t>Figure 4: Demographic profile for MBS item 31584 processed from July 2015 to June 2016</w:t>
      </w:r>
    </w:p>
    <w:p w:rsidR="00D73798" w:rsidRPr="00D73798" w:rsidRDefault="00D73798" w:rsidP="00D73798">
      <w:pPr>
        <w:rPr>
          <w:rFonts w:asciiTheme="minorHAnsi" w:hAnsiTheme="minorHAnsi"/>
        </w:rPr>
      </w:pPr>
      <w:r w:rsidRPr="000533AF">
        <w:rPr>
          <w:rFonts w:asciiTheme="minorHAnsi" w:hAnsiTheme="minorHAnsi"/>
          <w:bCs/>
          <w:i/>
          <w:sz w:val="16"/>
          <w:szCs w:val="16"/>
        </w:rPr>
        <w:t>Source: Medicare Statistics Online</w:t>
      </w:r>
    </w:p>
    <w:p w:rsidR="008D573F" w:rsidRPr="00D73798" w:rsidRDefault="008D573F" w:rsidP="008D573F">
      <w:pPr>
        <w:rPr>
          <w:rFonts w:asciiTheme="minorHAnsi" w:hAnsiTheme="minorHAnsi"/>
          <w:bCs/>
          <w:i/>
          <w:sz w:val="16"/>
          <w:szCs w:val="16"/>
        </w:rPr>
      </w:pPr>
      <w:r w:rsidRPr="00AF533D">
        <w:rPr>
          <w:rFonts w:asciiTheme="minorHAnsi" w:hAnsiTheme="minorHAnsi"/>
          <w:b/>
          <w:noProof/>
        </w:rPr>
        <w:drawing>
          <wp:inline distT="0" distB="0" distL="0" distR="0" wp14:anchorId="10B7E10C" wp14:editId="3138C275">
            <wp:extent cx="5274310" cy="3449955"/>
            <wp:effectExtent l="0" t="0" r="2540" b="0"/>
            <wp:docPr id="10" name="Picture 10" descr="This figure shows the demographic distribution of patients who claimed this service. This service is predominantly claimed by females. The largest portion is in the 45-54 age group, followed by 35-44, then 55-64, with the lowest proportion of claims being for those over 74." title="Demopgraphic profile for MBS  item 31587 for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587 pt dem.PNG"/>
                    <pic:cNvPicPr/>
                  </pic:nvPicPr>
                  <pic:blipFill>
                    <a:blip r:embed="rId16">
                      <a:extLst>
                        <a:ext uri="{28A0092B-C50C-407E-A947-70E740481C1C}">
                          <a14:useLocalDpi xmlns:a14="http://schemas.microsoft.com/office/drawing/2010/main" val="0"/>
                        </a:ext>
                      </a:extLst>
                    </a:blip>
                    <a:stretch>
                      <a:fillRect/>
                    </a:stretch>
                  </pic:blipFill>
                  <pic:spPr>
                    <a:xfrm>
                      <a:off x="0" y="0"/>
                      <a:ext cx="5274310" cy="3449955"/>
                    </a:xfrm>
                    <a:prstGeom prst="rect">
                      <a:avLst/>
                    </a:prstGeom>
                  </pic:spPr>
                </pic:pic>
              </a:graphicData>
            </a:graphic>
          </wp:inline>
        </w:drawing>
      </w:r>
    </w:p>
    <w:p w:rsidR="008D573F" w:rsidRPr="009418F3" w:rsidRDefault="008D573F" w:rsidP="009418F3">
      <w:pPr>
        <w:rPr>
          <w:rFonts w:ascii="Arial Narrow" w:hAnsi="Arial Narrow"/>
          <w:b/>
          <w:sz w:val="20"/>
        </w:rPr>
      </w:pPr>
      <w:r w:rsidRPr="009418F3">
        <w:rPr>
          <w:rFonts w:ascii="Arial Narrow" w:hAnsi="Arial Narrow"/>
          <w:b/>
          <w:sz w:val="20"/>
        </w:rPr>
        <w:t>Figure 5: Demographic profile for MBS item 31587 processed from July 2015 to June 2016</w:t>
      </w:r>
    </w:p>
    <w:p w:rsidR="008D573F" w:rsidRDefault="008D573F" w:rsidP="008D573F">
      <w:pPr>
        <w:rPr>
          <w:rFonts w:asciiTheme="minorHAnsi" w:hAnsiTheme="minorHAnsi"/>
          <w:bCs/>
          <w:i/>
          <w:sz w:val="16"/>
          <w:szCs w:val="16"/>
        </w:rPr>
      </w:pPr>
      <w:r w:rsidRPr="000533AF">
        <w:rPr>
          <w:rFonts w:asciiTheme="minorHAnsi" w:hAnsiTheme="minorHAnsi"/>
          <w:bCs/>
          <w:i/>
          <w:sz w:val="16"/>
          <w:szCs w:val="16"/>
        </w:rPr>
        <w:t>Source: Medicare Statistics Online</w:t>
      </w:r>
      <w:bookmarkStart w:id="8" w:name="_Toc461539948"/>
      <w:bookmarkStart w:id="9" w:name="_Toc504051257"/>
    </w:p>
    <w:p w:rsidR="008D573F" w:rsidRPr="00863F70" w:rsidRDefault="008D573F" w:rsidP="008D573F">
      <w:pPr>
        <w:pStyle w:val="Heading2"/>
        <w:rPr>
          <w:rFonts w:ascii="Arial" w:hAnsi="Arial" w:cs="Arial"/>
        </w:rPr>
      </w:pPr>
      <w:bookmarkStart w:id="10" w:name="_Toc504652229"/>
      <w:r w:rsidRPr="00863F70">
        <w:rPr>
          <w:rFonts w:ascii="Arial" w:hAnsi="Arial" w:cs="Arial"/>
        </w:rPr>
        <w:t>Provider breakdown</w:t>
      </w:r>
      <w:bookmarkEnd w:id="8"/>
      <w:bookmarkEnd w:id="9"/>
      <w:bookmarkEnd w:id="10"/>
    </w:p>
    <w:p w:rsidR="008D573F" w:rsidRPr="00863F70" w:rsidRDefault="008D573F" w:rsidP="007105F2">
      <w:pPr>
        <w:spacing w:after="240"/>
        <w:rPr>
          <w:spacing w:val="-3"/>
          <w:szCs w:val="24"/>
        </w:rPr>
      </w:pPr>
      <w:r w:rsidRPr="00863F70">
        <w:rPr>
          <w:spacing w:val="-3"/>
          <w:szCs w:val="24"/>
        </w:rPr>
        <w:t xml:space="preserve">Across the four years from implementation to present it is apparent that as service volumes increased so too did the number of providers for each procedure type (Tables 12-17). The decrease in gastric banding (31569) over the last four years has resulted in a decrease in the number of providers performing this surgery, with bariatric surgeons performing only 15.9 gastric banding procedures on average per year, compared with surgeons performing 163.7 sleeve gastrectomy (31575) </w:t>
      </w:r>
      <w:r w:rsidR="00C46913" w:rsidRPr="00863F70">
        <w:rPr>
          <w:spacing w:val="-3"/>
          <w:szCs w:val="24"/>
        </w:rPr>
        <w:t>procedures on average per year.</w:t>
      </w:r>
    </w:p>
    <w:p w:rsidR="008D573F" w:rsidRPr="007105F2" w:rsidRDefault="008D573F" w:rsidP="007105F2">
      <w:pPr>
        <w:spacing w:after="240"/>
        <w:rPr>
          <w:spacing w:val="-3"/>
          <w:szCs w:val="24"/>
        </w:rPr>
      </w:pPr>
      <w:r w:rsidRPr="00863F70">
        <w:rPr>
          <w:spacing w:val="-3"/>
          <w:szCs w:val="24"/>
        </w:rPr>
        <w:t xml:space="preserve">Of the six primary surgical bariatric items, 310 practitioners provided these services in 2016-17. 226 providers claimed item 31575 (sleeve gastrectomy) in 2016-17 and 10% of these </w:t>
      </w:r>
      <w:r w:rsidRPr="00863F70">
        <w:rPr>
          <w:spacing w:val="-3"/>
          <w:szCs w:val="24"/>
        </w:rPr>
        <w:lastRenderedPageBreak/>
        <w:t>practitioners provided over 50% of the total services. 50% of these 226 practitioners provided over 94% of the total services rendered under item 31575 in 2016-17 (Table 18).</w:t>
      </w:r>
    </w:p>
    <w:p w:rsidR="008D573F" w:rsidRPr="009418F3" w:rsidRDefault="008D573F" w:rsidP="009418F3">
      <w:pPr>
        <w:rPr>
          <w:rFonts w:ascii="Arial Narrow" w:hAnsi="Arial Narrow"/>
          <w:b/>
          <w:sz w:val="20"/>
        </w:rPr>
      </w:pPr>
      <w:r w:rsidRPr="009418F3">
        <w:rPr>
          <w:rFonts w:ascii="Arial Narrow" w:hAnsi="Arial Narrow"/>
          <w:b/>
          <w:sz w:val="20"/>
        </w:rPr>
        <w:t>Table 12: Number of practitioners providing services under item 31569 from 2013-14 to 2016-17</w:t>
      </w:r>
    </w:p>
    <w:tbl>
      <w:tblPr>
        <w:tblW w:w="48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practitioners claiming item 31569 from 2013 to 2017"/>
        <w:tblDescription w:val="This table depicts the number of practitioners who claimed item 31569 over the four years since its implementation. "/>
      </w:tblPr>
      <w:tblGrid>
        <w:gridCol w:w="1220"/>
        <w:gridCol w:w="1220"/>
        <w:gridCol w:w="1220"/>
        <w:gridCol w:w="1220"/>
      </w:tblGrid>
      <w:tr w:rsidR="008D573F" w:rsidRPr="00345731" w:rsidTr="008D573F">
        <w:trPr>
          <w:trHeight w:val="300"/>
        </w:trPr>
        <w:tc>
          <w:tcPr>
            <w:tcW w:w="1220" w:type="dxa"/>
            <w:shd w:val="clear" w:color="auto" w:fill="548DD4" w:themeFill="text2" w:themeFillTint="99"/>
            <w:vAlign w:val="center"/>
            <w:hideMark/>
          </w:tcPr>
          <w:p w:rsidR="008D573F" w:rsidRPr="00AC02AE" w:rsidRDefault="008D573F" w:rsidP="008D573F">
            <w:pPr>
              <w:jc w:val="center"/>
              <w:rPr>
                <w:rFonts w:ascii="Arial" w:hAnsi="Arial" w:cs="Arial"/>
                <w:b/>
                <w:bCs/>
                <w:color w:val="FFFFFF"/>
                <w:sz w:val="18"/>
                <w:szCs w:val="18"/>
              </w:rPr>
            </w:pPr>
            <w:r w:rsidRPr="00AC02AE">
              <w:rPr>
                <w:rFonts w:ascii="Arial" w:hAnsi="Arial" w:cs="Arial"/>
                <w:b/>
                <w:bCs/>
                <w:color w:val="FFFFFF"/>
                <w:sz w:val="18"/>
                <w:szCs w:val="18"/>
              </w:rPr>
              <w:t>Fin Year</w:t>
            </w:r>
          </w:p>
        </w:tc>
        <w:tc>
          <w:tcPr>
            <w:tcW w:w="1220" w:type="dxa"/>
            <w:shd w:val="clear" w:color="auto" w:fill="548DD4" w:themeFill="text2" w:themeFillTint="99"/>
            <w:vAlign w:val="center"/>
            <w:hideMark/>
          </w:tcPr>
          <w:p w:rsidR="008D573F" w:rsidRPr="00AC02AE" w:rsidRDefault="008D573F" w:rsidP="008D573F">
            <w:pPr>
              <w:jc w:val="center"/>
              <w:rPr>
                <w:rFonts w:ascii="Arial" w:hAnsi="Arial" w:cs="Arial"/>
                <w:b/>
                <w:bCs/>
                <w:color w:val="FFFFFF"/>
                <w:sz w:val="18"/>
                <w:szCs w:val="18"/>
              </w:rPr>
            </w:pPr>
            <w:r w:rsidRPr="00AC02AE">
              <w:rPr>
                <w:rFonts w:ascii="Arial" w:hAnsi="Arial" w:cs="Arial"/>
                <w:b/>
                <w:bCs/>
                <w:color w:val="FFFFFF"/>
                <w:sz w:val="18"/>
                <w:szCs w:val="18"/>
              </w:rPr>
              <w:t>Providers</w:t>
            </w:r>
          </w:p>
        </w:tc>
        <w:tc>
          <w:tcPr>
            <w:tcW w:w="1220" w:type="dxa"/>
            <w:shd w:val="clear" w:color="auto" w:fill="548DD4" w:themeFill="text2" w:themeFillTint="99"/>
            <w:vAlign w:val="center"/>
            <w:hideMark/>
          </w:tcPr>
          <w:p w:rsidR="008D573F" w:rsidRPr="00AC02AE" w:rsidRDefault="008D573F" w:rsidP="008D573F">
            <w:pPr>
              <w:jc w:val="center"/>
              <w:rPr>
                <w:rFonts w:ascii="Arial" w:hAnsi="Arial" w:cs="Arial"/>
                <w:b/>
                <w:bCs/>
                <w:color w:val="FFFFFF"/>
                <w:sz w:val="18"/>
                <w:szCs w:val="18"/>
              </w:rPr>
            </w:pPr>
            <w:r w:rsidRPr="00AC02AE">
              <w:rPr>
                <w:rFonts w:ascii="Arial" w:hAnsi="Arial" w:cs="Arial"/>
                <w:b/>
                <w:bCs/>
                <w:color w:val="FFFFFF"/>
                <w:sz w:val="18"/>
                <w:szCs w:val="18"/>
              </w:rPr>
              <w:t>Services</w:t>
            </w:r>
          </w:p>
        </w:tc>
        <w:tc>
          <w:tcPr>
            <w:tcW w:w="1220" w:type="dxa"/>
            <w:shd w:val="clear" w:color="auto" w:fill="548DD4" w:themeFill="text2" w:themeFillTint="99"/>
            <w:vAlign w:val="center"/>
            <w:hideMark/>
          </w:tcPr>
          <w:p w:rsidR="008D573F" w:rsidRPr="00AC02AE" w:rsidRDefault="008D573F" w:rsidP="008D573F">
            <w:pPr>
              <w:jc w:val="center"/>
              <w:rPr>
                <w:rFonts w:ascii="Arial" w:hAnsi="Arial" w:cs="Arial"/>
                <w:b/>
                <w:bCs/>
                <w:color w:val="FFFFFF"/>
                <w:sz w:val="18"/>
                <w:szCs w:val="18"/>
              </w:rPr>
            </w:pPr>
            <w:r w:rsidRPr="00AC02AE">
              <w:rPr>
                <w:rFonts w:ascii="Arial" w:hAnsi="Arial" w:cs="Arial"/>
                <w:b/>
                <w:bCs/>
                <w:color w:val="FFFFFF"/>
                <w:sz w:val="18"/>
                <w:szCs w:val="18"/>
              </w:rPr>
              <w:t>Average</w:t>
            </w:r>
          </w:p>
        </w:tc>
      </w:tr>
      <w:tr w:rsidR="008D573F" w:rsidRPr="00345731" w:rsidTr="008D573F">
        <w:trPr>
          <w:trHeight w:val="300"/>
        </w:trPr>
        <w:tc>
          <w:tcPr>
            <w:tcW w:w="1220" w:type="dxa"/>
            <w:shd w:val="clear" w:color="000000" w:fill="FFFFFF"/>
            <w:noWrap/>
            <w:vAlign w:val="center"/>
            <w:hideMark/>
          </w:tcPr>
          <w:p w:rsidR="008D573F" w:rsidRPr="00AC02AE" w:rsidRDefault="008D573F" w:rsidP="008D573F">
            <w:pPr>
              <w:jc w:val="center"/>
              <w:rPr>
                <w:rFonts w:ascii="Arial" w:hAnsi="Arial" w:cs="Arial"/>
                <w:b/>
                <w:bCs/>
                <w:color w:val="000000"/>
                <w:sz w:val="18"/>
                <w:szCs w:val="18"/>
              </w:rPr>
            </w:pPr>
            <w:r w:rsidRPr="00AC02AE">
              <w:rPr>
                <w:rFonts w:ascii="Arial" w:hAnsi="Arial" w:cs="Arial"/>
                <w:b/>
                <w:bCs/>
                <w:color w:val="000000"/>
                <w:sz w:val="18"/>
                <w:szCs w:val="18"/>
              </w:rPr>
              <w:t>2013-14</w:t>
            </w:r>
          </w:p>
        </w:tc>
        <w:tc>
          <w:tcPr>
            <w:tcW w:w="122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144</w:t>
            </w:r>
          </w:p>
        </w:tc>
        <w:tc>
          <w:tcPr>
            <w:tcW w:w="122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4,097</w:t>
            </w:r>
          </w:p>
        </w:tc>
        <w:tc>
          <w:tcPr>
            <w:tcW w:w="122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28.5</w:t>
            </w:r>
          </w:p>
        </w:tc>
      </w:tr>
      <w:tr w:rsidR="008D573F" w:rsidRPr="00345731" w:rsidTr="008D573F">
        <w:trPr>
          <w:trHeight w:val="300"/>
        </w:trPr>
        <w:tc>
          <w:tcPr>
            <w:tcW w:w="1220" w:type="dxa"/>
            <w:shd w:val="clear" w:color="000000" w:fill="FFFFFF"/>
            <w:noWrap/>
            <w:vAlign w:val="center"/>
            <w:hideMark/>
          </w:tcPr>
          <w:p w:rsidR="008D573F" w:rsidRPr="00AC02AE" w:rsidRDefault="008D573F" w:rsidP="008D573F">
            <w:pPr>
              <w:jc w:val="center"/>
              <w:rPr>
                <w:rFonts w:ascii="Arial" w:hAnsi="Arial" w:cs="Arial"/>
                <w:b/>
                <w:bCs/>
                <w:color w:val="000000"/>
                <w:sz w:val="18"/>
                <w:szCs w:val="18"/>
              </w:rPr>
            </w:pPr>
            <w:r w:rsidRPr="00AC02AE">
              <w:rPr>
                <w:rFonts w:ascii="Arial" w:hAnsi="Arial" w:cs="Arial"/>
                <w:b/>
                <w:bCs/>
                <w:color w:val="000000"/>
                <w:sz w:val="18"/>
                <w:szCs w:val="18"/>
              </w:rPr>
              <w:t>2014-15</w:t>
            </w:r>
          </w:p>
        </w:tc>
        <w:tc>
          <w:tcPr>
            <w:tcW w:w="122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137</w:t>
            </w:r>
          </w:p>
        </w:tc>
        <w:tc>
          <w:tcPr>
            <w:tcW w:w="122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2,830</w:t>
            </w:r>
          </w:p>
        </w:tc>
        <w:tc>
          <w:tcPr>
            <w:tcW w:w="122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20.7</w:t>
            </w:r>
          </w:p>
        </w:tc>
      </w:tr>
      <w:tr w:rsidR="008D573F" w:rsidRPr="00345731" w:rsidTr="008D573F">
        <w:trPr>
          <w:trHeight w:val="300"/>
        </w:trPr>
        <w:tc>
          <w:tcPr>
            <w:tcW w:w="1220" w:type="dxa"/>
            <w:shd w:val="clear" w:color="000000" w:fill="FFFFFF"/>
            <w:noWrap/>
            <w:vAlign w:val="center"/>
            <w:hideMark/>
          </w:tcPr>
          <w:p w:rsidR="008D573F" w:rsidRPr="00AC02AE" w:rsidRDefault="008D573F" w:rsidP="008D573F">
            <w:pPr>
              <w:jc w:val="center"/>
              <w:rPr>
                <w:rFonts w:ascii="Arial" w:hAnsi="Arial" w:cs="Arial"/>
                <w:b/>
                <w:bCs/>
                <w:color w:val="000000"/>
                <w:sz w:val="18"/>
                <w:szCs w:val="18"/>
              </w:rPr>
            </w:pPr>
            <w:r w:rsidRPr="00AC02AE">
              <w:rPr>
                <w:rFonts w:ascii="Arial" w:hAnsi="Arial" w:cs="Arial"/>
                <w:b/>
                <w:bCs/>
                <w:color w:val="000000"/>
                <w:sz w:val="18"/>
                <w:szCs w:val="18"/>
              </w:rPr>
              <w:t>2015-16</w:t>
            </w:r>
          </w:p>
        </w:tc>
        <w:tc>
          <w:tcPr>
            <w:tcW w:w="122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123</w:t>
            </w:r>
          </w:p>
        </w:tc>
        <w:tc>
          <w:tcPr>
            <w:tcW w:w="122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2,181</w:t>
            </w:r>
          </w:p>
        </w:tc>
        <w:tc>
          <w:tcPr>
            <w:tcW w:w="122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17.7</w:t>
            </w:r>
          </w:p>
        </w:tc>
      </w:tr>
      <w:tr w:rsidR="008D573F" w:rsidRPr="00345731" w:rsidTr="008D573F">
        <w:trPr>
          <w:trHeight w:val="300"/>
        </w:trPr>
        <w:tc>
          <w:tcPr>
            <w:tcW w:w="1220" w:type="dxa"/>
            <w:shd w:val="clear" w:color="000000" w:fill="FFFFFF"/>
            <w:noWrap/>
            <w:vAlign w:val="center"/>
            <w:hideMark/>
          </w:tcPr>
          <w:p w:rsidR="008D573F" w:rsidRPr="00AC02AE" w:rsidRDefault="008D573F" w:rsidP="008D573F">
            <w:pPr>
              <w:jc w:val="center"/>
              <w:rPr>
                <w:rFonts w:ascii="Arial" w:hAnsi="Arial" w:cs="Arial"/>
                <w:b/>
                <w:bCs/>
                <w:color w:val="000000"/>
                <w:sz w:val="18"/>
                <w:szCs w:val="18"/>
              </w:rPr>
            </w:pPr>
            <w:r w:rsidRPr="00AC02AE">
              <w:rPr>
                <w:rFonts w:ascii="Arial" w:hAnsi="Arial" w:cs="Arial"/>
                <w:b/>
                <w:bCs/>
                <w:color w:val="000000"/>
                <w:sz w:val="18"/>
                <w:szCs w:val="18"/>
              </w:rPr>
              <w:t>2016-17</w:t>
            </w:r>
          </w:p>
        </w:tc>
        <w:tc>
          <w:tcPr>
            <w:tcW w:w="122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95</w:t>
            </w:r>
          </w:p>
        </w:tc>
        <w:tc>
          <w:tcPr>
            <w:tcW w:w="122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1,512</w:t>
            </w:r>
          </w:p>
        </w:tc>
        <w:tc>
          <w:tcPr>
            <w:tcW w:w="122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15.9</w:t>
            </w:r>
          </w:p>
        </w:tc>
      </w:tr>
      <w:tr w:rsidR="008D573F" w:rsidRPr="00345731" w:rsidTr="008D573F">
        <w:trPr>
          <w:trHeight w:val="300"/>
        </w:trPr>
        <w:tc>
          <w:tcPr>
            <w:tcW w:w="1220" w:type="dxa"/>
            <w:shd w:val="clear" w:color="000000" w:fill="FFFFFF"/>
            <w:noWrap/>
            <w:vAlign w:val="center"/>
          </w:tcPr>
          <w:p w:rsidR="008D573F" w:rsidRPr="00AC02AE" w:rsidRDefault="008D573F" w:rsidP="008D573F">
            <w:pPr>
              <w:jc w:val="center"/>
              <w:rPr>
                <w:rFonts w:ascii="Arial" w:hAnsi="Arial" w:cs="Arial"/>
                <w:b/>
                <w:bCs/>
                <w:color w:val="000000"/>
                <w:sz w:val="18"/>
                <w:szCs w:val="18"/>
              </w:rPr>
            </w:pPr>
            <w:r w:rsidRPr="00AC02AE">
              <w:rPr>
                <w:rFonts w:ascii="Arial" w:hAnsi="Arial" w:cs="Arial"/>
                <w:b/>
                <w:bCs/>
                <w:color w:val="000000"/>
                <w:sz w:val="18"/>
                <w:szCs w:val="18"/>
              </w:rPr>
              <w:t>All Years</w:t>
            </w:r>
          </w:p>
        </w:tc>
        <w:tc>
          <w:tcPr>
            <w:tcW w:w="1220" w:type="dxa"/>
            <w:shd w:val="clear" w:color="000000" w:fill="FFFFFF"/>
            <w:noWrap/>
            <w:vAlign w:val="center"/>
          </w:tcPr>
          <w:p w:rsidR="008D573F" w:rsidRPr="00AC02AE" w:rsidRDefault="008D573F" w:rsidP="008D573F">
            <w:pPr>
              <w:jc w:val="center"/>
              <w:rPr>
                <w:rFonts w:ascii="Arial" w:hAnsi="Arial" w:cs="Arial"/>
                <w:b/>
                <w:color w:val="000000"/>
                <w:sz w:val="18"/>
                <w:szCs w:val="18"/>
              </w:rPr>
            </w:pPr>
            <w:r w:rsidRPr="00AC02AE">
              <w:rPr>
                <w:rFonts w:ascii="Arial" w:hAnsi="Arial" w:cs="Arial"/>
                <w:b/>
                <w:color w:val="000000"/>
                <w:sz w:val="18"/>
                <w:szCs w:val="18"/>
              </w:rPr>
              <w:t>206</w:t>
            </w:r>
          </w:p>
        </w:tc>
        <w:tc>
          <w:tcPr>
            <w:tcW w:w="1220" w:type="dxa"/>
            <w:shd w:val="clear" w:color="000000" w:fill="FFFFFF"/>
            <w:noWrap/>
            <w:vAlign w:val="center"/>
          </w:tcPr>
          <w:p w:rsidR="008D573F" w:rsidRPr="00AC02AE" w:rsidRDefault="008D573F" w:rsidP="008D573F">
            <w:pPr>
              <w:jc w:val="center"/>
              <w:rPr>
                <w:rFonts w:ascii="Arial" w:hAnsi="Arial" w:cs="Arial"/>
                <w:b/>
                <w:color w:val="000000"/>
                <w:sz w:val="18"/>
                <w:szCs w:val="18"/>
              </w:rPr>
            </w:pPr>
            <w:r w:rsidRPr="00AC02AE">
              <w:rPr>
                <w:rFonts w:ascii="Arial" w:hAnsi="Arial" w:cs="Arial"/>
                <w:b/>
                <w:color w:val="000000"/>
                <w:sz w:val="18"/>
                <w:szCs w:val="18"/>
              </w:rPr>
              <w:t>10,620</w:t>
            </w:r>
          </w:p>
        </w:tc>
        <w:tc>
          <w:tcPr>
            <w:tcW w:w="1220" w:type="dxa"/>
            <w:shd w:val="clear" w:color="000000" w:fill="FFFFFF"/>
            <w:noWrap/>
            <w:vAlign w:val="center"/>
          </w:tcPr>
          <w:p w:rsidR="008D573F" w:rsidRPr="00AC02AE" w:rsidRDefault="008D573F" w:rsidP="008D573F">
            <w:pPr>
              <w:jc w:val="center"/>
              <w:rPr>
                <w:rFonts w:ascii="Arial" w:hAnsi="Arial" w:cs="Arial"/>
                <w:b/>
                <w:color w:val="000000"/>
                <w:sz w:val="18"/>
                <w:szCs w:val="18"/>
              </w:rPr>
            </w:pPr>
            <w:r w:rsidRPr="00AC02AE">
              <w:rPr>
                <w:rFonts w:ascii="Arial" w:hAnsi="Arial" w:cs="Arial"/>
                <w:b/>
                <w:color w:val="000000"/>
                <w:sz w:val="18"/>
                <w:szCs w:val="18"/>
              </w:rPr>
              <w:t>51.6</w:t>
            </w:r>
          </w:p>
        </w:tc>
      </w:tr>
    </w:tbl>
    <w:p w:rsidR="008D573F" w:rsidRPr="009418F3" w:rsidRDefault="008D573F" w:rsidP="009418F3">
      <w:pPr>
        <w:spacing w:before="120"/>
        <w:rPr>
          <w:rFonts w:ascii="Arial Narrow" w:hAnsi="Arial Narrow"/>
          <w:b/>
          <w:sz w:val="20"/>
        </w:rPr>
      </w:pPr>
      <w:r w:rsidRPr="009418F3">
        <w:rPr>
          <w:rFonts w:ascii="Arial Narrow" w:hAnsi="Arial Narrow"/>
          <w:b/>
          <w:sz w:val="20"/>
        </w:rPr>
        <w:t>Table 13: Number of practitioners providing services under item 31572 from 2013-14 to 2016-17</w:t>
      </w:r>
    </w:p>
    <w:tbl>
      <w:tblPr>
        <w:tblStyle w:val="TableGrid"/>
        <w:tblW w:w="0" w:type="auto"/>
        <w:tblInd w:w="108" w:type="dxa"/>
        <w:tblLook w:val="04A0" w:firstRow="1" w:lastRow="0" w:firstColumn="1" w:lastColumn="0" w:noHBand="0" w:noVBand="1"/>
        <w:tblCaption w:val="Number of practitioners claiming item 31572 from 2013-2017"/>
        <w:tblDescription w:val="This table represents the number of practitioners that claimed item 31572 across all 4 financial year since implementation. The total practitioners claiming the item in 2013-14 was 81, 99 in 2014-15, 97 in 2015-16 and 129 in 2016-17. "/>
      </w:tblPr>
      <w:tblGrid>
        <w:gridCol w:w="1112"/>
        <w:gridCol w:w="1220"/>
        <w:gridCol w:w="1220"/>
        <w:gridCol w:w="1268"/>
      </w:tblGrid>
      <w:tr w:rsidR="008D573F" w:rsidRPr="00345731" w:rsidTr="00833132">
        <w:trPr>
          <w:trHeight w:val="300"/>
          <w:tblHeader/>
        </w:trPr>
        <w:tc>
          <w:tcPr>
            <w:tcW w:w="1112" w:type="dxa"/>
            <w:shd w:val="clear" w:color="auto" w:fill="548DD4" w:themeFill="text2" w:themeFillTint="99"/>
            <w:vAlign w:val="center"/>
            <w:hideMark/>
          </w:tcPr>
          <w:p w:rsidR="008D573F" w:rsidRPr="00345731" w:rsidRDefault="008D573F" w:rsidP="008D573F">
            <w:pPr>
              <w:jc w:val="center"/>
              <w:rPr>
                <w:rFonts w:ascii="Arial" w:hAnsi="Arial" w:cs="Arial"/>
                <w:b/>
                <w:bCs/>
                <w:color w:val="FFFFFF" w:themeColor="background1"/>
                <w:sz w:val="18"/>
                <w:szCs w:val="18"/>
              </w:rPr>
            </w:pPr>
            <w:r w:rsidRPr="00345731">
              <w:rPr>
                <w:rFonts w:ascii="Arial" w:hAnsi="Arial" w:cs="Arial"/>
                <w:b/>
                <w:bCs/>
                <w:color w:val="FFFFFF" w:themeColor="background1"/>
                <w:sz w:val="18"/>
                <w:szCs w:val="18"/>
              </w:rPr>
              <w:t>Fin Year</w:t>
            </w:r>
          </w:p>
        </w:tc>
        <w:tc>
          <w:tcPr>
            <w:tcW w:w="1220" w:type="dxa"/>
            <w:shd w:val="clear" w:color="auto" w:fill="548DD4" w:themeFill="text2" w:themeFillTint="99"/>
            <w:vAlign w:val="center"/>
            <w:hideMark/>
          </w:tcPr>
          <w:p w:rsidR="008D573F" w:rsidRPr="00345731" w:rsidRDefault="008D573F" w:rsidP="008D573F">
            <w:pPr>
              <w:jc w:val="center"/>
              <w:rPr>
                <w:rFonts w:ascii="Arial" w:hAnsi="Arial" w:cs="Arial"/>
                <w:b/>
                <w:bCs/>
                <w:color w:val="FFFFFF" w:themeColor="background1"/>
                <w:sz w:val="18"/>
                <w:szCs w:val="18"/>
              </w:rPr>
            </w:pPr>
            <w:r w:rsidRPr="00345731">
              <w:rPr>
                <w:rFonts w:ascii="Arial" w:hAnsi="Arial" w:cs="Arial"/>
                <w:b/>
                <w:bCs/>
                <w:color w:val="FFFFFF" w:themeColor="background1"/>
                <w:sz w:val="18"/>
                <w:szCs w:val="18"/>
              </w:rPr>
              <w:t>Providers</w:t>
            </w:r>
          </w:p>
        </w:tc>
        <w:tc>
          <w:tcPr>
            <w:tcW w:w="1220" w:type="dxa"/>
            <w:shd w:val="clear" w:color="auto" w:fill="548DD4" w:themeFill="text2" w:themeFillTint="99"/>
            <w:vAlign w:val="center"/>
            <w:hideMark/>
          </w:tcPr>
          <w:p w:rsidR="008D573F" w:rsidRPr="00345731" w:rsidRDefault="008D573F" w:rsidP="008D573F">
            <w:pPr>
              <w:jc w:val="center"/>
              <w:rPr>
                <w:rFonts w:ascii="Arial" w:hAnsi="Arial" w:cs="Arial"/>
                <w:b/>
                <w:bCs/>
                <w:color w:val="FFFFFF" w:themeColor="background1"/>
                <w:sz w:val="18"/>
                <w:szCs w:val="18"/>
              </w:rPr>
            </w:pPr>
            <w:r w:rsidRPr="00345731">
              <w:rPr>
                <w:rFonts w:ascii="Arial" w:hAnsi="Arial" w:cs="Arial"/>
                <w:b/>
                <w:bCs/>
                <w:color w:val="FFFFFF" w:themeColor="background1"/>
                <w:sz w:val="18"/>
                <w:szCs w:val="18"/>
              </w:rPr>
              <w:t>Services</w:t>
            </w:r>
          </w:p>
        </w:tc>
        <w:tc>
          <w:tcPr>
            <w:tcW w:w="1268" w:type="dxa"/>
            <w:shd w:val="clear" w:color="auto" w:fill="548DD4" w:themeFill="text2" w:themeFillTint="99"/>
            <w:vAlign w:val="center"/>
            <w:hideMark/>
          </w:tcPr>
          <w:p w:rsidR="008D573F" w:rsidRPr="00345731" w:rsidRDefault="008D573F" w:rsidP="008D573F">
            <w:pPr>
              <w:jc w:val="center"/>
              <w:rPr>
                <w:rFonts w:ascii="Arial" w:hAnsi="Arial" w:cs="Arial"/>
                <w:b/>
                <w:bCs/>
                <w:color w:val="FFFFFF" w:themeColor="background1"/>
                <w:sz w:val="18"/>
                <w:szCs w:val="18"/>
              </w:rPr>
            </w:pPr>
            <w:r w:rsidRPr="00345731">
              <w:rPr>
                <w:rFonts w:ascii="Arial" w:hAnsi="Arial" w:cs="Arial"/>
                <w:b/>
                <w:bCs/>
                <w:color w:val="FFFFFF" w:themeColor="background1"/>
                <w:sz w:val="18"/>
                <w:szCs w:val="18"/>
              </w:rPr>
              <w:t>Average</w:t>
            </w:r>
          </w:p>
        </w:tc>
      </w:tr>
      <w:tr w:rsidR="008D573F" w:rsidRPr="00345731" w:rsidTr="008D573F">
        <w:trPr>
          <w:trHeight w:val="300"/>
        </w:trPr>
        <w:tc>
          <w:tcPr>
            <w:tcW w:w="1112" w:type="dxa"/>
            <w:noWrap/>
            <w:vAlign w:val="center"/>
            <w:hideMark/>
          </w:tcPr>
          <w:p w:rsidR="008D573F" w:rsidRPr="00345731" w:rsidRDefault="008D573F" w:rsidP="008D573F">
            <w:pPr>
              <w:jc w:val="center"/>
              <w:rPr>
                <w:rFonts w:ascii="Arial" w:hAnsi="Arial" w:cs="Arial"/>
                <w:b/>
                <w:bCs/>
                <w:sz w:val="18"/>
                <w:szCs w:val="18"/>
              </w:rPr>
            </w:pPr>
            <w:r w:rsidRPr="00345731">
              <w:rPr>
                <w:rFonts w:ascii="Arial" w:hAnsi="Arial" w:cs="Arial"/>
                <w:b/>
                <w:bCs/>
                <w:sz w:val="18"/>
                <w:szCs w:val="18"/>
              </w:rPr>
              <w:t>2013-14</w:t>
            </w:r>
          </w:p>
        </w:tc>
        <w:tc>
          <w:tcPr>
            <w:tcW w:w="1220" w:type="dxa"/>
            <w:noWrap/>
            <w:vAlign w:val="center"/>
            <w:hideMark/>
          </w:tcPr>
          <w:p w:rsidR="008D573F" w:rsidRPr="00345731" w:rsidRDefault="008D573F" w:rsidP="008D573F">
            <w:pPr>
              <w:jc w:val="center"/>
              <w:rPr>
                <w:rFonts w:ascii="Arial" w:hAnsi="Arial" w:cs="Arial"/>
                <w:bCs/>
                <w:sz w:val="18"/>
                <w:szCs w:val="18"/>
              </w:rPr>
            </w:pPr>
            <w:r w:rsidRPr="00345731">
              <w:rPr>
                <w:rFonts w:ascii="Arial" w:hAnsi="Arial" w:cs="Arial"/>
                <w:bCs/>
                <w:sz w:val="18"/>
                <w:szCs w:val="18"/>
              </w:rPr>
              <w:t>81</w:t>
            </w:r>
          </w:p>
        </w:tc>
        <w:tc>
          <w:tcPr>
            <w:tcW w:w="1220" w:type="dxa"/>
            <w:noWrap/>
            <w:vAlign w:val="center"/>
            <w:hideMark/>
          </w:tcPr>
          <w:p w:rsidR="008D573F" w:rsidRPr="00345731" w:rsidRDefault="008D573F" w:rsidP="008D573F">
            <w:pPr>
              <w:jc w:val="center"/>
              <w:rPr>
                <w:rFonts w:ascii="Arial" w:hAnsi="Arial" w:cs="Arial"/>
                <w:bCs/>
                <w:sz w:val="18"/>
                <w:szCs w:val="18"/>
              </w:rPr>
            </w:pPr>
            <w:r w:rsidRPr="00345731">
              <w:rPr>
                <w:rFonts w:ascii="Arial" w:hAnsi="Arial" w:cs="Arial"/>
                <w:bCs/>
                <w:sz w:val="18"/>
                <w:szCs w:val="18"/>
              </w:rPr>
              <w:t>882</w:t>
            </w:r>
          </w:p>
        </w:tc>
        <w:tc>
          <w:tcPr>
            <w:tcW w:w="1268" w:type="dxa"/>
            <w:noWrap/>
            <w:vAlign w:val="center"/>
            <w:hideMark/>
          </w:tcPr>
          <w:p w:rsidR="008D573F" w:rsidRPr="00345731" w:rsidRDefault="008D573F" w:rsidP="008D573F">
            <w:pPr>
              <w:jc w:val="center"/>
              <w:rPr>
                <w:rFonts w:ascii="Arial" w:hAnsi="Arial" w:cs="Arial"/>
                <w:bCs/>
                <w:sz w:val="18"/>
                <w:szCs w:val="18"/>
              </w:rPr>
            </w:pPr>
            <w:r w:rsidRPr="00345731">
              <w:rPr>
                <w:rFonts w:ascii="Arial" w:hAnsi="Arial" w:cs="Arial"/>
                <w:bCs/>
                <w:sz w:val="18"/>
                <w:szCs w:val="18"/>
              </w:rPr>
              <w:t>10.9</w:t>
            </w:r>
          </w:p>
        </w:tc>
      </w:tr>
      <w:tr w:rsidR="008D573F" w:rsidRPr="00345731" w:rsidTr="008D573F">
        <w:trPr>
          <w:trHeight w:val="300"/>
        </w:trPr>
        <w:tc>
          <w:tcPr>
            <w:tcW w:w="1112" w:type="dxa"/>
            <w:noWrap/>
            <w:vAlign w:val="center"/>
            <w:hideMark/>
          </w:tcPr>
          <w:p w:rsidR="008D573F" w:rsidRPr="00345731" w:rsidRDefault="008D573F" w:rsidP="008D573F">
            <w:pPr>
              <w:jc w:val="center"/>
              <w:rPr>
                <w:rFonts w:ascii="Arial" w:hAnsi="Arial" w:cs="Arial"/>
                <w:b/>
                <w:bCs/>
                <w:sz w:val="18"/>
                <w:szCs w:val="18"/>
              </w:rPr>
            </w:pPr>
            <w:r w:rsidRPr="00345731">
              <w:rPr>
                <w:rFonts w:ascii="Arial" w:hAnsi="Arial" w:cs="Arial"/>
                <w:b/>
                <w:bCs/>
                <w:sz w:val="18"/>
                <w:szCs w:val="18"/>
              </w:rPr>
              <w:t>2014-15</w:t>
            </w:r>
          </w:p>
        </w:tc>
        <w:tc>
          <w:tcPr>
            <w:tcW w:w="1220" w:type="dxa"/>
            <w:noWrap/>
            <w:vAlign w:val="center"/>
            <w:hideMark/>
          </w:tcPr>
          <w:p w:rsidR="008D573F" w:rsidRPr="00345731" w:rsidRDefault="008D573F" w:rsidP="008D573F">
            <w:pPr>
              <w:jc w:val="center"/>
              <w:rPr>
                <w:rFonts w:ascii="Arial" w:hAnsi="Arial" w:cs="Arial"/>
                <w:bCs/>
                <w:sz w:val="18"/>
                <w:szCs w:val="18"/>
              </w:rPr>
            </w:pPr>
            <w:r w:rsidRPr="00345731">
              <w:rPr>
                <w:rFonts w:ascii="Arial" w:hAnsi="Arial" w:cs="Arial"/>
                <w:bCs/>
                <w:sz w:val="18"/>
                <w:szCs w:val="18"/>
              </w:rPr>
              <w:t>99</w:t>
            </w:r>
          </w:p>
        </w:tc>
        <w:tc>
          <w:tcPr>
            <w:tcW w:w="1220" w:type="dxa"/>
            <w:noWrap/>
            <w:vAlign w:val="center"/>
            <w:hideMark/>
          </w:tcPr>
          <w:p w:rsidR="008D573F" w:rsidRPr="00345731" w:rsidRDefault="008D573F" w:rsidP="008D573F">
            <w:pPr>
              <w:jc w:val="center"/>
              <w:rPr>
                <w:rFonts w:ascii="Arial" w:hAnsi="Arial" w:cs="Arial"/>
                <w:bCs/>
                <w:sz w:val="18"/>
                <w:szCs w:val="18"/>
              </w:rPr>
            </w:pPr>
            <w:r w:rsidRPr="00345731">
              <w:rPr>
                <w:rFonts w:ascii="Arial" w:hAnsi="Arial" w:cs="Arial"/>
                <w:bCs/>
                <w:sz w:val="18"/>
                <w:szCs w:val="18"/>
              </w:rPr>
              <w:t>1,323</w:t>
            </w:r>
          </w:p>
        </w:tc>
        <w:tc>
          <w:tcPr>
            <w:tcW w:w="1268" w:type="dxa"/>
            <w:noWrap/>
            <w:vAlign w:val="center"/>
            <w:hideMark/>
          </w:tcPr>
          <w:p w:rsidR="008D573F" w:rsidRPr="00345731" w:rsidRDefault="008D573F" w:rsidP="008D573F">
            <w:pPr>
              <w:jc w:val="center"/>
              <w:rPr>
                <w:rFonts w:ascii="Arial" w:hAnsi="Arial" w:cs="Arial"/>
                <w:bCs/>
                <w:sz w:val="18"/>
                <w:szCs w:val="18"/>
              </w:rPr>
            </w:pPr>
            <w:r w:rsidRPr="00345731">
              <w:rPr>
                <w:rFonts w:ascii="Arial" w:hAnsi="Arial" w:cs="Arial"/>
                <w:bCs/>
                <w:sz w:val="18"/>
                <w:szCs w:val="18"/>
              </w:rPr>
              <w:t>13.4</w:t>
            </w:r>
          </w:p>
        </w:tc>
      </w:tr>
      <w:tr w:rsidR="008D573F" w:rsidRPr="00345731" w:rsidTr="008D573F">
        <w:trPr>
          <w:trHeight w:val="300"/>
        </w:trPr>
        <w:tc>
          <w:tcPr>
            <w:tcW w:w="1112" w:type="dxa"/>
            <w:noWrap/>
            <w:vAlign w:val="center"/>
            <w:hideMark/>
          </w:tcPr>
          <w:p w:rsidR="008D573F" w:rsidRPr="00345731" w:rsidRDefault="008D573F" w:rsidP="008D573F">
            <w:pPr>
              <w:jc w:val="center"/>
              <w:rPr>
                <w:rFonts w:ascii="Arial" w:hAnsi="Arial" w:cs="Arial"/>
                <w:b/>
                <w:bCs/>
                <w:sz w:val="18"/>
                <w:szCs w:val="18"/>
              </w:rPr>
            </w:pPr>
            <w:r w:rsidRPr="00345731">
              <w:rPr>
                <w:rFonts w:ascii="Arial" w:hAnsi="Arial" w:cs="Arial"/>
                <w:b/>
                <w:bCs/>
                <w:sz w:val="18"/>
                <w:szCs w:val="18"/>
              </w:rPr>
              <w:t>2015-16</w:t>
            </w:r>
          </w:p>
        </w:tc>
        <w:tc>
          <w:tcPr>
            <w:tcW w:w="1220" w:type="dxa"/>
            <w:noWrap/>
            <w:vAlign w:val="center"/>
            <w:hideMark/>
          </w:tcPr>
          <w:p w:rsidR="008D573F" w:rsidRPr="00345731" w:rsidRDefault="008D573F" w:rsidP="008D573F">
            <w:pPr>
              <w:jc w:val="center"/>
              <w:rPr>
                <w:rFonts w:ascii="Arial" w:hAnsi="Arial" w:cs="Arial"/>
                <w:bCs/>
                <w:sz w:val="18"/>
                <w:szCs w:val="18"/>
              </w:rPr>
            </w:pPr>
            <w:r w:rsidRPr="00345731">
              <w:rPr>
                <w:rFonts w:ascii="Arial" w:hAnsi="Arial" w:cs="Arial"/>
                <w:bCs/>
                <w:sz w:val="18"/>
                <w:szCs w:val="18"/>
              </w:rPr>
              <w:t>97</w:t>
            </w:r>
          </w:p>
        </w:tc>
        <w:tc>
          <w:tcPr>
            <w:tcW w:w="1220" w:type="dxa"/>
            <w:noWrap/>
            <w:vAlign w:val="center"/>
            <w:hideMark/>
          </w:tcPr>
          <w:p w:rsidR="008D573F" w:rsidRPr="00345731" w:rsidRDefault="008D573F" w:rsidP="008D573F">
            <w:pPr>
              <w:jc w:val="center"/>
              <w:rPr>
                <w:rFonts w:ascii="Arial" w:hAnsi="Arial" w:cs="Arial"/>
                <w:bCs/>
                <w:sz w:val="18"/>
                <w:szCs w:val="18"/>
              </w:rPr>
            </w:pPr>
            <w:r w:rsidRPr="00345731">
              <w:rPr>
                <w:rFonts w:ascii="Arial" w:hAnsi="Arial" w:cs="Arial"/>
                <w:bCs/>
                <w:sz w:val="18"/>
                <w:szCs w:val="18"/>
              </w:rPr>
              <w:t>2,029</w:t>
            </w:r>
          </w:p>
        </w:tc>
        <w:tc>
          <w:tcPr>
            <w:tcW w:w="1268" w:type="dxa"/>
            <w:noWrap/>
            <w:vAlign w:val="center"/>
            <w:hideMark/>
          </w:tcPr>
          <w:p w:rsidR="008D573F" w:rsidRPr="00345731" w:rsidRDefault="008D573F" w:rsidP="008D573F">
            <w:pPr>
              <w:jc w:val="center"/>
              <w:rPr>
                <w:rFonts w:ascii="Arial" w:hAnsi="Arial" w:cs="Arial"/>
                <w:bCs/>
                <w:sz w:val="18"/>
                <w:szCs w:val="18"/>
              </w:rPr>
            </w:pPr>
            <w:r w:rsidRPr="00345731">
              <w:rPr>
                <w:rFonts w:ascii="Arial" w:hAnsi="Arial" w:cs="Arial"/>
                <w:bCs/>
                <w:sz w:val="18"/>
                <w:szCs w:val="18"/>
              </w:rPr>
              <w:t>20.9</w:t>
            </w:r>
          </w:p>
        </w:tc>
      </w:tr>
      <w:tr w:rsidR="008D573F" w:rsidRPr="00345731" w:rsidTr="008D573F">
        <w:trPr>
          <w:trHeight w:val="300"/>
        </w:trPr>
        <w:tc>
          <w:tcPr>
            <w:tcW w:w="1112" w:type="dxa"/>
            <w:noWrap/>
            <w:vAlign w:val="center"/>
            <w:hideMark/>
          </w:tcPr>
          <w:p w:rsidR="008D573F" w:rsidRPr="00345731" w:rsidRDefault="008D573F" w:rsidP="008D573F">
            <w:pPr>
              <w:jc w:val="center"/>
              <w:rPr>
                <w:rFonts w:ascii="Arial" w:hAnsi="Arial" w:cs="Arial"/>
                <w:b/>
                <w:bCs/>
                <w:sz w:val="18"/>
                <w:szCs w:val="18"/>
              </w:rPr>
            </w:pPr>
            <w:r w:rsidRPr="00345731">
              <w:rPr>
                <w:rFonts w:ascii="Arial" w:hAnsi="Arial" w:cs="Arial"/>
                <w:b/>
                <w:bCs/>
                <w:sz w:val="18"/>
                <w:szCs w:val="18"/>
              </w:rPr>
              <w:t>2016-17</w:t>
            </w:r>
          </w:p>
        </w:tc>
        <w:tc>
          <w:tcPr>
            <w:tcW w:w="1220" w:type="dxa"/>
            <w:noWrap/>
            <w:vAlign w:val="center"/>
            <w:hideMark/>
          </w:tcPr>
          <w:p w:rsidR="008D573F" w:rsidRPr="00345731" w:rsidRDefault="008D573F" w:rsidP="008D573F">
            <w:pPr>
              <w:jc w:val="center"/>
              <w:rPr>
                <w:rFonts w:ascii="Arial" w:hAnsi="Arial" w:cs="Arial"/>
                <w:bCs/>
                <w:sz w:val="18"/>
                <w:szCs w:val="18"/>
              </w:rPr>
            </w:pPr>
            <w:r w:rsidRPr="00345731">
              <w:rPr>
                <w:rFonts w:ascii="Arial" w:hAnsi="Arial" w:cs="Arial"/>
                <w:bCs/>
                <w:sz w:val="18"/>
                <w:szCs w:val="18"/>
              </w:rPr>
              <w:t>129</w:t>
            </w:r>
          </w:p>
        </w:tc>
        <w:tc>
          <w:tcPr>
            <w:tcW w:w="1220" w:type="dxa"/>
            <w:noWrap/>
            <w:vAlign w:val="center"/>
            <w:hideMark/>
          </w:tcPr>
          <w:p w:rsidR="008D573F" w:rsidRPr="00345731" w:rsidRDefault="008D573F" w:rsidP="008D573F">
            <w:pPr>
              <w:jc w:val="center"/>
              <w:rPr>
                <w:rFonts w:ascii="Arial" w:hAnsi="Arial" w:cs="Arial"/>
                <w:bCs/>
                <w:sz w:val="18"/>
                <w:szCs w:val="18"/>
              </w:rPr>
            </w:pPr>
            <w:r w:rsidRPr="00345731">
              <w:rPr>
                <w:rFonts w:ascii="Arial" w:hAnsi="Arial" w:cs="Arial"/>
                <w:bCs/>
                <w:sz w:val="18"/>
                <w:szCs w:val="18"/>
              </w:rPr>
              <w:t>2,424</w:t>
            </w:r>
          </w:p>
        </w:tc>
        <w:tc>
          <w:tcPr>
            <w:tcW w:w="1268" w:type="dxa"/>
            <w:noWrap/>
            <w:vAlign w:val="center"/>
            <w:hideMark/>
          </w:tcPr>
          <w:p w:rsidR="008D573F" w:rsidRPr="00345731" w:rsidRDefault="008D573F" w:rsidP="008D573F">
            <w:pPr>
              <w:jc w:val="center"/>
              <w:rPr>
                <w:rFonts w:ascii="Arial" w:hAnsi="Arial" w:cs="Arial"/>
                <w:bCs/>
                <w:sz w:val="18"/>
                <w:szCs w:val="18"/>
              </w:rPr>
            </w:pPr>
            <w:r w:rsidRPr="00345731">
              <w:rPr>
                <w:rFonts w:ascii="Arial" w:hAnsi="Arial" w:cs="Arial"/>
                <w:bCs/>
                <w:sz w:val="18"/>
                <w:szCs w:val="18"/>
              </w:rPr>
              <w:t>18.8</w:t>
            </w:r>
          </w:p>
        </w:tc>
      </w:tr>
      <w:tr w:rsidR="008D573F" w:rsidRPr="00345731" w:rsidTr="008D573F">
        <w:trPr>
          <w:trHeight w:val="300"/>
        </w:trPr>
        <w:tc>
          <w:tcPr>
            <w:tcW w:w="1112" w:type="dxa"/>
            <w:noWrap/>
            <w:vAlign w:val="center"/>
          </w:tcPr>
          <w:p w:rsidR="008D573F" w:rsidRPr="00345731" w:rsidRDefault="008D573F" w:rsidP="008D573F">
            <w:pPr>
              <w:jc w:val="center"/>
              <w:rPr>
                <w:rFonts w:ascii="Arial" w:hAnsi="Arial" w:cs="Arial"/>
                <w:b/>
                <w:bCs/>
                <w:sz w:val="18"/>
                <w:szCs w:val="18"/>
              </w:rPr>
            </w:pPr>
            <w:r w:rsidRPr="00345731">
              <w:rPr>
                <w:rFonts w:ascii="Arial" w:hAnsi="Arial" w:cs="Arial"/>
                <w:b/>
                <w:bCs/>
                <w:sz w:val="18"/>
                <w:szCs w:val="18"/>
              </w:rPr>
              <w:t>All Years</w:t>
            </w:r>
          </w:p>
        </w:tc>
        <w:tc>
          <w:tcPr>
            <w:tcW w:w="1220" w:type="dxa"/>
            <w:noWrap/>
            <w:vAlign w:val="center"/>
          </w:tcPr>
          <w:p w:rsidR="008D573F" w:rsidRPr="00345731" w:rsidRDefault="008D573F" w:rsidP="008D573F">
            <w:pPr>
              <w:jc w:val="center"/>
              <w:rPr>
                <w:rFonts w:ascii="Arial" w:hAnsi="Arial" w:cs="Arial"/>
                <w:b/>
                <w:bCs/>
                <w:sz w:val="18"/>
                <w:szCs w:val="18"/>
              </w:rPr>
            </w:pPr>
            <w:r w:rsidRPr="00345731">
              <w:rPr>
                <w:rFonts w:ascii="Arial" w:hAnsi="Arial" w:cs="Arial"/>
                <w:b/>
                <w:bCs/>
                <w:sz w:val="18"/>
                <w:szCs w:val="18"/>
              </w:rPr>
              <w:t>155</w:t>
            </w:r>
          </w:p>
        </w:tc>
        <w:tc>
          <w:tcPr>
            <w:tcW w:w="1220" w:type="dxa"/>
            <w:noWrap/>
            <w:vAlign w:val="center"/>
          </w:tcPr>
          <w:p w:rsidR="008D573F" w:rsidRPr="00345731" w:rsidRDefault="008D573F" w:rsidP="008D573F">
            <w:pPr>
              <w:jc w:val="center"/>
              <w:rPr>
                <w:rFonts w:ascii="Arial" w:hAnsi="Arial" w:cs="Arial"/>
                <w:b/>
                <w:bCs/>
                <w:sz w:val="18"/>
                <w:szCs w:val="18"/>
              </w:rPr>
            </w:pPr>
            <w:r w:rsidRPr="00345731">
              <w:rPr>
                <w:rFonts w:ascii="Arial" w:hAnsi="Arial" w:cs="Arial"/>
                <w:b/>
                <w:bCs/>
                <w:sz w:val="18"/>
                <w:szCs w:val="18"/>
              </w:rPr>
              <w:t>6,658</w:t>
            </w:r>
          </w:p>
        </w:tc>
        <w:tc>
          <w:tcPr>
            <w:tcW w:w="1268" w:type="dxa"/>
            <w:noWrap/>
            <w:vAlign w:val="center"/>
          </w:tcPr>
          <w:p w:rsidR="008D573F" w:rsidRPr="00345731" w:rsidRDefault="008D573F" w:rsidP="008D573F">
            <w:pPr>
              <w:jc w:val="center"/>
              <w:rPr>
                <w:rFonts w:ascii="Arial" w:hAnsi="Arial" w:cs="Arial"/>
                <w:b/>
                <w:bCs/>
                <w:sz w:val="18"/>
                <w:szCs w:val="18"/>
              </w:rPr>
            </w:pPr>
            <w:r w:rsidRPr="00345731">
              <w:rPr>
                <w:rFonts w:ascii="Arial" w:hAnsi="Arial" w:cs="Arial"/>
                <w:b/>
                <w:bCs/>
                <w:sz w:val="18"/>
                <w:szCs w:val="18"/>
              </w:rPr>
              <w:t>43.0</w:t>
            </w:r>
          </w:p>
        </w:tc>
      </w:tr>
    </w:tbl>
    <w:p w:rsidR="008D573F" w:rsidRPr="009418F3" w:rsidRDefault="008D573F" w:rsidP="009418F3">
      <w:pPr>
        <w:spacing w:before="120"/>
        <w:rPr>
          <w:rFonts w:ascii="Arial Narrow" w:hAnsi="Arial Narrow"/>
          <w:b/>
          <w:sz w:val="20"/>
        </w:rPr>
      </w:pPr>
      <w:r w:rsidRPr="009418F3">
        <w:rPr>
          <w:rFonts w:ascii="Arial Narrow" w:hAnsi="Arial Narrow"/>
          <w:b/>
          <w:sz w:val="20"/>
        </w:rPr>
        <w:t>Table 14: Number of practitioners providing services under item 31575 from 2013-14 to 2016-17</w:t>
      </w:r>
    </w:p>
    <w:tbl>
      <w:tblPr>
        <w:tblW w:w="48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practitioners claiming item 31575 from 2013 to 2017"/>
        <w:tblDescription w:val="This table depicts the number of practitioners who claimed item 31575 over the four years since its implementation. "/>
      </w:tblPr>
      <w:tblGrid>
        <w:gridCol w:w="1220"/>
        <w:gridCol w:w="1220"/>
        <w:gridCol w:w="1220"/>
        <w:gridCol w:w="1220"/>
      </w:tblGrid>
      <w:tr w:rsidR="008D573F" w:rsidRPr="00345731" w:rsidTr="008D573F">
        <w:trPr>
          <w:trHeight w:val="300"/>
        </w:trPr>
        <w:tc>
          <w:tcPr>
            <w:tcW w:w="1220" w:type="dxa"/>
            <w:shd w:val="clear" w:color="auto" w:fill="548DD4" w:themeFill="text2" w:themeFillTint="99"/>
            <w:vAlign w:val="center"/>
            <w:hideMark/>
          </w:tcPr>
          <w:p w:rsidR="008D573F" w:rsidRPr="00345731" w:rsidRDefault="008D573F" w:rsidP="008D573F">
            <w:pPr>
              <w:jc w:val="center"/>
              <w:rPr>
                <w:rFonts w:ascii="Arial" w:hAnsi="Arial" w:cs="Arial"/>
                <w:b/>
                <w:bCs/>
                <w:color w:val="FFFFFF" w:themeColor="background1"/>
                <w:sz w:val="18"/>
                <w:szCs w:val="18"/>
              </w:rPr>
            </w:pPr>
            <w:r w:rsidRPr="00345731">
              <w:rPr>
                <w:rFonts w:ascii="Arial" w:hAnsi="Arial" w:cs="Arial"/>
                <w:b/>
                <w:bCs/>
                <w:color w:val="FFFFFF" w:themeColor="background1"/>
                <w:sz w:val="18"/>
                <w:szCs w:val="18"/>
              </w:rPr>
              <w:t>Fin Year</w:t>
            </w:r>
          </w:p>
        </w:tc>
        <w:tc>
          <w:tcPr>
            <w:tcW w:w="1220" w:type="dxa"/>
            <w:shd w:val="clear" w:color="auto" w:fill="548DD4" w:themeFill="text2" w:themeFillTint="99"/>
            <w:vAlign w:val="center"/>
            <w:hideMark/>
          </w:tcPr>
          <w:p w:rsidR="008D573F" w:rsidRPr="00345731" w:rsidRDefault="008D573F" w:rsidP="008D573F">
            <w:pPr>
              <w:jc w:val="center"/>
              <w:rPr>
                <w:rFonts w:ascii="Arial" w:hAnsi="Arial" w:cs="Arial"/>
                <w:b/>
                <w:bCs/>
                <w:color w:val="FFFFFF" w:themeColor="background1"/>
                <w:sz w:val="18"/>
                <w:szCs w:val="18"/>
              </w:rPr>
            </w:pPr>
            <w:r w:rsidRPr="00345731">
              <w:rPr>
                <w:rFonts w:ascii="Arial" w:hAnsi="Arial" w:cs="Arial"/>
                <w:b/>
                <w:bCs/>
                <w:color w:val="FFFFFF" w:themeColor="background1"/>
                <w:sz w:val="18"/>
                <w:szCs w:val="18"/>
              </w:rPr>
              <w:t>Providers</w:t>
            </w:r>
          </w:p>
        </w:tc>
        <w:tc>
          <w:tcPr>
            <w:tcW w:w="1220" w:type="dxa"/>
            <w:shd w:val="clear" w:color="auto" w:fill="548DD4" w:themeFill="text2" w:themeFillTint="99"/>
            <w:vAlign w:val="center"/>
            <w:hideMark/>
          </w:tcPr>
          <w:p w:rsidR="008D573F" w:rsidRPr="00345731" w:rsidRDefault="008D573F" w:rsidP="008D573F">
            <w:pPr>
              <w:jc w:val="center"/>
              <w:rPr>
                <w:rFonts w:ascii="Arial" w:hAnsi="Arial" w:cs="Arial"/>
                <w:b/>
                <w:bCs/>
                <w:color w:val="FFFFFF" w:themeColor="background1"/>
                <w:sz w:val="18"/>
                <w:szCs w:val="18"/>
              </w:rPr>
            </w:pPr>
            <w:r w:rsidRPr="00345731">
              <w:rPr>
                <w:rFonts w:ascii="Arial" w:hAnsi="Arial" w:cs="Arial"/>
                <w:b/>
                <w:bCs/>
                <w:color w:val="FFFFFF" w:themeColor="background1"/>
                <w:sz w:val="18"/>
                <w:szCs w:val="18"/>
              </w:rPr>
              <w:t>Services</w:t>
            </w:r>
          </w:p>
        </w:tc>
        <w:tc>
          <w:tcPr>
            <w:tcW w:w="1220" w:type="dxa"/>
            <w:shd w:val="clear" w:color="auto" w:fill="548DD4" w:themeFill="text2" w:themeFillTint="99"/>
            <w:vAlign w:val="center"/>
            <w:hideMark/>
          </w:tcPr>
          <w:p w:rsidR="008D573F" w:rsidRPr="00345731" w:rsidRDefault="008D573F" w:rsidP="008D573F">
            <w:pPr>
              <w:jc w:val="center"/>
              <w:rPr>
                <w:rFonts w:ascii="Arial" w:hAnsi="Arial" w:cs="Arial"/>
                <w:b/>
                <w:bCs/>
                <w:color w:val="FFFFFF" w:themeColor="background1"/>
                <w:sz w:val="18"/>
                <w:szCs w:val="18"/>
              </w:rPr>
            </w:pPr>
            <w:r w:rsidRPr="00345731">
              <w:rPr>
                <w:rFonts w:ascii="Arial" w:hAnsi="Arial" w:cs="Arial"/>
                <w:b/>
                <w:bCs/>
                <w:color w:val="FFFFFF" w:themeColor="background1"/>
                <w:sz w:val="18"/>
                <w:szCs w:val="18"/>
              </w:rPr>
              <w:t>Average</w:t>
            </w:r>
          </w:p>
        </w:tc>
      </w:tr>
      <w:tr w:rsidR="008D573F" w:rsidRPr="00345731" w:rsidTr="008D573F">
        <w:trPr>
          <w:trHeight w:val="300"/>
        </w:trPr>
        <w:tc>
          <w:tcPr>
            <w:tcW w:w="1220" w:type="dxa"/>
            <w:shd w:val="clear" w:color="000000" w:fill="FFFFFF"/>
            <w:noWrap/>
            <w:vAlign w:val="center"/>
            <w:hideMark/>
          </w:tcPr>
          <w:p w:rsidR="008D573F" w:rsidRPr="00345731" w:rsidRDefault="008D573F" w:rsidP="008D573F">
            <w:pPr>
              <w:jc w:val="center"/>
              <w:rPr>
                <w:rFonts w:ascii="Arial" w:hAnsi="Arial" w:cs="Arial"/>
                <w:b/>
                <w:bCs/>
                <w:sz w:val="18"/>
                <w:szCs w:val="18"/>
              </w:rPr>
            </w:pPr>
            <w:r w:rsidRPr="00345731">
              <w:rPr>
                <w:rFonts w:ascii="Arial" w:hAnsi="Arial" w:cs="Arial"/>
                <w:b/>
                <w:bCs/>
                <w:sz w:val="18"/>
                <w:szCs w:val="18"/>
              </w:rPr>
              <w:t>2013-14</w:t>
            </w:r>
          </w:p>
        </w:tc>
        <w:tc>
          <w:tcPr>
            <w:tcW w:w="1220" w:type="dxa"/>
            <w:shd w:val="clear" w:color="000000" w:fill="FFFFFF"/>
            <w:noWrap/>
            <w:vAlign w:val="center"/>
            <w:hideMark/>
          </w:tcPr>
          <w:p w:rsidR="008D573F" w:rsidRPr="00345731" w:rsidRDefault="008D573F" w:rsidP="008D573F">
            <w:pPr>
              <w:jc w:val="center"/>
              <w:rPr>
                <w:rFonts w:ascii="Arial" w:hAnsi="Arial" w:cs="Arial"/>
                <w:bCs/>
                <w:sz w:val="18"/>
                <w:szCs w:val="18"/>
              </w:rPr>
            </w:pPr>
            <w:r w:rsidRPr="00345731">
              <w:rPr>
                <w:rFonts w:ascii="Arial" w:hAnsi="Arial" w:cs="Arial"/>
                <w:bCs/>
                <w:sz w:val="18"/>
                <w:szCs w:val="18"/>
              </w:rPr>
              <w:t>164</w:t>
            </w:r>
          </w:p>
        </w:tc>
        <w:tc>
          <w:tcPr>
            <w:tcW w:w="1220" w:type="dxa"/>
            <w:shd w:val="clear" w:color="000000" w:fill="FFFFFF"/>
            <w:noWrap/>
            <w:vAlign w:val="center"/>
            <w:hideMark/>
          </w:tcPr>
          <w:p w:rsidR="008D573F" w:rsidRPr="00345731" w:rsidRDefault="008D573F" w:rsidP="008D573F">
            <w:pPr>
              <w:jc w:val="center"/>
              <w:rPr>
                <w:rFonts w:ascii="Arial" w:hAnsi="Arial" w:cs="Arial"/>
                <w:bCs/>
                <w:sz w:val="18"/>
                <w:szCs w:val="18"/>
              </w:rPr>
            </w:pPr>
            <w:r w:rsidRPr="00345731">
              <w:rPr>
                <w:rFonts w:ascii="Arial" w:hAnsi="Arial" w:cs="Arial"/>
                <w:bCs/>
                <w:sz w:val="18"/>
                <w:szCs w:val="18"/>
              </w:rPr>
              <w:t>9,177</w:t>
            </w:r>
          </w:p>
        </w:tc>
        <w:tc>
          <w:tcPr>
            <w:tcW w:w="1220" w:type="dxa"/>
            <w:shd w:val="clear" w:color="000000" w:fill="FFFFFF"/>
            <w:noWrap/>
            <w:vAlign w:val="center"/>
            <w:hideMark/>
          </w:tcPr>
          <w:p w:rsidR="008D573F" w:rsidRPr="00345731" w:rsidRDefault="008D573F" w:rsidP="008D573F">
            <w:pPr>
              <w:jc w:val="center"/>
              <w:rPr>
                <w:rFonts w:ascii="Arial" w:hAnsi="Arial" w:cs="Arial"/>
                <w:bCs/>
                <w:sz w:val="18"/>
                <w:szCs w:val="18"/>
              </w:rPr>
            </w:pPr>
            <w:r w:rsidRPr="00345731">
              <w:rPr>
                <w:rFonts w:ascii="Arial" w:hAnsi="Arial" w:cs="Arial"/>
                <w:bCs/>
                <w:sz w:val="18"/>
                <w:szCs w:val="18"/>
              </w:rPr>
              <w:t>56.0</w:t>
            </w:r>
          </w:p>
        </w:tc>
      </w:tr>
      <w:tr w:rsidR="008D573F" w:rsidRPr="00345731" w:rsidTr="008D573F">
        <w:trPr>
          <w:trHeight w:val="300"/>
        </w:trPr>
        <w:tc>
          <w:tcPr>
            <w:tcW w:w="1220" w:type="dxa"/>
            <w:shd w:val="clear" w:color="000000" w:fill="FFFFFF"/>
            <w:noWrap/>
            <w:vAlign w:val="center"/>
            <w:hideMark/>
          </w:tcPr>
          <w:p w:rsidR="008D573F" w:rsidRPr="00345731" w:rsidRDefault="008D573F" w:rsidP="008D573F">
            <w:pPr>
              <w:jc w:val="center"/>
              <w:rPr>
                <w:rFonts w:ascii="Arial" w:hAnsi="Arial" w:cs="Arial"/>
                <w:b/>
                <w:bCs/>
                <w:sz w:val="18"/>
                <w:szCs w:val="18"/>
              </w:rPr>
            </w:pPr>
            <w:r w:rsidRPr="00345731">
              <w:rPr>
                <w:rFonts w:ascii="Arial" w:hAnsi="Arial" w:cs="Arial"/>
                <w:b/>
                <w:bCs/>
                <w:sz w:val="18"/>
                <w:szCs w:val="18"/>
              </w:rPr>
              <w:t>2014-15</w:t>
            </w:r>
          </w:p>
        </w:tc>
        <w:tc>
          <w:tcPr>
            <w:tcW w:w="1220" w:type="dxa"/>
            <w:shd w:val="clear" w:color="000000" w:fill="FFFFFF"/>
            <w:noWrap/>
            <w:vAlign w:val="center"/>
            <w:hideMark/>
          </w:tcPr>
          <w:p w:rsidR="008D573F" w:rsidRPr="00345731" w:rsidRDefault="008D573F" w:rsidP="008D573F">
            <w:pPr>
              <w:jc w:val="center"/>
              <w:rPr>
                <w:rFonts w:ascii="Arial" w:hAnsi="Arial" w:cs="Arial"/>
                <w:bCs/>
                <w:sz w:val="18"/>
                <w:szCs w:val="18"/>
              </w:rPr>
            </w:pPr>
            <w:r w:rsidRPr="00345731">
              <w:rPr>
                <w:rFonts w:ascii="Arial" w:hAnsi="Arial" w:cs="Arial"/>
                <w:bCs/>
                <w:sz w:val="18"/>
                <w:szCs w:val="18"/>
              </w:rPr>
              <w:t>174</w:t>
            </w:r>
          </w:p>
        </w:tc>
        <w:tc>
          <w:tcPr>
            <w:tcW w:w="1220" w:type="dxa"/>
            <w:shd w:val="clear" w:color="000000" w:fill="FFFFFF"/>
            <w:noWrap/>
            <w:vAlign w:val="center"/>
            <w:hideMark/>
          </w:tcPr>
          <w:p w:rsidR="008D573F" w:rsidRPr="00345731" w:rsidRDefault="008D573F" w:rsidP="008D573F">
            <w:pPr>
              <w:jc w:val="center"/>
              <w:rPr>
                <w:rFonts w:ascii="Arial" w:hAnsi="Arial" w:cs="Arial"/>
                <w:bCs/>
                <w:sz w:val="18"/>
                <w:szCs w:val="18"/>
              </w:rPr>
            </w:pPr>
            <w:r w:rsidRPr="00345731">
              <w:rPr>
                <w:rFonts w:ascii="Arial" w:hAnsi="Arial" w:cs="Arial"/>
                <w:bCs/>
                <w:sz w:val="18"/>
                <w:szCs w:val="18"/>
              </w:rPr>
              <w:t>11,326</w:t>
            </w:r>
          </w:p>
        </w:tc>
        <w:tc>
          <w:tcPr>
            <w:tcW w:w="1220" w:type="dxa"/>
            <w:shd w:val="clear" w:color="000000" w:fill="FFFFFF"/>
            <w:noWrap/>
            <w:vAlign w:val="center"/>
            <w:hideMark/>
          </w:tcPr>
          <w:p w:rsidR="008D573F" w:rsidRPr="00345731" w:rsidRDefault="008D573F" w:rsidP="008D573F">
            <w:pPr>
              <w:jc w:val="center"/>
              <w:rPr>
                <w:rFonts w:ascii="Arial" w:hAnsi="Arial" w:cs="Arial"/>
                <w:bCs/>
                <w:sz w:val="18"/>
                <w:szCs w:val="18"/>
              </w:rPr>
            </w:pPr>
            <w:r w:rsidRPr="00345731">
              <w:rPr>
                <w:rFonts w:ascii="Arial" w:hAnsi="Arial" w:cs="Arial"/>
                <w:bCs/>
                <w:sz w:val="18"/>
                <w:szCs w:val="18"/>
              </w:rPr>
              <w:t>65.1</w:t>
            </w:r>
          </w:p>
        </w:tc>
      </w:tr>
      <w:tr w:rsidR="008D573F" w:rsidRPr="00345731" w:rsidTr="008D573F">
        <w:trPr>
          <w:trHeight w:val="300"/>
        </w:trPr>
        <w:tc>
          <w:tcPr>
            <w:tcW w:w="1220" w:type="dxa"/>
            <w:shd w:val="clear" w:color="000000" w:fill="FFFFFF"/>
            <w:noWrap/>
            <w:vAlign w:val="center"/>
            <w:hideMark/>
          </w:tcPr>
          <w:p w:rsidR="008D573F" w:rsidRPr="00345731" w:rsidRDefault="008D573F" w:rsidP="008D573F">
            <w:pPr>
              <w:jc w:val="center"/>
              <w:rPr>
                <w:rFonts w:ascii="Arial" w:hAnsi="Arial" w:cs="Arial"/>
                <w:b/>
                <w:bCs/>
                <w:sz w:val="18"/>
                <w:szCs w:val="18"/>
              </w:rPr>
            </w:pPr>
            <w:r w:rsidRPr="00345731">
              <w:rPr>
                <w:rFonts w:ascii="Arial" w:hAnsi="Arial" w:cs="Arial"/>
                <w:b/>
                <w:bCs/>
                <w:sz w:val="18"/>
                <w:szCs w:val="18"/>
              </w:rPr>
              <w:t>2015-16</w:t>
            </w:r>
          </w:p>
        </w:tc>
        <w:tc>
          <w:tcPr>
            <w:tcW w:w="1220" w:type="dxa"/>
            <w:shd w:val="clear" w:color="000000" w:fill="FFFFFF"/>
            <w:noWrap/>
            <w:vAlign w:val="center"/>
            <w:hideMark/>
          </w:tcPr>
          <w:p w:rsidR="008D573F" w:rsidRPr="00345731" w:rsidRDefault="008D573F" w:rsidP="008D573F">
            <w:pPr>
              <w:jc w:val="center"/>
              <w:rPr>
                <w:rFonts w:ascii="Arial" w:hAnsi="Arial" w:cs="Arial"/>
                <w:bCs/>
                <w:sz w:val="18"/>
                <w:szCs w:val="18"/>
              </w:rPr>
            </w:pPr>
            <w:r w:rsidRPr="00345731">
              <w:rPr>
                <w:rFonts w:ascii="Arial" w:hAnsi="Arial" w:cs="Arial"/>
                <w:bCs/>
                <w:sz w:val="18"/>
                <w:szCs w:val="18"/>
              </w:rPr>
              <w:t>207</w:t>
            </w:r>
          </w:p>
        </w:tc>
        <w:tc>
          <w:tcPr>
            <w:tcW w:w="1220" w:type="dxa"/>
            <w:shd w:val="clear" w:color="000000" w:fill="FFFFFF"/>
            <w:noWrap/>
            <w:vAlign w:val="center"/>
            <w:hideMark/>
          </w:tcPr>
          <w:p w:rsidR="008D573F" w:rsidRPr="00345731" w:rsidRDefault="008D573F" w:rsidP="008D573F">
            <w:pPr>
              <w:jc w:val="center"/>
              <w:rPr>
                <w:rFonts w:ascii="Arial" w:hAnsi="Arial" w:cs="Arial"/>
                <w:bCs/>
                <w:sz w:val="18"/>
                <w:szCs w:val="18"/>
              </w:rPr>
            </w:pPr>
            <w:r w:rsidRPr="00345731">
              <w:rPr>
                <w:rFonts w:ascii="Arial" w:hAnsi="Arial" w:cs="Arial"/>
                <w:bCs/>
                <w:sz w:val="18"/>
                <w:szCs w:val="18"/>
              </w:rPr>
              <w:t>13,617</w:t>
            </w:r>
          </w:p>
        </w:tc>
        <w:tc>
          <w:tcPr>
            <w:tcW w:w="1220" w:type="dxa"/>
            <w:shd w:val="clear" w:color="000000" w:fill="FFFFFF"/>
            <w:noWrap/>
            <w:vAlign w:val="center"/>
            <w:hideMark/>
          </w:tcPr>
          <w:p w:rsidR="008D573F" w:rsidRPr="00345731" w:rsidRDefault="008D573F" w:rsidP="008D573F">
            <w:pPr>
              <w:jc w:val="center"/>
              <w:rPr>
                <w:rFonts w:ascii="Arial" w:hAnsi="Arial" w:cs="Arial"/>
                <w:bCs/>
                <w:sz w:val="18"/>
                <w:szCs w:val="18"/>
              </w:rPr>
            </w:pPr>
            <w:r w:rsidRPr="00345731">
              <w:rPr>
                <w:rFonts w:ascii="Arial" w:hAnsi="Arial" w:cs="Arial"/>
                <w:bCs/>
                <w:sz w:val="18"/>
                <w:szCs w:val="18"/>
              </w:rPr>
              <w:t>65.8</w:t>
            </w:r>
          </w:p>
        </w:tc>
      </w:tr>
      <w:tr w:rsidR="008D573F" w:rsidRPr="00345731" w:rsidTr="008D573F">
        <w:trPr>
          <w:trHeight w:val="300"/>
        </w:trPr>
        <w:tc>
          <w:tcPr>
            <w:tcW w:w="1220" w:type="dxa"/>
            <w:shd w:val="clear" w:color="000000" w:fill="FFFFFF"/>
            <w:noWrap/>
            <w:vAlign w:val="center"/>
            <w:hideMark/>
          </w:tcPr>
          <w:p w:rsidR="008D573F" w:rsidRPr="00345731" w:rsidRDefault="008D573F" w:rsidP="008D573F">
            <w:pPr>
              <w:jc w:val="center"/>
              <w:rPr>
                <w:rFonts w:ascii="Arial" w:hAnsi="Arial" w:cs="Arial"/>
                <w:b/>
                <w:bCs/>
                <w:sz w:val="18"/>
                <w:szCs w:val="18"/>
              </w:rPr>
            </w:pPr>
            <w:r w:rsidRPr="00345731">
              <w:rPr>
                <w:rFonts w:ascii="Arial" w:hAnsi="Arial" w:cs="Arial"/>
                <w:b/>
                <w:bCs/>
                <w:sz w:val="18"/>
                <w:szCs w:val="18"/>
              </w:rPr>
              <w:t>2016-17</w:t>
            </w:r>
          </w:p>
        </w:tc>
        <w:tc>
          <w:tcPr>
            <w:tcW w:w="1220" w:type="dxa"/>
            <w:shd w:val="clear" w:color="000000" w:fill="FFFFFF"/>
            <w:noWrap/>
            <w:vAlign w:val="center"/>
            <w:hideMark/>
          </w:tcPr>
          <w:p w:rsidR="008D573F" w:rsidRPr="00345731" w:rsidRDefault="008D573F" w:rsidP="008D573F">
            <w:pPr>
              <w:jc w:val="center"/>
              <w:rPr>
                <w:rFonts w:ascii="Arial" w:hAnsi="Arial" w:cs="Arial"/>
                <w:bCs/>
                <w:sz w:val="18"/>
                <w:szCs w:val="18"/>
              </w:rPr>
            </w:pPr>
            <w:r w:rsidRPr="00345731">
              <w:rPr>
                <w:rFonts w:ascii="Arial" w:hAnsi="Arial" w:cs="Arial"/>
                <w:bCs/>
                <w:sz w:val="18"/>
                <w:szCs w:val="18"/>
              </w:rPr>
              <w:t>226</w:t>
            </w:r>
          </w:p>
        </w:tc>
        <w:tc>
          <w:tcPr>
            <w:tcW w:w="1220" w:type="dxa"/>
            <w:shd w:val="clear" w:color="000000" w:fill="FFFFFF"/>
            <w:noWrap/>
            <w:vAlign w:val="center"/>
            <w:hideMark/>
          </w:tcPr>
          <w:p w:rsidR="008D573F" w:rsidRPr="00345731" w:rsidRDefault="008D573F" w:rsidP="008D573F">
            <w:pPr>
              <w:jc w:val="center"/>
              <w:rPr>
                <w:rFonts w:ascii="Arial" w:hAnsi="Arial" w:cs="Arial"/>
                <w:bCs/>
                <w:sz w:val="18"/>
                <w:szCs w:val="18"/>
              </w:rPr>
            </w:pPr>
            <w:r w:rsidRPr="00345731">
              <w:rPr>
                <w:rFonts w:ascii="Arial" w:hAnsi="Arial" w:cs="Arial"/>
                <w:bCs/>
                <w:sz w:val="18"/>
                <w:szCs w:val="18"/>
              </w:rPr>
              <w:t>15,980</w:t>
            </w:r>
          </w:p>
        </w:tc>
        <w:tc>
          <w:tcPr>
            <w:tcW w:w="1220" w:type="dxa"/>
            <w:shd w:val="clear" w:color="000000" w:fill="FFFFFF"/>
            <w:noWrap/>
            <w:vAlign w:val="center"/>
            <w:hideMark/>
          </w:tcPr>
          <w:p w:rsidR="008D573F" w:rsidRPr="00345731" w:rsidRDefault="008D573F" w:rsidP="008D573F">
            <w:pPr>
              <w:jc w:val="center"/>
              <w:rPr>
                <w:rFonts w:ascii="Arial" w:hAnsi="Arial" w:cs="Arial"/>
                <w:bCs/>
                <w:sz w:val="18"/>
                <w:szCs w:val="18"/>
              </w:rPr>
            </w:pPr>
            <w:r w:rsidRPr="00345731">
              <w:rPr>
                <w:rFonts w:ascii="Arial" w:hAnsi="Arial" w:cs="Arial"/>
                <w:bCs/>
                <w:sz w:val="18"/>
                <w:szCs w:val="18"/>
              </w:rPr>
              <w:t>70.7</w:t>
            </w:r>
          </w:p>
        </w:tc>
      </w:tr>
      <w:tr w:rsidR="008D573F" w:rsidRPr="00345731" w:rsidTr="008D573F">
        <w:trPr>
          <w:trHeight w:val="300"/>
        </w:trPr>
        <w:tc>
          <w:tcPr>
            <w:tcW w:w="1220" w:type="dxa"/>
            <w:shd w:val="clear" w:color="000000" w:fill="FFFFFF"/>
            <w:noWrap/>
            <w:vAlign w:val="center"/>
          </w:tcPr>
          <w:p w:rsidR="008D573F" w:rsidRPr="00345731" w:rsidRDefault="008D573F" w:rsidP="008D573F">
            <w:pPr>
              <w:jc w:val="center"/>
              <w:rPr>
                <w:rFonts w:ascii="Arial" w:hAnsi="Arial" w:cs="Arial"/>
                <w:b/>
                <w:bCs/>
                <w:sz w:val="18"/>
                <w:szCs w:val="18"/>
              </w:rPr>
            </w:pPr>
            <w:r w:rsidRPr="00345731">
              <w:rPr>
                <w:rFonts w:ascii="Arial" w:hAnsi="Arial" w:cs="Arial"/>
                <w:b/>
                <w:bCs/>
                <w:sz w:val="18"/>
                <w:szCs w:val="18"/>
              </w:rPr>
              <w:t>All Years</w:t>
            </w:r>
          </w:p>
        </w:tc>
        <w:tc>
          <w:tcPr>
            <w:tcW w:w="1220" w:type="dxa"/>
            <w:shd w:val="clear" w:color="000000" w:fill="FFFFFF"/>
            <w:noWrap/>
            <w:vAlign w:val="center"/>
          </w:tcPr>
          <w:p w:rsidR="008D573F" w:rsidRPr="00345731" w:rsidRDefault="008D573F" w:rsidP="008D573F">
            <w:pPr>
              <w:jc w:val="center"/>
              <w:rPr>
                <w:rFonts w:ascii="Arial" w:hAnsi="Arial" w:cs="Arial"/>
                <w:b/>
                <w:bCs/>
                <w:sz w:val="18"/>
                <w:szCs w:val="18"/>
              </w:rPr>
            </w:pPr>
            <w:r w:rsidRPr="00345731">
              <w:rPr>
                <w:rFonts w:ascii="Arial" w:hAnsi="Arial" w:cs="Arial"/>
                <w:b/>
                <w:bCs/>
                <w:sz w:val="18"/>
                <w:szCs w:val="18"/>
              </w:rPr>
              <w:t>306</w:t>
            </w:r>
          </w:p>
        </w:tc>
        <w:tc>
          <w:tcPr>
            <w:tcW w:w="1220" w:type="dxa"/>
            <w:shd w:val="clear" w:color="000000" w:fill="FFFFFF"/>
            <w:noWrap/>
            <w:vAlign w:val="center"/>
          </w:tcPr>
          <w:p w:rsidR="008D573F" w:rsidRPr="00345731" w:rsidRDefault="008D573F" w:rsidP="008D573F">
            <w:pPr>
              <w:jc w:val="center"/>
              <w:rPr>
                <w:rFonts w:ascii="Arial" w:hAnsi="Arial" w:cs="Arial"/>
                <w:b/>
                <w:bCs/>
                <w:sz w:val="18"/>
                <w:szCs w:val="18"/>
              </w:rPr>
            </w:pPr>
            <w:r w:rsidRPr="00345731">
              <w:rPr>
                <w:rFonts w:ascii="Arial" w:hAnsi="Arial" w:cs="Arial"/>
                <w:b/>
                <w:bCs/>
                <w:sz w:val="18"/>
                <w:szCs w:val="18"/>
              </w:rPr>
              <w:t>50,100</w:t>
            </w:r>
          </w:p>
        </w:tc>
        <w:tc>
          <w:tcPr>
            <w:tcW w:w="1220" w:type="dxa"/>
            <w:shd w:val="clear" w:color="000000" w:fill="FFFFFF"/>
            <w:noWrap/>
            <w:vAlign w:val="center"/>
          </w:tcPr>
          <w:p w:rsidR="008D573F" w:rsidRPr="00345731" w:rsidRDefault="008D573F" w:rsidP="008D573F">
            <w:pPr>
              <w:jc w:val="center"/>
              <w:rPr>
                <w:rFonts w:ascii="Arial" w:hAnsi="Arial" w:cs="Arial"/>
                <w:b/>
                <w:bCs/>
                <w:sz w:val="18"/>
                <w:szCs w:val="18"/>
              </w:rPr>
            </w:pPr>
            <w:r w:rsidRPr="00345731">
              <w:rPr>
                <w:rFonts w:ascii="Arial" w:hAnsi="Arial" w:cs="Arial"/>
                <w:b/>
                <w:bCs/>
                <w:sz w:val="18"/>
                <w:szCs w:val="18"/>
              </w:rPr>
              <w:t>163.7</w:t>
            </w:r>
          </w:p>
        </w:tc>
      </w:tr>
    </w:tbl>
    <w:p w:rsidR="008D573F" w:rsidRPr="009418F3" w:rsidRDefault="008D573F" w:rsidP="009418F3">
      <w:pPr>
        <w:spacing w:before="120"/>
        <w:rPr>
          <w:rFonts w:ascii="Arial Narrow" w:hAnsi="Arial Narrow"/>
          <w:b/>
          <w:sz w:val="20"/>
        </w:rPr>
      </w:pPr>
      <w:r w:rsidRPr="009418F3">
        <w:rPr>
          <w:rFonts w:ascii="Arial Narrow" w:hAnsi="Arial Narrow"/>
          <w:b/>
          <w:sz w:val="20"/>
        </w:rPr>
        <w:t>Table 15: Number of practitioners providing services under item 31578 from 2013-14 to 2016-17</w:t>
      </w:r>
    </w:p>
    <w:tbl>
      <w:tblPr>
        <w:tblW w:w="48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practitioners claiming item 31578 from 2013 to 2017"/>
        <w:tblDescription w:val="This table depicts the number of practitioners who claimed item 31578 over the four years since its implementation. "/>
      </w:tblPr>
      <w:tblGrid>
        <w:gridCol w:w="1220"/>
        <w:gridCol w:w="1220"/>
        <w:gridCol w:w="1220"/>
        <w:gridCol w:w="1220"/>
      </w:tblGrid>
      <w:tr w:rsidR="008D573F" w:rsidRPr="00345731" w:rsidTr="008D573F">
        <w:trPr>
          <w:trHeight w:val="300"/>
        </w:trPr>
        <w:tc>
          <w:tcPr>
            <w:tcW w:w="1220" w:type="dxa"/>
            <w:shd w:val="clear" w:color="auto" w:fill="548DD4" w:themeFill="text2" w:themeFillTint="99"/>
            <w:vAlign w:val="center"/>
            <w:hideMark/>
          </w:tcPr>
          <w:p w:rsidR="008D573F" w:rsidRPr="00345731" w:rsidRDefault="008D573F" w:rsidP="008D573F">
            <w:pPr>
              <w:jc w:val="center"/>
              <w:rPr>
                <w:rFonts w:ascii="Arial" w:hAnsi="Arial" w:cs="Arial"/>
                <w:b/>
                <w:bCs/>
                <w:color w:val="FFFFFF" w:themeColor="background1"/>
                <w:sz w:val="18"/>
                <w:szCs w:val="18"/>
              </w:rPr>
            </w:pPr>
            <w:r w:rsidRPr="00345731">
              <w:rPr>
                <w:rFonts w:ascii="Arial" w:hAnsi="Arial" w:cs="Arial"/>
                <w:b/>
                <w:bCs/>
                <w:color w:val="FFFFFF" w:themeColor="background1"/>
                <w:sz w:val="18"/>
                <w:szCs w:val="18"/>
              </w:rPr>
              <w:t>Fin Year</w:t>
            </w:r>
          </w:p>
        </w:tc>
        <w:tc>
          <w:tcPr>
            <w:tcW w:w="1220" w:type="dxa"/>
            <w:shd w:val="clear" w:color="auto" w:fill="548DD4" w:themeFill="text2" w:themeFillTint="99"/>
            <w:vAlign w:val="center"/>
            <w:hideMark/>
          </w:tcPr>
          <w:p w:rsidR="008D573F" w:rsidRPr="00345731" w:rsidRDefault="008D573F" w:rsidP="008D573F">
            <w:pPr>
              <w:jc w:val="center"/>
              <w:rPr>
                <w:rFonts w:ascii="Arial" w:hAnsi="Arial" w:cs="Arial"/>
                <w:b/>
                <w:bCs/>
                <w:color w:val="FFFFFF" w:themeColor="background1"/>
                <w:sz w:val="18"/>
                <w:szCs w:val="18"/>
              </w:rPr>
            </w:pPr>
            <w:r w:rsidRPr="00345731">
              <w:rPr>
                <w:rFonts w:ascii="Arial" w:hAnsi="Arial" w:cs="Arial"/>
                <w:b/>
                <w:bCs/>
                <w:color w:val="FFFFFF" w:themeColor="background1"/>
                <w:sz w:val="18"/>
                <w:szCs w:val="18"/>
              </w:rPr>
              <w:t>Providers</w:t>
            </w:r>
          </w:p>
        </w:tc>
        <w:tc>
          <w:tcPr>
            <w:tcW w:w="1220" w:type="dxa"/>
            <w:shd w:val="clear" w:color="auto" w:fill="548DD4" w:themeFill="text2" w:themeFillTint="99"/>
            <w:vAlign w:val="center"/>
            <w:hideMark/>
          </w:tcPr>
          <w:p w:rsidR="008D573F" w:rsidRPr="00345731" w:rsidRDefault="008D573F" w:rsidP="008D573F">
            <w:pPr>
              <w:jc w:val="center"/>
              <w:rPr>
                <w:rFonts w:ascii="Arial" w:hAnsi="Arial" w:cs="Arial"/>
                <w:b/>
                <w:bCs/>
                <w:color w:val="FFFFFF" w:themeColor="background1"/>
                <w:sz w:val="18"/>
                <w:szCs w:val="18"/>
              </w:rPr>
            </w:pPr>
            <w:r w:rsidRPr="00345731">
              <w:rPr>
                <w:rFonts w:ascii="Arial" w:hAnsi="Arial" w:cs="Arial"/>
                <w:b/>
                <w:bCs/>
                <w:color w:val="FFFFFF" w:themeColor="background1"/>
                <w:sz w:val="18"/>
                <w:szCs w:val="18"/>
              </w:rPr>
              <w:t>Services</w:t>
            </w:r>
          </w:p>
        </w:tc>
        <w:tc>
          <w:tcPr>
            <w:tcW w:w="1220" w:type="dxa"/>
            <w:shd w:val="clear" w:color="auto" w:fill="548DD4" w:themeFill="text2" w:themeFillTint="99"/>
            <w:vAlign w:val="center"/>
            <w:hideMark/>
          </w:tcPr>
          <w:p w:rsidR="008D573F" w:rsidRPr="00345731" w:rsidRDefault="008D573F" w:rsidP="008D573F">
            <w:pPr>
              <w:jc w:val="center"/>
              <w:rPr>
                <w:rFonts w:ascii="Arial" w:hAnsi="Arial" w:cs="Arial"/>
                <w:b/>
                <w:bCs/>
                <w:color w:val="FFFFFF" w:themeColor="background1"/>
                <w:sz w:val="18"/>
                <w:szCs w:val="18"/>
              </w:rPr>
            </w:pPr>
            <w:r w:rsidRPr="00345731">
              <w:rPr>
                <w:rFonts w:ascii="Arial" w:hAnsi="Arial" w:cs="Arial"/>
                <w:b/>
                <w:bCs/>
                <w:color w:val="FFFFFF" w:themeColor="background1"/>
                <w:sz w:val="18"/>
                <w:szCs w:val="18"/>
              </w:rPr>
              <w:t>Average</w:t>
            </w:r>
          </w:p>
        </w:tc>
      </w:tr>
      <w:tr w:rsidR="008D573F" w:rsidRPr="00345731" w:rsidTr="008D573F">
        <w:trPr>
          <w:trHeight w:val="300"/>
        </w:trPr>
        <w:tc>
          <w:tcPr>
            <w:tcW w:w="1220" w:type="dxa"/>
            <w:shd w:val="clear" w:color="000000" w:fill="FFFFFF"/>
            <w:noWrap/>
            <w:vAlign w:val="center"/>
            <w:hideMark/>
          </w:tcPr>
          <w:p w:rsidR="008D573F" w:rsidRPr="00345731" w:rsidRDefault="008D573F" w:rsidP="008D573F">
            <w:pPr>
              <w:jc w:val="center"/>
              <w:rPr>
                <w:rFonts w:ascii="Arial" w:hAnsi="Arial" w:cs="Arial"/>
                <w:b/>
                <w:bCs/>
                <w:sz w:val="18"/>
                <w:szCs w:val="18"/>
              </w:rPr>
            </w:pPr>
            <w:r w:rsidRPr="00345731">
              <w:rPr>
                <w:rFonts w:ascii="Arial" w:hAnsi="Arial" w:cs="Arial"/>
                <w:b/>
                <w:bCs/>
                <w:sz w:val="18"/>
                <w:szCs w:val="18"/>
              </w:rPr>
              <w:t>2013-14</w:t>
            </w:r>
          </w:p>
        </w:tc>
        <w:tc>
          <w:tcPr>
            <w:tcW w:w="1220" w:type="dxa"/>
            <w:shd w:val="clear" w:color="000000" w:fill="FFFFFF"/>
            <w:noWrap/>
            <w:vAlign w:val="center"/>
            <w:hideMark/>
          </w:tcPr>
          <w:p w:rsidR="008D573F" w:rsidRPr="00345731" w:rsidRDefault="008D573F" w:rsidP="008D573F">
            <w:pPr>
              <w:jc w:val="center"/>
              <w:rPr>
                <w:rFonts w:ascii="Arial" w:hAnsi="Arial" w:cs="Arial"/>
                <w:bCs/>
                <w:sz w:val="18"/>
                <w:szCs w:val="18"/>
              </w:rPr>
            </w:pPr>
            <w:r w:rsidRPr="00345731">
              <w:rPr>
                <w:rFonts w:ascii="Arial" w:hAnsi="Arial" w:cs="Arial"/>
                <w:bCs/>
                <w:sz w:val="18"/>
                <w:szCs w:val="18"/>
              </w:rPr>
              <w:t>17</w:t>
            </w:r>
          </w:p>
        </w:tc>
        <w:tc>
          <w:tcPr>
            <w:tcW w:w="1220" w:type="dxa"/>
            <w:shd w:val="clear" w:color="000000" w:fill="FFFFFF"/>
            <w:noWrap/>
            <w:vAlign w:val="center"/>
            <w:hideMark/>
          </w:tcPr>
          <w:p w:rsidR="008D573F" w:rsidRPr="00345731" w:rsidRDefault="008D573F" w:rsidP="008D573F">
            <w:pPr>
              <w:jc w:val="center"/>
              <w:rPr>
                <w:rFonts w:ascii="Arial" w:hAnsi="Arial" w:cs="Arial"/>
                <w:bCs/>
                <w:sz w:val="18"/>
                <w:szCs w:val="18"/>
              </w:rPr>
            </w:pPr>
            <w:r w:rsidRPr="00345731">
              <w:rPr>
                <w:rFonts w:ascii="Arial" w:hAnsi="Arial" w:cs="Arial"/>
                <w:bCs/>
                <w:sz w:val="18"/>
                <w:szCs w:val="18"/>
              </w:rPr>
              <w:t>55</w:t>
            </w:r>
          </w:p>
        </w:tc>
        <w:tc>
          <w:tcPr>
            <w:tcW w:w="1220" w:type="dxa"/>
            <w:shd w:val="clear" w:color="000000" w:fill="FFFFFF"/>
            <w:noWrap/>
            <w:vAlign w:val="center"/>
            <w:hideMark/>
          </w:tcPr>
          <w:p w:rsidR="008D573F" w:rsidRPr="00345731" w:rsidRDefault="008D573F" w:rsidP="008D573F">
            <w:pPr>
              <w:jc w:val="center"/>
              <w:rPr>
                <w:rFonts w:ascii="Arial" w:hAnsi="Arial" w:cs="Arial"/>
                <w:bCs/>
                <w:sz w:val="18"/>
                <w:szCs w:val="18"/>
              </w:rPr>
            </w:pPr>
            <w:r w:rsidRPr="00345731">
              <w:rPr>
                <w:rFonts w:ascii="Arial" w:hAnsi="Arial" w:cs="Arial"/>
                <w:bCs/>
                <w:sz w:val="18"/>
                <w:szCs w:val="18"/>
              </w:rPr>
              <w:t>3.2</w:t>
            </w:r>
          </w:p>
        </w:tc>
      </w:tr>
      <w:tr w:rsidR="008D573F" w:rsidRPr="00345731" w:rsidTr="008D573F">
        <w:trPr>
          <w:trHeight w:val="300"/>
        </w:trPr>
        <w:tc>
          <w:tcPr>
            <w:tcW w:w="1220" w:type="dxa"/>
            <w:shd w:val="clear" w:color="000000" w:fill="FFFFFF"/>
            <w:noWrap/>
            <w:vAlign w:val="center"/>
            <w:hideMark/>
          </w:tcPr>
          <w:p w:rsidR="008D573F" w:rsidRPr="00345731" w:rsidRDefault="008D573F" w:rsidP="008D573F">
            <w:pPr>
              <w:jc w:val="center"/>
              <w:rPr>
                <w:rFonts w:ascii="Arial" w:hAnsi="Arial" w:cs="Arial"/>
                <w:b/>
                <w:bCs/>
                <w:sz w:val="18"/>
                <w:szCs w:val="18"/>
              </w:rPr>
            </w:pPr>
            <w:r w:rsidRPr="00345731">
              <w:rPr>
                <w:rFonts w:ascii="Arial" w:hAnsi="Arial" w:cs="Arial"/>
                <w:b/>
                <w:bCs/>
                <w:sz w:val="18"/>
                <w:szCs w:val="18"/>
              </w:rPr>
              <w:t>2014-15</w:t>
            </w:r>
          </w:p>
        </w:tc>
        <w:tc>
          <w:tcPr>
            <w:tcW w:w="1220" w:type="dxa"/>
            <w:shd w:val="clear" w:color="000000" w:fill="FFFFFF"/>
            <w:noWrap/>
            <w:vAlign w:val="center"/>
            <w:hideMark/>
          </w:tcPr>
          <w:p w:rsidR="008D573F" w:rsidRPr="00345731" w:rsidRDefault="008D573F" w:rsidP="008D573F">
            <w:pPr>
              <w:jc w:val="center"/>
              <w:rPr>
                <w:rFonts w:ascii="Arial" w:hAnsi="Arial" w:cs="Arial"/>
                <w:bCs/>
                <w:sz w:val="18"/>
                <w:szCs w:val="18"/>
              </w:rPr>
            </w:pPr>
            <w:r w:rsidRPr="00345731">
              <w:rPr>
                <w:rFonts w:ascii="Arial" w:hAnsi="Arial" w:cs="Arial"/>
                <w:bCs/>
                <w:sz w:val="18"/>
                <w:szCs w:val="18"/>
              </w:rPr>
              <w:t>14</w:t>
            </w:r>
          </w:p>
        </w:tc>
        <w:tc>
          <w:tcPr>
            <w:tcW w:w="1220" w:type="dxa"/>
            <w:shd w:val="clear" w:color="000000" w:fill="FFFFFF"/>
            <w:noWrap/>
            <w:vAlign w:val="center"/>
            <w:hideMark/>
          </w:tcPr>
          <w:p w:rsidR="008D573F" w:rsidRPr="00345731" w:rsidRDefault="008D573F" w:rsidP="008D573F">
            <w:pPr>
              <w:jc w:val="center"/>
              <w:rPr>
                <w:rFonts w:ascii="Arial" w:hAnsi="Arial" w:cs="Arial"/>
                <w:bCs/>
                <w:sz w:val="18"/>
                <w:szCs w:val="18"/>
              </w:rPr>
            </w:pPr>
            <w:r w:rsidRPr="00345731">
              <w:rPr>
                <w:rFonts w:ascii="Arial" w:hAnsi="Arial" w:cs="Arial"/>
                <w:bCs/>
                <w:sz w:val="18"/>
                <w:szCs w:val="18"/>
              </w:rPr>
              <w:t>39</w:t>
            </w:r>
          </w:p>
        </w:tc>
        <w:tc>
          <w:tcPr>
            <w:tcW w:w="1220" w:type="dxa"/>
            <w:shd w:val="clear" w:color="000000" w:fill="FFFFFF"/>
            <w:noWrap/>
            <w:vAlign w:val="center"/>
            <w:hideMark/>
          </w:tcPr>
          <w:p w:rsidR="008D573F" w:rsidRPr="00345731" w:rsidRDefault="008D573F" w:rsidP="008D573F">
            <w:pPr>
              <w:jc w:val="center"/>
              <w:rPr>
                <w:rFonts w:ascii="Arial" w:hAnsi="Arial" w:cs="Arial"/>
                <w:bCs/>
                <w:sz w:val="18"/>
                <w:szCs w:val="18"/>
              </w:rPr>
            </w:pPr>
            <w:r w:rsidRPr="00345731">
              <w:rPr>
                <w:rFonts w:ascii="Arial" w:hAnsi="Arial" w:cs="Arial"/>
                <w:bCs/>
                <w:sz w:val="18"/>
                <w:szCs w:val="18"/>
              </w:rPr>
              <w:t>2.8</w:t>
            </w:r>
          </w:p>
        </w:tc>
      </w:tr>
      <w:tr w:rsidR="008D573F" w:rsidRPr="00345731" w:rsidTr="008D573F">
        <w:trPr>
          <w:trHeight w:val="300"/>
        </w:trPr>
        <w:tc>
          <w:tcPr>
            <w:tcW w:w="1220" w:type="dxa"/>
            <w:shd w:val="clear" w:color="000000" w:fill="FFFFFF"/>
            <w:noWrap/>
            <w:vAlign w:val="center"/>
            <w:hideMark/>
          </w:tcPr>
          <w:p w:rsidR="008D573F" w:rsidRPr="00345731" w:rsidRDefault="008D573F" w:rsidP="008D573F">
            <w:pPr>
              <w:jc w:val="center"/>
              <w:rPr>
                <w:rFonts w:ascii="Arial" w:hAnsi="Arial" w:cs="Arial"/>
                <w:b/>
                <w:bCs/>
                <w:sz w:val="18"/>
                <w:szCs w:val="18"/>
              </w:rPr>
            </w:pPr>
            <w:r w:rsidRPr="00345731">
              <w:rPr>
                <w:rFonts w:ascii="Arial" w:hAnsi="Arial" w:cs="Arial"/>
                <w:b/>
                <w:bCs/>
                <w:sz w:val="18"/>
                <w:szCs w:val="18"/>
              </w:rPr>
              <w:t>2015-16</w:t>
            </w:r>
          </w:p>
        </w:tc>
        <w:tc>
          <w:tcPr>
            <w:tcW w:w="1220" w:type="dxa"/>
            <w:shd w:val="clear" w:color="000000" w:fill="FFFFFF"/>
            <w:noWrap/>
            <w:vAlign w:val="center"/>
            <w:hideMark/>
          </w:tcPr>
          <w:p w:rsidR="008D573F" w:rsidRPr="00345731" w:rsidRDefault="008D573F" w:rsidP="008D573F">
            <w:pPr>
              <w:jc w:val="center"/>
              <w:rPr>
                <w:rFonts w:ascii="Arial" w:hAnsi="Arial" w:cs="Arial"/>
                <w:bCs/>
                <w:sz w:val="18"/>
                <w:szCs w:val="18"/>
              </w:rPr>
            </w:pPr>
            <w:r w:rsidRPr="00345731">
              <w:rPr>
                <w:rFonts w:ascii="Arial" w:hAnsi="Arial" w:cs="Arial"/>
                <w:bCs/>
                <w:sz w:val="18"/>
                <w:szCs w:val="18"/>
              </w:rPr>
              <w:t>16</w:t>
            </w:r>
          </w:p>
        </w:tc>
        <w:tc>
          <w:tcPr>
            <w:tcW w:w="1220" w:type="dxa"/>
            <w:shd w:val="clear" w:color="000000" w:fill="FFFFFF"/>
            <w:noWrap/>
            <w:vAlign w:val="center"/>
            <w:hideMark/>
          </w:tcPr>
          <w:p w:rsidR="008D573F" w:rsidRPr="00345731" w:rsidRDefault="008D573F" w:rsidP="008D573F">
            <w:pPr>
              <w:jc w:val="center"/>
              <w:rPr>
                <w:rFonts w:ascii="Arial" w:hAnsi="Arial" w:cs="Arial"/>
                <w:bCs/>
                <w:sz w:val="18"/>
                <w:szCs w:val="18"/>
              </w:rPr>
            </w:pPr>
            <w:r w:rsidRPr="00345731">
              <w:rPr>
                <w:rFonts w:ascii="Arial" w:hAnsi="Arial" w:cs="Arial"/>
                <w:bCs/>
                <w:sz w:val="18"/>
                <w:szCs w:val="18"/>
              </w:rPr>
              <w:t>58</w:t>
            </w:r>
          </w:p>
        </w:tc>
        <w:tc>
          <w:tcPr>
            <w:tcW w:w="1220" w:type="dxa"/>
            <w:shd w:val="clear" w:color="000000" w:fill="FFFFFF"/>
            <w:noWrap/>
            <w:vAlign w:val="center"/>
            <w:hideMark/>
          </w:tcPr>
          <w:p w:rsidR="008D573F" w:rsidRPr="00345731" w:rsidRDefault="008D573F" w:rsidP="008D573F">
            <w:pPr>
              <w:jc w:val="center"/>
              <w:rPr>
                <w:rFonts w:ascii="Arial" w:hAnsi="Arial" w:cs="Arial"/>
                <w:bCs/>
                <w:sz w:val="18"/>
                <w:szCs w:val="18"/>
              </w:rPr>
            </w:pPr>
            <w:r w:rsidRPr="00345731">
              <w:rPr>
                <w:rFonts w:ascii="Arial" w:hAnsi="Arial" w:cs="Arial"/>
                <w:bCs/>
                <w:sz w:val="18"/>
                <w:szCs w:val="18"/>
              </w:rPr>
              <w:t>3.6</w:t>
            </w:r>
          </w:p>
        </w:tc>
      </w:tr>
      <w:tr w:rsidR="008D573F" w:rsidTr="008D573F">
        <w:trPr>
          <w:trHeight w:val="300"/>
        </w:trPr>
        <w:tc>
          <w:tcPr>
            <w:tcW w:w="1220" w:type="dxa"/>
            <w:shd w:val="clear" w:color="000000" w:fill="FFFFFF"/>
            <w:noWrap/>
            <w:vAlign w:val="center"/>
            <w:hideMark/>
          </w:tcPr>
          <w:p w:rsidR="008D573F" w:rsidRPr="00345731" w:rsidRDefault="008D573F" w:rsidP="008D573F">
            <w:pPr>
              <w:jc w:val="center"/>
              <w:rPr>
                <w:rFonts w:ascii="Arial" w:hAnsi="Arial" w:cs="Arial"/>
                <w:b/>
                <w:bCs/>
                <w:sz w:val="18"/>
                <w:szCs w:val="18"/>
              </w:rPr>
            </w:pPr>
            <w:r w:rsidRPr="00345731">
              <w:rPr>
                <w:rFonts w:ascii="Arial" w:hAnsi="Arial" w:cs="Arial"/>
                <w:b/>
                <w:bCs/>
                <w:sz w:val="18"/>
                <w:szCs w:val="18"/>
              </w:rPr>
              <w:t>2016-17</w:t>
            </w:r>
          </w:p>
        </w:tc>
        <w:tc>
          <w:tcPr>
            <w:tcW w:w="1220" w:type="dxa"/>
            <w:shd w:val="clear" w:color="000000" w:fill="FFFFFF"/>
            <w:noWrap/>
            <w:vAlign w:val="center"/>
            <w:hideMark/>
          </w:tcPr>
          <w:p w:rsidR="008D573F" w:rsidRPr="00345731" w:rsidRDefault="008D573F" w:rsidP="008D573F">
            <w:pPr>
              <w:jc w:val="center"/>
              <w:rPr>
                <w:rFonts w:ascii="Arial" w:hAnsi="Arial" w:cs="Arial"/>
                <w:bCs/>
                <w:sz w:val="18"/>
                <w:szCs w:val="18"/>
              </w:rPr>
            </w:pPr>
            <w:r w:rsidRPr="00345731">
              <w:rPr>
                <w:rFonts w:ascii="Arial" w:hAnsi="Arial" w:cs="Arial"/>
                <w:bCs/>
                <w:sz w:val="18"/>
                <w:szCs w:val="18"/>
              </w:rPr>
              <w:t>21</w:t>
            </w:r>
          </w:p>
        </w:tc>
        <w:tc>
          <w:tcPr>
            <w:tcW w:w="1220" w:type="dxa"/>
            <w:shd w:val="clear" w:color="000000" w:fill="FFFFFF"/>
            <w:noWrap/>
            <w:vAlign w:val="center"/>
            <w:hideMark/>
          </w:tcPr>
          <w:p w:rsidR="008D573F" w:rsidRPr="00345731" w:rsidRDefault="008D573F" w:rsidP="008D573F">
            <w:pPr>
              <w:jc w:val="center"/>
              <w:rPr>
                <w:rFonts w:ascii="Arial" w:hAnsi="Arial" w:cs="Arial"/>
                <w:bCs/>
                <w:sz w:val="18"/>
                <w:szCs w:val="18"/>
              </w:rPr>
            </w:pPr>
            <w:r w:rsidRPr="00345731">
              <w:rPr>
                <w:rFonts w:ascii="Arial" w:hAnsi="Arial" w:cs="Arial"/>
                <w:bCs/>
                <w:sz w:val="18"/>
                <w:szCs w:val="18"/>
              </w:rPr>
              <w:t>127</w:t>
            </w:r>
          </w:p>
        </w:tc>
        <w:tc>
          <w:tcPr>
            <w:tcW w:w="1220" w:type="dxa"/>
            <w:shd w:val="clear" w:color="000000" w:fill="FFFFFF"/>
            <w:noWrap/>
            <w:vAlign w:val="center"/>
            <w:hideMark/>
          </w:tcPr>
          <w:p w:rsidR="008D573F" w:rsidRPr="00E50942" w:rsidRDefault="008D573F" w:rsidP="008D573F">
            <w:pPr>
              <w:jc w:val="center"/>
              <w:rPr>
                <w:rFonts w:ascii="Arial" w:hAnsi="Arial" w:cs="Arial"/>
                <w:bCs/>
                <w:sz w:val="18"/>
                <w:szCs w:val="18"/>
              </w:rPr>
            </w:pPr>
            <w:r w:rsidRPr="00345731">
              <w:rPr>
                <w:rFonts w:ascii="Arial" w:hAnsi="Arial" w:cs="Arial"/>
                <w:bCs/>
                <w:sz w:val="18"/>
                <w:szCs w:val="18"/>
              </w:rPr>
              <w:t>6.0</w:t>
            </w:r>
          </w:p>
        </w:tc>
      </w:tr>
      <w:tr w:rsidR="008D573F" w:rsidTr="008D573F">
        <w:trPr>
          <w:trHeight w:val="300"/>
        </w:trPr>
        <w:tc>
          <w:tcPr>
            <w:tcW w:w="1220" w:type="dxa"/>
            <w:shd w:val="clear" w:color="000000" w:fill="FFFFFF"/>
            <w:noWrap/>
            <w:vAlign w:val="center"/>
          </w:tcPr>
          <w:p w:rsidR="008D573F" w:rsidRPr="00F36F26" w:rsidRDefault="008D573F" w:rsidP="008D573F">
            <w:pPr>
              <w:jc w:val="center"/>
              <w:rPr>
                <w:rFonts w:ascii="Arial" w:hAnsi="Arial" w:cs="Arial"/>
                <w:b/>
                <w:bCs/>
                <w:sz w:val="18"/>
                <w:szCs w:val="18"/>
              </w:rPr>
            </w:pPr>
            <w:r w:rsidRPr="00F36F26">
              <w:rPr>
                <w:rFonts w:ascii="Arial" w:hAnsi="Arial" w:cs="Arial"/>
                <w:b/>
                <w:bCs/>
                <w:sz w:val="18"/>
                <w:szCs w:val="18"/>
              </w:rPr>
              <w:t>All Years</w:t>
            </w:r>
          </w:p>
        </w:tc>
        <w:tc>
          <w:tcPr>
            <w:tcW w:w="1220" w:type="dxa"/>
            <w:shd w:val="clear" w:color="000000" w:fill="FFFFFF"/>
            <w:noWrap/>
            <w:vAlign w:val="center"/>
          </w:tcPr>
          <w:p w:rsidR="008D573F" w:rsidRPr="00F36F26" w:rsidRDefault="008D573F" w:rsidP="008D573F">
            <w:pPr>
              <w:jc w:val="center"/>
              <w:rPr>
                <w:rFonts w:ascii="Arial" w:hAnsi="Arial" w:cs="Arial"/>
                <w:b/>
                <w:bCs/>
                <w:sz w:val="18"/>
                <w:szCs w:val="18"/>
              </w:rPr>
            </w:pPr>
            <w:r w:rsidRPr="00F36F26">
              <w:rPr>
                <w:rFonts w:ascii="Arial" w:hAnsi="Arial" w:cs="Arial"/>
                <w:b/>
                <w:bCs/>
                <w:sz w:val="18"/>
                <w:szCs w:val="18"/>
              </w:rPr>
              <w:t>46</w:t>
            </w:r>
          </w:p>
        </w:tc>
        <w:tc>
          <w:tcPr>
            <w:tcW w:w="1220" w:type="dxa"/>
            <w:shd w:val="clear" w:color="000000" w:fill="FFFFFF"/>
            <w:noWrap/>
            <w:vAlign w:val="center"/>
          </w:tcPr>
          <w:p w:rsidR="008D573F" w:rsidRPr="00F36F26" w:rsidRDefault="008D573F" w:rsidP="008D573F">
            <w:pPr>
              <w:jc w:val="center"/>
              <w:rPr>
                <w:rFonts w:ascii="Arial" w:hAnsi="Arial" w:cs="Arial"/>
                <w:b/>
                <w:bCs/>
                <w:sz w:val="18"/>
                <w:szCs w:val="18"/>
              </w:rPr>
            </w:pPr>
            <w:r w:rsidRPr="00F36F26">
              <w:rPr>
                <w:rFonts w:ascii="Arial" w:hAnsi="Arial" w:cs="Arial"/>
                <w:b/>
                <w:bCs/>
                <w:sz w:val="18"/>
                <w:szCs w:val="18"/>
              </w:rPr>
              <w:t>279</w:t>
            </w:r>
          </w:p>
        </w:tc>
        <w:tc>
          <w:tcPr>
            <w:tcW w:w="1220" w:type="dxa"/>
            <w:shd w:val="clear" w:color="000000" w:fill="FFFFFF"/>
            <w:noWrap/>
            <w:vAlign w:val="center"/>
          </w:tcPr>
          <w:p w:rsidR="008D573F" w:rsidRPr="00F36F26" w:rsidRDefault="008D573F" w:rsidP="008D573F">
            <w:pPr>
              <w:jc w:val="center"/>
              <w:rPr>
                <w:rFonts w:ascii="Arial" w:hAnsi="Arial" w:cs="Arial"/>
                <w:b/>
                <w:bCs/>
                <w:sz w:val="18"/>
                <w:szCs w:val="18"/>
              </w:rPr>
            </w:pPr>
            <w:r w:rsidRPr="00F36F26">
              <w:rPr>
                <w:rFonts w:ascii="Arial" w:hAnsi="Arial" w:cs="Arial"/>
                <w:b/>
                <w:bCs/>
                <w:sz w:val="18"/>
                <w:szCs w:val="18"/>
              </w:rPr>
              <w:t>6.1</w:t>
            </w:r>
          </w:p>
        </w:tc>
      </w:tr>
    </w:tbl>
    <w:p w:rsidR="008D573F" w:rsidRPr="009418F3" w:rsidRDefault="008D573F" w:rsidP="009418F3">
      <w:pPr>
        <w:spacing w:before="120"/>
        <w:rPr>
          <w:rFonts w:ascii="Arial Narrow" w:hAnsi="Arial Narrow"/>
          <w:b/>
          <w:sz w:val="20"/>
        </w:rPr>
      </w:pPr>
      <w:r w:rsidRPr="009418F3">
        <w:rPr>
          <w:rFonts w:ascii="Arial Narrow" w:hAnsi="Arial Narrow"/>
          <w:b/>
          <w:sz w:val="20"/>
        </w:rPr>
        <w:t>Table 16: Number of practitioners providing services under item 31581 from 2013-14 to 2016-17</w:t>
      </w:r>
    </w:p>
    <w:tbl>
      <w:tblPr>
        <w:tblW w:w="48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practitioners claiming item 31581 from 2013 to 2017"/>
        <w:tblDescription w:val="This table depicts the number of practitioners who claimed item 31581 over the four years since its implementation. "/>
      </w:tblPr>
      <w:tblGrid>
        <w:gridCol w:w="1220"/>
        <w:gridCol w:w="1220"/>
        <w:gridCol w:w="1220"/>
        <w:gridCol w:w="1220"/>
      </w:tblGrid>
      <w:tr w:rsidR="008D573F" w:rsidTr="008D573F">
        <w:trPr>
          <w:trHeight w:val="300"/>
        </w:trPr>
        <w:tc>
          <w:tcPr>
            <w:tcW w:w="1220" w:type="dxa"/>
            <w:shd w:val="clear" w:color="auto" w:fill="548DD4" w:themeFill="text2" w:themeFillTint="99"/>
            <w:vAlign w:val="center"/>
            <w:hideMark/>
          </w:tcPr>
          <w:p w:rsidR="008D573F" w:rsidRPr="00AC02AE" w:rsidRDefault="008D573F" w:rsidP="008D573F">
            <w:pPr>
              <w:jc w:val="center"/>
              <w:rPr>
                <w:rFonts w:ascii="Arial" w:hAnsi="Arial" w:cs="Arial"/>
                <w:b/>
                <w:bCs/>
                <w:color w:val="FFFFFF"/>
                <w:sz w:val="18"/>
                <w:szCs w:val="18"/>
              </w:rPr>
            </w:pPr>
            <w:r w:rsidRPr="00AC02AE">
              <w:rPr>
                <w:rFonts w:ascii="Arial" w:hAnsi="Arial" w:cs="Arial"/>
                <w:b/>
                <w:bCs/>
                <w:color w:val="FFFFFF"/>
                <w:sz w:val="18"/>
                <w:szCs w:val="18"/>
              </w:rPr>
              <w:t>Fin Year</w:t>
            </w:r>
          </w:p>
        </w:tc>
        <w:tc>
          <w:tcPr>
            <w:tcW w:w="1220" w:type="dxa"/>
            <w:shd w:val="clear" w:color="auto" w:fill="548DD4" w:themeFill="text2" w:themeFillTint="99"/>
            <w:vAlign w:val="center"/>
            <w:hideMark/>
          </w:tcPr>
          <w:p w:rsidR="008D573F" w:rsidRPr="00AC02AE" w:rsidRDefault="008D573F" w:rsidP="008D573F">
            <w:pPr>
              <w:jc w:val="center"/>
              <w:rPr>
                <w:rFonts w:ascii="Arial" w:hAnsi="Arial" w:cs="Arial"/>
                <w:b/>
                <w:bCs/>
                <w:color w:val="FFFFFF"/>
                <w:sz w:val="18"/>
                <w:szCs w:val="18"/>
              </w:rPr>
            </w:pPr>
            <w:r w:rsidRPr="00AC02AE">
              <w:rPr>
                <w:rFonts w:ascii="Arial" w:hAnsi="Arial" w:cs="Arial"/>
                <w:b/>
                <w:bCs/>
                <w:color w:val="FFFFFF"/>
                <w:sz w:val="18"/>
                <w:szCs w:val="18"/>
              </w:rPr>
              <w:t>Providers</w:t>
            </w:r>
          </w:p>
        </w:tc>
        <w:tc>
          <w:tcPr>
            <w:tcW w:w="1220" w:type="dxa"/>
            <w:shd w:val="clear" w:color="auto" w:fill="548DD4" w:themeFill="text2" w:themeFillTint="99"/>
            <w:vAlign w:val="center"/>
            <w:hideMark/>
          </w:tcPr>
          <w:p w:rsidR="008D573F" w:rsidRPr="00AC02AE" w:rsidRDefault="008D573F" w:rsidP="008D573F">
            <w:pPr>
              <w:jc w:val="center"/>
              <w:rPr>
                <w:rFonts w:ascii="Arial" w:hAnsi="Arial" w:cs="Arial"/>
                <w:b/>
                <w:bCs/>
                <w:color w:val="FFFFFF"/>
                <w:sz w:val="18"/>
                <w:szCs w:val="18"/>
              </w:rPr>
            </w:pPr>
            <w:r w:rsidRPr="00AC02AE">
              <w:rPr>
                <w:rFonts w:ascii="Arial" w:hAnsi="Arial" w:cs="Arial"/>
                <w:b/>
                <w:bCs/>
                <w:color w:val="FFFFFF"/>
                <w:sz w:val="18"/>
                <w:szCs w:val="18"/>
              </w:rPr>
              <w:t>Services</w:t>
            </w:r>
          </w:p>
        </w:tc>
        <w:tc>
          <w:tcPr>
            <w:tcW w:w="1220" w:type="dxa"/>
            <w:shd w:val="clear" w:color="auto" w:fill="548DD4" w:themeFill="text2" w:themeFillTint="99"/>
            <w:vAlign w:val="center"/>
            <w:hideMark/>
          </w:tcPr>
          <w:p w:rsidR="008D573F" w:rsidRPr="00AC02AE" w:rsidRDefault="008D573F" w:rsidP="008D573F">
            <w:pPr>
              <w:jc w:val="center"/>
              <w:rPr>
                <w:rFonts w:ascii="Arial" w:hAnsi="Arial" w:cs="Arial"/>
                <w:b/>
                <w:bCs/>
                <w:color w:val="FFFFFF"/>
                <w:sz w:val="18"/>
                <w:szCs w:val="18"/>
              </w:rPr>
            </w:pPr>
            <w:r w:rsidRPr="00AC02AE">
              <w:rPr>
                <w:rFonts w:ascii="Arial" w:hAnsi="Arial" w:cs="Arial"/>
                <w:b/>
                <w:bCs/>
                <w:color w:val="FFFFFF"/>
                <w:sz w:val="18"/>
                <w:szCs w:val="18"/>
              </w:rPr>
              <w:t>Average</w:t>
            </w:r>
          </w:p>
        </w:tc>
      </w:tr>
      <w:tr w:rsidR="008D573F" w:rsidTr="008D573F">
        <w:trPr>
          <w:trHeight w:val="300"/>
        </w:trPr>
        <w:tc>
          <w:tcPr>
            <w:tcW w:w="1220" w:type="dxa"/>
            <w:shd w:val="clear" w:color="000000" w:fill="FFFFFF"/>
            <w:noWrap/>
            <w:vAlign w:val="center"/>
            <w:hideMark/>
          </w:tcPr>
          <w:p w:rsidR="008D573F" w:rsidRPr="00AC02AE" w:rsidRDefault="008D573F" w:rsidP="008D573F">
            <w:pPr>
              <w:jc w:val="center"/>
              <w:rPr>
                <w:rFonts w:ascii="Arial" w:hAnsi="Arial" w:cs="Arial"/>
                <w:b/>
                <w:bCs/>
                <w:color w:val="000000"/>
                <w:sz w:val="18"/>
                <w:szCs w:val="18"/>
              </w:rPr>
            </w:pPr>
            <w:r w:rsidRPr="00AC02AE">
              <w:rPr>
                <w:rFonts w:ascii="Arial" w:hAnsi="Arial" w:cs="Arial"/>
                <w:b/>
                <w:bCs/>
                <w:color w:val="000000"/>
                <w:sz w:val="18"/>
                <w:szCs w:val="18"/>
              </w:rPr>
              <w:t>2013-14</w:t>
            </w:r>
          </w:p>
        </w:tc>
        <w:tc>
          <w:tcPr>
            <w:tcW w:w="122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12</w:t>
            </w:r>
          </w:p>
        </w:tc>
        <w:tc>
          <w:tcPr>
            <w:tcW w:w="122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26</w:t>
            </w:r>
          </w:p>
        </w:tc>
        <w:tc>
          <w:tcPr>
            <w:tcW w:w="122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2.2</w:t>
            </w:r>
          </w:p>
        </w:tc>
      </w:tr>
      <w:tr w:rsidR="008D573F" w:rsidTr="008D573F">
        <w:trPr>
          <w:trHeight w:val="300"/>
        </w:trPr>
        <w:tc>
          <w:tcPr>
            <w:tcW w:w="1220" w:type="dxa"/>
            <w:shd w:val="clear" w:color="000000" w:fill="FFFFFF"/>
            <w:noWrap/>
            <w:vAlign w:val="center"/>
            <w:hideMark/>
          </w:tcPr>
          <w:p w:rsidR="008D573F" w:rsidRPr="00AC02AE" w:rsidRDefault="008D573F" w:rsidP="008D573F">
            <w:pPr>
              <w:jc w:val="center"/>
              <w:rPr>
                <w:rFonts w:ascii="Arial" w:hAnsi="Arial" w:cs="Arial"/>
                <w:b/>
                <w:bCs/>
                <w:color w:val="000000"/>
                <w:sz w:val="18"/>
                <w:szCs w:val="18"/>
              </w:rPr>
            </w:pPr>
            <w:r w:rsidRPr="00AC02AE">
              <w:rPr>
                <w:rFonts w:ascii="Arial" w:hAnsi="Arial" w:cs="Arial"/>
                <w:b/>
                <w:bCs/>
                <w:color w:val="000000"/>
                <w:sz w:val="18"/>
                <w:szCs w:val="18"/>
              </w:rPr>
              <w:t>2014-15</w:t>
            </w:r>
          </w:p>
        </w:tc>
        <w:tc>
          <w:tcPr>
            <w:tcW w:w="122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8</w:t>
            </w:r>
          </w:p>
        </w:tc>
        <w:tc>
          <w:tcPr>
            <w:tcW w:w="122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24</w:t>
            </w:r>
          </w:p>
        </w:tc>
        <w:tc>
          <w:tcPr>
            <w:tcW w:w="122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3.0</w:t>
            </w:r>
          </w:p>
        </w:tc>
      </w:tr>
      <w:tr w:rsidR="008D573F" w:rsidTr="008D573F">
        <w:trPr>
          <w:trHeight w:val="300"/>
        </w:trPr>
        <w:tc>
          <w:tcPr>
            <w:tcW w:w="1220" w:type="dxa"/>
            <w:shd w:val="clear" w:color="000000" w:fill="FFFFFF"/>
            <w:noWrap/>
            <w:vAlign w:val="center"/>
            <w:hideMark/>
          </w:tcPr>
          <w:p w:rsidR="008D573F" w:rsidRPr="00AC02AE" w:rsidRDefault="008D573F" w:rsidP="008D573F">
            <w:pPr>
              <w:jc w:val="center"/>
              <w:rPr>
                <w:rFonts w:ascii="Arial" w:hAnsi="Arial" w:cs="Arial"/>
                <w:b/>
                <w:bCs/>
                <w:color w:val="000000"/>
                <w:sz w:val="18"/>
                <w:szCs w:val="18"/>
              </w:rPr>
            </w:pPr>
            <w:r w:rsidRPr="00AC02AE">
              <w:rPr>
                <w:rFonts w:ascii="Arial" w:hAnsi="Arial" w:cs="Arial"/>
                <w:b/>
                <w:bCs/>
                <w:color w:val="000000"/>
                <w:sz w:val="18"/>
                <w:szCs w:val="18"/>
              </w:rPr>
              <w:t>2015-16</w:t>
            </w:r>
          </w:p>
        </w:tc>
        <w:tc>
          <w:tcPr>
            <w:tcW w:w="122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10</w:t>
            </w:r>
          </w:p>
        </w:tc>
        <w:tc>
          <w:tcPr>
            <w:tcW w:w="122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59</w:t>
            </w:r>
          </w:p>
        </w:tc>
        <w:tc>
          <w:tcPr>
            <w:tcW w:w="122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5.9</w:t>
            </w:r>
          </w:p>
        </w:tc>
      </w:tr>
      <w:tr w:rsidR="008D573F" w:rsidTr="008D573F">
        <w:trPr>
          <w:trHeight w:val="300"/>
        </w:trPr>
        <w:tc>
          <w:tcPr>
            <w:tcW w:w="1220" w:type="dxa"/>
            <w:shd w:val="clear" w:color="000000" w:fill="FFFFFF"/>
            <w:noWrap/>
            <w:vAlign w:val="center"/>
            <w:hideMark/>
          </w:tcPr>
          <w:p w:rsidR="008D573F" w:rsidRPr="00AC02AE" w:rsidRDefault="008D573F" w:rsidP="008D573F">
            <w:pPr>
              <w:jc w:val="center"/>
              <w:rPr>
                <w:rFonts w:ascii="Arial" w:hAnsi="Arial" w:cs="Arial"/>
                <w:b/>
                <w:bCs/>
                <w:color w:val="000000"/>
                <w:sz w:val="18"/>
                <w:szCs w:val="18"/>
              </w:rPr>
            </w:pPr>
            <w:r w:rsidRPr="00AC02AE">
              <w:rPr>
                <w:rFonts w:ascii="Arial" w:hAnsi="Arial" w:cs="Arial"/>
                <w:b/>
                <w:bCs/>
                <w:color w:val="000000"/>
                <w:sz w:val="18"/>
                <w:szCs w:val="18"/>
              </w:rPr>
              <w:t>2016-17</w:t>
            </w:r>
          </w:p>
        </w:tc>
        <w:tc>
          <w:tcPr>
            <w:tcW w:w="122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17</w:t>
            </w:r>
          </w:p>
        </w:tc>
        <w:tc>
          <w:tcPr>
            <w:tcW w:w="122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101</w:t>
            </w:r>
          </w:p>
        </w:tc>
        <w:tc>
          <w:tcPr>
            <w:tcW w:w="122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5.9</w:t>
            </w:r>
          </w:p>
        </w:tc>
      </w:tr>
      <w:tr w:rsidR="008D573F" w:rsidTr="008D573F">
        <w:trPr>
          <w:trHeight w:val="300"/>
        </w:trPr>
        <w:tc>
          <w:tcPr>
            <w:tcW w:w="1220" w:type="dxa"/>
            <w:shd w:val="clear" w:color="000000" w:fill="FFFFFF"/>
            <w:noWrap/>
            <w:vAlign w:val="center"/>
          </w:tcPr>
          <w:p w:rsidR="008D573F" w:rsidRPr="00AC02AE" w:rsidRDefault="008D573F" w:rsidP="008D573F">
            <w:pPr>
              <w:jc w:val="center"/>
              <w:rPr>
                <w:rFonts w:ascii="Arial" w:hAnsi="Arial" w:cs="Arial"/>
                <w:b/>
                <w:bCs/>
                <w:color w:val="000000"/>
                <w:sz w:val="18"/>
                <w:szCs w:val="18"/>
              </w:rPr>
            </w:pPr>
            <w:r w:rsidRPr="00AC02AE">
              <w:rPr>
                <w:rFonts w:ascii="Arial" w:hAnsi="Arial" w:cs="Arial"/>
                <w:b/>
                <w:bCs/>
                <w:color w:val="000000"/>
                <w:sz w:val="18"/>
                <w:szCs w:val="18"/>
              </w:rPr>
              <w:t>All Years</w:t>
            </w:r>
          </w:p>
        </w:tc>
        <w:tc>
          <w:tcPr>
            <w:tcW w:w="1220" w:type="dxa"/>
            <w:shd w:val="clear" w:color="000000" w:fill="FFFFFF"/>
            <w:noWrap/>
            <w:vAlign w:val="center"/>
          </w:tcPr>
          <w:p w:rsidR="008D573F" w:rsidRPr="00AC02AE" w:rsidRDefault="008D573F" w:rsidP="008D573F">
            <w:pPr>
              <w:jc w:val="center"/>
              <w:rPr>
                <w:rFonts w:ascii="Arial" w:hAnsi="Arial" w:cs="Arial"/>
                <w:b/>
                <w:color w:val="000000"/>
                <w:sz w:val="18"/>
                <w:szCs w:val="18"/>
              </w:rPr>
            </w:pPr>
            <w:r w:rsidRPr="00AC02AE">
              <w:rPr>
                <w:rFonts w:ascii="Arial" w:hAnsi="Arial" w:cs="Arial"/>
                <w:b/>
                <w:color w:val="000000"/>
                <w:sz w:val="18"/>
                <w:szCs w:val="18"/>
              </w:rPr>
              <w:t>30</w:t>
            </w:r>
          </w:p>
        </w:tc>
        <w:tc>
          <w:tcPr>
            <w:tcW w:w="1220" w:type="dxa"/>
            <w:shd w:val="clear" w:color="000000" w:fill="FFFFFF"/>
            <w:noWrap/>
            <w:vAlign w:val="center"/>
          </w:tcPr>
          <w:p w:rsidR="008D573F" w:rsidRPr="00AC02AE" w:rsidRDefault="008D573F" w:rsidP="008D573F">
            <w:pPr>
              <w:jc w:val="center"/>
              <w:rPr>
                <w:rFonts w:ascii="Arial" w:hAnsi="Arial" w:cs="Arial"/>
                <w:b/>
                <w:color w:val="000000"/>
                <w:sz w:val="18"/>
                <w:szCs w:val="18"/>
              </w:rPr>
            </w:pPr>
            <w:r w:rsidRPr="00AC02AE">
              <w:rPr>
                <w:rFonts w:ascii="Arial" w:hAnsi="Arial" w:cs="Arial"/>
                <w:b/>
                <w:color w:val="000000"/>
                <w:sz w:val="18"/>
                <w:szCs w:val="18"/>
              </w:rPr>
              <w:t>210</w:t>
            </w:r>
          </w:p>
        </w:tc>
        <w:tc>
          <w:tcPr>
            <w:tcW w:w="1220" w:type="dxa"/>
            <w:shd w:val="clear" w:color="000000" w:fill="FFFFFF"/>
            <w:noWrap/>
            <w:vAlign w:val="center"/>
          </w:tcPr>
          <w:p w:rsidR="008D573F" w:rsidRPr="00AC02AE" w:rsidRDefault="008D573F" w:rsidP="008D573F">
            <w:pPr>
              <w:jc w:val="center"/>
              <w:rPr>
                <w:rFonts w:ascii="Arial" w:hAnsi="Arial" w:cs="Arial"/>
                <w:b/>
                <w:color w:val="000000"/>
                <w:sz w:val="18"/>
                <w:szCs w:val="18"/>
              </w:rPr>
            </w:pPr>
            <w:r w:rsidRPr="00AC02AE">
              <w:rPr>
                <w:rFonts w:ascii="Arial" w:hAnsi="Arial" w:cs="Arial"/>
                <w:b/>
                <w:color w:val="000000"/>
                <w:sz w:val="18"/>
                <w:szCs w:val="18"/>
              </w:rPr>
              <w:t>7.0</w:t>
            </w:r>
          </w:p>
        </w:tc>
      </w:tr>
    </w:tbl>
    <w:p w:rsidR="00426C12" w:rsidRDefault="00426C12">
      <w:pPr>
        <w:rPr>
          <w:rFonts w:asciiTheme="minorHAnsi" w:hAnsiTheme="minorHAnsi" w:cs="Arial"/>
          <w:b/>
          <w:bCs/>
          <w:iCs/>
          <w:sz w:val="20"/>
          <w:lang w:eastAsia="en-US"/>
        </w:rPr>
      </w:pPr>
      <w:r>
        <w:rPr>
          <w:rFonts w:asciiTheme="minorHAnsi" w:hAnsiTheme="minorHAnsi"/>
        </w:rPr>
        <w:br w:type="page"/>
      </w:r>
    </w:p>
    <w:p w:rsidR="008D573F" w:rsidRPr="009418F3" w:rsidRDefault="008D573F" w:rsidP="009418F3">
      <w:pPr>
        <w:rPr>
          <w:rFonts w:ascii="Arial Narrow" w:hAnsi="Arial Narrow"/>
          <w:b/>
          <w:sz w:val="20"/>
        </w:rPr>
      </w:pPr>
      <w:r w:rsidRPr="009418F3">
        <w:rPr>
          <w:rFonts w:ascii="Arial Narrow" w:hAnsi="Arial Narrow"/>
          <w:b/>
          <w:sz w:val="20"/>
        </w:rPr>
        <w:lastRenderedPageBreak/>
        <w:t>Table 17: Number of practitioners providing services under item 31584 from 2013-14 to 2016-17</w:t>
      </w:r>
    </w:p>
    <w:tbl>
      <w:tblPr>
        <w:tblW w:w="48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practitioners claiming item 31584 from 2013 to 2017"/>
        <w:tblDescription w:val="This table depicts the number of practitioners who claimed item 31584 over the four years since its implementation. "/>
      </w:tblPr>
      <w:tblGrid>
        <w:gridCol w:w="1220"/>
        <w:gridCol w:w="1220"/>
        <w:gridCol w:w="1220"/>
        <w:gridCol w:w="1220"/>
      </w:tblGrid>
      <w:tr w:rsidR="008D573F" w:rsidTr="008D573F">
        <w:trPr>
          <w:trHeight w:val="300"/>
        </w:trPr>
        <w:tc>
          <w:tcPr>
            <w:tcW w:w="1220" w:type="dxa"/>
            <w:shd w:val="clear" w:color="auto" w:fill="548DD4" w:themeFill="text2" w:themeFillTint="99"/>
            <w:vAlign w:val="center"/>
            <w:hideMark/>
          </w:tcPr>
          <w:p w:rsidR="008D573F" w:rsidRPr="00AC02AE" w:rsidRDefault="008D573F" w:rsidP="008D573F">
            <w:pPr>
              <w:jc w:val="center"/>
              <w:rPr>
                <w:rFonts w:ascii="Arial" w:hAnsi="Arial" w:cs="Arial"/>
                <w:b/>
                <w:bCs/>
                <w:color w:val="FFFFFF"/>
                <w:sz w:val="18"/>
                <w:szCs w:val="18"/>
              </w:rPr>
            </w:pPr>
            <w:r w:rsidRPr="00AC02AE">
              <w:rPr>
                <w:rFonts w:ascii="Arial" w:hAnsi="Arial" w:cs="Arial"/>
                <w:b/>
                <w:bCs/>
                <w:color w:val="FFFFFF"/>
                <w:sz w:val="18"/>
                <w:szCs w:val="18"/>
              </w:rPr>
              <w:t>Fin Year</w:t>
            </w:r>
          </w:p>
        </w:tc>
        <w:tc>
          <w:tcPr>
            <w:tcW w:w="1220" w:type="dxa"/>
            <w:shd w:val="clear" w:color="auto" w:fill="548DD4" w:themeFill="text2" w:themeFillTint="99"/>
            <w:vAlign w:val="center"/>
            <w:hideMark/>
          </w:tcPr>
          <w:p w:rsidR="008D573F" w:rsidRPr="00AC02AE" w:rsidRDefault="008D573F" w:rsidP="008D573F">
            <w:pPr>
              <w:jc w:val="center"/>
              <w:rPr>
                <w:rFonts w:ascii="Arial" w:hAnsi="Arial" w:cs="Arial"/>
                <w:b/>
                <w:bCs/>
                <w:color w:val="FFFFFF"/>
                <w:sz w:val="18"/>
                <w:szCs w:val="18"/>
              </w:rPr>
            </w:pPr>
            <w:r w:rsidRPr="00AC02AE">
              <w:rPr>
                <w:rFonts w:ascii="Arial" w:hAnsi="Arial" w:cs="Arial"/>
                <w:b/>
                <w:bCs/>
                <w:color w:val="FFFFFF"/>
                <w:sz w:val="18"/>
                <w:szCs w:val="18"/>
              </w:rPr>
              <w:t>Providers</w:t>
            </w:r>
          </w:p>
        </w:tc>
        <w:tc>
          <w:tcPr>
            <w:tcW w:w="1220" w:type="dxa"/>
            <w:shd w:val="clear" w:color="auto" w:fill="548DD4" w:themeFill="text2" w:themeFillTint="99"/>
            <w:vAlign w:val="center"/>
            <w:hideMark/>
          </w:tcPr>
          <w:p w:rsidR="008D573F" w:rsidRPr="00AC02AE" w:rsidRDefault="008D573F" w:rsidP="008D573F">
            <w:pPr>
              <w:jc w:val="center"/>
              <w:rPr>
                <w:rFonts w:ascii="Arial" w:hAnsi="Arial" w:cs="Arial"/>
                <w:b/>
                <w:bCs/>
                <w:color w:val="FFFFFF"/>
                <w:sz w:val="18"/>
                <w:szCs w:val="18"/>
              </w:rPr>
            </w:pPr>
            <w:r w:rsidRPr="00AC02AE">
              <w:rPr>
                <w:rFonts w:ascii="Arial" w:hAnsi="Arial" w:cs="Arial"/>
                <w:b/>
                <w:bCs/>
                <w:color w:val="FFFFFF"/>
                <w:sz w:val="18"/>
                <w:szCs w:val="18"/>
              </w:rPr>
              <w:t>Services</w:t>
            </w:r>
          </w:p>
        </w:tc>
        <w:tc>
          <w:tcPr>
            <w:tcW w:w="1220" w:type="dxa"/>
            <w:shd w:val="clear" w:color="auto" w:fill="548DD4" w:themeFill="text2" w:themeFillTint="99"/>
            <w:vAlign w:val="center"/>
            <w:hideMark/>
          </w:tcPr>
          <w:p w:rsidR="008D573F" w:rsidRPr="00AC02AE" w:rsidRDefault="008D573F" w:rsidP="008D573F">
            <w:pPr>
              <w:jc w:val="center"/>
              <w:rPr>
                <w:rFonts w:ascii="Arial" w:hAnsi="Arial" w:cs="Arial"/>
                <w:b/>
                <w:bCs/>
                <w:color w:val="FFFFFF"/>
                <w:sz w:val="18"/>
                <w:szCs w:val="18"/>
              </w:rPr>
            </w:pPr>
            <w:r w:rsidRPr="00AC02AE">
              <w:rPr>
                <w:rFonts w:ascii="Arial" w:hAnsi="Arial" w:cs="Arial"/>
                <w:b/>
                <w:bCs/>
                <w:color w:val="FFFFFF"/>
                <w:sz w:val="18"/>
                <w:szCs w:val="18"/>
              </w:rPr>
              <w:t>Average</w:t>
            </w:r>
          </w:p>
        </w:tc>
      </w:tr>
      <w:tr w:rsidR="008D573F" w:rsidTr="008D573F">
        <w:trPr>
          <w:trHeight w:val="300"/>
        </w:trPr>
        <w:tc>
          <w:tcPr>
            <w:tcW w:w="1220" w:type="dxa"/>
            <w:shd w:val="clear" w:color="000000" w:fill="FFFFFF"/>
            <w:noWrap/>
            <w:vAlign w:val="center"/>
            <w:hideMark/>
          </w:tcPr>
          <w:p w:rsidR="008D573F" w:rsidRPr="00AC02AE" w:rsidRDefault="008D573F" w:rsidP="008D573F">
            <w:pPr>
              <w:jc w:val="center"/>
              <w:rPr>
                <w:rFonts w:ascii="Arial" w:hAnsi="Arial" w:cs="Arial"/>
                <w:b/>
                <w:bCs/>
                <w:color w:val="000000"/>
                <w:sz w:val="18"/>
                <w:szCs w:val="18"/>
              </w:rPr>
            </w:pPr>
            <w:r w:rsidRPr="00AC02AE">
              <w:rPr>
                <w:rFonts w:ascii="Arial" w:hAnsi="Arial" w:cs="Arial"/>
                <w:b/>
                <w:bCs/>
                <w:color w:val="000000"/>
                <w:sz w:val="18"/>
                <w:szCs w:val="18"/>
              </w:rPr>
              <w:t>2013-14</w:t>
            </w:r>
          </w:p>
        </w:tc>
        <w:tc>
          <w:tcPr>
            <w:tcW w:w="122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213</w:t>
            </w:r>
          </w:p>
        </w:tc>
        <w:tc>
          <w:tcPr>
            <w:tcW w:w="122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3,525</w:t>
            </w:r>
          </w:p>
        </w:tc>
        <w:tc>
          <w:tcPr>
            <w:tcW w:w="122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16.5</w:t>
            </w:r>
          </w:p>
        </w:tc>
      </w:tr>
      <w:tr w:rsidR="008D573F" w:rsidTr="008D573F">
        <w:trPr>
          <w:trHeight w:val="300"/>
        </w:trPr>
        <w:tc>
          <w:tcPr>
            <w:tcW w:w="1220" w:type="dxa"/>
            <w:shd w:val="clear" w:color="000000" w:fill="FFFFFF"/>
            <w:noWrap/>
            <w:vAlign w:val="center"/>
            <w:hideMark/>
          </w:tcPr>
          <w:p w:rsidR="008D573F" w:rsidRPr="00AC02AE" w:rsidRDefault="008D573F" w:rsidP="008D573F">
            <w:pPr>
              <w:jc w:val="center"/>
              <w:rPr>
                <w:rFonts w:ascii="Arial" w:hAnsi="Arial" w:cs="Arial"/>
                <w:b/>
                <w:bCs/>
                <w:color w:val="000000"/>
                <w:sz w:val="18"/>
                <w:szCs w:val="18"/>
              </w:rPr>
            </w:pPr>
            <w:r w:rsidRPr="00AC02AE">
              <w:rPr>
                <w:rFonts w:ascii="Arial" w:hAnsi="Arial" w:cs="Arial"/>
                <w:b/>
                <w:bCs/>
                <w:color w:val="000000"/>
                <w:sz w:val="18"/>
                <w:szCs w:val="18"/>
              </w:rPr>
              <w:t>2014-15</w:t>
            </w:r>
          </w:p>
        </w:tc>
        <w:tc>
          <w:tcPr>
            <w:tcW w:w="122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228</w:t>
            </w:r>
          </w:p>
        </w:tc>
        <w:tc>
          <w:tcPr>
            <w:tcW w:w="122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3,612</w:t>
            </w:r>
          </w:p>
        </w:tc>
        <w:tc>
          <w:tcPr>
            <w:tcW w:w="122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15.8</w:t>
            </w:r>
          </w:p>
        </w:tc>
      </w:tr>
      <w:tr w:rsidR="008D573F" w:rsidTr="008D573F">
        <w:trPr>
          <w:trHeight w:val="300"/>
        </w:trPr>
        <w:tc>
          <w:tcPr>
            <w:tcW w:w="1220" w:type="dxa"/>
            <w:shd w:val="clear" w:color="000000" w:fill="FFFFFF"/>
            <w:noWrap/>
            <w:vAlign w:val="center"/>
            <w:hideMark/>
          </w:tcPr>
          <w:p w:rsidR="008D573F" w:rsidRPr="00AC02AE" w:rsidRDefault="008D573F" w:rsidP="008D573F">
            <w:pPr>
              <w:jc w:val="center"/>
              <w:rPr>
                <w:rFonts w:ascii="Arial" w:hAnsi="Arial" w:cs="Arial"/>
                <w:b/>
                <w:bCs/>
                <w:color w:val="000000"/>
                <w:sz w:val="18"/>
                <w:szCs w:val="18"/>
              </w:rPr>
            </w:pPr>
            <w:r w:rsidRPr="00AC02AE">
              <w:rPr>
                <w:rFonts w:ascii="Arial" w:hAnsi="Arial" w:cs="Arial"/>
                <w:b/>
                <w:bCs/>
                <w:color w:val="000000"/>
                <w:sz w:val="18"/>
                <w:szCs w:val="18"/>
              </w:rPr>
              <w:t>2015-16</w:t>
            </w:r>
          </w:p>
        </w:tc>
        <w:tc>
          <w:tcPr>
            <w:tcW w:w="122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224</w:t>
            </w:r>
          </w:p>
        </w:tc>
        <w:tc>
          <w:tcPr>
            <w:tcW w:w="122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3,592</w:t>
            </w:r>
          </w:p>
        </w:tc>
        <w:tc>
          <w:tcPr>
            <w:tcW w:w="122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16.0</w:t>
            </w:r>
          </w:p>
        </w:tc>
      </w:tr>
      <w:tr w:rsidR="008D573F" w:rsidTr="008D573F">
        <w:trPr>
          <w:trHeight w:val="300"/>
        </w:trPr>
        <w:tc>
          <w:tcPr>
            <w:tcW w:w="1220" w:type="dxa"/>
            <w:shd w:val="clear" w:color="000000" w:fill="FFFFFF"/>
            <w:noWrap/>
            <w:vAlign w:val="center"/>
            <w:hideMark/>
          </w:tcPr>
          <w:p w:rsidR="008D573F" w:rsidRPr="00AC02AE" w:rsidRDefault="008D573F" w:rsidP="008D573F">
            <w:pPr>
              <w:jc w:val="center"/>
              <w:rPr>
                <w:rFonts w:ascii="Arial" w:hAnsi="Arial" w:cs="Arial"/>
                <w:b/>
                <w:bCs/>
                <w:color w:val="000000"/>
                <w:sz w:val="18"/>
                <w:szCs w:val="18"/>
              </w:rPr>
            </w:pPr>
            <w:r w:rsidRPr="00AC02AE">
              <w:rPr>
                <w:rFonts w:ascii="Arial" w:hAnsi="Arial" w:cs="Arial"/>
                <w:b/>
                <w:bCs/>
                <w:color w:val="000000"/>
                <w:sz w:val="18"/>
                <w:szCs w:val="18"/>
              </w:rPr>
              <w:t>2016-17</w:t>
            </w:r>
          </w:p>
        </w:tc>
        <w:tc>
          <w:tcPr>
            <w:tcW w:w="122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248</w:t>
            </w:r>
          </w:p>
        </w:tc>
        <w:tc>
          <w:tcPr>
            <w:tcW w:w="122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3,689</w:t>
            </w:r>
          </w:p>
        </w:tc>
        <w:tc>
          <w:tcPr>
            <w:tcW w:w="122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14.9</w:t>
            </w:r>
          </w:p>
        </w:tc>
      </w:tr>
      <w:tr w:rsidR="008D573F" w:rsidTr="008D573F">
        <w:trPr>
          <w:trHeight w:val="300"/>
        </w:trPr>
        <w:tc>
          <w:tcPr>
            <w:tcW w:w="1220" w:type="dxa"/>
            <w:shd w:val="clear" w:color="000000" w:fill="FFFFFF"/>
            <w:noWrap/>
            <w:vAlign w:val="center"/>
          </w:tcPr>
          <w:p w:rsidR="008D573F" w:rsidRPr="00AC02AE" w:rsidRDefault="008D573F" w:rsidP="008D573F">
            <w:pPr>
              <w:jc w:val="center"/>
              <w:rPr>
                <w:rFonts w:ascii="Arial" w:hAnsi="Arial" w:cs="Arial"/>
                <w:b/>
                <w:bCs/>
                <w:color w:val="000000"/>
                <w:sz w:val="18"/>
                <w:szCs w:val="18"/>
              </w:rPr>
            </w:pPr>
            <w:r w:rsidRPr="00AC02AE">
              <w:rPr>
                <w:rFonts w:ascii="Arial" w:hAnsi="Arial" w:cs="Arial"/>
                <w:b/>
                <w:bCs/>
                <w:color w:val="000000"/>
                <w:sz w:val="18"/>
                <w:szCs w:val="18"/>
              </w:rPr>
              <w:t>All Years</w:t>
            </w:r>
          </w:p>
        </w:tc>
        <w:tc>
          <w:tcPr>
            <w:tcW w:w="1220" w:type="dxa"/>
            <w:shd w:val="clear" w:color="000000" w:fill="FFFFFF"/>
            <w:noWrap/>
            <w:vAlign w:val="center"/>
          </w:tcPr>
          <w:p w:rsidR="008D573F" w:rsidRPr="00AC02AE" w:rsidRDefault="008D573F" w:rsidP="008D573F">
            <w:pPr>
              <w:jc w:val="center"/>
              <w:rPr>
                <w:rFonts w:ascii="Arial" w:hAnsi="Arial" w:cs="Arial"/>
                <w:b/>
                <w:color w:val="000000"/>
                <w:sz w:val="18"/>
                <w:szCs w:val="18"/>
              </w:rPr>
            </w:pPr>
            <w:r w:rsidRPr="00AC02AE">
              <w:rPr>
                <w:rFonts w:ascii="Arial" w:hAnsi="Arial" w:cs="Arial"/>
                <w:b/>
                <w:color w:val="000000"/>
                <w:sz w:val="18"/>
                <w:szCs w:val="18"/>
              </w:rPr>
              <w:t>341</w:t>
            </w:r>
          </w:p>
        </w:tc>
        <w:tc>
          <w:tcPr>
            <w:tcW w:w="1220" w:type="dxa"/>
            <w:shd w:val="clear" w:color="000000" w:fill="FFFFFF"/>
            <w:noWrap/>
            <w:vAlign w:val="center"/>
          </w:tcPr>
          <w:p w:rsidR="008D573F" w:rsidRPr="00AC02AE" w:rsidRDefault="008D573F" w:rsidP="008D573F">
            <w:pPr>
              <w:jc w:val="center"/>
              <w:rPr>
                <w:rFonts w:ascii="Arial" w:hAnsi="Arial" w:cs="Arial"/>
                <w:b/>
                <w:color w:val="000000"/>
                <w:sz w:val="18"/>
                <w:szCs w:val="18"/>
              </w:rPr>
            </w:pPr>
            <w:r w:rsidRPr="00AC02AE">
              <w:rPr>
                <w:rFonts w:ascii="Arial" w:hAnsi="Arial" w:cs="Arial"/>
                <w:b/>
                <w:color w:val="000000"/>
                <w:sz w:val="18"/>
                <w:szCs w:val="18"/>
              </w:rPr>
              <w:t>14,418</w:t>
            </w:r>
          </w:p>
        </w:tc>
        <w:tc>
          <w:tcPr>
            <w:tcW w:w="1220" w:type="dxa"/>
            <w:shd w:val="clear" w:color="000000" w:fill="FFFFFF"/>
            <w:noWrap/>
            <w:vAlign w:val="center"/>
          </w:tcPr>
          <w:p w:rsidR="008D573F" w:rsidRPr="00AC02AE" w:rsidRDefault="008D573F" w:rsidP="008D573F">
            <w:pPr>
              <w:jc w:val="center"/>
              <w:rPr>
                <w:rFonts w:ascii="Arial" w:hAnsi="Arial" w:cs="Arial"/>
                <w:b/>
                <w:color w:val="000000"/>
                <w:sz w:val="18"/>
                <w:szCs w:val="18"/>
              </w:rPr>
            </w:pPr>
            <w:r w:rsidRPr="00AC02AE">
              <w:rPr>
                <w:rFonts w:ascii="Arial" w:hAnsi="Arial" w:cs="Arial"/>
                <w:b/>
                <w:color w:val="000000"/>
                <w:sz w:val="18"/>
                <w:szCs w:val="18"/>
              </w:rPr>
              <w:t>42.3</w:t>
            </w:r>
          </w:p>
        </w:tc>
      </w:tr>
    </w:tbl>
    <w:p w:rsidR="008D573F" w:rsidRPr="00D73798" w:rsidRDefault="008D573F" w:rsidP="00D73798">
      <w:pPr>
        <w:rPr>
          <w:rFonts w:asciiTheme="minorHAnsi" w:hAnsiTheme="minorHAnsi"/>
          <w:bCs/>
          <w:i/>
          <w:sz w:val="16"/>
          <w:szCs w:val="16"/>
        </w:rPr>
      </w:pPr>
      <w:r w:rsidRPr="00D73798">
        <w:rPr>
          <w:rFonts w:asciiTheme="minorHAnsi" w:hAnsiTheme="minorHAnsi"/>
          <w:bCs/>
          <w:i/>
          <w:sz w:val="16"/>
          <w:szCs w:val="16"/>
        </w:rPr>
        <w:t>Source (tables 12-17): Department of Health, Medical Benefits Division, Primary Care and Diagnostics Branch, MBS Analytics Section, Reference no.: Q20863, July 2017</w:t>
      </w:r>
    </w:p>
    <w:p w:rsidR="00AC4730" w:rsidRPr="00D16DFC" w:rsidRDefault="008D573F" w:rsidP="00D16DFC">
      <w:pPr>
        <w:spacing w:after="240"/>
        <w:rPr>
          <w:rFonts w:asciiTheme="minorHAnsi" w:hAnsiTheme="minorHAnsi"/>
          <w:bCs/>
          <w:i/>
          <w:sz w:val="16"/>
          <w:szCs w:val="16"/>
        </w:rPr>
      </w:pPr>
      <w:r w:rsidRPr="00D73798">
        <w:rPr>
          <w:rFonts w:asciiTheme="minorHAnsi" w:hAnsiTheme="minorHAnsi"/>
          <w:bCs/>
          <w:i/>
          <w:sz w:val="16"/>
          <w:szCs w:val="16"/>
        </w:rPr>
        <w:t>Note: Providers will have rendered services in more than one financial year, therefore provider counts for the combined period will be less than the sum of provider</w:t>
      </w:r>
      <w:r w:rsidR="00D16DFC">
        <w:rPr>
          <w:rFonts w:asciiTheme="minorHAnsi" w:hAnsiTheme="minorHAnsi"/>
          <w:bCs/>
          <w:i/>
          <w:sz w:val="16"/>
          <w:szCs w:val="16"/>
        </w:rPr>
        <w:t xml:space="preserve"> counts for each financial year</w:t>
      </w:r>
    </w:p>
    <w:p w:rsidR="008D573F" w:rsidRPr="009418F3" w:rsidRDefault="008D573F" w:rsidP="009418F3">
      <w:pPr>
        <w:rPr>
          <w:rFonts w:ascii="Arial Narrow" w:hAnsi="Arial Narrow"/>
          <w:b/>
          <w:sz w:val="20"/>
        </w:rPr>
      </w:pPr>
      <w:r w:rsidRPr="009418F3">
        <w:rPr>
          <w:rFonts w:ascii="Arial Narrow" w:hAnsi="Arial Narrow"/>
          <w:b/>
          <w:sz w:val="20"/>
        </w:rPr>
        <w:t>Table 18: Cumulative percentage of medical practitioners providing item 31575 and number of services accounted for at each percentile, 2013-14 to 2016-17</w:t>
      </w:r>
    </w:p>
    <w:tbl>
      <w:tblPr>
        <w:tblW w:w="72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centage of practitioners providing items 31575 and number of services 2013 to 2017"/>
        <w:tblDescription w:val="This table depiccts the cumulative percentage of providers for each finaicial year since implementation for item 31575 and the number of services provided at each percentage point, increasing by 5 percent each interval. "/>
      </w:tblPr>
      <w:tblGrid>
        <w:gridCol w:w="1306"/>
        <w:gridCol w:w="1192"/>
        <w:gridCol w:w="1192"/>
        <w:gridCol w:w="1192"/>
        <w:gridCol w:w="1192"/>
        <w:gridCol w:w="1192"/>
      </w:tblGrid>
      <w:tr w:rsidR="008D573F" w:rsidTr="008D573F">
        <w:trPr>
          <w:trHeight w:val="714"/>
        </w:trPr>
        <w:tc>
          <w:tcPr>
            <w:tcW w:w="1306" w:type="dxa"/>
            <w:shd w:val="clear" w:color="auto" w:fill="548DD4" w:themeFill="text2" w:themeFillTint="99"/>
            <w:vAlign w:val="center"/>
            <w:hideMark/>
          </w:tcPr>
          <w:p w:rsidR="008D573F" w:rsidRPr="00AC02AE" w:rsidRDefault="008D573F" w:rsidP="008D573F">
            <w:pPr>
              <w:jc w:val="center"/>
              <w:rPr>
                <w:rFonts w:ascii="Arial" w:hAnsi="Arial" w:cs="Arial"/>
                <w:b/>
                <w:bCs/>
                <w:color w:val="FFFFFF"/>
                <w:sz w:val="18"/>
                <w:szCs w:val="18"/>
              </w:rPr>
            </w:pPr>
            <w:r w:rsidRPr="00AC02AE">
              <w:rPr>
                <w:rFonts w:ascii="Arial" w:hAnsi="Arial" w:cs="Arial"/>
                <w:b/>
                <w:bCs/>
                <w:color w:val="FFFFFF"/>
                <w:sz w:val="18"/>
                <w:szCs w:val="18"/>
              </w:rPr>
              <w:t>Provider cumulative</w:t>
            </w:r>
          </w:p>
        </w:tc>
        <w:tc>
          <w:tcPr>
            <w:tcW w:w="1192" w:type="dxa"/>
            <w:shd w:val="clear" w:color="auto" w:fill="548DD4" w:themeFill="text2" w:themeFillTint="99"/>
            <w:vAlign w:val="center"/>
            <w:hideMark/>
          </w:tcPr>
          <w:p w:rsidR="008D573F" w:rsidRPr="00AC02AE" w:rsidRDefault="008D573F" w:rsidP="008D573F">
            <w:pPr>
              <w:jc w:val="center"/>
              <w:rPr>
                <w:rFonts w:ascii="Arial" w:hAnsi="Arial" w:cs="Arial"/>
                <w:b/>
                <w:bCs/>
                <w:color w:val="FFFFFF"/>
                <w:sz w:val="18"/>
                <w:szCs w:val="18"/>
              </w:rPr>
            </w:pPr>
            <w:r w:rsidRPr="00AC02AE">
              <w:rPr>
                <w:rFonts w:ascii="Arial" w:hAnsi="Arial" w:cs="Arial"/>
                <w:b/>
                <w:bCs/>
                <w:color w:val="FFFFFF"/>
                <w:sz w:val="18"/>
                <w:szCs w:val="18"/>
              </w:rPr>
              <w:t>2013-14</w:t>
            </w:r>
          </w:p>
        </w:tc>
        <w:tc>
          <w:tcPr>
            <w:tcW w:w="1192" w:type="dxa"/>
            <w:shd w:val="clear" w:color="auto" w:fill="548DD4" w:themeFill="text2" w:themeFillTint="99"/>
            <w:vAlign w:val="center"/>
            <w:hideMark/>
          </w:tcPr>
          <w:p w:rsidR="008D573F" w:rsidRPr="00AC02AE" w:rsidRDefault="008D573F" w:rsidP="008D573F">
            <w:pPr>
              <w:jc w:val="center"/>
              <w:rPr>
                <w:rFonts w:ascii="Arial" w:hAnsi="Arial" w:cs="Arial"/>
                <w:b/>
                <w:bCs/>
                <w:color w:val="FFFFFF"/>
                <w:sz w:val="18"/>
                <w:szCs w:val="18"/>
              </w:rPr>
            </w:pPr>
            <w:r w:rsidRPr="00AC02AE">
              <w:rPr>
                <w:rFonts w:ascii="Arial" w:hAnsi="Arial" w:cs="Arial"/>
                <w:b/>
                <w:bCs/>
                <w:color w:val="FFFFFF"/>
                <w:sz w:val="18"/>
                <w:szCs w:val="18"/>
              </w:rPr>
              <w:t>2014-15</w:t>
            </w:r>
          </w:p>
        </w:tc>
        <w:tc>
          <w:tcPr>
            <w:tcW w:w="1192" w:type="dxa"/>
            <w:shd w:val="clear" w:color="auto" w:fill="548DD4" w:themeFill="text2" w:themeFillTint="99"/>
            <w:vAlign w:val="center"/>
            <w:hideMark/>
          </w:tcPr>
          <w:p w:rsidR="008D573F" w:rsidRPr="00AC02AE" w:rsidRDefault="008D573F" w:rsidP="008D573F">
            <w:pPr>
              <w:jc w:val="center"/>
              <w:rPr>
                <w:rFonts w:ascii="Arial" w:hAnsi="Arial" w:cs="Arial"/>
                <w:b/>
                <w:bCs/>
                <w:color w:val="FFFFFF"/>
                <w:sz w:val="18"/>
                <w:szCs w:val="18"/>
              </w:rPr>
            </w:pPr>
            <w:r w:rsidRPr="00AC02AE">
              <w:rPr>
                <w:rFonts w:ascii="Arial" w:hAnsi="Arial" w:cs="Arial"/>
                <w:b/>
                <w:bCs/>
                <w:color w:val="FFFFFF"/>
                <w:sz w:val="18"/>
                <w:szCs w:val="18"/>
              </w:rPr>
              <w:t>2015-16</w:t>
            </w:r>
          </w:p>
        </w:tc>
        <w:tc>
          <w:tcPr>
            <w:tcW w:w="1192" w:type="dxa"/>
            <w:shd w:val="clear" w:color="auto" w:fill="548DD4" w:themeFill="text2" w:themeFillTint="99"/>
            <w:vAlign w:val="center"/>
            <w:hideMark/>
          </w:tcPr>
          <w:p w:rsidR="008D573F" w:rsidRPr="00AC02AE" w:rsidRDefault="008D573F" w:rsidP="008D573F">
            <w:pPr>
              <w:jc w:val="center"/>
              <w:rPr>
                <w:rFonts w:ascii="Arial" w:hAnsi="Arial" w:cs="Arial"/>
                <w:b/>
                <w:bCs/>
                <w:color w:val="FFFFFF"/>
                <w:sz w:val="18"/>
                <w:szCs w:val="18"/>
              </w:rPr>
            </w:pPr>
            <w:r w:rsidRPr="00AC02AE">
              <w:rPr>
                <w:rFonts w:ascii="Arial" w:hAnsi="Arial" w:cs="Arial"/>
                <w:b/>
                <w:bCs/>
                <w:color w:val="FFFFFF"/>
                <w:sz w:val="18"/>
                <w:szCs w:val="18"/>
              </w:rPr>
              <w:t>2016-17</w:t>
            </w:r>
          </w:p>
        </w:tc>
        <w:tc>
          <w:tcPr>
            <w:tcW w:w="1192" w:type="dxa"/>
            <w:shd w:val="clear" w:color="auto" w:fill="548DD4" w:themeFill="text2" w:themeFillTint="99"/>
            <w:vAlign w:val="center"/>
            <w:hideMark/>
          </w:tcPr>
          <w:p w:rsidR="008D573F" w:rsidRPr="00AC02AE" w:rsidRDefault="008D573F" w:rsidP="008D573F">
            <w:pPr>
              <w:jc w:val="center"/>
              <w:rPr>
                <w:rFonts w:ascii="Arial" w:hAnsi="Arial" w:cs="Arial"/>
                <w:b/>
                <w:bCs/>
                <w:color w:val="FFFFFF"/>
                <w:sz w:val="18"/>
                <w:szCs w:val="18"/>
              </w:rPr>
            </w:pPr>
            <w:r w:rsidRPr="00AC02AE">
              <w:rPr>
                <w:rFonts w:ascii="Arial" w:hAnsi="Arial" w:cs="Arial"/>
                <w:b/>
                <w:bCs/>
                <w:color w:val="FFFFFF"/>
                <w:sz w:val="18"/>
                <w:szCs w:val="18"/>
              </w:rPr>
              <w:t>All Years</w:t>
            </w:r>
          </w:p>
        </w:tc>
      </w:tr>
      <w:tr w:rsidR="008D573F" w:rsidTr="008D573F">
        <w:trPr>
          <w:trHeight w:val="318"/>
        </w:trPr>
        <w:tc>
          <w:tcPr>
            <w:tcW w:w="1306"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1</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6.1</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5.5</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9.8</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14.1</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11.8</w:t>
            </w:r>
          </w:p>
        </w:tc>
      </w:tr>
      <w:tr w:rsidR="008D573F" w:rsidTr="008D573F">
        <w:trPr>
          <w:trHeight w:val="318"/>
        </w:trPr>
        <w:tc>
          <w:tcPr>
            <w:tcW w:w="1306"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5</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23.2</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23.3</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29.9</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34.6</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37.2</w:t>
            </w:r>
          </w:p>
        </w:tc>
      </w:tr>
      <w:tr w:rsidR="008D573F" w:rsidTr="008D573F">
        <w:trPr>
          <w:trHeight w:val="318"/>
        </w:trPr>
        <w:tc>
          <w:tcPr>
            <w:tcW w:w="1306"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10</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40.0</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38.7</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45.7</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50.2</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56.3</w:t>
            </w:r>
          </w:p>
        </w:tc>
      </w:tr>
      <w:tr w:rsidR="008D573F" w:rsidTr="008D573F">
        <w:trPr>
          <w:trHeight w:val="318"/>
        </w:trPr>
        <w:tc>
          <w:tcPr>
            <w:tcW w:w="1306"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20</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62.2</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61.6</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66.7</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69.8</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79.8</w:t>
            </w:r>
          </w:p>
        </w:tc>
      </w:tr>
      <w:tr w:rsidR="008D573F" w:rsidTr="008D573F">
        <w:trPr>
          <w:trHeight w:val="318"/>
        </w:trPr>
        <w:tc>
          <w:tcPr>
            <w:tcW w:w="1306"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25</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70.2</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70.5</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74.3</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76.6</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86.5</w:t>
            </w:r>
          </w:p>
        </w:tc>
      </w:tr>
      <w:tr w:rsidR="008D573F" w:rsidTr="008D573F">
        <w:trPr>
          <w:trHeight w:val="318"/>
        </w:trPr>
        <w:tc>
          <w:tcPr>
            <w:tcW w:w="1306"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30</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77.3</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77.4</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80.3</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81.7</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91.4</w:t>
            </w:r>
          </w:p>
        </w:tc>
      </w:tr>
      <w:tr w:rsidR="008D573F" w:rsidTr="008D573F">
        <w:trPr>
          <w:trHeight w:val="318"/>
        </w:trPr>
        <w:tc>
          <w:tcPr>
            <w:tcW w:w="1306"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40</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87.1</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87.0</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89.5</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89.2</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96.9</w:t>
            </w:r>
          </w:p>
        </w:tc>
      </w:tr>
      <w:tr w:rsidR="008D573F" w:rsidTr="008D573F">
        <w:trPr>
          <w:trHeight w:val="318"/>
        </w:trPr>
        <w:tc>
          <w:tcPr>
            <w:tcW w:w="1306"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50</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93.5</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92.9</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94.8</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94.4</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99.0</w:t>
            </w:r>
          </w:p>
        </w:tc>
      </w:tr>
      <w:tr w:rsidR="008D573F" w:rsidTr="008D573F">
        <w:trPr>
          <w:trHeight w:val="318"/>
        </w:trPr>
        <w:tc>
          <w:tcPr>
            <w:tcW w:w="1306"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60</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97.2</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96.7</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97.6</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97.5</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99.7</w:t>
            </w:r>
          </w:p>
        </w:tc>
      </w:tr>
      <w:tr w:rsidR="008D573F" w:rsidTr="008D573F">
        <w:trPr>
          <w:trHeight w:val="318"/>
        </w:trPr>
        <w:tc>
          <w:tcPr>
            <w:tcW w:w="1306"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70</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99.0</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98.7</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99.2</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99.0</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99.8</w:t>
            </w:r>
          </w:p>
        </w:tc>
      </w:tr>
      <w:tr w:rsidR="008D573F" w:rsidTr="008D573F">
        <w:trPr>
          <w:trHeight w:val="318"/>
        </w:trPr>
        <w:tc>
          <w:tcPr>
            <w:tcW w:w="1306"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75</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99.5</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99.3</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99.5</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99.4</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99.8</w:t>
            </w:r>
          </w:p>
        </w:tc>
      </w:tr>
      <w:tr w:rsidR="008D573F" w:rsidTr="008D573F">
        <w:trPr>
          <w:trHeight w:val="318"/>
        </w:trPr>
        <w:tc>
          <w:tcPr>
            <w:tcW w:w="1306"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80</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99.6</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99.6</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99.7</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99.7</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99.9</w:t>
            </w:r>
          </w:p>
        </w:tc>
      </w:tr>
      <w:tr w:rsidR="008D573F" w:rsidTr="008D573F">
        <w:trPr>
          <w:trHeight w:val="318"/>
        </w:trPr>
        <w:tc>
          <w:tcPr>
            <w:tcW w:w="1306"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90</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99.8</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99.8</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99.8</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99.9</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99.9</w:t>
            </w:r>
          </w:p>
        </w:tc>
      </w:tr>
      <w:tr w:rsidR="008D573F" w:rsidTr="008D573F">
        <w:trPr>
          <w:trHeight w:val="318"/>
        </w:trPr>
        <w:tc>
          <w:tcPr>
            <w:tcW w:w="1306"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95</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99.9</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99.9</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99.9</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99.9</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100.0</w:t>
            </w:r>
          </w:p>
        </w:tc>
      </w:tr>
      <w:tr w:rsidR="008D573F" w:rsidTr="008D573F">
        <w:trPr>
          <w:trHeight w:val="318"/>
        </w:trPr>
        <w:tc>
          <w:tcPr>
            <w:tcW w:w="1306"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99</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100.0</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100.0</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100.0</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100.0</w:t>
            </w:r>
          </w:p>
        </w:tc>
        <w:tc>
          <w:tcPr>
            <w:tcW w:w="1192"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100.0</w:t>
            </w:r>
          </w:p>
        </w:tc>
      </w:tr>
    </w:tbl>
    <w:p w:rsidR="008D573F" w:rsidRPr="009A4B53" w:rsidRDefault="008D573F" w:rsidP="009A4B53">
      <w:pPr>
        <w:rPr>
          <w:rFonts w:asciiTheme="minorHAnsi" w:hAnsiTheme="minorHAnsi"/>
          <w:bCs/>
          <w:i/>
          <w:sz w:val="16"/>
          <w:szCs w:val="16"/>
        </w:rPr>
      </w:pPr>
      <w:r w:rsidRPr="009A4B53">
        <w:rPr>
          <w:rFonts w:asciiTheme="minorHAnsi" w:hAnsiTheme="minorHAnsi"/>
          <w:bCs/>
          <w:i/>
          <w:sz w:val="16"/>
          <w:szCs w:val="16"/>
        </w:rPr>
        <w:t>Source: Department of Health, Medical Benefits Division, Primary Care and Diagnostics Branch, MBS Analytics Section, Reference no.: Q20863, July 2017</w:t>
      </w:r>
    </w:p>
    <w:p w:rsidR="008D573F" w:rsidRPr="00863F70" w:rsidRDefault="008D573F" w:rsidP="008D573F">
      <w:pPr>
        <w:pStyle w:val="Heading2"/>
        <w:rPr>
          <w:rFonts w:ascii="Arial" w:hAnsi="Arial" w:cs="Arial"/>
        </w:rPr>
      </w:pPr>
      <w:bookmarkStart w:id="11" w:name="_Toc461539949"/>
      <w:bookmarkStart w:id="12" w:name="_Toc504051258"/>
      <w:bookmarkStart w:id="13" w:name="_Toc504652230"/>
      <w:r w:rsidRPr="00863F70">
        <w:rPr>
          <w:rFonts w:ascii="Arial" w:hAnsi="Arial" w:cs="Arial"/>
        </w:rPr>
        <w:t>Co-claiming</w:t>
      </w:r>
      <w:bookmarkEnd w:id="11"/>
      <w:bookmarkEnd w:id="12"/>
      <w:bookmarkEnd w:id="13"/>
      <w:r w:rsidRPr="00863F70">
        <w:rPr>
          <w:rFonts w:ascii="Arial" w:hAnsi="Arial" w:cs="Arial"/>
        </w:rPr>
        <w:t xml:space="preserve"> </w:t>
      </w:r>
    </w:p>
    <w:p w:rsidR="008D573F" w:rsidRPr="00863F70" w:rsidRDefault="008D573F" w:rsidP="00F56938">
      <w:pPr>
        <w:spacing w:after="240"/>
        <w:rPr>
          <w:spacing w:val="-3"/>
          <w:szCs w:val="24"/>
        </w:rPr>
      </w:pPr>
      <w:r w:rsidRPr="00863F70">
        <w:rPr>
          <w:spacing w:val="-3"/>
          <w:szCs w:val="24"/>
        </w:rPr>
        <w:t>The following co-claiming data represents the top 10 instances of co-claiming for items 31569, 31572, 31575 and 31584 in 2016-17. These items represent over 99% of total in-hospital bariatric procedures perform</w:t>
      </w:r>
      <w:r w:rsidR="00F56938">
        <w:rPr>
          <w:spacing w:val="-3"/>
          <w:szCs w:val="24"/>
        </w:rPr>
        <w:t>ed during this financial year.</w:t>
      </w:r>
    </w:p>
    <w:p w:rsidR="008D573F" w:rsidRPr="00863F70" w:rsidRDefault="008D573F" w:rsidP="00F56938">
      <w:pPr>
        <w:spacing w:after="240"/>
        <w:rPr>
          <w:spacing w:val="-3"/>
          <w:szCs w:val="24"/>
        </w:rPr>
      </w:pPr>
      <w:r w:rsidRPr="00863F70">
        <w:rPr>
          <w:spacing w:val="-3"/>
          <w:szCs w:val="24"/>
        </w:rPr>
        <w:t>In approximately 30%-47% of episodes, the four items depicted in Tables 19-22 were claimed alone. The remaining 53%-70% of episodes across these four items were co-claimed with another item. The most popular co-claimed items are subsequent consultation item 105, and item 30393 (LAPAROSCOPIC DIVISION OF ADHESIONS in association with another intra-abdominal procedure where the time taken to divide the</w:t>
      </w:r>
      <w:r w:rsidR="00F56938">
        <w:rPr>
          <w:spacing w:val="-3"/>
          <w:szCs w:val="24"/>
        </w:rPr>
        <w:t xml:space="preserve"> adhesions exceeds 45 minutes).</w:t>
      </w:r>
    </w:p>
    <w:p w:rsidR="008D573F" w:rsidRPr="00F56938" w:rsidRDefault="008D573F" w:rsidP="00F56938">
      <w:pPr>
        <w:spacing w:after="240"/>
        <w:rPr>
          <w:spacing w:val="-3"/>
          <w:szCs w:val="24"/>
        </w:rPr>
      </w:pPr>
      <w:r w:rsidRPr="00863F70">
        <w:rPr>
          <w:spacing w:val="-3"/>
          <w:szCs w:val="24"/>
        </w:rPr>
        <w:t xml:space="preserve">As of 1 November 2017, medical practitioners are no longer be able to claim MBS benefits for subsequent attendance items 105, 116, and 119 if they are claiming any Group T8 items with a schedule fee of equal to or greater than $300 on the same day. Three new consultation items have been implemented (111, 117 and 120). These do not replace any current MBS items. They are additional items to be used in extenuating circumstances whereby a consultation takes place and is followed by a T8 surgical procedure on the same day, with a schedule fee $300 or more. </w:t>
      </w:r>
      <w:r w:rsidRPr="00863F70">
        <w:rPr>
          <w:spacing w:val="-3"/>
          <w:szCs w:val="24"/>
        </w:rPr>
        <w:lastRenderedPageBreak/>
        <w:t>The procedure must be unscheduled and otherwise unpredicted prior to the consultation. Future MBS data should not portray any co-claiming of subsequent consultation items with a primary bariatric procedure. Medical practitioners who are not claiming subsequent attendance items with Group</w:t>
      </w:r>
      <w:r w:rsidR="00F56938">
        <w:rPr>
          <w:spacing w:val="-3"/>
          <w:szCs w:val="24"/>
        </w:rPr>
        <w:t xml:space="preserve"> T8 items will not be affected.</w:t>
      </w:r>
    </w:p>
    <w:p w:rsidR="008D573F" w:rsidRPr="009418F3" w:rsidRDefault="008D573F" w:rsidP="009418F3">
      <w:pPr>
        <w:rPr>
          <w:rFonts w:ascii="Arial Narrow" w:hAnsi="Arial Narrow"/>
          <w:b/>
          <w:sz w:val="20"/>
        </w:rPr>
      </w:pPr>
      <w:r w:rsidRPr="009418F3">
        <w:rPr>
          <w:rFonts w:ascii="Arial Narrow" w:hAnsi="Arial Narrow"/>
          <w:b/>
          <w:sz w:val="20"/>
        </w:rPr>
        <w:t xml:space="preserve">Table 19: Top 10 instances of co-claiming with MBS item 31569 in 2016-17 </w:t>
      </w: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tem 31569 co-claiming data"/>
        <w:tblDescription w:val="This table depicts the top 10 instances of co-claiming with MBS item 31569 in financial year 2016-17. "/>
      </w:tblPr>
      <w:tblGrid>
        <w:gridCol w:w="567"/>
        <w:gridCol w:w="2314"/>
        <w:gridCol w:w="1017"/>
        <w:gridCol w:w="960"/>
        <w:gridCol w:w="1286"/>
        <w:gridCol w:w="1037"/>
        <w:gridCol w:w="960"/>
        <w:gridCol w:w="997"/>
      </w:tblGrid>
      <w:tr w:rsidR="008D573F" w:rsidRPr="00D97A34" w:rsidTr="008D573F">
        <w:trPr>
          <w:trHeight w:val="721"/>
          <w:jc w:val="center"/>
        </w:trPr>
        <w:tc>
          <w:tcPr>
            <w:tcW w:w="567" w:type="dxa"/>
            <w:shd w:val="clear" w:color="auto" w:fill="548DD4" w:themeFill="text2" w:themeFillTint="99"/>
            <w:vAlign w:val="center"/>
            <w:hideMark/>
          </w:tcPr>
          <w:p w:rsidR="008D573F" w:rsidRPr="00AC02AE" w:rsidRDefault="008D573F" w:rsidP="008D573F">
            <w:pPr>
              <w:jc w:val="center"/>
              <w:rPr>
                <w:rFonts w:ascii="Arial" w:hAnsi="Arial" w:cs="Arial"/>
                <w:b/>
                <w:bCs/>
                <w:color w:val="FFFFFF"/>
                <w:sz w:val="18"/>
                <w:szCs w:val="18"/>
              </w:rPr>
            </w:pPr>
            <w:r w:rsidRPr="00AC02AE">
              <w:rPr>
                <w:rFonts w:ascii="Arial" w:hAnsi="Arial" w:cs="Arial"/>
                <w:b/>
                <w:bCs/>
                <w:color w:val="FFFFFF"/>
                <w:sz w:val="18"/>
                <w:szCs w:val="18"/>
              </w:rPr>
              <w:t>#</w:t>
            </w:r>
          </w:p>
        </w:tc>
        <w:tc>
          <w:tcPr>
            <w:tcW w:w="2314" w:type="dxa"/>
            <w:shd w:val="clear" w:color="auto" w:fill="548DD4" w:themeFill="text2" w:themeFillTint="99"/>
            <w:vAlign w:val="center"/>
            <w:hideMark/>
          </w:tcPr>
          <w:p w:rsidR="008D573F" w:rsidRPr="00AC02AE" w:rsidRDefault="008D573F" w:rsidP="008D573F">
            <w:pPr>
              <w:jc w:val="center"/>
              <w:rPr>
                <w:rFonts w:ascii="Arial" w:hAnsi="Arial" w:cs="Arial"/>
                <w:b/>
                <w:bCs/>
                <w:color w:val="FFFFFF"/>
                <w:sz w:val="18"/>
                <w:szCs w:val="18"/>
              </w:rPr>
            </w:pPr>
            <w:r w:rsidRPr="00AC02AE">
              <w:rPr>
                <w:rFonts w:ascii="Arial" w:hAnsi="Arial" w:cs="Arial"/>
                <w:b/>
                <w:bCs/>
                <w:color w:val="FFFFFF"/>
                <w:sz w:val="18"/>
                <w:szCs w:val="18"/>
              </w:rPr>
              <w:t>Items</w:t>
            </w:r>
          </w:p>
        </w:tc>
        <w:tc>
          <w:tcPr>
            <w:tcW w:w="1017" w:type="dxa"/>
            <w:shd w:val="clear" w:color="auto" w:fill="548DD4" w:themeFill="text2" w:themeFillTint="99"/>
            <w:vAlign w:val="center"/>
            <w:hideMark/>
          </w:tcPr>
          <w:p w:rsidR="008D573F" w:rsidRPr="00AC02AE" w:rsidRDefault="008D573F" w:rsidP="008D573F">
            <w:pPr>
              <w:jc w:val="center"/>
              <w:rPr>
                <w:rFonts w:ascii="Arial" w:hAnsi="Arial" w:cs="Arial"/>
                <w:b/>
                <w:bCs/>
                <w:color w:val="FFFFFF"/>
                <w:sz w:val="18"/>
                <w:szCs w:val="18"/>
              </w:rPr>
            </w:pPr>
            <w:r w:rsidRPr="00AC02AE">
              <w:rPr>
                <w:rFonts w:ascii="Arial" w:hAnsi="Arial" w:cs="Arial"/>
                <w:b/>
                <w:bCs/>
                <w:color w:val="FFFFFF"/>
                <w:sz w:val="18"/>
                <w:szCs w:val="18"/>
              </w:rPr>
              <w:t>Episodes</w:t>
            </w:r>
          </w:p>
        </w:tc>
        <w:tc>
          <w:tcPr>
            <w:tcW w:w="960" w:type="dxa"/>
            <w:shd w:val="clear" w:color="auto" w:fill="548DD4" w:themeFill="text2" w:themeFillTint="99"/>
            <w:vAlign w:val="center"/>
            <w:hideMark/>
          </w:tcPr>
          <w:p w:rsidR="008D573F" w:rsidRPr="00AC02AE" w:rsidRDefault="008D573F" w:rsidP="008D573F">
            <w:pPr>
              <w:jc w:val="center"/>
              <w:rPr>
                <w:rFonts w:ascii="Arial" w:hAnsi="Arial" w:cs="Arial"/>
                <w:b/>
                <w:bCs/>
                <w:color w:val="FFFFFF"/>
                <w:sz w:val="18"/>
                <w:szCs w:val="18"/>
              </w:rPr>
            </w:pPr>
            <w:r w:rsidRPr="00AC02AE">
              <w:rPr>
                <w:rFonts w:ascii="Arial" w:hAnsi="Arial" w:cs="Arial"/>
                <w:b/>
                <w:bCs/>
                <w:color w:val="FFFFFF"/>
                <w:sz w:val="18"/>
                <w:szCs w:val="18"/>
              </w:rPr>
              <w:t>Services</w:t>
            </w:r>
          </w:p>
        </w:tc>
        <w:tc>
          <w:tcPr>
            <w:tcW w:w="1286" w:type="dxa"/>
            <w:shd w:val="clear" w:color="auto" w:fill="548DD4" w:themeFill="text2" w:themeFillTint="99"/>
            <w:vAlign w:val="center"/>
            <w:hideMark/>
          </w:tcPr>
          <w:p w:rsidR="008D573F" w:rsidRPr="00AC02AE" w:rsidRDefault="008D573F" w:rsidP="008D573F">
            <w:pPr>
              <w:jc w:val="center"/>
              <w:rPr>
                <w:rFonts w:ascii="Arial" w:hAnsi="Arial" w:cs="Arial"/>
                <w:b/>
                <w:bCs/>
                <w:color w:val="FFFFFF"/>
                <w:sz w:val="18"/>
                <w:szCs w:val="18"/>
              </w:rPr>
            </w:pPr>
            <w:r w:rsidRPr="00AC02AE">
              <w:rPr>
                <w:rFonts w:ascii="Arial" w:hAnsi="Arial" w:cs="Arial"/>
                <w:b/>
                <w:bCs/>
                <w:color w:val="FFFFFF"/>
                <w:sz w:val="18"/>
                <w:szCs w:val="18"/>
              </w:rPr>
              <w:t>Schedule Fee for combination</w:t>
            </w:r>
          </w:p>
        </w:tc>
        <w:tc>
          <w:tcPr>
            <w:tcW w:w="1037" w:type="dxa"/>
            <w:shd w:val="clear" w:color="auto" w:fill="548DD4" w:themeFill="text2" w:themeFillTint="99"/>
            <w:vAlign w:val="center"/>
            <w:hideMark/>
          </w:tcPr>
          <w:p w:rsidR="008D573F" w:rsidRPr="00AC02AE" w:rsidRDefault="008D573F" w:rsidP="008D573F">
            <w:pPr>
              <w:jc w:val="center"/>
              <w:rPr>
                <w:rFonts w:ascii="Arial" w:hAnsi="Arial" w:cs="Arial"/>
                <w:b/>
                <w:bCs/>
                <w:color w:val="FFFFFF"/>
                <w:sz w:val="18"/>
                <w:szCs w:val="18"/>
              </w:rPr>
            </w:pPr>
            <w:r w:rsidRPr="00AC02AE">
              <w:rPr>
                <w:rFonts w:ascii="Arial" w:hAnsi="Arial" w:cs="Arial"/>
                <w:b/>
                <w:bCs/>
                <w:color w:val="FFFFFF"/>
                <w:sz w:val="18"/>
                <w:szCs w:val="18"/>
              </w:rPr>
              <w:t>Number of providers</w:t>
            </w:r>
          </w:p>
        </w:tc>
        <w:tc>
          <w:tcPr>
            <w:tcW w:w="960" w:type="dxa"/>
            <w:shd w:val="clear" w:color="auto" w:fill="548DD4" w:themeFill="text2" w:themeFillTint="99"/>
            <w:vAlign w:val="center"/>
            <w:hideMark/>
          </w:tcPr>
          <w:p w:rsidR="008D573F" w:rsidRPr="00AC02AE" w:rsidRDefault="008D573F" w:rsidP="008D573F">
            <w:pPr>
              <w:jc w:val="center"/>
              <w:rPr>
                <w:rFonts w:ascii="Arial" w:hAnsi="Arial" w:cs="Arial"/>
                <w:b/>
                <w:bCs/>
                <w:color w:val="FFFFFF"/>
                <w:sz w:val="18"/>
                <w:szCs w:val="18"/>
              </w:rPr>
            </w:pPr>
            <w:r w:rsidRPr="00AC02AE">
              <w:rPr>
                <w:rFonts w:ascii="Arial" w:hAnsi="Arial" w:cs="Arial"/>
                <w:b/>
                <w:bCs/>
                <w:color w:val="FFFFFF"/>
                <w:sz w:val="18"/>
                <w:szCs w:val="18"/>
              </w:rPr>
              <w:t>Number of patients</w:t>
            </w:r>
          </w:p>
        </w:tc>
        <w:tc>
          <w:tcPr>
            <w:tcW w:w="997" w:type="dxa"/>
            <w:shd w:val="clear" w:color="auto" w:fill="548DD4" w:themeFill="text2" w:themeFillTint="99"/>
            <w:vAlign w:val="center"/>
            <w:hideMark/>
          </w:tcPr>
          <w:p w:rsidR="008D573F" w:rsidRPr="00AC02AE" w:rsidRDefault="008D573F" w:rsidP="008D573F">
            <w:pPr>
              <w:jc w:val="center"/>
              <w:rPr>
                <w:rFonts w:ascii="Arial" w:hAnsi="Arial" w:cs="Arial"/>
                <w:b/>
                <w:bCs/>
                <w:color w:val="FFFFFF"/>
                <w:sz w:val="18"/>
                <w:szCs w:val="18"/>
              </w:rPr>
            </w:pPr>
            <w:r w:rsidRPr="00AC02AE">
              <w:rPr>
                <w:rFonts w:ascii="Arial" w:hAnsi="Arial" w:cs="Arial"/>
                <w:b/>
                <w:bCs/>
                <w:color w:val="FFFFFF"/>
                <w:sz w:val="18"/>
                <w:szCs w:val="18"/>
              </w:rPr>
              <w:t>% of episodes</w:t>
            </w:r>
          </w:p>
        </w:tc>
      </w:tr>
      <w:tr w:rsidR="008D573F" w:rsidRPr="00D97A34" w:rsidTr="008D573F">
        <w:trPr>
          <w:trHeight w:val="300"/>
          <w:jc w:val="center"/>
        </w:trPr>
        <w:tc>
          <w:tcPr>
            <w:tcW w:w="567"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1</w:t>
            </w:r>
          </w:p>
        </w:tc>
        <w:tc>
          <w:tcPr>
            <w:tcW w:w="2314" w:type="dxa"/>
            <w:shd w:val="clear" w:color="000000" w:fill="FFFFFF"/>
            <w:noWrap/>
            <w:vAlign w:val="center"/>
            <w:hideMark/>
          </w:tcPr>
          <w:p w:rsidR="008D573F" w:rsidRPr="00AC02AE" w:rsidRDefault="008D573F" w:rsidP="008D573F">
            <w:pPr>
              <w:rPr>
                <w:rFonts w:ascii="Arial" w:hAnsi="Arial" w:cs="Arial"/>
                <w:b/>
                <w:color w:val="000000"/>
                <w:sz w:val="18"/>
                <w:szCs w:val="18"/>
              </w:rPr>
            </w:pPr>
            <w:r w:rsidRPr="00AC02AE">
              <w:rPr>
                <w:rFonts w:ascii="Arial" w:hAnsi="Arial" w:cs="Arial"/>
                <w:b/>
                <w:color w:val="000000"/>
                <w:sz w:val="18"/>
                <w:szCs w:val="18"/>
              </w:rPr>
              <w:t>31569</w:t>
            </w:r>
          </w:p>
        </w:tc>
        <w:tc>
          <w:tcPr>
            <w:tcW w:w="1017"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711</w:t>
            </w:r>
          </w:p>
        </w:tc>
        <w:tc>
          <w:tcPr>
            <w:tcW w:w="96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711</w:t>
            </w:r>
          </w:p>
        </w:tc>
        <w:tc>
          <w:tcPr>
            <w:tcW w:w="1286"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$604,030</w:t>
            </w:r>
          </w:p>
        </w:tc>
        <w:tc>
          <w:tcPr>
            <w:tcW w:w="1037"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65</w:t>
            </w:r>
          </w:p>
        </w:tc>
        <w:tc>
          <w:tcPr>
            <w:tcW w:w="96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710</w:t>
            </w:r>
          </w:p>
        </w:tc>
        <w:tc>
          <w:tcPr>
            <w:tcW w:w="997"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47.02%</w:t>
            </w:r>
          </w:p>
        </w:tc>
      </w:tr>
      <w:tr w:rsidR="008D573F" w:rsidRPr="00D97A34" w:rsidTr="008D573F">
        <w:trPr>
          <w:trHeight w:val="300"/>
          <w:jc w:val="center"/>
        </w:trPr>
        <w:tc>
          <w:tcPr>
            <w:tcW w:w="567" w:type="dxa"/>
            <w:shd w:val="clear" w:color="000000" w:fill="FFFFFF"/>
            <w:noWrap/>
            <w:vAlign w:val="center"/>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2</w:t>
            </w:r>
          </w:p>
        </w:tc>
        <w:tc>
          <w:tcPr>
            <w:tcW w:w="2314" w:type="dxa"/>
            <w:shd w:val="clear" w:color="000000" w:fill="FFFFFF"/>
            <w:noWrap/>
            <w:vAlign w:val="center"/>
            <w:hideMark/>
          </w:tcPr>
          <w:p w:rsidR="008D573F" w:rsidRPr="00AC02AE" w:rsidRDefault="008D573F" w:rsidP="008D573F">
            <w:pPr>
              <w:rPr>
                <w:rFonts w:ascii="Arial" w:hAnsi="Arial" w:cs="Arial"/>
                <w:color w:val="000000"/>
                <w:sz w:val="18"/>
                <w:szCs w:val="18"/>
              </w:rPr>
            </w:pPr>
            <w:r w:rsidRPr="00AC02AE">
              <w:rPr>
                <w:rFonts w:ascii="Arial" w:hAnsi="Arial" w:cs="Arial"/>
                <w:b/>
                <w:color w:val="000000"/>
                <w:sz w:val="18"/>
                <w:szCs w:val="18"/>
              </w:rPr>
              <w:t>31569</w:t>
            </w:r>
            <w:r w:rsidRPr="00AC02AE">
              <w:rPr>
                <w:rFonts w:ascii="Arial" w:hAnsi="Arial" w:cs="Arial"/>
                <w:color w:val="000000"/>
                <w:sz w:val="18"/>
                <w:szCs w:val="18"/>
              </w:rPr>
              <w:t>, 105</w:t>
            </w:r>
          </w:p>
        </w:tc>
        <w:tc>
          <w:tcPr>
            <w:tcW w:w="1017"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164</w:t>
            </w:r>
          </w:p>
        </w:tc>
        <w:tc>
          <w:tcPr>
            <w:tcW w:w="96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328</w:t>
            </w:r>
          </w:p>
        </w:tc>
        <w:tc>
          <w:tcPr>
            <w:tcW w:w="1286"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$146,378</w:t>
            </w:r>
          </w:p>
        </w:tc>
        <w:tc>
          <w:tcPr>
            <w:tcW w:w="1037"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19</w:t>
            </w:r>
          </w:p>
        </w:tc>
        <w:tc>
          <w:tcPr>
            <w:tcW w:w="96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164</w:t>
            </w:r>
          </w:p>
        </w:tc>
        <w:tc>
          <w:tcPr>
            <w:tcW w:w="997"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10.85%</w:t>
            </w:r>
          </w:p>
        </w:tc>
      </w:tr>
      <w:tr w:rsidR="008D573F" w:rsidRPr="00D97A34" w:rsidTr="008D573F">
        <w:trPr>
          <w:trHeight w:val="300"/>
          <w:jc w:val="center"/>
        </w:trPr>
        <w:tc>
          <w:tcPr>
            <w:tcW w:w="567" w:type="dxa"/>
            <w:shd w:val="clear" w:color="000000" w:fill="FFFFFF"/>
            <w:noWrap/>
            <w:vAlign w:val="center"/>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3</w:t>
            </w:r>
          </w:p>
        </w:tc>
        <w:tc>
          <w:tcPr>
            <w:tcW w:w="2314" w:type="dxa"/>
            <w:shd w:val="clear" w:color="000000" w:fill="FFFFFF"/>
            <w:noWrap/>
            <w:vAlign w:val="center"/>
            <w:hideMark/>
          </w:tcPr>
          <w:p w:rsidR="008D573F" w:rsidRPr="00AC02AE" w:rsidRDefault="008D573F" w:rsidP="008D573F">
            <w:pPr>
              <w:ind w:right="-62"/>
              <w:rPr>
                <w:rFonts w:ascii="Arial" w:hAnsi="Arial" w:cs="Arial"/>
                <w:color w:val="000000"/>
                <w:sz w:val="18"/>
                <w:szCs w:val="18"/>
              </w:rPr>
            </w:pPr>
            <w:r w:rsidRPr="00AC02AE">
              <w:rPr>
                <w:rFonts w:ascii="Arial" w:hAnsi="Arial" w:cs="Arial"/>
                <w:b/>
                <w:color w:val="000000"/>
                <w:sz w:val="18"/>
                <w:szCs w:val="18"/>
              </w:rPr>
              <w:t>31569</w:t>
            </w:r>
            <w:r w:rsidRPr="00AC02AE">
              <w:rPr>
                <w:rFonts w:ascii="Arial" w:hAnsi="Arial" w:cs="Arial"/>
                <w:color w:val="000000"/>
                <w:sz w:val="18"/>
                <w:szCs w:val="18"/>
              </w:rPr>
              <w:t>, 104</w:t>
            </w:r>
          </w:p>
        </w:tc>
        <w:tc>
          <w:tcPr>
            <w:tcW w:w="1017"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120</w:t>
            </w:r>
          </w:p>
        </w:tc>
        <w:tc>
          <w:tcPr>
            <w:tcW w:w="96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240</w:t>
            </w:r>
          </w:p>
        </w:tc>
        <w:tc>
          <w:tcPr>
            <w:tcW w:w="1286"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$112,212</w:t>
            </w:r>
          </w:p>
        </w:tc>
        <w:tc>
          <w:tcPr>
            <w:tcW w:w="1037"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2</w:t>
            </w:r>
          </w:p>
        </w:tc>
        <w:tc>
          <w:tcPr>
            <w:tcW w:w="96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120</w:t>
            </w:r>
          </w:p>
        </w:tc>
        <w:tc>
          <w:tcPr>
            <w:tcW w:w="997"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7.94%</w:t>
            </w:r>
          </w:p>
        </w:tc>
      </w:tr>
      <w:tr w:rsidR="008D573F" w:rsidRPr="00D97A34" w:rsidTr="008D573F">
        <w:trPr>
          <w:trHeight w:val="300"/>
          <w:jc w:val="center"/>
        </w:trPr>
        <w:tc>
          <w:tcPr>
            <w:tcW w:w="567" w:type="dxa"/>
            <w:shd w:val="clear" w:color="000000" w:fill="FFFFFF"/>
            <w:noWrap/>
            <w:vAlign w:val="center"/>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4</w:t>
            </w:r>
          </w:p>
        </w:tc>
        <w:tc>
          <w:tcPr>
            <w:tcW w:w="2314" w:type="dxa"/>
            <w:shd w:val="clear" w:color="000000" w:fill="FFFFFF"/>
            <w:noWrap/>
            <w:vAlign w:val="center"/>
            <w:hideMark/>
          </w:tcPr>
          <w:p w:rsidR="008D573F" w:rsidRPr="00AC02AE" w:rsidRDefault="008D573F" w:rsidP="008D573F">
            <w:pPr>
              <w:rPr>
                <w:rFonts w:ascii="Arial" w:hAnsi="Arial" w:cs="Arial"/>
                <w:color w:val="000000"/>
                <w:sz w:val="18"/>
                <w:szCs w:val="18"/>
              </w:rPr>
            </w:pPr>
            <w:r w:rsidRPr="00AC02AE">
              <w:rPr>
                <w:rFonts w:ascii="Arial" w:hAnsi="Arial" w:cs="Arial"/>
                <w:b/>
                <w:color w:val="000000"/>
                <w:sz w:val="18"/>
                <w:szCs w:val="18"/>
              </w:rPr>
              <w:t>31569</w:t>
            </w:r>
            <w:r w:rsidRPr="00AC02AE">
              <w:rPr>
                <w:rFonts w:ascii="Arial" w:hAnsi="Arial" w:cs="Arial"/>
                <w:color w:val="000000"/>
                <w:sz w:val="18"/>
                <w:szCs w:val="18"/>
              </w:rPr>
              <w:t>, 31584</w:t>
            </w:r>
          </w:p>
        </w:tc>
        <w:tc>
          <w:tcPr>
            <w:tcW w:w="1017"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89</w:t>
            </w:r>
          </w:p>
        </w:tc>
        <w:tc>
          <w:tcPr>
            <w:tcW w:w="96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178</w:t>
            </w:r>
          </w:p>
        </w:tc>
        <w:tc>
          <w:tcPr>
            <w:tcW w:w="1286"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$174,787</w:t>
            </w:r>
          </w:p>
        </w:tc>
        <w:tc>
          <w:tcPr>
            <w:tcW w:w="1037"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13</w:t>
            </w:r>
          </w:p>
        </w:tc>
        <w:tc>
          <w:tcPr>
            <w:tcW w:w="96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88</w:t>
            </w:r>
          </w:p>
        </w:tc>
        <w:tc>
          <w:tcPr>
            <w:tcW w:w="997"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5.89%</w:t>
            </w:r>
          </w:p>
        </w:tc>
      </w:tr>
      <w:tr w:rsidR="008D573F" w:rsidRPr="00D97A34" w:rsidTr="008D573F">
        <w:trPr>
          <w:trHeight w:val="300"/>
          <w:jc w:val="center"/>
        </w:trPr>
        <w:tc>
          <w:tcPr>
            <w:tcW w:w="567" w:type="dxa"/>
            <w:shd w:val="clear" w:color="000000" w:fill="FFFFFF"/>
            <w:noWrap/>
            <w:vAlign w:val="center"/>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5</w:t>
            </w:r>
          </w:p>
        </w:tc>
        <w:tc>
          <w:tcPr>
            <w:tcW w:w="2314" w:type="dxa"/>
            <w:shd w:val="clear" w:color="000000" w:fill="FFFFFF"/>
            <w:noWrap/>
            <w:vAlign w:val="center"/>
            <w:hideMark/>
          </w:tcPr>
          <w:p w:rsidR="008D573F" w:rsidRPr="00AC02AE" w:rsidRDefault="008D573F" w:rsidP="008D573F">
            <w:pPr>
              <w:rPr>
                <w:rFonts w:ascii="Arial" w:hAnsi="Arial" w:cs="Arial"/>
                <w:color w:val="000000"/>
                <w:sz w:val="18"/>
                <w:szCs w:val="18"/>
              </w:rPr>
            </w:pPr>
            <w:r w:rsidRPr="00AC02AE">
              <w:rPr>
                <w:rFonts w:ascii="Arial" w:hAnsi="Arial" w:cs="Arial"/>
                <w:b/>
                <w:color w:val="000000"/>
                <w:sz w:val="18"/>
                <w:szCs w:val="18"/>
              </w:rPr>
              <w:t>31569</w:t>
            </w:r>
            <w:r w:rsidRPr="00AC02AE">
              <w:rPr>
                <w:rFonts w:ascii="Arial" w:hAnsi="Arial" w:cs="Arial"/>
                <w:color w:val="000000"/>
                <w:sz w:val="18"/>
                <w:szCs w:val="18"/>
              </w:rPr>
              <w:t>, 30393, 31584</w:t>
            </w:r>
          </w:p>
        </w:tc>
        <w:tc>
          <w:tcPr>
            <w:tcW w:w="1017"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68</w:t>
            </w:r>
          </w:p>
        </w:tc>
        <w:tc>
          <w:tcPr>
            <w:tcW w:w="96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204</w:t>
            </w:r>
          </w:p>
        </w:tc>
        <w:tc>
          <w:tcPr>
            <w:tcW w:w="1286"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$144,085</w:t>
            </w:r>
          </w:p>
        </w:tc>
        <w:tc>
          <w:tcPr>
            <w:tcW w:w="1037"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16</w:t>
            </w:r>
          </w:p>
        </w:tc>
        <w:tc>
          <w:tcPr>
            <w:tcW w:w="96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68</w:t>
            </w:r>
          </w:p>
        </w:tc>
        <w:tc>
          <w:tcPr>
            <w:tcW w:w="997"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4.50%</w:t>
            </w:r>
          </w:p>
        </w:tc>
      </w:tr>
      <w:tr w:rsidR="008D573F" w:rsidRPr="00D97A34" w:rsidTr="008D573F">
        <w:trPr>
          <w:trHeight w:val="300"/>
          <w:jc w:val="center"/>
        </w:trPr>
        <w:tc>
          <w:tcPr>
            <w:tcW w:w="567" w:type="dxa"/>
            <w:shd w:val="clear" w:color="000000" w:fill="FFFFFF"/>
            <w:noWrap/>
            <w:vAlign w:val="center"/>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6</w:t>
            </w:r>
          </w:p>
        </w:tc>
        <w:tc>
          <w:tcPr>
            <w:tcW w:w="2314" w:type="dxa"/>
            <w:shd w:val="clear" w:color="000000" w:fill="FFFFFF"/>
            <w:noWrap/>
            <w:vAlign w:val="center"/>
            <w:hideMark/>
          </w:tcPr>
          <w:p w:rsidR="008D573F" w:rsidRPr="00AC02AE" w:rsidRDefault="008D573F" w:rsidP="008D573F">
            <w:pPr>
              <w:rPr>
                <w:rFonts w:ascii="Arial" w:hAnsi="Arial" w:cs="Arial"/>
                <w:color w:val="000000"/>
                <w:sz w:val="18"/>
                <w:szCs w:val="18"/>
              </w:rPr>
            </w:pPr>
            <w:r w:rsidRPr="00AC02AE">
              <w:rPr>
                <w:rFonts w:ascii="Arial" w:hAnsi="Arial" w:cs="Arial"/>
                <w:b/>
                <w:color w:val="000000"/>
                <w:sz w:val="18"/>
                <w:szCs w:val="18"/>
              </w:rPr>
              <w:t>31569</w:t>
            </w:r>
            <w:r w:rsidRPr="00AC02AE">
              <w:rPr>
                <w:rFonts w:ascii="Arial" w:hAnsi="Arial" w:cs="Arial"/>
                <w:color w:val="000000"/>
                <w:sz w:val="18"/>
                <w:szCs w:val="18"/>
              </w:rPr>
              <w:t>, 30393</w:t>
            </w:r>
          </w:p>
        </w:tc>
        <w:tc>
          <w:tcPr>
            <w:tcW w:w="1017"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32</w:t>
            </w:r>
          </w:p>
        </w:tc>
        <w:tc>
          <w:tcPr>
            <w:tcW w:w="96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64</w:t>
            </w:r>
          </w:p>
        </w:tc>
        <w:tc>
          <w:tcPr>
            <w:tcW w:w="1286"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$35,565</w:t>
            </w:r>
          </w:p>
        </w:tc>
        <w:tc>
          <w:tcPr>
            <w:tcW w:w="1037"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18</w:t>
            </w:r>
          </w:p>
        </w:tc>
        <w:tc>
          <w:tcPr>
            <w:tcW w:w="96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32</w:t>
            </w:r>
          </w:p>
        </w:tc>
        <w:tc>
          <w:tcPr>
            <w:tcW w:w="997"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2.12%</w:t>
            </w:r>
          </w:p>
        </w:tc>
      </w:tr>
      <w:tr w:rsidR="008D573F" w:rsidRPr="00D97A34" w:rsidTr="008D573F">
        <w:trPr>
          <w:trHeight w:val="300"/>
          <w:jc w:val="center"/>
        </w:trPr>
        <w:tc>
          <w:tcPr>
            <w:tcW w:w="567" w:type="dxa"/>
            <w:shd w:val="clear" w:color="000000" w:fill="FFFFFF"/>
            <w:noWrap/>
            <w:vAlign w:val="center"/>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7</w:t>
            </w:r>
          </w:p>
        </w:tc>
        <w:tc>
          <w:tcPr>
            <w:tcW w:w="2314" w:type="dxa"/>
            <w:shd w:val="clear" w:color="000000" w:fill="FFFFFF"/>
            <w:noWrap/>
            <w:vAlign w:val="center"/>
            <w:hideMark/>
          </w:tcPr>
          <w:p w:rsidR="008D573F" w:rsidRPr="00AC02AE" w:rsidRDefault="008D573F" w:rsidP="008D573F">
            <w:pPr>
              <w:rPr>
                <w:rFonts w:ascii="Arial" w:hAnsi="Arial" w:cs="Arial"/>
                <w:color w:val="000000"/>
                <w:sz w:val="18"/>
                <w:szCs w:val="18"/>
              </w:rPr>
            </w:pPr>
            <w:r w:rsidRPr="00AC02AE">
              <w:rPr>
                <w:rFonts w:ascii="Arial" w:hAnsi="Arial" w:cs="Arial"/>
                <w:b/>
                <w:color w:val="000000"/>
                <w:sz w:val="18"/>
                <w:szCs w:val="18"/>
              </w:rPr>
              <w:t>31569</w:t>
            </w:r>
            <w:r w:rsidRPr="00AC02AE">
              <w:rPr>
                <w:rFonts w:ascii="Arial" w:hAnsi="Arial" w:cs="Arial"/>
                <w:color w:val="000000"/>
                <w:sz w:val="18"/>
                <w:szCs w:val="18"/>
              </w:rPr>
              <w:t>, 104, 30393</w:t>
            </w:r>
          </w:p>
        </w:tc>
        <w:tc>
          <w:tcPr>
            <w:tcW w:w="1017"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30</w:t>
            </w:r>
          </w:p>
        </w:tc>
        <w:tc>
          <w:tcPr>
            <w:tcW w:w="96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90</w:t>
            </w:r>
          </w:p>
        </w:tc>
        <w:tc>
          <w:tcPr>
            <w:tcW w:w="1286"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$35,909</w:t>
            </w:r>
          </w:p>
        </w:tc>
        <w:tc>
          <w:tcPr>
            <w:tcW w:w="1037"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3</w:t>
            </w:r>
          </w:p>
        </w:tc>
        <w:tc>
          <w:tcPr>
            <w:tcW w:w="96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30</w:t>
            </w:r>
          </w:p>
        </w:tc>
        <w:tc>
          <w:tcPr>
            <w:tcW w:w="997"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1.98%</w:t>
            </w:r>
          </w:p>
        </w:tc>
      </w:tr>
      <w:tr w:rsidR="008D573F" w:rsidRPr="00D97A34" w:rsidTr="008D573F">
        <w:trPr>
          <w:trHeight w:val="300"/>
          <w:jc w:val="center"/>
        </w:trPr>
        <w:tc>
          <w:tcPr>
            <w:tcW w:w="567" w:type="dxa"/>
            <w:shd w:val="clear" w:color="000000" w:fill="FFFFFF"/>
            <w:noWrap/>
            <w:vAlign w:val="center"/>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8</w:t>
            </w:r>
          </w:p>
        </w:tc>
        <w:tc>
          <w:tcPr>
            <w:tcW w:w="2314" w:type="dxa"/>
            <w:shd w:val="clear" w:color="000000" w:fill="FFFFFF"/>
            <w:noWrap/>
            <w:vAlign w:val="center"/>
            <w:hideMark/>
          </w:tcPr>
          <w:p w:rsidR="008D573F" w:rsidRPr="00AC02AE" w:rsidRDefault="008D573F" w:rsidP="008D573F">
            <w:pPr>
              <w:rPr>
                <w:rFonts w:ascii="Arial" w:hAnsi="Arial" w:cs="Arial"/>
                <w:color w:val="000000"/>
                <w:sz w:val="18"/>
                <w:szCs w:val="18"/>
              </w:rPr>
            </w:pPr>
            <w:r w:rsidRPr="00AC02AE">
              <w:rPr>
                <w:rFonts w:ascii="Arial" w:hAnsi="Arial" w:cs="Arial"/>
                <w:b/>
                <w:color w:val="000000"/>
                <w:sz w:val="18"/>
                <w:szCs w:val="18"/>
              </w:rPr>
              <w:t>31569</w:t>
            </w:r>
            <w:r w:rsidRPr="00AC02AE">
              <w:rPr>
                <w:rFonts w:ascii="Arial" w:hAnsi="Arial" w:cs="Arial"/>
                <w:color w:val="000000"/>
                <w:sz w:val="18"/>
                <w:szCs w:val="18"/>
              </w:rPr>
              <w:t>, 105, 31468.</w:t>
            </w:r>
          </w:p>
        </w:tc>
        <w:tc>
          <w:tcPr>
            <w:tcW w:w="1017"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30</w:t>
            </w:r>
          </w:p>
        </w:tc>
        <w:tc>
          <w:tcPr>
            <w:tcW w:w="96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90</w:t>
            </w:r>
          </w:p>
        </w:tc>
        <w:tc>
          <w:tcPr>
            <w:tcW w:w="1286"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$57,110</w:t>
            </w:r>
          </w:p>
        </w:tc>
        <w:tc>
          <w:tcPr>
            <w:tcW w:w="1037"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2</w:t>
            </w:r>
          </w:p>
        </w:tc>
        <w:tc>
          <w:tcPr>
            <w:tcW w:w="96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30</w:t>
            </w:r>
          </w:p>
        </w:tc>
        <w:tc>
          <w:tcPr>
            <w:tcW w:w="997"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1.98%</w:t>
            </w:r>
          </w:p>
        </w:tc>
      </w:tr>
      <w:tr w:rsidR="008D573F" w:rsidRPr="00D97A34" w:rsidTr="008D573F">
        <w:trPr>
          <w:trHeight w:val="300"/>
          <w:jc w:val="center"/>
        </w:trPr>
        <w:tc>
          <w:tcPr>
            <w:tcW w:w="567" w:type="dxa"/>
            <w:shd w:val="clear" w:color="000000" w:fill="FFFFFF"/>
            <w:noWrap/>
            <w:vAlign w:val="center"/>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9</w:t>
            </w:r>
          </w:p>
        </w:tc>
        <w:tc>
          <w:tcPr>
            <w:tcW w:w="2314" w:type="dxa"/>
            <w:shd w:val="clear" w:color="000000" w:fill="FFFFFF"/>
            <w:noWrap/>
            <w:vAlign w:val="center"/>
            <w:hideMark/>
          </w:tcPr>
          <w:p w:rsidR="008D573F" w:rsidRPr="00AC02AE" w:rsidRDefault="008D573F" w:rsidP="008D573F">
            <w:pPr>
              <w:rPr>
                <w:rFonts w:ascii="Arial" w:hAnsi="Arial" w:cs="Arial"/>
                <w:color w:val="000000"/>
                <w:sz w:val="18"/>
                <w:szCs w:val="18"/>
              </w:rPr>
            </w:pPr>
            <w:r w:rsidRPr="00AC02AE">
              <w:rPr>
                <w:rFonts w:ascii="Arial" w:hAnsi="Arial" w:cs="Arial"/>
                <w:b/>
                <w:color w:val="000000"/>
                <w:sz w:val="18"/>
                <w:szCs w:val="18"/>
              </w:rPr>
              <w:t>31569</w:t>
            </w:r>
            <w:r w:rsidRPr="00AC02AE">
              <w:rPr>
                <w:rFonts w:ascii="Arial" w:hAnsi="Arial" w:cs="Arial"/>
                <w:color w:val="000000"/>
                <w:sz w:val="18"/>
                <w:szCs w:val="18"/>
              </w:rPr>
              <w:t>, 30473</w:t>
            </w:r>
          </w:p>
        </w:tc>
        <w:tc>
          <w:tcPr>
            <w:tcW w:w="1017"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29</w:t>
            </w:r>
          </w:p>
        </w:tc>
        <w:tc>
          <w:tcPr>
            <w:tcW w:w="96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58</w:t>
            </w:r>
          </w:p>
        </w:tc>
        <w:tc>
          <w:tcPr>
            <w:tcW w:w="1286"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$27,205</w:t>
            </w:r>
          </w:p>
        </w:tc>
        <w:tc>
          <w:tcPr>
            <w:tcW w:w="1037"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3</w:t>
            </w:r>
          </w:p>
        </w:tc>
        <w:tc>
          <w:tcPr>
            <w:tcW w:w="96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29</w:t>
            </w:r>
          </w:p>
        </w:tc>
        <w:tc>
          <w:tcPr>
            <w:tcW w:w="997"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1.92%</w:t>
            </w:r>
          </w:p>
        </w:tc>
      </w:tr>
      <w:tr w:rsidR="008D573F" w:rsidRPr="00D97A34" w:rsidTr="008D573F">
        <w:trPr>
          <w:trHeight w:val="300"/>
          <w:jc w:val="center"/>
        </w:trPr>
        <w:tc>
          <w:tcPr>
            <w:tcW w:w="567" w:type="dxa"/>
            <w:shd w:val="clear" w:color="000000" w:fill="FFFFFF"/>
            <w:noWrap/>
            <w:vAlign w:val="center"/>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10</w:t>
            </w:r>
          </w:p>
        </w:tc>
        <w:tc>
          <w:tcPr>
            <w:tcW w:w="2314" w:type="dxa"/>
            <w:shd w:val="clear" w:color="000000" w:fill="FFFFFF"/>
            <w:noWrap/>
            <w:vAlign w:val="center"/>
            <w:hideMark/>
          </w:tcPr>
          <w:p w:rsidR="008D573F" w:rsidRPr="00AC02AE" w:rsidRDefault="008D573F" w:rsidP="008D573F">
            <w:pPr>
              <w:rPr>
                <w:rFonts w:ascii="Arial" w:hAnsi="Arial" w:cs="Arial"/>
                <w:color w:val="000000"/>
                <w:sz w:val="18"/>
                <w:szCs w:val="18"/>
              </w:rPr>
            </w:pPr>
            <w:r w:rsidRPr="00AC02AE">
              <w:rPr>
                <w:rFonts w:ascii="Arial" w:hAnsi="Arial" w:cs="Arial"/>
                <w:b/>
                <w:color w:val="000000"/>
                <w:sz w:val="18"/>
                <w:szCs w:val="18"/>
              </w:rPr>
              <w:t>31569</w:t>
            </w:r>
            <w:r w:rsidRPr="00AC02AE">
              <w:rPr>
                <w:rFonts w:ascii="Arial" w:hAnsi="Arial" w:cs="Arial"/>
                <w:color w:val="000000"/>
                <w:sz w:val="18"/>
                <w:szCs w:val="18"/>
              </w:rPr>
              <w:t>, 51303</w:t>
            </w:r>
          </w:p>
        </w:tc>
        <w:tc>
          <w:tcPr>
            <w:tcW w:w="1017"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28</w:t>
            </w:r>
          </w:p>
        </w:tc>
        <w:tc>
          <w:tcPr>
            <w:tcW w:w="96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56</w:t>
            </w:r>
          </w:p>
        </w:tc>
        <w:tc>
          <w:tcPr>
            <w:tcW w:w="1286"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$28,545</w:t>
            </w:r>
          </w:p>
        </w:tc>
        <w:tc>
          <w:tcPr>
            <w:tcW w:w="1037"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11</w:t>
            </w:r>
          </w:p>
        </w:tc>
        <w:tc>
          <w:tcPr>
            <w:tcW w:w="960"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28</w:t>
            </w:r>
          </w:p>
        </w:tc>
        <w:tc>
          <w:tcPr>
            <w:tcW w:w="997" w:type="dxa"/>
            <w:shd w:val="clear" w:color="000000" w:fill="FFFFFF"/>
            <w:noWrap/>
            <w:vAlign w:val="center"/>
            <w:hideMark/>
          </w:tcPr>
          <w:p w:rsidR="008D573F" w:rsidRPr="00AC02AE" w:rsidRDefault="008D573F" w:rsidP="008D573F">
            <w:pPr>
              <w:jc w:val="center"/>
              <w:rPr>
                <w:rFonts w:ascii="Arial" w:hAnsi="Arial" w:cs="Arial"/>
                <w:color w:val="000000"/>
                <w:sz w:val="18"/>
                <w:szCs w:val="18"/>
              </w:rPr>
            </w:pPr>
            <w:r w:rsidRPr="00AC02AE">
              <w:rPr>
                <w:rFonts w:ascii="Arial" w:hAnsi="Arial" w:cs="Arial"/>
                <w:color w:val="000000"/>
                <w:sz w:val="18"/>
                <w:szCs w:val="18"/>
              </w:rPr>
              <w:t>1.85%</w:t>
            </w:r>
          </w:p>
        </w:tc>
      </w:tr>
    </w:tbl>
    <w:p w:rsidR="00AC4730" w:rsidRPr="00F56938" w:rsidRDefault="008D573F" w:rsidP="00F56938">
      <w:pPr>
        <w:spacing w:after="240"/>
        <w:rPr>
          <w:rFonts w:asciiTheme="minorHAnsi" w:hAnsiTheme="minorHAnsi"/>
          <w:bCs/>
          <w:i/>
          <w:sz w:val="16"/>
          <w:szCs w:val="16"/>
        </w:rPr>
      </w:pPr>
      <w:r w:rsidRPr="009A4B53">
        <w:rPr>
          <w:rFonts w:asciiTheme="minorHAnsi" w:hAnsiTheme="minorHAnsi"/>
          <w:bCs/>
          <w:i/>
          <w:sz w:val="16"/>
          <w:szCs w:val="16"/>
        </w:rPr>
        <w:t>Source: Department of Health, Medical Benefits Division, Primary Care and Diagnostics Branch, MBS Analytics Section, R</w:t>
      </w:r>
      <w:r w:rsidR="00F56938">
        <w:rPr>
          <w:rFonts w:asciiTheme="minorHAnsi" w:hAnsiTheme="minorHAnsi"/>
          <w:bCs/>
          <w:i/>
          <w:sz w:val="16"/>
          <w:szCs w:val="16"/>
        </w:rPr>
        <w:t>eference no.: Q20863, July 2017</w:t>
      </w:r>
    </w:p>
    <w:p w:rsidR="008D573F" w:rsidRPr="009418F3" w:rsidRDefault="008D573F" w:rsidP="009418F3">
      <w:pPr>
        <w:rPr>
          <w:rFonts w:ascii="Arial Narrow" w:hAnsi="Arial Narrow"/>
          <w:b/>
          <w:sz w:val="20"/>
        </w:rPr>
      </w:pPr>
      <w:r w:rsidRPr="009418F3">
        <w:rPr>
          <w:rFonts w:ascii="Arial Narrow" w:hAnsi="Arial Narrow"/>
          <w:b/>
          <w:sz w:val="20"/>
        </w:rPr>
        <w:t xml:space="preserve">Table 20: Top 10 instances of co-claiming with MBS item 31572 in 2016-17 </w:t>
      </w: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tem 31572 co-claiming data"/>
        <w:tblDescription w:val="This table depicts the top 10 instances of co-claiming with MBS item 31572 in financial year 2016-17. "/>
      </w:tblPr>
      <w:tblGrid>
        <w:gridCol w:w="567"/>
        <w:gridCol w:w="2314"/>
        <w:gridCol w:w="1017"/>
        <w:gridCol w:w="960"/>
        <w:gridCol w:w="1286"/>
        <w:gridCol w:w="1037"/>
        <w:gridCol w:w="960"/>
        <w:gridCol w:w="997"/>
      </w:tblGrid>
      <w:tr w:rsidR="008D573F" w:rsidRPr="00D97A34" w:rsidTr="008D573F">
        <w:trPr>
          <w:trHeight w:val="721"/>
          <w:jc w:val="center"/>
        </w:trPr>
        <w:tc>
          <w:tcPr>
            <w:tcW w:w="567" w:type="dxa"/>
            <w:shd w:val="clear" w:color="auto" w:fill="548DD4" w:themeFill="text2" w:themeFillTint="99"/>
            <w:vAlign w:val="center"/>
            <w:hideMark/>
          </w:tcPr>
          <w:p w:rsidR="008D573F" w:rsidRPr="00D97A34" w:rsidRDefault="008D573F" w:rsidP="008D573F">
            <w:pPr>
              <w:jc w:val="center"/>
              <w:rPr>
                <w:rFonts w:ascii="Arial" w:hAnsi="Arial" w:cs="Arial"/>
                <w:b/>
                <w:bCs/>
                <w:color w:val="FFFFFF"/>
                <w:sz w:val="18"/>
                <w:szCs w:val="18"/>
              </w:rPr>
            </w:pPr>
            <w:r w:rsidRPr="00D97A34">
              <w:rPr>
                <w:rFonts w:ascii="Arial" w:hAnsi="Arial" w:cs="Arial"/>
                <w:b/>
                <w:bCs/>
                <w:color w:val="FFFFFF"/>
                <w:sz w:val="18"/>
                <w:szCs w:val="18"/>
              </w:rPr>
              <w:t>#</w:t>
            </w:r>
          </w:p>
        </w:tc>
        <w:tc>
          <w:tcPr>
            <w:tcW w:w="2314" w:type="dxa"/>
            <w:shd w:val="clear" w:color="auto" w:fill="548DD4" w:themeFill="text2" w:themeFillTint="99"/>
            <w:vAlign w:val="center"/>
            <w:hideMark/>
          </w:tcPr>
          <w:p w:rsidR="008D573F" w:rsidRPr="00D97A34" w:rsidRDefault="008D573F" w:rsidP="008D573F">
            <w:pPr>
              <w:jc w:val="center"/>
              <w:rPr>
                <w:rFonts w:ascii="Arial" w:hAnsi="Arial" w:cs="Arial"/>
                <w:b/>
                <w:bCs/>
                <w:color w:val="FFFFFF"/>
                <w:sz w:val="18"/>
                <w:szCs w:val="18"/>
              </w:rPr>
            </w:pPr>
            <w:r w:rsidRPr="00D97A34">
              <w:rPr>
                <w:rFonts w:ascii="Arial" w:hAnsi="Arial" w:cs="Arial"/>
                <w:b/>
                <w:bCs/>
                <w:color w:val="FFFFFF"/>
                <w:sz w:val="18"/>
                <w:szCs w:val="18"/>
              </w:rPr>
              <w:t>Items</w:t>
            </w:r>
          </w:p>
        </w:tc>
        <w:tc>
          <w:tcPr>
            <w:tcW w:w="1017" w:type="dxa"/>
            <w:shd w:val="clear" w:color="auto" w:fill="548DD4" w:themeFill="text2" w:themeFillTint="99"/>
            <w:vAlign w:val="center"/>
            <w:hideMark/>
          </w:tcPr>
          <w:p w:rsidR="008D573F" w:rsidRPr="00D97A34" w:rsidRDefault="008D573F" w:rsidP="008D573F">
            <w:pPr>
              <w:jc w:val="center"/>
              <w:rPr>
                <w:rFonts w:ascii="Arial" w:hAnsi="Arial" w:cs="Arial"/>
                <w:b/>
                <w:bCs/>
                <w:color w:val="FFFFFF"/>
                <w:sz w:val="18"/>
                <w:szCs w:val="18"/>
              </w:rPr>
            </w:pPr>
            <w:r w:rsidRPr="00D97A34">
              <w:rPr>
                <w:rFonts w:ascii="Arial" w:hAnsi="Arial" w:cs="Arial"/>
                <w:b/>
                <w:bCs/>
                <w:color w:val="FFFFFF"/>
                <w:sz w:val="18"/>
                <w:szCs w:val="18"/>
              </w:rPr>
              <w:t>Episodes</w:t>
            </w:r>
          </w:p>
        </w:tc>
        <w:tc>
          <w:tcPr>
            <w:tcW w:w="960" w:type="dxa"/>
            <w:shd w:val="clear" w:color="auto" w:fill="548DD4" w:themeFill="text2" w:themeFillTint="99"/>
            <w:vAlign w:val="center"/>
            <w:hideMark/>
          </w:tcPr>
          <w:p w:rsidR="008D573F" w:rsidRPr="00D97A34" w:rsidRDefault="008D573F" w:rsidP="008D573F">
            <w:pPr>
              <w:jc w:val="center"/>
              <w:rPr>
                <w:rFonts w:ascii="Arial" w:hAnsi="Arial" w:cs="Arial"/>
                <w:b/>
                <w:bCs/>
                <w:color w:val="FFFFFF"/>
                <w:sz w:val="18"/>
                <w:szCs w:val="18"/>
              </w:rPr>
            </w:pPr>
            <w:r w:rsidRPr="00D97A34">
              <w:rPr>
                <w:rFonts w:ascii="Arial" w:hAnsi="Arial" w:cs="Arial"/>
                <w:b/>
                <w:bCs/>
                <w:color w:val="FFFFFF"/>
                <w:sz w:val="18"/>
                <w:szCs w:val="18"/>
              </w:rPr>
              <w:t>Services</w:t>
            </w:r>
          </w:p>
        </w:tc>
        <w:tc>
          <w:tcPr>
            <w:tcW w:w="1286" w:type="dxa"/>
            <w:shd w:val="clear" w:color="auto" w:fill="548DD4" w:themeFill="text2" w:themeFillTint="99"/>
            <w:vAlign w:val="center"/>
            <w:hideMark/>
          </w:tcPr>
          <w:p w:rsidR="008D573F" w:rsidRPr="00D97A34" w:rsidRDefault="008D573F" w:rsidP="008D573F">
            <w:pPr>
              <w:jc w:val="center"/>
              <w:rPr>
                <w:rFonts w:ascii="Arial" w:hAnsi="Arial" w:cs="Arial"/>
                <w:b/>
                <w:bCs/>
                <w:color w:val="FFFFFF"/>
                <w:sz w:val="18"/>
                <w:szCs w:val="18"/>
              </w:rPr>
            </w:pPr>
            <w:r w:rsidRPr="00D97A34">
              <w:rPr>
                <w:rFonts w:ascii="Arial" w:hAnsi="Arial" w:cs="Arial"/>
                <w:b/>
                <w:bCs/>
                <w:color w:val="FFFFFF"/>
                <w:sz w:val="18"/>
                <w:szCs w:val="18"/>
              </w:rPr>
              <w:t>Schedule Fee for combination</w:t>
            </w:r>
          </w:p>
        </w:tc>
        <w:tc>
          <w:tcPr>
            <w:tcW w:w="1037" w:type="dxa"/>
            <w:shd w:val="clear" w:color="auto" w:fill="548DD4" w:themeFill="text2" w:themeFillTint="99"/>
            <w:vAlign w:val="center"/>
            <w:hideMark/>
          </w:tcPr>
          <w:p w:rsidR="008D573F" w:rsidRPr="00D97A34" w:rsidRDefault="008D573F" w:rsidP="008D573F">
            <w:pPr>
              <w:jc w:val="center"/>
              <w:rPr>
                <w:rFonts w:ascii="Arial" w:hAnsi="Arial" w:cs="Arial"/>
                <w:b/>
                <w:bCs/>
                <w:color w:val="FFFFFF"/>
                <w:sz w:val="18"/>
                <w:szCs w:val="18"/>
              </w:rPr>
            </w:pPr>
            <w:r w:rsidRPr="00D97A34">
              <w:rPr>
                <w:rFonts w:ascii="Arial" w:hAnsi="Arial" w:cs="Arial"/>
                <w:b/>
                <w:bCs/>
                <w:color w:val="FFFFFF"/>
                <w:sz w:val="18"/>
                <w:szCs w:val="18"/>
              </w:rPr>
              <w:t>Number of providers</w:t>
            </w:r>
          </w:p>
        </w:tc>
        <w:tc>
          <w:tcPr>
            <w:tcW w:w="960" w:type="dxa"/>
            <w:shd w:val="clear" w:color="auto" w:fill="548DD4" w:themeFill="text2" w:themeFillTint="99"/>
            <w:vAlign w:val="center"/>
            <w:hideMark/>
          </w:tcPr>
          <w:p w:rsidR="008D573F" w:rsidRPr="00D97A34" w:rsidRDefault="008D573F" w:rsidP="008D573F">
            <w:pPr>
              <w:jc w:val="center"/>
              <w:rPr>
                <w:rFonts w:ascii="Arial" w:hAnsi="Arial" w:cs="Arial"/>
                <w:b/>
                <w:bCs/>
                <w:color w:val="FFFFFF"/>
                <w:sz w:val="18"/>
                <w:szCs w:val="18"/>
              </w:rPr>
            </w:pPr>
            <w:r w:rsidRPr="00D97A34">
              <w:rPr>
                <w:rFonts w:ascii="Arial" w:hAnsi="Arial" w:cs="Arial"/>
                <w:b/>
                <w:bCs/>
                <w:color w:val="FFFFFF"/>
                <w:sz w:val="18"/>
                <w:szCs w:val="18"/>
              </w:rPr>
              <w:t>Number of patients</w:t>
            </w:r>
          </w:p>
        </w:tc>
        <w:tc>
          <w:tcPr>
            <w:tcW w:w="997" w:type="dxa"/>
            <w:shd w:val="clear" w:color="auto" w:fill="548DD4" w:themeFill="text2" w:themeFillTint="99"/>
            <w:vAlign w:val="center"/>
            <w:hideMark/>
          </w:tcPr>
          <w:p w:rsidR="008D573F" w:rsidRPr="00D97A34" w:rsidRDefault="008D573F" w:rsidP="008D573F">
            <w:pPr>
              <w:jc w:val="center"/>
              <w:rPr>
                <w:rFonts w:ascii="Arial" w:hAnsi="Arial" w:cs="Arial"/>
                <w:b/>
                <w:bCs/>
                <w:color w:val="FFFFFF"/>
                <w:sz w:val="18"/>
                <w:szCs w:val="18"/>
              </w:rPr>
            </w:pPr>
            <w:r w:rsidRPr="00D97A34">
              <w:rPr>
                <w:rFonts w:ascii="Arial" w:hAnsi="Arial" w:cs="Arial"/>
                <w:b/>
                <w:bCs/>
                <w:color w:val="FFFFFF"/>
                <w:sz w:val="18"/>
                <w:szCs w:val="18"/>
              </w:rPr>
              <w:t>% of episodes</w:t>
            </w:r>
          </w:p>
        </w:tc>
      </w:tr>
      <w:tr w:rsidR="008D573F" w:rsidRPr="00D97A34" w:rsidTr="008D573F">
        <w:trPr>
          <w:trHeight w:val="300"/>
          <w:jc w:val="center"/>
        </w:trPr>
        <w:tc>
          <w:tcPr>
            <w:tcW w:w="56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1</w:t>
            </w:r>
          </w:p>
        </w:tc>
        <w:tc>
          <w:tcPr>
            <w:tcW w:w="2314" w:type="dxa"/>
            <w:shd w:val="clear" w:color="000000" w:fill="FFFFFF"/>
            <w:noWrap/>
            <w:vAlign w:val="center"/>
          </w:tcPr>
          <w:p w:rsidR="008D573F" w:rsidRPr="00D97A34" w:rsidRDefault="008D573F" w:rsidP="008D573F">
            <w:pPr>
              <w:rPr>
                <w:rFonts w:ascii="Arial" w:hAnsi="Arial" w:cs="Arial"/>
                <w:b/>
                <w:color w:val="000000"/>
                <w:sz w:val="18"/>
                <w:szCs w:val="18"/>
              </w:rPr>
            </w:pPr>
            <w:r w:rsidRPr="00D97A34">
              <w:rPr>
                <w:rFonts w:ascii="Arial" w:hAnsi="Arial" w:cs="Arial"/>
                <w:b/>
                <w:color w:val="000000"/>
                <w:sz w:val="18"/>
                <w:szCs w:val="18"/>
              </w:rPr>
              <w:t>31572</w:t>
            </w:r>
          </w:p>
        </w:tc>
        <w:tc>
          <w:tcPr>
            <w:tcW w:w="101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852</w:t>
            </w:r>
          </w:p>
        </w:tc>
        <w:tc>
          <w:tcPr>
            <w:tcW w:w="960"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852</w:t>
            </w:r>
          </w:p>
        </w:tc>
        <w:tc>
          <w:tcPr>
            <w:tcW w:w="1286"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$890,681</w:t>
            </w:r>
          </w:p>
        </w:tc>
        <w:tc>
          <w:tcPr>
            <w:tcW w:w="103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73</w:t>
            </w:r>
          </w:p>
        </w:tc>
        <w:tc>
          <w:tcPr>
            <w:tcW w:w="960"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852</w:t>
            </w:r>
          </w:p>
        </w:tc>
        <w:tc>
          <w:tcPr>
            <w:tcW w:w="99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35.16%</w:t>
            </w:r>
          </w:p>
        </w:tc>
      </w:tr>
      <w:tr w:rsidR="008D573F" w:rsidRPr="00D97A34" w:rsidTr="008D573F">
        <w:trPr>
          <w:trHeight w:val="300"/>
          <w:jc w:val="center"/>
        </w:trPr>
        <w:tc>
          <w:tcPr>
            <w:tcW w:w="56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2</w:t>
            </w:r>
          </w:p>
        </w:tc>
        <w:tc>
          <w:tcPr>
            <w:tcW w:w="2314" w:type="dxa"/>
            <w:shd w:val="clear" w:color="000000" w:fill="FFFFFF"/>
            <w:noWrap/>
            <w:vAlign w:val="center"/>
          </w:tcPr>
          <w:p w:rsidR="008D573F" w:rsidRPr="00D97A34" w:rsidRDefault="008D573F" w:rsidP="008D573F">
            <w:pPr>
              <w:rPr>
                <w:rFonts w:ascii="Arial" w:hAnsi="Arial" w:cs="Arial"/>
                <w:color w:val="000000"/>
                <w:sz w:val="18"/>
                <w:szCs w:val="18"/>
              </w:rPr>
            </w:pPr>
            <w:r w:rsidRPr="00D97A34">
              <w:rPr>
                <w:rFonts w:ascii="Arial" w:hAnsi="Arial" w:cs="Arial"/>
                <w:b/>
                <w:color w:val="000000"/>
                <w:sz w:val="18"/>
                <w:szCs w:val="18"/>
              </w:rPr>
              <w:t>31572</w:t>
            </w:r>
            <w:r w:rsidRPr="00D97A34">
              <w:rPr>
                <w:rFonts w:ascii="Arial" w:hAnsi="Arial" w:cs="Arial"/>
                <w:color w:val="000000"/>
                <w:sz w:val="18"/>
                <w:szCs w:val="18"/>
              </w:rPr>
              <w:t>, 30393</w:t>
            </w:r>
          </w:p>
        </w:tc>
        <w:tc>
          <w:tcPr>
            <w:tcW w:w="101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327</w:t>
            </w:r>
          </w:p>
        </w:tc>
        <w:tc>
          <w:tcPr>
            <w:tcW w:w="960"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654</w:t>
            </w:r>
          </w:p>
        </w:tc>
        <w:tc>
          <w:tcPr>
            <w:tcW w:w="1286"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$427,471</w:t>
            </w:r>
          </w:p>
        </w:tc>
        <w:tc>
          <w:tcPr>
            <w:tcW w:w="103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57</w:t>
            </w:r>
          </w:p>
        </w:tc>
        <w:tc>
          <w:tcPr>
            <w:tcW w:w="960"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327</w:t>
            </w:r>
          </w:p>
        </w:tc>
        <w:tc>
          <w:tcPr>
            <w:tcW w:w="99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13.50%</w:t>
            </w:r>
          </w:p>
        </w:tc>
      </w:tr>
      <w:tr w:rsidR="008D573F" w:rsidRPr="00D97A34" w:rsidTr="008D573F">
        <w:trPr>
          <w:trHeight w:val="300"/>
          <w:jc w:val="center"/>
        </w:trPr>
        <w:tc>
          <w:tcPr>
            <w:tcW w:w="56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3</w:t>
            </w:r>
          </w:p>
        </w:tc>
        <w:tc>
          <w:tcPr>
            <w:tcW w:w="2314" w:type="dxa"/>
            <w:shd w:val="clear" w:color="000000" w:fill="FFFFFF"/>
            <w:noWrap/>
            <w:vAlign w:val="center"/>
          </w:tcPr>
          <w:p w:rsidR="008D573F" w:rsidRPr="00D97A34" w:rsidRDefault="008D573F" w:rsidP="008D573F">
            <w:pPr>
              <w:rPr>
                <w:rFonts w:ascii="Arial" w:hAnsi="Arial" w:cs="Arial"/>
                <w:color w:val="000000"/>
                <w:sz w:val="18"/>
                <w:szCs w:val="18"/>
              </w:rPr>
            </w:pPr>
            <w:r w:rsidRPr="00D97A34">
              <w:rPr>
                <w:rFonts w:ascii="Arial" w:hAnsi="Arial" w:cs="Arial"/>
                <w:b/>
                <w:color w:val="000000"/>
                <w:sz w:val="18"/>
                <w:szCs w:val="18"/>
              </w:rPr>
              <w:t>31572</w:t>
            </w:r>
            <w:r w:rsidRPr="00D97A34">
              <w:rPr>
                <w:rFonts w:ascii="Arial" w:hAnsi="Arial" w:cs="Arial"/>
                <w:color w:val="000000"/>
                <w:sz w:val="18"/>
                <w:szCs w:val="18"/>
              </w:rPr>
              <w:t>, 30393, 31584</w:t>
            </w:r>
          </w:p>
        </w:tc>
        <w:tc>
          <w:tcPr>
            <w:tcW w:w="101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232</w:t>
            </w:r>
          </w:p>
        </w:tc>
        <w:tc>
          <w:tcPr>
            <w:tcW w:w="960"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696</w:t>
            </w:r>
          </w:p>
        </w:tc>
        <w:tc>
          <w:tcPr>
            <w:tcW w:w="1286"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$508,718</w:t>
            </w:r>
          </w:p>
        </w:tc>
        <w:tc>
          <w:tcPr>
            <w:tcW w:w="103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27</w:t>
            </w:r>
          </w:p>
        </w:tc>
        <w:tc>
          <w:tcPr>
            <w:tcW w:w="960"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232</w:t>
            </w:r>
          </w:p>
        </w:tc>
        <w:tc>
          <w:tcPr>
            <w:tcW w:w="99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9.57%</w:t>
            </w:r>
          </w:p>
        </w:tc>
      </w:tr>
      <w:tr w:rsidR="008D573F" w:rsidRPr="00347805" w:rsidTr="008D573F">
        <w:trPr>
          <w:trHeight w:val="300"/>
          <w:jc w:val="center"/>
        </w:trPr>
        <w:tc>
          <w:tcPr>
            <w:tcW w:w="56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4</w:t>
            </w:r>
          </w:p>
        </w:tc>
        <w:tc>
          <w:tcPr>
            <w:tcW w:w="2314" w:type="dxa"/>
            <w:shd w:val="clear" w:color="000000" w:fill="FFFFFF"/>
            <w:noWrap/>
            <w:vAlign w:val="center"/>
          </w:tcPr>
          <w:p w:rsidR="008D573F" w:rsidRPr="00D97A34" w:rsidRDefault="008D573F" w:rsidP="008D573F">
            <w:pPr>
              <w:rPr>
                <w:rFonts w:ascii="Arial" w:hAnsi="Arial" w:cs="Arial"/>
                <w:color w:val="000000"/>
                <w:sz w:val="18"/>
                <w:szCs w:val="18"/>
              </w:rPr>
            </w:pPr>
            <w:r w:rsidRPr="00D97A34">
              <w:rPr>
                <w:rFonts w:ascii="Arial" w:hAnsi="Arial" w:cs="Arial"/>
                <w:b/>
                <w:color w:val="000000"/>
                <w:sz w:val="18"/>
                <w:szCs w:val="18"/>
              </w:rPr>
              <w:t>31572</w:t>
            </w:r>
            <w:r w:rsidRPr="00D97A34">
              <w:rPr>
                <w:rFonts w:ascii="Arial" w:hAnsi="Arial" w:cs="Arial"/>
                <w:color w:val="000000"/>
                <w:sz w:val="18"/>
                <w:szCs w:val="18"/>
              </w:rPr>
              <w:t>, 30473</w:t>
            </w:r>
          </w:p>
        </w:tc>
        <w:tc>
          <w:tcPr>
            <w:tcW w:w="101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123</w:t>
            </w:r>
          </w:p>
        </w:tc>
        <w:tc>
          <w:tcPr>
            <w:tcW w:w="960"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246</w:t>
            </w:r>
          </w:p>
        </w:tc>
        <w:tc>
          <w:tcPr>
            <w:tcW w:w="1286"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$139,564</w:t>
            </w:r>
          </w:p>
        </w:tc>
        <w:tc>
          <w:tcPr>
            <w:tcW w:w="103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16</w:t>
            </w:r>
          </w:p>
        </w:tc>
        <w:tc>
          <w:tcPr>
            <w:tcW w:w="960"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123</w:t>
            </w:r>
          </w:p>
        </w:tc>
        <w:tc>
          <w:tcPr>
            <w:tcW w:w="997" w:type="dxa"/>
            <w:shd w:val="clear" w:color="000000" w:fill="FFFFFF"/>
            <w:noWrap/>
            <w:vAlign w:val="center"/>
          </w:tcPr>
          <w:p w:rsidR="008D573F" w:rsidRDefault="008D573F" w:rsidP="008D573F">
            <w:pPr>
              <w:jc w:val="center"/>
              <w:rPr>
                <w:rFonts w:ascii="Arial" w:hAnsi="Arial" w:cs="Arial"/>
                <w:color w:val="000000"/>
                <w:sz w:val="18"/>
                <w:szCs w:val="18"/>
              </w:rPr>
            </w:pPr>
            <w:r w:rsidRPr="00D97A34">
              <w:rPr>
                <w:rFonts w:ascii="Arial" w:hAnsi="Arial" w:cs="Arial"/>
                <w:color w:val="000000"/>
                <w:sz w:val="18"/>
                <w:szCs w:val="18"/>
              </w:rPr>
              <w:t>5.08%</w:t>
            </w:r>
          </w:p>
        </w:tc>
      </w:tr>
      <w:tr w:rsidR="008D573F" w:rsidRPr="00347805" w:rsidTr="008D573F">
        <w:trPr>
          <w:trHeight w:val="300"/>
          <w:jc w:val="center"/>
        </w:trPr>
        <w:tc>
          <w:tcPr>
            <w:tcW w:w="567" w:type="dxa"/>
            <w:shd w:val="clear" w:color="000000" w:fill="FFFFFF"/>
            <w:noWrap/>
            <w:vAlign w:val="center"/>
          </w:tcPr>
          <w:p w:rsidR="008D573F" w:rsidRPr="00347805" w:rsidRDefault="008D573F" w:rsidP="008D573F">
            <w:pPr>
              <w:jc w:val="center"/>
              <w:rPr>
                <w:rFonts w:ascii="Arial" w:hAnsi="Arial" w:cs="Arial"/>
                <w:color w:val="000000"/>
                <w:sz w:val="18"/>
                <w:szCs w:val="18"/>
              </w:rPr>
            </w:pPr>
            <w:r w:rsidRPr="00347805">
              <w:rPr>
                <w:rFonts w:ascii="Arial" w:hAnsi="Arial" w:cs="Arial"/>
                <w:color w:val="000000"/>
                <w:sz w:val="18"/>
                <w:szCs w:val="18"/>
              </w:rPr>
              <w:t>5</w:t>
            </w:r>
          </w:p>
        </w:tc>
        <w:tc>
          <w:tcPr>
            <w:tcW w:w="2314" w:type="dxa"/>
            <w:shd w:val="clear" w:color="000000" w:fill="FFFFFF"/>
            <w:noWrap/>
            <w:vAlign w:val="center"/>
          </w:tcPr>
          <w:p w:rsidR="008D573F" w:rsidRPr="00347805" w:rsidRDefault="008D573F" w:rsidP="008D573F">
            <w:pPr>
              <w:rPr>
                <w:rFonts w:ascii="Arial" w:hAnsi="Arial" w:cs="Arial"/>
                <w:color w:val="000000"/>
                <w:sz w:val="18"/>
                <w:szCs w:val="18"/>
              </w:rPr>
            </w:pPr>
            <w:r>
              <w:rPr>
                <w:rFonts w:ascii="Arial" w:hAnsi="Arial" w:cs="Arial"/>
                <w:b/>
                <w:color w:val="000000"/>
                <w:sz w:val="18"/>
                <w:szCs w:val="18"/>
              </w:rPr>
              <w:t>31572</w:t>
            </w:r>
            <w:r>
              <w:rPr>
                <w:rFonts w:ascii="Arial" w:hAnsi="Arial" w:cs="Arial"/>
                <w:color w:val="000000"/>
                <w:sz w:val="18"/>
                <w:szCs w:val="18"/>
              </w:rPr>
              <w:t>, 105</w:t>
            </w:r>
          </w:p>
        </w:tc>
        <w:tc>
          <w:tcPr>
            <w:tcW w:w="1017" w:type="dxa"/>
            <w:shd w:val="clear" w:color="000000" w:fill="FFFFFF"/>
            <w:noWrap/>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72</w:t>
            </w:r>
          </w:p>
        </w:tc>
        <w:tc>
          <w:tcPr>
            <w:tcW w:w="960" w:type="dxa"/>
            <w:shd w:val="clear" w:color="000000" w:fill="FFFFFF"/>
            <w:noWrap/>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144</w:t>
            </w:r>
          </w:p>
        </w:tc>
        <w:tc>
          <w:tcPr>
            <w:tcW w:w="1286" w:type="dxa"/>
            <w:shd w:val="clear" w:color="000000" w:fill="FFFFFF"/>
            <w:noWrap/>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$78,365</w:t>
            </w:r>
          </w:p>
        </w:tc>
        <w:tc>
          <w:tcPr>
            <w:tcW w:w="1037" w:type="dxa"/>
            <w:shd w:val="clear" w:color="000000" w:fill="FFFFFF"/>
            <w:noWrap/>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17</w:t>
            </w:r>
          </w:p>
        </w:tc>
        <w:tc>
          <w:tcPr>
            <w:tcW w:w="960" w:type="dxa"/>
            <w:shd w:val="clear" w:color="000000" w:fill="FFFFFF"/>
            <w:noWrap/>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72</w:t>
            </w:r>
          </w:p>
        </w:tc>
        <w:tc>
          <w:tcPr>
            <w:tcW w:w="997" w:type="dxa"/>
            <w:shd w:val="clear" w:color="000000" w:fill="FFFFFF"/>
            <w:noWrap/>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2.97%</w:t>
            </w:r>
          </w:p>
        </w:tc>
      </w:tr>
      <w:tr w:rsidR="008D573F" w:rsidRPr="00347805" w:rsidTr="008D573F">
        <w:trPr>
          <w:trHeight w:val="300"/>
          <w:jc w:val="center"/>
        </w:trPr>
        <w:tc>
          <w:tcPr>
            <w:tcW w:w="567" w:type="dxa"/>
            <w:shd w:val="clear" w:color="000000" w:fill="FFFFFF"/>
            <w:noWrap/>
            <w:vAlign w:val="center"/>
          </w:tcPr>
          <w:p w:rsidR="008D573F" w:rsidRPr="00347805" w:rsidRDefault="008D573F" w:rsidP="008D573F">
            <w:pPr>
              <w:jc w:val="center"/>
              <w:rPr>
                <w:rFonts w:ascii="Arial" w:hAnsi="Arial" w:cs="Arial"/>
                <w:color w:val="000000"/>
                <w:sz w:val="18"/>
                <w:szCs w:val="18"/>
              </w:rPr>
            </w:pPr>
            <w:r w:rsidRPr="00347805">
              <w:rPr>
                <w:rFonts w:ascii="Arial" w:hAnsi="Arial" w:cs="Arial"/>
                <w:color w:val="000000"/>
                <w:sz w:val="18"/>
                <w:szCs w:val="18"/>
              </w:rPr>
              <w:t>6</w:t>
            </w:r>
          </w:p>
        </w:tc>
        <w:tc>
          <w:tcPr>
            <w:tcW w:w="2314" w:type="dxa"/>
            <w:shd w:val="clear" w:color="000000" w:fill="FFFFFF"/>
            <w:noWrap/>
            <w:vAlign w:val="center"/>
          </w:tcPr>
          <w:p w:rsidR="008D573F" w:rsidRPr="00347805" w:rsidRDefault="008D573F" w:rsidP="008D573F">
            <w:pPr>
              <w:rPr>
                <w:rFonts w:ascii="Arial" w:hAnsi="Arial" w:cs="Arial"/>
                <w:color w:val="000000"/>
                <w:sz w:val="18"/>
                <w:szCs w:val="18"/>
              </w:rPr>
            </w:pPr>
            <w:r>
              <w:rPr>
                <w:rFonts w:ascii="Arial" w:hAnsi="Arial" w:cs="Arial"/>
                <w:b/>
                <w:color w:val="000000"/>
                <w:sz w:val="18"/>
                <w:szCs w:val="18"/>
              </w:rPr>
              <w:t>31572</w:t>
            </w:r>
            <w:r>
              <w:rPr>
                <w:rFonts w:ascii="Arial" w:hAnsi="Arial" w:cs="Arial"/>
                <w:color w:val="000000"/>
                <w:sz w:val="18"/>
                <w:szCs w:val="18"/>
              </w:rPr>
              <w:t>, 31584</w:t>
            </w:r>
          </w:p>
        </w:tc>
        <w:tc>
          <w:tcPr>
            <w:tcW w:w="1017" w:type="dxa"/>
            <w:shd w:val="clear" w:color="000000" w:fill="FFFFFF"/>
            <w:noWrap/>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57</w:t>
            </w:r>
          </w:p>
        </w:tc>
        <w:tc>
          <w:tcPr>
            <w:tcW w:w="960" w:type="dxa"/>
            <w:shd w:val="clear" w:color="000000" w:fill="FFFFFF"/>
            <w:noWrap/>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114</w:t>
            </w:r>
          </w:p>
        </w:tc>
        <w:tc>
          <w:tcPr>
            <w:tcW w:w="1286" w:type="dxa"/>
            <w:shd w:val="clear" w:color="000000" w:fill="FFFFFF"/>
            <w:noWrap/>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$117,523</w:t>
            </w:r>
          </w:p>
        </w:tc>
        <w:tc>
          <w:tcPr>
            <w:tcW w:w="1037" w:type="dxa"/>
            <w:shd w:val="clear" w:color="000000" w:fill="FFFFFF"/>
            <w:noWrap/>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15</w:t>
            </w:r>
          </w:p>
        </w:tc>
        <w:tc>
          <w:tcPr>
            <w:tcW w:w="960" w:type="dxa"/>
            <w:shd w:val="clear" w:color="000000" w:fill="FFFFFF"/>
            <w:noWrap/>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57</w:t>
            </w:r>
          </w:p>
        </w:tc>
        <w:tc>
          <w:tcPr>
            <w:tcW w:w="997" w:type="dxa"/>
            <w:shd w:val="clear" w:color="000000" w:fill="FFFFFF"/>
            <w:noWrap/>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2.35%</w:t>
            </w:r>
          </w:p>
        </w:tc>
      </w:tr>
      <w:tr w:rsidR="008D573F" w:rsidRPr="00347805" w:rsidTr="008D573F">
        <w:trPr>
          <w:trHeight w:val="300"/>
          <w:jc w:val="center"/>
        </w:trPr>
        <w:tc>
          <w:tcPr>
            <w:tcW w:w="567" w:type="dxa"/>
            <w:shd w:val="clear" w:color="000000" w:fill="FFFFFF"/>
            <w:noWrap/>
            <w:vAlign w:val="center"/>
          </w:tcPr>
          <w:p w:rsidR="008D573F" w:rsidRPr="00347805" w:rsidRDefault="008D573F" w:rsidP="008D573F">
            <w:pPr>
              <w:jc w:val="center"/>
              <w:rPr>
                <w:rFonts w:ascii="Arial" w:hAnsi="Arial" w:cs="Arial"/>
                <w:color w:val="000000"/>
                <w:sz w:val="18"/>
                <w:szCs w:val="18"/>
              </w:rPr>
            </w:pPr>
            <w:r w:rsidRPr="00347805">
              <w:rPr>
                <w:rFonts w:ascii="Arial" w:hAnsi="Arial" w:cs="Arial"/>
                <w:color w:val="000000"/>
                <w:sz w:val="18"/>
                <w:szCs w:val="18"/>
              </w:rPr>
              <w:t>7</w:t>
            </w:r>
          </w:p>
        </w:tc>
        <w:tc>
          <w:tcPr>
            <w:tcW w:w="2314" w:type="dxa"/>
            <w:shd w:val="clear" w:color="000000" w:fill="FFFFFF"/>
            <w:noWrap/>
            <w:vAlign w:val="center"/>
          </w:tcPr>
          <w:p w:rsidR="008D573F" w:rsidRPr="00347805" w:rsidRDefault="008D573F" w:rsidP="008D573F">
            <w:pPr>
              <w:rPr>
                <w:rFonts w:ascii="Arial" w:hAnsi="Arial" w:cs="Arial"/>
                <w:color w:val="000000"/>
                <w:sz w:val="18"/>
                <w:szCs w:val="18"/>
              </w:rPr>
            </w:pPr>
            <w:r>
              <w:rPr>
                <w:rFonts w:ascii="Arial" w:hAnsi="Arial" w:cs="Arial"/>
                <w:b/>
                <w:color w:val="000000"/>
                <w:sz w:val="18"/>
                <w:szCs w:val="18"/>
              </w:rPr>
              <w:t>31572</w:t>
            </w:r>
            <w:r>
              <w:rPr>
                <w:rFonts w:ascii="Arial" w:hAnsi="Arial" w:cs="Arial"/>
                <w:color w:val="000000"/>
                <w:sz w:val="18"/>
                <w:szCs w:val="18"/>
              </w:rPr>
              <w:t>, 105, 30393</w:t>
            </w:r>
          </w:p>
        </w:tc>
        <w:tc>
          <w:tcPr>
            <w:tcW w:w="1017" w:type="dxa"/>
            <w:shd w:val="clear" w:color="000000" w:fill="FFFFFF"/>
            <w:noWrap/>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50</w:t>
            </w:r>
          </w:p>
        </w:tc>
        <w:tc>
          <w:tcPr>
            <w:tcW w:w="960" w:type="dxa"/>
            <w:shd w:val="clear" w:color="000000" w:fill="FFFFFF"/>
            <w:noWrap/>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150</w:t>
            </w:r>
          </w:p>
        </w:tc>
        <w:tc>
          <w:tcPr>
            <w:tcW w:w="1286" w:type="dxa"/>
            <w:shd w:val="clear" w:color="000000" w:fill="FFFFFF"/>
            <w:noWrap/>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$67,513</w:t>
            </w:r>
          </w:p>
        </w:tc>
        <w:tc>
          <w:tcPr>
            <w:tcW w:w="1037" w:type="dxa"/>
            <w:shd w:val="clear" w:color="000000" w:fill="FFFFFF"/>
            <w:noWrap/>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21</w:t>
            </w:r>
          </w:p>
        </w:tc>
        <w:tc>
          <w:tcPr>
            <w:tcW w:w="960" w:type="dxa"/>
            <w:shd w:val="clear" w:color="000000" w:fill="FFFFFF"/>
            <w:noWrap/>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50</w:t>
            </w:r>
          </w:p>
        </w:tc>
        <w:tc>
          <w:tcPr>
            <w:tcW w:w="997" w:type="dxa"/>
            <w:shd w:val="clear" w:color="000000" w:fill="FFFFFF"/>
            <w:noWrap/>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2.06%</w:t>
            </w:r>
          </w:p>
        </w:tc>
      </w:tr>
      <w:tr w:rsidR="008D573F" w:rsidRPr="00347805" w:rsidTr="008D573F">
        <w:trPr>
          <w:trHeight w:val="300"/>
          <w:jc w:val="center"/>
        </w:trPr>
        <w:tc>
          <w:tcPr>
            <w:tcW w:w="567" w:type="dxa"/>
            <w:shd w:val="clear" w:color="000000" w:fill="FFFFFF"/>
            <w:noWrap/>
            <w:vAlign w:val="center"/>
          </w:tcPr>
          <w:p w:rsidR="008D573F" w:rsidRPr="00347805" w:rsidRDefault="008D573F" w:rsidP="008D573F">
            <w:pPr>
              <w:jc w:val="center"/>
              <w:rPr>
                <w:rFonts w:ascii="Arial" w:hAnsi="Arial" w:cs="Arial"/>
                <w:color w:val="000000"/>
                <w:sz w:val="18"/>
                <w:szCs w:val="18"/>
              </w:rPr>
            </w:pPr>
            <w:r w:rsidRPr="00347805">
              <w:rPr>
                <w:rFonts w:ascii="Arial" w:hAnsi="Arial" w:cs="Arial"/>
                <w:color w:val="000000"/>
                <w:sz w:val="18"/>
                <w:szCs w:val="18"/>
              </w:rPr>
              <w:t>8</w:t>
            </w:r>
          </w:p>
        </w:tc>
        <w:tc>
          <w:tcPr>
            <w:tcW w:w="2314" w:type="dxa"/>
            <w:shd w:val="clear" w:color="000000" w:fill="FFFFFF"/>
            <w:noWrap/>
            <w:vAlign w:val="center"/>
          </w:tcPr>
          <w:p w:rsidR="008D573F" w:rsidRPr="00347805" w:rsidRDefault="008D573F" w:rsidP="008D573F">
            <w:pPr>
              <w:rPr>
                <w:rFonts w:ascii="Arial" w:hAnsi="Arial" w:cs="Arial"/>
                <w:color w:val="000000"/>
                <w:sz w:val="18"/>
                <w:szCs w:val="18"/>
              </w:rPr>
            </w:pPr>
            <w:r>
              <w:rPr>
                <w:rFonts w:ascii="Arial" w:hAnsi="Arial" w:cs="Arial"/>
                <w:b/>
                <w:color w:val="000000"/>
                <w:sz w:val="18"/>
                <w:szCs w:val="18"/>
              </w:rPr>
              <w:t>31572</w:t>
            </w:r>
            <w:r>
              <w:rPr>
                <w:rFonts w:ascii="Arial" w:hAnsi="Arial" w:cs="Arial"/>
                <w:color w:val="000000"/>
                <w:sz w:val="18"/>
                <w:szCs w:val="18"/>
              </w:rPr>
              <w:t>, 31468</w:t>
            </w:r>
          </w:p>
        </w:tc>
        <w:tc>
          <w:tcPr>
            <w:tcW w:w="1017" w:type="dxa"/>
            <w:shd w:val="clear" w:color="000000" w:fill="FFFFFF"/>
            <w:noWrap/>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37</w:t>
            </w:r>
          </w:p>
        </w:tc>
        <w:tc>
          <w:tcPr>
            <w:tcW w:w="960" w:type="dxa"/>
            <w:shd w:val="clear" w:color="000000" w:fill="FFFFFF"/>
            <w:noWrap/>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74</w:t>
            </w:r>
          </w:p>
        </w:tc>
        <w:tc>
          <w:tcPr>
            <w:tcW w:w="1286" w:type="dxa"/>
            <w:shd w:val="clear" w:color="000000" w:fill="FFFFFF"/>
            <w:noWrap/>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$72,466</w:t>
            </w:r>
          </w:p>
        </w:tc>
        <w:tc>
          <w:tcPr>
            <w:tcW w:w="1037" w:type="dxa"/>
            <w:shd w:val="clear" w:color="000000" w:fill="FFFFFF"/>
            <w:noWrap/>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15</w:t>
            </w:r>
          </w:p>
        </w:tc>
        <w:tc>
          <w:tcPr>
            <w:tcW w:w="960" w:type="dxa"/>
            <w:shd w:val="clear" w:color="000000" w:fill="FFFFFF"/>
            <w:noWrap/>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37</w:t>
            </w:r>
          </w:p>
        </w:tc>
        <w:tc>
          <w:tcPr>
            <w:tcW w:w="997" w:type="dxa"/>
            <w:shd w:val="clear" w:color="000000" w:fill="FFFFFF"/>
            <w:noWrap/>
            <w:vAlign w:val="center"/>
          </w:tcPr>
          <w:p w:rsidR="008D573F" w:rsidRDefault="008D573F" w:rsidP="008D573F">
            <w:pPr>
              <w:jc w:val="center"/>
              <w:rPr>
                <w:rFonts w:ascii="Arial" w:hAnsi="Arial" w:cs="Arial"/>
                <w:color w:val="000000"/>
                <w:sz w:val="18"/>
                <w:szCs w:val="18"/>
              </w:rPr>
            </w:pPr>
            <w:r>
              <w:rPr>
                <w:rFonts w:ascii="Arial" w:hAnsi="Arial" w:cs="Arial"/>
                <w:color w:val="000000"/>
                <w:sz w:val="18"/>
                <w:szCs w:val="18"/>
              </w:rPr>
              <w:t>1.53%</w:t>
            </w:r>
          </w:p>
        </w:tc>
      </w:tr>
      <w:tr w:rsidR="008D573F" w:rsidRPr="00D97A34" w:rsidTr="008D573F">
        <w:trPr>
          <w:trHeight w:val="300"/>
          <w:jc w:val="center"/>
        </w:trPr>
        <w:tc>
          <w:tcPr>
            <w:tcW w:w="56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9</w:t>
            </w:r>
          </w:p>
        </w:tc>
        <w:tc>
          <w:tcPr>
            <w:tcW w:w="2314" w:type="dxa"/>
            <w:shd w:val="clear" w:color="000000" w:fill="FFFFFF"/>
            <w:noWrap/>
            <w:vAlign w:val="center"/>
          </w:tcPr>
          <w:p w:rsidR="008D573F" w:rsidRPr="00D97A34" w:rsidRDefault="008D573F" w:rsidP="008D573F">
            <w:pPr>
              <w:rPr>
                <w:rFonts w:ascii="Arial" w:hAnsi="Arial" w:cs="Arial"/>
                <w:color w:val="000000"/>
                <w:sz w:val="18"/>
                <w:szCs w:val="18"/>
              </w:rPr>
            </w:pPr>
            <w:r w:rsidRPr="00D97A34">
              <w:rPr>
                <w:rFonts w:ascii="Arial" w:hAnsi="Arial" w:cs="Arial"/>
                <w:b/>
                <w:color w:val="000000"/>
                <w:sz w:val="18"/>
                <w:szCs w:val="18"/>
              </w:rPr>
              <w:t>31572</w:t>
            </w:r>
            <w:r w:rsidRPr="00D97A34">
              <w:rPr>
                <w:rFonts w:ascii="Arial" w:hAnsi="Arial" w:cs="Arial"/>
                <w:color w:val="000000"/>
                <w:sz w:val="18"/>
                <w:szCs w:val="18"/>
              </w:rPr>
              <w:t>, 105, 30473</w:t>
            </w:r>
          </w:p>
        </w:tc>
        <w:tc>
          <w:tcPr>
            <w:tcW w:w="101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36</w:t>
            </w:r>
          </w:p>
        </w:tc>
        <w:tc>
          <w:tcPr>
            <w:tcW w:w="960"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108</w:t>
            </w:r>
          </w:p>
        </w:tc>
        <w:tc>
          <w:tcPr>
            <w:tcW w:w="1286"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$42,370</w:t>
            </w:r>
          </w:p>
        </w:tc>
        <w:tc>
          <w:tcPr>
            <w:tcW w:w="103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3</w:t>
            </w:r>
          </w:p>
        </w:tc>
        <w:tc>
          <w:tcPr>
            <w:tcW w:w="960"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36</w:t>
            </w:r>
          </w:p>
        </w:tc>
        <w:tc>
          <w:tcPr>
            <w:tcW w:w="99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1.49%</w:t>
            </w:r>
          </w:p>
        </w:tc>
      </w:tr>
      <w:tr w:rsidR="008D573F" w:rsidRPr="00D97A34" w:rsidTr="008D573F">
        <w:trPr>
          <w:trHeight w:val="300"/>
          <w:jc w:val="center"/>
        </w:trPr>
        <w:tc>
          <w:tcPr>
            <w:tcW w:w="56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10</w:t>
            </w:r>
          </w:p>
        </w:tc>
        <w:tc>
          <w:tcPr>
            <w:tcW w:w="2314" w:type="dxa"/>
            <w:shd w:val="clear" w:color="000000" w:fill="FFFFFF"/>
            <w:noWrap/>
            <w:vAlign w:val="center"/>
          </w:tcPr>
          <w:p w:rsidR="008D573F" w:rsidRPr="00D97A34" w:rsidRDefault="008D573F" w:rsidP="008D573F">
            <w:pPr>
              <w:rPr>
                <w:rFonts w:ascii="Arial" w:hAnsi="Arial" w:cs="Arial"/>
                <w:color w:val="000000"/>
                <w:sz w:val="18"/>
                <w:szCs w:val="18"/>
              </w:rPr>
            </w:pPr>
            <w:r w:rsidRPr="00D97A34">
              <w:rPr>
                <w:rFonts w:ascii="Arial" w:hAnsi="Arial" w:cs="Arial"/>
                <w:b/>
                <w:color w:val="000000"/>
                <w:sz w:val="18"/>
                <w:szCs w:val="18"/>
              </w:rPr>
              <w:t>31572</w:t>
            </w:r>
            <w:r w:rsidRPr="00D97A34">
              <w:rPr>
                <w:rFonts w:ascii="Arial" w:hAnsi="Arial" w:cs="Arial"/>
                <w:color w:val="000000"/>
                <w:sz w:val="18"/>
                <w:szCs w:val="18"/>
              </w:rPr>
              <w:t>, 30393, 30473</w:t>
            </w:r>
          </w:p>
        </w:tc>
        <w:tc>
          <w:tcPr>
            <w:tcW w:w="101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36</w:t>
            </w:r>
          </w:p>
        </w:tc>
        <w:tc>
          <w:tcPr>
            <w:tcW w:w="960"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108</w:t>
            </w:r>
          </w:p>
        </w:tc>
        <w:tc>
          <w:tcPr>
            <w:tcW w:w="1286"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$48,656</w:t>
            </w:r>
          </w:p>
        </w:tc>
        <w:tc>
          <w:tcPr>
            <w:tcW w:w="103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13</w:t>
            </w:r>
          </w:p>
        </w:tc>
        <w:tc>
          <w:tcPr>
            <w:tcW w:w="960"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36</w:t>
            </w:r>
          </w:p>
        </w:tc>
        <w:tc>
          <w:tcPr>
            <w:tcW w:w="99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1.49%</w:t>
            </w:r>
          </w:p>
        </w:tc>
      </w:tr>
    </w:tbl>
    <w:p w:rsidR="00F56938" w:rsidRDefault="008D573F" w:rsidP="00F56938">
      <w:pPr>
        <w:spacing w:after="240"/>
        <w:rPr>
          <w:rFonts w:asciiTheme="minorHAnsi" w:hAnsiTheme="minorHAnsi"/>
          <w:bCs/>
          <w:i/>
          <w:sz w:val="16"/>
          <w:szCs w:val="16"/>
        </w:rPr>
      </w:pPr>
      <w:r w:rsidRPr="009A4B53">
        <w:rPr>
          <w:rFonts w:asciiTheme="minorHAnsi" w:hAnsiTheme="minorHAnsi"/>
          <w:bCs/>
          <w:i/>
          <w:sz w:val="16"/>
          <w:szCs w:val="16"/>
        </w:rPr>
        <w:t xml:space="preserve">Source: Department of Health, Medical Benefits Division, Primary Care and Diagnostics Branch, MBS Analytics Section, </w:t>
      </w:r>
      <w:r w:rsidR="00AC4730" w:rsidRPr="009A4B53">
        <w:rPr>
          <w:rFonts w:asciiTheme="minorHAnsi" w:hAnsiTheme="minorHAnsi"/>
          <w:bCs/>
          <w:i/>
          <w:sz w:val="16"/>
          <w:szCs w:val="16"/>
        </w:rPr>
        <w:t>Reference no.: Q20863, July 2017</w:t>
      </w:r>
      <w:r w:rsidR="00F56938">
        <w:rPr>
          <w:rFonts w:asciiTheme="minorHAnsi" w:hAnsiTheme="minorHAnsi"/>
          <w:bCs/>
          <w:i/>
          <w:sz w:val="16"/>
          <w:szCs w:val="16"/>
        </w:rPr>
        <w:br w:type="page"/>
      </w:r>
    </w:p>
    <w:p w:rsidR="008D573F" w:rsidRPr="009418F3" w:rsidRDefault="008D573F" w:rsidP="009418F3">
      <w:pPr>
        <w:rPr>
          <w:rFonts w:ascii="Arial Narrow" w:hAnsi="Arial Narrow"/>
          <w:b/>
          <w:sz w:val="20"/>
        </w:rPr>
      </w:pPr>
      <w:r w:rsidRPr="009418F3">
        <w:rPr>
          <w:rFonts w:ascii="Arial Narrow" w:hAnsi="Arial Narrow"/>
          <w:b/>
          <w:sz w:val="20"/>
        </w:rPr>
        <w:lastRenderedPageBreak/>
        <w:t xml:space="preserve">Table 21: Top 10 instances of co-claiming with MBS item 31575 in 2016-17 </w:t>
      </w: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tem 31575 co-claiming data"/>
        <w:tblDescription w:val="This table depicts the top 10 instances of co-claiming with MBS item 31575 in financial year 2016-17. "/>
      </w:tblPr>
      <w:tblGrid>
        <w:gridCol w:w="567"/>
        <w:gridCol w:w="2314"/>
        <w:gridCol w:w="1017"/>
        <w:gridCol w:w="960"/>
        <w:gridCol w:w="1286"/>
        <w:gridCol w:w="1037"/>
        <w:gridCol w:w="960"/>
        <w:gridCol w:w="997"/>
      </w:tblGrid>
      <w:tr w:rsidR="008D573F" w:rsidRPr="00D97A34" w:rsidTr="008D573F">
        <w:trPr>
          <w:trHeight w:val="721"/>
          <w:jc w:val="center"/>
        </w:trPr>
        <w:tc>
          <w:tcPr>
            <w:tcW w:w="567" w:type="dxa"/>
            <w:shd w:val="clear" w:color="auto" w:fill="548DD4" w:themeFill="text2" w:themeFillTint="99"/>
            <w:vAlign w:val="center"/>
          </w:tcPr>
          <w:p w:rsidR="008D573F" w:rsidRPr="00D97A34" w:rsidRDefault="008D573F" w:rsidP="008D573F">
            <w:pPr>
              <w:jc w:val="center"/>
              <w:rPr>
                <w:rFonts w:ascii="Arial" w:hAnsi="Arial" w:cs="Arial"/>
                <w:b/>
                <w:bCs/>
                <w:color w:val="FFFFFF"/>
                <w:sz w:val="18"/>
                <w:szCs w:val="18"/>
              </w:rPr>
            </w:pPr>
            <w:r w:rsidRPr="00D97A34">
              <w:rPr>
                <w:rFonts w:ascii="Arial" w:hAnsi="Arial" w:cs="Arial"/>
                <w:b/>
                <w:bCs/>
                <w:color w:val="FFFFFF"/>
                <w:sz w:val="18"/>
                <w:szCs w:val="18"/>
              </w:rPr>
              <w:t>#</w:t>
            </w:r>
          </w:p>
        </w:tc>
        <w:tc>
          <w:tcPr>
            <w:tcW w:w="2314" w:type="dxa"/>
            <w:shd w:val="clear" w:color="auto" w:fill="548DD4" w:themeFill="text2" w:themeFillTint="99"/>
            <w:vAlign w:val="center"/>
          </w:tcPr>
          <w:p w:rsidR="008D573F" w:rsidRPr="00D97A34" w:rsidRDefault="008D573F" w:rsidP="008D573F">
            <w:pPr>
              <w:jc w:val="center"/>
              <w:rPr>
                <w:rFonts w:ascii="Arial" w:hAnsi="Arial" w:cs="Arial"/>
                <w:b/>
                <w:bCs/>
                <w:color w:val="FFFFFF"/>
                <w:sz w:val="18"/>
                <w:szCs w:val="18"/>
              </w:rPr>
            </w:pPr>
            <w:r w:rsidRPr="00D97A34">
              <w:rPr>
                <w:rFonts w:ascii="Arial" w:hAnsi="Arial" w:cs="Arial"/>
                <w:b/>
                <w:bCs/>
                <w:color w:val="FFFFFF"/>
                <w:sz w:val="18"/>
                <w:szCs w:val="18"/>
              </w:rPr>
              <w:t>Items</w:t>
            </w:r>
          </w:p>
        </w:tc>
        <w:tc>
          <w:tcPr>
            <w:tcW w:w="1017" w:type="dxa"/>
            <w:shd w:val="clear" w:color="auto" w:fill="548DD4" w:themeFill="text2" w:themeFillTint="99"/>
            <w:vAlign w:val="center"/>
          </w:tcPr>
          <w:p w:rsidR="008D573F" w:rsidRPr="00D97A34" w:rsidRDefault="008D573F" w:rsidP="008D573F">
            <w:pPr>
              <w:jc w:val="center"/>
              <w:rPr>
                <w:rFonts w:ascii="Arial" w:hAnsi="Arial" w:cs="Arial"/>
                <w:b/>
                <w:bCs/>
                <w:color w:val="FFFFFF"/>
                <w:sz w:val="18"/>
                <w:szCs w:val="18"/>
              </w:rPr>
            </w:pPr>
            <w:r w:rsidRPr="00D97A34">
              <w:rPr>
                <w:rFonts w:ascii="Arial" w:hAnsi="Arial" w:cs="Arial"/>
                <w:b/>
                <w:bCs/>
                <w:color w:val="FFFFFF"/>
                <w:sz w:val="18"/>
                <w:szCs w:val="18"/>
              </w:rPr>
              <w:t>Episodes</w:t>
            </w:r>
          </w:p>
        </w:tc>
        <w:tc>
          <w:tcPr>
            <w:tcW w:w="960" w:type="dxa"/>
            <w:shd w:val="clear" w:color="auto" w:fill="548DD4" w:themeFill="text2" w:themeFillTint="99"/>
            <w:vAlign w:val="center"/>
          </w:tcPr>
          <w:p w:rsidR="008D573F" w:rsidRPr="00D97A34" w:rsidRDefault="008D573F" w:rsidP="008D573F">
            <w:pPr>
              <w:jc w:val="center"/>
              <w:rPr>
                <w:rFonts w:ascii="Arial" w:hAnsi="Arial" w:cs="Arial"/>
                <w:b/>
                <w:bCs/>
                <w:color w:val="FFFFFF"/>
                <w:sz w:val="18"/>
                <w:szCs w:val="18"/>
              </w:rPr>
            </w:pPr>
            <w:r w:rsidRPr="00D97A34">
              <w:rPr>
                <w:rFonts w:ascii="Arial" w:hAnsi="Arial" w:cs="Arial"/>
                <w:b/>
                <w:bCs/>
                <w:color w:val="FFFFFF"/>
                <w:sz w:val="18"/>
                <w:szCs w:val="18"/>
              </w:rPr>
              <w:t>Services</w:t>
            </w:r>
          </w:p>
        </w:tc>
        <w:tc>
          <w:tcPr>
            <w:tcW w:w="1286" w:type="dxa"/>
            <w:shd w:val="clear" w:color="auto" w:fill="548DD4" w:themeFill="text2" w:themeFillTint="99"/>
            <w:vAlign w:val="center"/>
          </w:tcPr>
          <w:p w:rsidR="008D573F" w:rsidRPr="00D97A34" w:rsidRDefault="008D573F" w:rsidP="008D573F">
            <w:pPr>
              <w:jc w:val="center"/>
              <w:rPr>
                <w:rFonts w:ascii="Arial" w:hAnsi="Arial" w:cs="Arial"/>
                <w:b/>
                <w:bCs/>
                <w:color w:val="FFFFFF"/>
                <w:sz w:val="18"/>
                <w:szCs w:val="18"/>
              </w:rPr>
            </w:pPr>
            <w:r w:rsidRPr="00D97A34">
              <w:rPr>
                <w:rFonts w:ascii="Arial" w:hAnsi="Arial" w:cs="Arial"/>
                <w:b/>
                <w:bCs/>
                <w:color w:val="FFFFFF"/>
                <w:sz w:val="18"/>
                <w:szCs w:val="18"/>
              </w:rPr>
              <w:t>Schedule Fee for combination</w:t>
            </w:r>
          </w:p>
        </w:tc>
        <w:tc>
          <w:tcPr>
            <w:tcW w:w="1037" w:type="dxa"/>
            <w:shd w:val="clear" w:color="auto" w:fill="548DD4" w:themeFill="text2" w:themeFillTint="99"/>
            <w:vAlign w:val="center"/>
          </w:tcPr>
          <w:p w:rsidR="008D573F" w:rsidRPr="00D97A34" w:rsidRDefault="008D573F" w:rsidP="008D573F">
            <w:pPr>
              <w:jc w:val="center"/>
              <w:rPr>
                <w:rFonts w:ascii="Arial" w:hAnsi="Arial" w:cs="Arial"/>
                <w:b/>
                <w:bCs/>
                <w:color w:val="FFFFFF"/>
                <w:sz w:val="18"/>
                <w:szCs w:val="18"/>
              </w:rPr>
            </w:pPr>
            <w:r w:rsidRPr="00D97A34">
              <w:rPr>
                <w:rFonts w:ascii="Arial" w:hAnsi="Arial" w:cs="Arial"/>
                <w:b/>
                <w:bCs/>
                <w:color w:val="FFFFFF"/>
                <w:sz w:val="18"/>
                <w:szCs w:val="18"/>
              </w:rPr>
              <w:t>Number of providers</w:t>
            </w:r>
          </w:p>
        </w:tc>
        <w:tc>
          <w:tcPr>
            <w:tcW w:w="960" w:type="dxa"/>
            <w:shd w:val="clear" w:color="auto" w:fill="548DD4" w:themeFill="text2" w:themeFillTint="99"/>
            <w:vAlign w:val="center"/>
          </w:tcPr>
          <w:p w:rsidR="008D573F" w:rsidRPr="00D97A34" w:rsidRDefault="008D573F" w:rsidP="008D573F">
            <w:pPr>
              <w:jc w:val="center"/>
              <w:rPr>
                <w:rFonts w:ascii="Arial" w:hAnsi="Arial" w:cs="Arial"/>
                <w:b/>
                <w:bCs/>
                <w:color w:val="FFFFFF"/>
                <w:sz w:val="18"/>
                <w:szCs w:val="18"/>
              </w:rPr>
            </w:pPr>
            <w:r w:rsidRPr="00D97A34">
              <w:rPr>
                <w:rFonts w:ascii="Arial" w:hAnsi="Arial" w:cs="Arial"/>
                <w:b/>
                <w:bCs/>
                <w:color w:val="FFFFFF"/>
                <w:sz w:val="18"/>
                <w:szCs w:val="18"/>
              </w:rPr>
              <w:t>Number of patients</w:t>
            </w:r>
          </w:p>
        </w:tc>
        <w:tc>
          <w:tcPr>
            <w:tcW w:w="997" w:type="dxa"/>
            <w:shd w:val="clear" w:color="auto" w:fill="548DD4" w:themeFill="text2" w:themeFillTint="99"/>
            <w:vAlign w:val="center"/>
          </w:tcPr>
          <w:p w:rsidR="008D573F" w:rsidRPr="00D97A34" w:rsidRDefault="008D573F" w:rsidP="008D573F">
            <w:pPr>
              <w:jc w:val="center"/>
              <w:rPr>
                <w:rFonts w:ascii="Arial" w:hAnsi="Arial" w:cs="Arial"/>
                <w:b/>
                <w:bCs/>
                <w:color w:val="FFFFFF"/>
                <w:sz w:val="18"/>
                <w:szCs w:val="18"/>
              </w:rPr>
            </w:pPr>
            <w:r w:rsidRPr="00D97A34">
              <w:rPr>
                <w:rFonts w:ascii="Arial" w:hAnsi="Arial" w:cs="Arial"/>
                <w:b/>
                <w:bCs/>
                <w:color w:val="FFFFFF"/>
                <w:sz w:val="18"/>
                <w:szCs w:val="18"/>
              </w:rPr>
              <w:t>% of episodes</w:t>
            </w:r>
          </w:p>
        </w:tc>
      </w:tr>
      <w:tr w:rsidR="008D573F" w:rsidRPr="00D97A34" w:rsidTr="008D573F">
        <w:trPr>
          <w:trHeight w:val="300"/>
          <w:jc w:val="center"/>
        </w:trPr>
        <w:tc>
          <w:tcPr>
            <w:tcW w:w="56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1</w:t>
            </w:r>
          </w:p>
        </w:tc>
        <w:tc>
          <w:tcPr>
            <w:tcW w:w="2314" w:type="dxa"/>
            <w:shd w:val="clear" w:color="000000" w:fill="FFFFFF"/>
            <w:noWrap/>
            <w:vAlign w:val="center"/>
          </w:tcPr>
          <w:p w:rsidR="008D573F" w:rsidRPr="00D97A34" w:rsidRDefault="008D573F" w:rsidP="008D573F">
            <w:pPr>
              <w:rPr>
                <w:rFonts w:ascii="Arial" w:hAnsi="Arial" w:cs="Arial"/>
                <w:b/>
                <w:color w:val="000000"/>
                <w:sz w:val="18"/>
                <w:szCs w:val="18"/>
              </w:rPr>
            </w:pPr>
            <w:r w:rsidRPr="00D97A34">
              <w:rPr>
                <w:rFonts w:ascii="Arial" w:hAnsi="Arial" w:cs="Arial"/>
                <w:b/>
                <w:color w:val="000000"/>
                <w:sz w:val="18"/>
                <w:szCs w:val="18"/>
              </w:rPr>
              <w:t>31575</w:t>
            </w:r>
          </w:p>
        </w:tc>
        <w:tc>
          <w:tcPr>
            <w:tcW w:w="101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7,040</w:t>
            </w:r>
          </w:p>
        </w:tc>
        <w:tc>
          <w:tcPr>
            <w:tcW w:w="960"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7,040</w:t>
            </w:r>
          </w:p>
        </w:tc>
        <w:tc>
          <w:tcPr>
            <w:tcW w:w="1286"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$5,980,407</w:t>
            </w:r>
          </w:p>
        </w:tc>
        <w:tc>
          <w:tcPr>
            <w:tcW w:w="103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164</w:t>
            </w:r>
          </w:p>
        </w:tc>
        <w:tc>
          <w:tcPr>
            <w:tcW w:w="960"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7,031</w:t>
            </w:r>
          </w:p>
        </w:tc>
        <w:tc>
          <w:tcPr>
            <w:tcW w:w="99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44.06%</w:t>
            </w:r>
          </w:p>
        </w:tc>
      </w:tr>
      <w:tr w:rsidR="008D573F" w:rsidRPr="00D97A34" w:rsidTr="008D573F">
        <w:trPr>
          <w:trHeight w:val="300"/>
          <w:jc w:val="center"/>
        </w:trPr>
        <w:tc>
          <w:tcPr>
            <w:tcW w:w="56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2</w:t>
            </w:r>
          </w:p>
        </w:tc>
        <w:tc>
          <w:tcPr>
            <w:tcW w:w="2314" w:type="dxa"/>
            <w:shd w:val="clear" w:color="000000" w:fill="FFFFFF"/>
            <w:noWrap/>
            <w:vAlign w:val="center"/>
          </w:tcPr>
          <w:p w:rsidR="008D573F" w:rsidRPr="00D97A34" w:rsidRDefault="008D573F" w:rsidP="008D573F">
            <w:pPr>
              <w:rPr>
                <w:rFonts w:ascii="Arial" w:hAnsi="Arial" w:cs="Arial"/>
                <w:color w:val="000000"/>
                <w:sz w:val="18"/>
                <w:szCs w:val="18"/>
              </w:rPr>
            </w:pPr>
            <w:r w:rsidRPr="00D97A34">
              <w:rPr>
                <w:rFonts w:ascii="Arial" w:hAnsi="Arial" w:cs="Arial"/>
                <w:b/>
                <w:color w:val="000000"/>
                <w:sz w:val="18"/>
                <w:szCs w:val="18"/>
              </w:rPr>
              <w:t>31575</w:t>
            </w:r>
            <w:r w:rsidRPr="00D97A34">
              <w:rPr>
                <w:rFonts w:ascii="Arial" w:hAnsi="Arial" w:cs="Arial"/>
                <w:color w:val="000000"/>
                <w:sz w:val="18"/>
                <w:szCs w:val="18"/>
              </w:rPr>
              <w:t>, 105</w:t>
            </w:r>
          </w:p>
        </w:tc>
        <w:tc>
          <w:tcPr>
            <w:tcW w:w="101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2,859</w:t>
            </w:r>
          </w:p>
        </w:tc>
        <w:tc>
          <w:tcPr>
            <w:tcW w:w="960"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5,720</w:t>
            </w:r>
          </w:p>
        </w:tc>
        <w:tc>
          <w:tcPr>
            <w:tcW w:w="1286"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$2,551,886</w:t>
            </w:r>
          </w:p>
        </w:tc>
        <w:tc>
          <w:tcPr>
            <w:tcW w:w="103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62</w:t>
            </w:r>
          </w:p>
        </w:tc>
        <w:tc>
          <w:tcPr>
            <w:tcW w:w="960"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2,856</w:t>
            </w:r>
          </w:p>
        </w:tc>
        <w:tc>
          <w:tcPr>
            <w:tcW w:w="99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17.89%</w:t>
            </w:r>
          </w:p>
        </w:tc>
      </w:tr>
      <w:tr w:rsidR="008D573F" w:rsidRPr="00D97A34" w:rsidTr="008D573F">
        <w:trPr>
          <w:trHeight w:val="300"/>
          <w:jc w:val="center"/>
        </w:trPr>
        <w:tc>
          <w:tcPr>
            <w:tcW w:w="56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3</w:t>
            </w:r>
          </w:p>
        </w:tc>
        <w:tc>
          <w:tcPr>
            <w:tcW w:w="2314" w:type="dxa"/>
            <w:shd w:val="clear" w:color="000000" w:fill="FFFFFF"/>
            <w:noWrap/>
            <w:vAlign w:val="center"/>
          </w:tcPr>
          <w:p w:rsidR="008D573F" w:rsidRPr="00D97A34" w:rsidRDefault="008D573F" w:rsidP="008D573F">
            <w:pPr>
              <w:rPr>
                <w:rFonts w:ascii="Arial" w:hAnsi="Arial" w:cs="Arial"/>
                <w:color w:val="000000"/>
                <w:sz w:val="18"/>
                <w:szCs w:val="18"/>
              </w:rPr>
            </w:pPr>
            <w:r w:rsidRPr="00D97A34">
              <w:rPr>
                <w:rFonts w:ascii="Arial" w:hAnsi="Arial" w:cs="Arial"/>
                <w:b/>
                <w:color w:val="000000"/>
                <w:sz w:val="18"/>
                <w:szCs w:val="18"/>
              </w:rPr>
              <w:t>31575</w:t>
            </w:r>
            <w:r w:rsidRPr="00D97A34">
              <w:rPr>
                <w:rFonts w:ascii="Arial" w:hAnsi="Arial" w:cs="Arial"/>
                <w:color w:val="000000"/>
                <w:sz w:val="18"/>
                <w:szCs w:val="18"/>
              </w:rPr>
              <w:t>, 51303</w:t>
            </w:r>
          </w:p>
        </w:tc>
        <w:tc>
          <w:tcPr>
            <w:tcW w:w="101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875</w:t>
            </w:r>
          </w:p>
        </w:tc>
        <w:tc>
          <w:tcPr>
            <w:tcW w:w="960"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1,750</w:t>
            </w:r>
          </w:p>
        </w:tc>
        <w:tc>
          <w:tcPr>
            <w:tcW w:w="1286"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$892,185</w:t>
            </w:r>
          </w:p>
        </w:tc>
        <w:tc>
          <w:tcPr>
            <w:tcW w:w="103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52</w:t>
            </w:r>
          </w:p>
        </w:tc>
        <w:tc>
          <w:tcPr>
            <w:tcW w:w="960"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875</w:t>
            </w:r>
          </w:p>
        </w:tc>
        <w:tc>
          <w:tcPr>
            <w:tcW w:w="99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5.48%</w:t>
            </w:r>
          </w:p>
        </w:tc>
      </w:tr>
      <w:tr w:rsidR="008D573F" w:rsidRPr="00D97A34" w:rsidTr="008D573F">
        <w:trPr>
          <w:trHeight w:val="300"/>
          <w:jc w:val="center"/>
        </w:trPr>
        <w:tc>
          <w:tcPr>
            <w:tcW w:w="56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4</w:t>
            </w:r>
          </w:p>
        </w:tc>
        <w:tc>
          <w:tcPr>
            <w:tcW w:w="2314" w:type="dxa"/>
            <w:shd w:val="clear" w:color="000000" w:fill="FFFFFF"/>
            <w:noWrap/>
            <w:vAlign w:val="center"/>
          </w:tcPr>
          <w:p w:rsidR="008D573F" w:rsidRPr="00D97A34" w:rsidRDefault="008D573F" w:rsidP="008D573F">
            <w:pPr>
              <w:rPr>
                <w:rFonts w:ascii="Arial" w:hAnsi="Arial" w:cs="Arial"/>
                <w:color w:val="000000"/>
                <w:sz w:val="18"/>
                <w:szCs w:val="18"/>
              </w:rPr>
            </w:pPr>
            <w:r w:rsidRPr="00D97A34">
              <w:rPr>
                <w:rFonts w:ascii="Arial" w:hAnsi="Arial" w:cs="Arial"/>
                <w:b/>
                <w:color w:val="000000"/>
                <w:sz w:val="18"/>
                <w:szCs w:val="18"/>
              </w:rPr>
              <w:t>31575</w:t>
            </w:r>
            <w:r w:rsidRPr="00D97A34">
              <w:rPr>
                <w:rFonts w:ascii="Arial" w:hAnsi="Arial" w:cs="Arial"/>
                <w:color w:val="000000"/>
                <w:sz w:val="18"/>
                <w:szCs w:val="18"/>
              </w:rPr>
              <w:t>, 30393</w:t>
            </w:r>
          </w:p>
        </w:tc>
        <w:tc>
          <w:tcPr>
            <w:tcW w:w="101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797</w:t>
            </w:r>
          </w:p>
        </w:tc>
        <w:tc>
          <w:tcPr>
            <w:tcW w:w="960"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1,594</w:t>
            </w:r>
          </w:p>
        </w:tc>
        <w:tc>
          <w:tcPr>
            <w:tcW w:w="1286"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$885,786</w:t>
            </w:r>
          </w:p>
        </w:tc>
        <w:tc>
          <w:tcPr>
            <w:tcW w:w="103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91</w:t>
            </w:r>
          </w:p>
        </w:tc>
        <w:tc>
          <w:tcPr>
            <w:tcW w:w="960"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794</w:t>
            </w:r>
          </w:p>
        </w:tc>
        <w:tc>
          <w:tcPr>
            <w:tcW w:w="99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4.99%</w:t>
            </w:r>
          </w:p>
        </w:tc>
      </w:tr>
      <w:tr w:rsidR="008D573F" w:rsidRPr="00D97A34" w:rsidTr="008D573F">
        <w:trPr>
          <w:trHeight w:val="300"/>
          <w:jc w:val="center"/>
        </w:trPr>
        <w:tc>
          <w:tcPr>
            <w:tcW w:w="56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5</w:t>
            </w:r>
          </w:p>
        </w:tc>
        <w:tc>
          <w:tcPr>
            <w:tcW w:w="2314" w:type="dxa"/>
            <w:shd w:val="clear" w:color="000000" w:fill="FFFFFF"/>
            <w:noWrap/>
            <w:vAlign w:val="center"/>
          </w:tcPr>
          <w:p w:rsidR="008D573F" w:rsidRPr="00D97A34" w:rsidRDefault="008D573F" w:rsidP="008D573F">
            <w:pPr>
              <w:rPr>
                <w:rFonts w:ascii="Arial" w:hAnsi="Arial" w:cs="Arial"/>
                <w:color w:val="000000"/>
                <w:sz w:val="18"/>
                <w:szCs w:val="18"/>
              </w:rPr>
            </w:pPr>
            <w:r w:rsidRPr="00D97A34">
              <w:rPr>
                <w:rFonts w:ascii="Arial" w:hAnsi="Arial" w:cs="Arial"/>
                <w:b/>
                <w:color w:val="000000"/>
                <w:sz w:val="18"/>
                <w:szCs w:val="18"/>
              </w:rPr>
              <w:t>31575</w:t>
            </w:r>
            <w:r w:rsidRPr="00D97A34">
              <w:rPr>
                <w:rFonts w:ascii="Arial" w:hAnsi="Arial" w:cs="Arial"/>
                <w:color w:val="000000"/>
                <w:sz w:val="18"/>
                <w:szCs w:val="18"/>
              </w:rPr>
              <w:t>, 31468</w:t>
            </w:r>
          </w:p>
        </w:tc>
        <w:tc>
          <w:tcPr>
            <w:tcW w:w="101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441</w:t>
            </w:r>
          </w:p>
        </w:tc>
        <w:tc>
          <w:tcPr>
            <w:tcW w:w="960"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882</w:t>
            </w:r>
          </w:p>
        </w:tc>
        <w:tc>
          <w:tcPr>
            <w:tcW w:w="1286"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$820,971</w:t>
            </w:r>
          </w:p>
        </w:tc>
        <w:tc>
          <w:tcPr>
            <w:tcW w:w="103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48</w:t>
            </w:r>
          </w:p>
        </w:tc>
        <w:tc>
          <w:tcPr>
            <w:tcW w:w="960"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441</w:t>
            </w:r>
          </w:p>
        </w:tc>
        <w:tc>
          <w:tcPr>
            <w:tcW w:w="99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2.76%</w:t>
            </w:r>
          </w:p>
        </w:tc>
      </w:tr>
      <w:tr w:rsidR="008D573F" w:rsidRPr="00D97A34" w:rsidTr="008D573F">
        <w:trPr>
          <w:trHeight w:val="300"/>
          <w:jc w:val="center"/>
        </w:trPr>
        <w:tc>
          <w:tcPr>
            <w:tcW w:w="56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6</w:t>
            </w:r>
          </w:p>
        </w:tc>
        <w:tc>
          <w:tcPr>
            <w:tcW w:w="2314" w:type="dxa"/>
            <w:shd w:val="clear" w:color="000000" w:fill="FFFFFF"/>
            <w:noWrap/>
            <w:vAlign w:val="center"/>
          </w:tcPr>
          <w:p w:rsidR="008D573F" w:rsidRPr="00D97A34" w:rsidRDefault="008D573F" w:rsidP="008D573F">
            <w:pPr>
              <w:rPr>
                <w:rFonts w:ascii="Arial" w:hAnsi="Arial" w:cs="Arial"/>
                <w:color w:val="000000"/>
                <w:sz w:val="18"/>
                <w:szCs w:val="18"/>
              </w:rPr>
            </w:pPr>
            <w:r w:rsidRPr="00D97A34">
              <w:rPr>
                <w:rFonts w:ascii="Arial" w:hAnsi="Arial" w:cs="Arial"/>
                <w:b/>
                <w:color w:val="000000"/>
                <w:sz w:val="18"/>
                <w:szCs w:val="18"/>
              </w:rPr>
              <w:t>31575</w:t>
            </w:r>
            <w:r w:rsidRPr="00D97A34">
              <w:rPr>
                <w:rFonts w:ascii="Arial" w:hAnsi="Arial" w:cs="Arial"/>
                <w:color w:val="000000"/>
                <w:sz w:val="18"/>
                <w:szCs w:val="18"/>
              </w:rPr>
              <w:t>, 105, 30393</w:t>
            </w:r>
          </w:p>
        </w:tc>
        <w:tc>
          <w:tcPr>
            <w:tcW w:w="101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434</w:t>
            </w:r>
          </w:p>
        </w:tc>
        <w:tc>
          <w:tcPr>
            <w:tcW w:w="960"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1,302</w:t>
            </w:r>
          </w:p>
        </w:tc>
        <w:tc>
          <w:tcPr>
            <w:tcW w:w="1286"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$501,271</w:t>
            </w:r>
          </w:p>
        </w:tc>
        <w:tc>
          <w:tcPr>
            <w:tcW w:w="103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39</w:t>
            </w:r>
          </w:p>
        </w:tc>
        <w:tc>
          <w:tcPr>
            <w:tcW w:w="960"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434</w:t>
            </w:r>
          </w:p>
        </w:tc>
        <w:tc>
          <w:tcPr>
            <w:tcW w:w="99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2.72%</w:t>
            </w:r>
          </w:p>
        </w:tc>
      </w:tr>
      <w:tr w:rsidR="008D573F" w:rsidRPr="00D97A34" w:rsidTr="008D573F">
        <w:trPr>
          <w:trHeight w:val="300"/>
          <w:jc w:val="center"/>
        </w:trPr>
        <w:tc>
          <w:tcPr>
            <w:tcW w:w="56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7</w:t>
            </w:r>
          </w:p>
        </w:tc>
        <w:tc>
          <w:tcPr>
            <w:tcW w:w="2314" w:type="dxa"/>
            <w:shd w:val="clear" w:color="000000" w:fill="FFFFFF"/>
            <w:noWrap/>
            <w:vAlign w:val="center"/>
          </w:tcPr>
          <w:p w:rsidR="008D573F" w:rsidRPr="00D97A34" w:rsidRDefault="008D573F" w:rsidP="008D573F">
            <w:pPr>
              <w:rPr>
                <w:rFonts w:ascii="Arial" w:hAnsi="Arial" w:cs="Arial"/>
                <w:color w:val="000000"/>
                <w:sz w:val="18"/>
                <w:szCs w:val="18"/>
              </w:rPr>
            </w:pPr>
            <w:r w:rsidRPr="00D97A34">
              <w:rPr>
                <w:rFonts w:ascii="Arial" w:hAnsi="Arial" w:cs="Arial"/>
                <w:b/>
                <w:color w:val="000000"/>
                <w:sz w:val="18"/>
                <w:szCs w:val="18"/>
              </w:rPr>
              <w:t>31575</w:t>
            </w:r>
            <w:r w:rsidRPr="00D97A34">
              <w:rPr>
                <w:rFonts w:ascii="Arial" w:hAnsi="Arial" w:cs="Arial"/>
                <w:color w:val="000000"/>
                <w:sz w:val="18"/>
                <w:szCs w:val="18"/>
              </w:rPr>
              <w:t>, 30390</w:t>
            </w:r>
          </w:p>
        </w:tc>
        <w:tc>
          <w:tcPr>
            <w:tcW w:w="101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322</w:t>
            </w:r>
          </w:p>
        </w:tc>
        <w:tc>
          <w:tcPr>
            <w:tcW w:w="960"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644</w:t>
            </w:r>
          </w:p>
        </w:tc>
        <w:tc>
          <w:tcPr>
            <w:tcW w:w="1286"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$308,975</w:t>
            </w:r>
          </w:p>
        </w:tc>
        <w:tc>
          <w:tcPr>
            <w:tcW w:w="103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13</w:t>
            </w:r>
          </w:p>
        </w:tc>
        <w:tc>
          <w:tcPr>
            <w:tcW w:w="960"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320</w:t>
            </w:r>
          </w:p>
        </w:tc>
        <w:tc>
          <w:tcPr>
            <w:tcW w:w="99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2.02%</w:t>
            </w:r>
          </w:p>
        </w:tc>
      </w:tr>
      <w:tr w:rsidR="008D573F" w:rsidRPr="00D97A34" w:rsidTr="008D573F">
        <w:trPr>
          <w:trHeight w:val="300"/>
          <w:jc w:val="center"/>
        </w:trPr>
        <w:tc>
          <w:tcPr>
            <w:tcW w:w="56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8</w:t>
            </w:r>
          </w:p>
        </w:tc>
        <w:tc>
          <w:tcPr>
            <w:tcW w:w="2314" w:type="dxa"/>
            <w:shd w:val="clear" w:color="000000" w:fill="FFFFFF"/>
            <w:noWrap/>
            <w:vAlign w:val="center"/>
          </w:tcPr>
          <w:p w:rsidR="008D573F" w:rsidRPr="00D97A34" w:rsidRDefault="008D573F" w:rsidP="008D573F">
            <w:pPr>
              <w:rPr>
                <w:rFonts w:ascii="Arial" w:hAnsi="Arial" w:cs="Arial"/>
                <w:color w:val="000000"/>
                <w:sz w:val="18"/>
                <w:szCs w:val="18"/>
              </w:rPr>
            </w:pPr>
            <w:r w:rsidRPr="00D97A34">
              <w:rPr>
                <w:rFonts w:ascii="Arial" w:hAnsi="Arial" w:cs="Arial"/>
                <w:b/>
                <w:color w:val="000000"/>
                <w:sz w:val="18"/>
                <w:szCs w:val="18"/>
              </w:rPr>
              <w:t>31575</w:t>
            </w:r>
            <w:r w:rsidRPr="00D97A34">
              <w:rPr>
                <w:rFonts w:ascii="Arial" w:hAnsi="Arial" w:cs="Arial"/>
                <w:color w:val="000000"/>
                <w:sz w:val="18"/>
                <w:szCs w:val="18"/>
              </w:rPr>
              <w:t>, 104</w:t>
            </w:r>
          </w:p>
        </w:tc>
        <w:tc>
          <w:tcPr>
            <w:tcW w:w="101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302</w:t>
            </w:r>
          </w:p>
        </w:tc>
        <w:tc>
          <w:tcPr>
            <w:tcW w:w="960"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604</w:t>
            </w:r>
          </w:p>
        </w:tc>
        <w:tc>
          <w:tcPr>
            <w:tcW w:w="1286"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$282,400</w:t>
            </w:r>
          </w:p>
        </w:tc>
        <w:tc>
          <w:tcPr>
            <w:tcW w:w="103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8</w:t>
            </w:r>
          </w:p>
        </w:tc>
        <w:tc>
          <w:tcPr>
            <w:tcW w:w="960"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301</w:t>
            </w:r>
          </w:p>
        </w:tc>
        <w:tc>
          <w:tcPr>
            <w:tcW w:w="99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1.89%</w:t>
            </w:r>
          </w:p>
        </w:tc>
      </w:tr>
      <w:tr w:rsidR="008D573F" w:rsidRPr="00D97A34" w:rsidTr="008D573F">
        <w:trPr>
          <w:trHeight w:val="300"/>
          <w:jc w:val="center"/>
        </w:trPr>
        <w:tc>
          <w:tcPr>
            <w:tcW w:w="56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9</w:t>
            </w:r>
          </w:p>
        </w:tc>
        <w:tc>
          <w:tcPr>
            <w:tcW w:w="2314" w:type="dxa"/>
            <w:shd w:val="clear" w:color="000000" w:fill="FFFFFF"/>
            <w:noWrap/>
            <w:vAlign w:val="center"/>
          </w:tcPr>
          <w:p w:rsidR="008D573F" w:rsidRPr="00D97A34" w:rsidRDefault="008D573F" w:rsidP="008D573F">
            <w:pPr>
              <w:rPr>
                <w:rFonts w:ascii="Arial" w:hAnsi="Arial" w:cs="Arial"/>
                <w:color w:val="000000"/>
                <w:sz w:val="18"/>
                <w:szCs w:val="18"/>
              </w:rPr>
            </w:pPr>
            <w:r w:rsidRPr="00D97A34">
              <w:rPr>
                <w:rFonts w:ascii="Arial" w:hAnsi="Arial" w:cs="Arial"/>
                <w:b/>
                <w:color w:val="000000"/>
                <w:sz w:val="18"/>
                <w:szCs w:val="18"/>
              </w:rPr>
              <w:t>31575</w:t>
            </w:r>
            <w:r w:rsidRPr="00D97A34">
              <w:rPr>
                <w:rFonts w:ascii="Arial" w:hAnsi="Arial" w:cs="Arial"/>
                <w:color w:val="000000"/>
                <w:sz w:val="18"/>
                <w:szCs w:val="18"/>
              </w:rPr>
              <w:t>, 30473</w:t>
            </w:r>
          </w:p>
        </w:tc>
        <w:tc>
          <w:tcPr>
            <w:tcW w:w="101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280</w:t>
            </w:r>
          </w:p>
        </w:tc>
        <w:tc>
          <w:tcPr>
            <w:tcW w:w="960"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560</w:t>
            </w:r>
          </w:p>
        </w:tc>
        <w:tc>
          <w:tcPr>
            <w:tcW w:w="1286"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$262,757</w:t>
            </w:r>
          </w:p>
        </w:tc>
        <w:tc>
          <w:tcPr>
            <w:tcW w:w="103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25</w:t>
            </w:r>
          </w:p>
        </w:tc>
        <w:tc>
          <w:tcPr>
            <w:tcW w:w="960"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280</w:t>
            </w:r>
          </w:p>
        </w:tc>
        <w:tc>
          <w:tcPr>
            <w:tcW w:w="99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1.75%</w:t>
            </w:r>
          </w:p>
        </w:tc>
      </w:tr>
      <w:tr w:rsidR="008D573F" w:rsidRPr="00D97A34" w:rsidTr="008D573F">
        <w:trPr>
          <w:trHeight w:val="300"/>
          <w:jc w:val="center"/>
        </w:trPr>
        <w:tc>
          <w:tcPr>
            <w:tcW w:w="56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10</w:t>
            </w:r>
          </w:p>
        </w:tc>
        <w:tc>
          <w:tcPr>
            <w:tcW w:w="2314" w:type="dxa"/>
            <w:shd w:val="clear" w:color="000000" w:fill="FFFFFF"/>
            <w:noWrap/>
            <w:vAlign w:val="center"/>
          </w:tcPr>
          <w:p w:rsidR="008D573F" w:rsidRPr="00D97A34" w:rsidRDefault="008D573F" w:rsidP="008D573F">
            <w:pPr>
              <w:rPr>
                <w:rFonts w:ascii="Arial" w:hAnsi="Arial" w:cs="Arial"/>
                <w:color w:val="000000"/>
                <w:sz w:val="18"/>
                <w:szCs w:val="18"/>
              </w:rPr>
            </w:pPr>
            <w:r w:rsidRPr="00D97A34">
              <w:rPr>
                <w:rFonts w:ascii="Arial" w:hAnsi="Arial" w:cs="Arial"/>
                <w:b/>
                <w:color w:val="000000"/>
                <w:sz w:val="18"/>
                <w:szCs w:val="18"/>
              </w:rPr>
              <w:t>31575</w:t>
            </w:r>
            <w:r w:rsidRPr="00D97A34">
              <w:rPr>
                <w:rFonts w:ascii="Arial" w:hAnsi="Arial" w:cs="Arial"/>
                <w:color w:val="000000"/>
                <w:sz w:val="18"/>
                <w:szCs w:val="18"/>
              </w:rPr>
              <w:t>, 30391</w:t>
            </w:r>
          </w:p>
        </w:tc>
        <w:tc>
          <w:tcPr>
            <w:tcW w:w="101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188</w:t>
            </w:r>
          </w:p>
        </w:tc>
        <w:tc>
          <w:tcPr>
            <w:tcW w:w="960"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376</w:t>
            </w:r>
          </w:p>
        </w:tc>
        <w:tc>
          <w:tcPr>
            <w:tcW w:w="1286"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$186,449</w:t>
            </w:r>
          </w:p>
        </w:tc>
        <w:tc>
          <w:tcPr>
            <w:tcW w:w="103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8</w:t>
            </w:r>
          </w:p>
        </w:tc>
        <w:tc>
          <w:tcPr>
            <w:tcW w:w="960"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188</w:t>
            </w:r>
          </w:p>
        </w:tc>
        <w:tc>
          <w:tcPr>
            <w:tcW w:w="997" w:type="dxa"/>
            <w:shd w:val="clear" w:color="000000" w:fill="FFFFFF"/>
            <w:noWrap/>
            <w:vAlign w:val="center"/>
          </w:tcPr>
          <w:p w:rsidR="008D573F" w:rsidRPr="00D97A34" w:rsidRDefault="008D573F" w:rsidP="008D573F">
            <w:pPr>
              <w:jc w:val="center"/>
              <w:rPr>
                <w:rFonts w:ascii="Arial" w:hAnsi="Arial" w:cs="Arial"/>
                <w:color w:val="000000"/>
                <w:sz w:val="18"/>
                <w:szCs w:val="18"/>
              </w:rPr>
            </w:pPr>
            <w:r w:rsidRPr="00D97A34">
              <w:rPr>
                <w:rFonts w:ascii="Arial" w:hAnsi="Arial" w:cs="Arial"/>
                <w:color w:val="000000"/>
                <w:sz w:val="18"/>
                <w:szCs w:val="18"/>
              </w:rPr>
              <w:t>1.18%</w:t>
            </w:r>
          </w:p>
        </w:tc>
      </w:tr>
    </w:tbl>
    <w:p w:rsidR="00AC4730" w:rsidRPr="00F56938" w:rsidRDefault="008D573F" w:rsidP="00F56938">
      <w:pPr>
        <w:spacing w:after="240"/>
        <w:rPr>
          <w:rFonts w:asciiTheme="minorHAnsi" w:hAnsiTheme="minorHAnsi"/>
          <w:bCs/>
          <w:i/>
          <w:sz w:val="16"/>
          <w:szCs w:val="16"/>
        </w:rPr>
      </w:pPr>
      <w:r w:rsidRPr="009A4B53">
        <w:rPr>
          <w:rFonts w:asciiTheme="minorHAnsi" w:hAnsiTheme="minorHAnsi"/>
          <w:bCs/>
          <w:i/>
          <w:sz w:val="16"/>
          <w:szCs w:val="16"/>
        </w:rPr>
        <w:t>Source: Department of Health, Medical Benefits Division, Primary Care and Diagnostics Branch, MBS Analytics Section, R</w:t>
      </w:r>
      <w:r w:rsidR="00F56938">
        <w:rPr>
          <w:rFonts w:asciiTheme="minorHAnsi" w:hAnsiTheme="minorHAnsi"/>
          <w:bCs/>
          <w:i/>
          <w:sz w:val="16"/>
          <w:szCs w:val="16"/>
        </w:rPr>
        <w:t>eference no.: Q20863, July 2017</w:t>
      </w:r>
    </w:p>
    <w:p w:rsidR="008D573F" w:rsidRPr="009418F3" w:rsidRDefault="008D573F" w:rsidP="009418F3">
      <w:pPr>
        <w:rPr>
          <w:rFonts w:ascii="Arial Narrow" w:hAnsi="Arial Narrow"/>
          <w:b/>
          <w:sz w:val="20"/>
        </w:rPr>
      </w:pPr>
      <w:r w:rsidRPr="009418F3">
        <w:rPr>
          <w:rFonts w:ascii="Arial Narrow" w:hAnsi="Arial Narrow"/>
          <w:b/>
          <w:sz w:val="20"/>
        </w:rPr>
        <w:t xml:space="preserve">Table 22: Top 10 instances of co-claiming with MBS item 31584 in 2016-17 </w:t>
      </w: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tem 31584 co-claiming data"/>
        <w:tblDescription w:val="This table depicts the top 10 instances of co-claiming with MBS item 31584 in financial year 2016-17. "/>
      </w:tblPr>
      <w:tblGrid>
        <w:gridCol w:w="567"/>
        <w:gridCol w:w="2314"/>
        <w:gridCol w:w="1017"/>
        <w:gridCol w:w="960"/>
        <w:gridCol w:w="1286"/>
        <w:gridCol w:w="1037"/>
        <w:gridCol w:w="960"/>
        <w:gridCol w:w="997"/>
      </w:tblGrid>
      <w:tr w:rsidR="008D573F" w:rsidRPr="003E5A23" w:rsidTr="008D573F">
        <w:trPr>
          <w:trHeight w:val="721"/>
          <w:jc w:val="center"/>
        </w:trPr>
        <w:tc>
          <w:tcPr>
            <w:tcW w:w="567" w:type="dxa"/>
            <w:shd w:val="clear" w:color="auto" w:fill="548DD4" w:themeFill="text2" w:themeFillTint="99"/>
            <w:vAlign w:val="center"/>
            <w:hideMark/>
          </w:tcPr>
          <w:p w:rsidR="008D573F" w:rsidRPr="003E5A23" w:rsidRDefault="008D573F" w:rsidP="008D573F">
            <w:pPr>
              <w:jc w:val="center"/>
              <w:rPr>
                <w:rFonts w:ascii="Arial" w:hAnsi="Arial" w:cs="Arial"/>
                <w:b/>
                <w:bCs/>
                <w:color w:val="FFFFFF"/>
                <w:sz w:val="18"/>
                <w:szCs w:val="18"/>
              </w:rPr>
            </w:pPr>
            <w:r w:rsidRPr="003E5A23">
              <w:rPr>
                <w:rFonts w:ascii="Arial" w:hAnsi="Arial" w:cs="Arial"/>
                <w:b/>
                <w:bCs/>
                <w:color w:val="FFFFFF"/>
                <w:sz w:val="18"/>
                <w:szCs w:val="18"/>
              </w:rPr>
              <w:t>#</w:t>
            </w:r>
          </w:p>
        </w:tc>
        <w:tc>
          <w:tcPr>
            <w:tcW w:w="2314" w:type="dxa"/>
            <w:shd w:val="clear" w:color="auto" w:fill="548DD4" w:themeFill="text2" w:themeFillTint="99"/>
            <w:vAlign w:val="center"/>
            <w:hideMark/>
          </w:tcPr>
          <w:p w:rsidR="008D573F" w:rsidRPr="003E5A23" w:rsidRDefault="008D573F" w:rsidP="008D573F">
            <w:pPr>
              <w:jc w:val="center"/>
              <w:rPr>
                <w:rFonts w:ascii="Arial" w:hAnsi="Arial" w:cs="Arial"/>
                <w:b/>
                <w:bCs/>
                <w:color w:val="FFFFFF"/>
                <w:sz w:val="18"/>
                <w:szCs w:val="18"/>
              </w:rPr>
            </w:pPr>
            <w:r w:rsidRPr="003E5A23">
              <w:rPr>
                <w:rFonts w:ascii="Arial" w:hAnsi="Arial" w:cs="Arial"/>
                <w:b/>
                <w:bCs/>
                <w:color w:val="FFFFFF"/>
                <w:sz w:val="18"/>
                <w:szCs w:val="18"/>
              </w:rPr>
              <w:t>Items</w:t>
            </w:r>
          </w:p>
        </w:tc>
        <w:tc>
          <w:tcPr>
            <w:tcW w:w="1017" w:type="dxa"/>
            <w:shd w:val="clear" w:color="auto" w:fill="548DD4" w:themeFill="text2" w:themeFillTint="99"/>
            <w:vAlign w:val="center"/>
            <w:hideMark/>
          </w:tcPr>
          <w:p w:rsidR="008D573F" w:rsidRPr="003E5A23" w:rsidRDefault="008D573F" w:rsidP="008D573F">
            <w:pPr>
              <w:jc w:val="center"/>
              <w:rPr>
                <w:rFonts w:ascii="Arial" w:hAnsi="Arial" w:cs="Arial"/>
                <w:b/>
                <w:bCs/>
                <w:color w:val="FFFFFF"/>
                <w:sz w:val="18"/>
                <w:szCs w:val="18"/>
              </w:rPr>
            </w:pPr>
            <w:r w:rsidRPr="003E5A23">
              <w:rPr>
                <w:rFonts w:ascii="Arial" w:hAnsi="Arial" w:cs="Arial"/>
                <w:b/>
                <w:bCs/>
                <w:color w:val="FFFFFF"/>
                <w:sz w:val="18"/>
                <w:szCs w:val="18"/>
              </w:rPr>
              <w:t>Episodes</w:t>
            </w:r>
          </w:p>
        </w:tc>
        <w:tc>
          <w:tcPr>
            <w:tcW w:w="960" w:type="dxa"/>
            <w:shd w:val="clear" w:color="auto" w:fill="548DD4" w:themeFill="text2" w:themeFillTint="99"/>
            <w:vAlign w:val="center"/>
            <w:hideMark/>
          </w:tcPr>
          <w:p w:rsidR="008D573F" w:rsidRPr="003E5A23" w:rsidRDefault="008D573F" w:rsidP="008D573F">
            <w:pPr>
              <w:jc w:val="center"/>
              <w:rPr>
                <w:rFonts w:ascii="Arial" w:hAnsi="Arial" w:cs="Arial"/>
                <w:b/>
                <w:bCs/>
                <w:color w:val="FFFFFF"/>
                <w:sz w:val="18"/>
                <w:szCs w:val="18"/>
              </w:rPr>
            </w:pPr>
            <w:r w:rsidRPr="003E5A23">
              <w:rPr>
                <w:rFonts w:ascii="Arial" w:hAnsi="Arial" w:cs="Arial"/>
                <w:b/>
                <w:bCs/>
                <w:color w:val="FFFFFF"/>
                <w:sz w:val="18"/>
                <w:szCs w:val="18"/>
              </w:rPr>
              <w:t>Services</w:t>
            </w:r>
          </w:p>
        </w:tc>
        <w:tc>
          <w:tcPr>
            <w:tcW w:w="1286" w:type="dxa"/>
            <w:shd w:val="clear" w:color="auto" w:fill="548DD4" w:themeFill="text2" w:themeFillTint="99"/>
            <w:vAlign w:val="center"/>
            <w:hideMark/>
          </w:tcPr>
          <w:p w:rsidR="008D573F" w:rsidRPr="003E5A23" w:rsidRDefault="008D573F" w:rsidP="008D573F">
            <w:pPr>
              <w:jc w:val="center"/>
              <w:rPr>
                <w:rFonts w:ascii="Arial" w:hAnsi="Arial" w:cs="Arial"/>
                <w:b/>
                <w:bCs/>
                <w:color w:val="FFFFFF"/>
                <w:sz w:val="18"/>
                <w:szCs w:val="18"/>
              </w:rPr>
            </w:pPr>
            <w:r w:rsidRPr="003E5A23">
              <w:rPr>
                <w:rFonts w:ascii="Arial" w:hAnsi="Arial" w:cs="Arial"/>
                <w:b/>
                <w:bCs/>
                <w:color w:val="FFFFFF"/>
                <w:sz w:val="18"/>
                <w:szCs w:val="18"/>
              </w:rPr>
              <w:t>Schedule Fee for combination</w:t>
            </w:r>
          </w:p>
        </w:tc>
        <w:tc>
          <w:tcPr>
            <w:tcW w:w="1037" w:type="dxa"/>
            <w:shd w:val="clear" w:color="auto" w:fill="548DD4" w:themeFill="text2" w:themeFillTint="99"/>
            <w:vAlign w:val="center"/>
            <w:hideMark/>
          </w:tcPr>
          <w:p w:rsidR="008D573F" w:rsidRPr="003E5A23" w:rsidRDefault="008D573F" w:rsidP="008D573F">
            <w:pPr>
              <w:jc w:val="center"/>
              <w:rPr>
                <w:rFonts w:ascii="Arial" w:hAnsi="Arial" w:cs="Arial"/>
                <w:b/>
                <w:bCs/>
                <w:color w:val="FFFFFF"/>
                <w:sz w:val="18"/>
                <w:szCs w:val="18"/>
              </w:rPr>
            </w:pPr>
            <w:r w:rsidRPr="003E5A23">
              <w:rPr>
                <w:rFonts w:ascii="Arial" w:hAnsi="Arial" w:cs="Arial"/>
                <w:b/>
                <w:bCs/>
                <w:color w:val="FFFFFF"/>
                <w:sz w:val="18"/>
                <w:szCs w:val="18"/>
              </w:rPr>
              <w:t>Number of providers</w:t>
            </w:r>
          </w:p>
        </w:tc>
        <w:tc>
          <w:tcPr>
            <w:tcW w:w="960" w:type="dxa"/>
            <w:shd w:val="clear" w:color="auto" w:fill="548DD4" w:themeFill="text2" w:themeFillTint="99"/>
            <w:vAlign w:val="center"/>
            <w:hideMark/>
          </w:tcPr>
          <w:p w:rsidR="008D573F" w:rsidRPr="003E5A23" w:rsidRDefault="008D573F" w:rsidP="008D573F">
            <w:pPr>
              <w:jc w:val="center"/>
              <w:rPr>
                <w:rFonts w:ascii="Arial" w:hAnsi="Arial" w:cs="Arial"/>
                <w:b/>
                <w:bCs/>
                <w:color w:val="FFFFFF"/>
                <w:sz w:val="18"/>
                <w:szCs w:val="18"/>
              </w:rPr>
            </w:pPr>
            <w:r w:rsidRPr="003E5A23">
              <w:rPr>
                <w:rFonts w:ascii="Arial" w:hAnsi="Arial" w:cs="Arial"/>
                <w:b/>
                <w:bCs/>
                <w:color w:val="FFFFFF"/>
                <w:sz w:val="18"/>
                <w:szCs w:val="18"/>
              </w:rPr>
              <w:t>Number of patients</w:t>
            </w:r>
          </w:p>
        </w:tc>
        <w:tc>
          <w:tcPr>
            <w:tcW w:w="997" w:type="dxa"/>
            <w:shd w:val="clear" w:color="auto" w:fill="548DD4" w:themeFill="text2" w:themeFillTint="99"/>
            <w:vAlign w:val="center"/>
            <w:hideMark/>
          </w:tcPr>
          <w:p w:rsidR="008D573F" w:rsidRPr="003E5A23" w:rsidRDefault="008D573F" w:rsidP="008D573F">
            <w:pPr>
              <w:jc w:val="center"/>
              <w:rPr>
                <w:rFonts w:ascii="Arial" w:hAnsi="Arial" w:cs="Arial"/>
                <w:b/>
                <w:bCs/>
                <w:color w:val="FFFFFF"/>
                <w:sz w:val="18"/>
                <w:szCs w:val="18"/>
              </w:rPr>
            </w:pPr>
            <w:r w:rsidRPr="003E5A23">
              <w:rPr>
                <w:rFonts w:ascii="Arial" w:hAnsi="Arial" w:cs="Arial"/>
                <w:b/>
                <w:bCs/>
                <w:color w:val="FFFFFF"/>
                <w:sz w:val="18"/>
                <w:szCs w:val="18"/>
              </w:rPr>
              <w:t>% of episodes</w:t>
            </w:r>
          </w:p>
        </w:tc>
      </w:tr>
      <w:tr w:rsidR="008D573F" w:rsidRPr="003E5A23" w:rsidTr="008D573F">
        <w:trPr>
          <w:trHeight w:val="300"/>
          <w:jc w:val="center"/>
        </w:trPr>
        <w:tc>
          <w:tcPr>
            <w:tcW w:w="567" w:type="dxa"/>
            <w:shd w:val="clear" w:color="000000" w:fill="FFFFFF"/>
            <w:noWrap/>
            <w:vAlign w:val="bottom"/>
            <w:hideMark/>
          </w:tcPr>
          <w:p w:rsidR="008D573F" w:rsidRPr="003E5A23" w:rsidRDefault="008D573F" w:rsidP="008D573F">
            <w:pPr>
              <w:rPr>
                <w:rFonts w:ascii="Arial" w:hAnsi="Arial" w:cs="Arial"/>
                <w:color w:val="000000"/>
                <w:sz w:val="18"/>
                <w:szCs w:val="18"/>
              </w:rPr>
            </w:pPr>
            <w:r w:rsidRPr="003E5A23">
              <w:rPr>
                <w:rFonts w:ascii="Arial" w:hAnsi="Arial" w:cs="Arial"/>
                <w:color w:val="000000"/>
                <w:sz w:val="18"/>
                <w:szCs w:val="18"/>
              </w:rPr>
              <w:t>1</w:t>
            </w:r>
          </w:p>
        </w:tc>
        <w:tc>
          <w:tcPr>
            <w:tcW w:w="2314" w:type="dxa"/>
            <w:shd w:val="clear" w:color="000000" w:fill="FFFFFF"/>
            <w:noWrap/>
            <w:vAlign w:val="bottom"/>
            <w:hideMark/>
          </w:tcPr>
          <w:p w:rsidR="008D573F" w:rsidRPr="003E5A23" w:rsidRDefault="008D573F" w:rsidP="008D573F">
            <w:pPr>
              <w:rPr>
                <w:rFonts w:ascii="Arial" w:hAnsi="Arial" w:cs="Arial"/>
                <w:b/>
                <w:color w:val="000000"/>
                <w:sz w:val="18"/>
                <w:szCs w:val="18"/>
              </w:rPr>
            </w:pPr>
            <w:r>
              <w:rPr>
                <w:rFonts w:ascii="Arial" w:hAnsi="Arial" w:cs="Arial"/>
                <w:b/>
                <w:color w:val="000000"/>
                <w:sz w:val="18"/>
                <w:szCs w:val="18"/>
              </w:rPr>
              <w:t>31584</w:t>
            </w:r>
          </w:p>
        </w:tc>
        <w:tc>
          <w:tcPr>
            <w:tcW w:w="1017"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1,083 </w:t>
            </w:r>
          </w:p>
        </w:tc>
        <w:tc>
          <w:tcPr>
            <w:tcW w:w="960"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1,083 </w:t>
            </w:r>
          </w:p>
        </w:tc>
        <w:tc>
          <w:tcPr>
            <w:tcW w:w="1286"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$1,666,845 </w:t>
            </w:r>
          </w:p>
        </w:tc>
        <w:tc>
          <w:tcPr>
            <w:tcW w:w="1037"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124 </w:t>
            </w:r>
          </w:p>
        </w:tc>
        <w:tc>
          <w:tcPr>
            <w:tcW w:w="960"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1,078 </w:t>
            </w:r>
          </w:p>
        </w:tc>
        <w:tc>
          <w:tcPr>
            <w:tcW w:w="997"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29.36% </w:t>
            </w:r>
          </w:p>
        </w:tc>
      </w:tr>
      <w:tr w:rsidR="008D573F" w:rsidRPr="003E5A23" w:rsidTr="008D573F">
        <w:trPr>
          <w:trHeight w:val="300"/>
          <w:jc w:val="center"/>
        </w:trPr>
        <w:tc>
          <w:tcPr>
            <w:tcW w:w="567" w:type="dxa"/>
            <w:shd w:val="clear" w:color="000000" w:fill="FFFFFF"/>
            <w:noWrap/>
            <w:vAlign w:val="bottom"/>
          </w:tcPr>
          <w:p w:rsidR="008D573F" w:rsidRPr="003E5A23" w:rsidRDefault="008D573F" w:rsidP="008D573F">
            <w:pPr>
              <w:rPr>
                <w:rFonts w:ascii="Arial" w:hAnsi="Arial" w:cs="Arial"/>
                <w:color w:val="000000"/>
                <w:sz w:val="18"/>
                <w:szCs w:val="18"/>
              </w:rPr>
            </w:pPr>
            <w:r w:rsidRPr="003E5A23">
              <w:rPr>
                <w:rFonts w:ascii="Arial" w:hAnsi="Arial" w:cs="Arial"/>
                <w:color w:val="000000"/>
                <w:sz w:val="18"/>
                <w:szCs w:val="18"/>
              </w:rPr>
              <w:t>2</w:t>
            </w:r>
          </w:p>
        </w:tc>
        <w:tc>
          <w:tcPr>
            <w:tcW w:w="2314" w:type="dxa"/>
            <w:shd w:val="clear" w:color="000000" w:fill="FFFFFF"/>
            <w:noWrap/>
            <w:vAlign w:val="bottom"/>
            <w:hideMark/>
          </w:tcPr>
          <w:p w:rsidR="008D573F" w:rsidRPr="003E5A23" w:rsidRDefault="008D573F" w:rsidP="008D573F">
            <w:pPr>
              <w:rPr>
                <w:rFonts w:ascii="Arial" w:hAnsi="Arial" w:cs="Arial"/>
                <w:color w:val="000000"/>
                <w:sz w:val="18"/>
                <w:szCs w:val="18"/>
              </w:rPr>
            </w:pPr>
            <w:r>
              <w:rPr>
                <w:rFonts w:ascii="Arial" w:hAnsi="Arial" w:cs="Arial"/>
                <w:b/>
                <w:color w:val="000000"/>
                <w:sz w:val="18"/>
                <w:szCs w:val="18"/>
              </w:rPr>
              <w:t>31584</w:t>
            </w:r>
            <w:r w:rsidRPr="003E5A23">
              <w:rPr>
                <w:rFonts w:ascii="Arial" w:hAnsi="Arial" w:cs="Arial"/>
                <w:color w:val="000000"/>
                <w:sz w:val="18"/>
                <w:szCs w:val="18"/>
              </w:rPr>
              <w:t xml:space="preserve">, </w:t>
            </w:r>
            <w:r>
              <w:rPr>
                <w:rFonts w:ascii="Arial" w:hAnsi="Arial" w:cs="Arial"/>
                <w:color w:val="000000"/>
                <w:sz w:val="18"/>
                <w:szCs w:val="18"/>
              </w:rPr>
              <w:t>30393</w:t>
            </w:r>
          </w:p>
        </w:tc>
        <w:tc>
          <w:tcPr>
            <w:tcW w:w="1017"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426 </w:t>
            </w:r>
          </w:p>
        </w:tc>
        <w:tc>
          <w:tcPr>
            <w:tcW w:w="960"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852 </w:t>
            </w:r>
          </w:p>
        </w:tc>
        <w:tc>
          <w:tcPr>
            <w:tcW w:w="1286"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$767,728 </w:t>
            </w:r>
          </w:p>
        </w:tc>
        <w:tc>
          <w:tcPr>
            <w:tcW w:w="1037"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87 </w:t>
            </w:r>
          </w:p>
        </w:tc>
        <w:tc>
          <w:tcPr>
            <w:tcW w:w="960"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426 </w:t>
            </w:r>
          </w:p>
        </w:tc>
        <w:tc>
          <w:tcPr>
            <w:tcW w:w="997"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11.55% </w:t>
            </w:r>
          </w:p>
        </w:tc>
      </w:tr>
      <w:tr w:rsidR="008D573F" w:rsidRPr="003E5A23" w:rsidTr="008D573F">
        <w:trPr>
          <w:trHeight w:val="300"/>
          <w:jc w:val="center"/>
        </w:trPr>
        <w:tc>
          <w:tcPr>
            <w:tcW w:w="567" w:type="dxa"/>
            <w:shd w:val="clear" w:color="000000" w:fill="FFFFFF"/>
            <w:noWrap/>
            <w:vAlign w:val="bottom"/>
          </w:tcPr>
          <w:p w:rsidR="008D573F" w:rsidRPr="003E5A23" w:rsidRDefault="008D573F" w:rsidP="008D573F">
            <w:pPr>
              <w:rPr>
                <w:rFonts w:ascii="Arial" w:hAnsi="Arial" w:cs="Arial"/>
                <w:color w:val="000000"/>
                <w:sz w:val="18"/>
                <w:szCs w:val="18"/>
              </w:rPr>
            </w:pPr>
            <w:r w:rsidRPr="003E5A23">
              <w:rPr>
                <w:rFonts w:ascii="Arial" w:hAnsi="Arial" w:cs="Arial"/>
                <w:color w:val="000000"/>
                <w:sz w:val="18"/>
                <w:szCs w:val="18"/>
              </w:rPr>
              <w:t>3</w:t>
            </w:r>
          </w:p>
        </w:tc>
        <w:tc>
          <w:tcPr>
            <w:tcW w:w="2314" w:type="dxa"/>
            <w:shd w:val="clear" w:color="000000" w:fill="FFFFFF"/>
            <w:noWrap/>
            <w:vAlign w:val="bottom"/>
            <w:hideMark/>
          </w:tcPr>
          <w:p w:rsidR="008D573F" w:rsidRPr="003E5A23" w:rsidRDefault="008D573F" w:rsidP="008D573F">
            <w:pPr>
              <w:ind w:right="-62"/>
              <w:rPr>
                <w:rFonts w:ascii="Arial" w:hAnsi="Arial" w:cs="Arial"/>
                <w:color w:val="000000"/>
                <w:sz w:val="18"/>
                <w:szCs w:val="18"/>
              </w:rPr>
            </w:pPr>
            <w:r>
              <w:rPr>
                <w:rFonts w:ascii="Arial" w:hAnsi="Arial" w:cs="Arial"/>
                <w:b/>
                <w:color w:val="000000"/>
                <w:sz w:val="18"/>
                <w:szCs w:val="18"/>
              </w:rPr>
              <w:t>31584</w:t>
            </w:r>
            <w:r w:rsidRPr="003E5A23">
              <w:rPr>
                <w:rFonts w:ascii="Arial" w:hAnsi="Arial" w:cs="Arial"/>
                <w:color w:val="000000"/>
                <w:sz w:val="18"/>
                <w:szCs w:val="18"/>
              </w:rPr>
              <w:t xml:space="preserve">, </w:t>
            </w:r>
            <w:r>
              <w:rPr>
                <w:rFonts w:ascii="Arial" w:hAnsi="Arial" w:cs="Arial"/>
                <w:color w:val="000000"/>
                <w:sz w:val="18"/>
                <w:szCs w:val="18"/>
              </w:rPr>
              <w:t>105</w:t>
            </w:r>
          </w:p>
        </w:tc>
        <w:tc>
          <w:tcPr>
            <w:tcW w:w="1017"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253 </w:t>
            </w:r>
          </w:p>
        </w:tc>
        <w:tc>
          <w:tcPr>
            <w:tcW w:w="960"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508 </w:t>
            </w:r>
          </w:p>
        </w:tc>
        <w:tc>
          <w:tcPr>
            <w:tcW w:w="1286"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$400,357 </w:t>
            </w:r>
          </w:p>
        </w:tc>
        <w:tc>
          <w:tcPr>
            <w:tcW w:w="1037"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39 </w:t>
            </w:r>
          </w:p>
        </w:tc>
        <w:tc>
          <w:tcPr>
            <w:tcW w:w="960"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253 </w:t>
            </w:r>
          </w:p>
        </w:tc>
        <w:tc>
          <w:tcPr>
            <w:tcW w:w="997"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6.86% </w:t>
            </w:r>
          </w:p>
        </w:tc>
      </w:tr>
      <w:tr w:rsidR="008D573F" w:rsidRPr="003E5A23" w:rsidTr="008D573F">
        <w:trPr>
          <w:trHeight w:val="300"/>
          <w:jc w:val="center"/>
        </w:trPr>
        <w:tc>
          <w:tcPr>
            <w:tcW w:w="567" w:type="dxa"/>
            <w:shd w:val="clear" w:color="000000" w:fill="FFFFFF"/>
            <w:noWrap/>
            <w:vAlign w:val="bottom"/>
          </w:tcPr>
          <w:p w:rsidR="008D573F" w:rsidRPr="003E5A23" w:rsidRDefault="008D573F" w:rsidP="008D573F">
            <w:pPr>
              <w:rPr>
                <w:rFonts w:ascii="Arial" w:hAnsi="Arial" w:cs="Arial"/>
                <w:color w:val="000000"/>
                <w:sz w:val="18"/>
                <w:szCs w:val="18"/>
              </w:rPr>
            </w:pPr>
            <w:r w:rsidRPr="003E5A23">
              <w:rPr>
                <w:rFonts w:ascii="Arial" w:hAnsi="Arial" w:cs="Arial"/>
                <w:color w:val="000000"/>
                <w:sz w:val="18"/>
                <w:szCs w:val="18"/>
              </w:rPr>
              <w:t>4</w:t>
            </w:r>
          </w:p>
        </w:tc>
        <w:tc>
          <w:tcPr>
            <w:tcW w:w="2314" w:type="dxa"/>
            <w:shd w:val="clear" w:color="000000" w:fill="FFFFFF"/>
            <w:noWrap/>
            <w:vAlign w:val="bottom"/>
            <w:hideMark/>
          </w:tcPr>
          <w:p w:rsidR="008D573F" w:rsidRPr="003E5A23" w:rsidRDefault="008D573F" w:rsidP="008D573F">
            <w:pPr>
              <w:rPr>
                <w:rFonts w:ascii="Arial" w:hAnsi="Arial" w:cs="Arial"/>
                <w:color w:val="000000"/>
                <w:sz w:val="18"/>
                <w:szCs w:val="18"/>
              </w:rPr>
            </w:pPr>
            <w:r>
              <w:rPr>
                <w:rFonts w:ascii="Arial" w:hAnsi="Arial" w:cs="Arial"/>
                <w:b/>
                <w:color w:val="000000"/>
                <w:sz w:val="18"/>
                <w:szCs w:val="18"/>
              </w:rPr>
              <w:t>31584</w:t>
            </w:r>
            <w:r>
              <w:rPr>
                <w:rFonts w:ascii="Arial" w:hAnsi="Arial" w:cs="Arial"/>
                <w:color w:val="000000"/>
                <w:sz w:val="18"/>
                <w:szCs w:val="18"/>
              </w:rPr>
              <w:t>, 30393, 31572</w:t>
            </w:r>
          </w:p>
        </w:tc>
        <w:tc>
          <w:tcPr>
            <w:tcW w:w="1017"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232 </w:t>
            </w:r>
          </w:p>
        </w:tc>
        <w:tc>
          <w:tcPr>
            <w:tcW w:w="960"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696 </w:t>
            </w:r>
          </w:p>
        </w:tc>
        <w:tc>
          <w:tcPr>
            <w:tcW w:w="1286"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$508,718 </w:t>
            </w:r>
          </w:p>
        </w:tc>
        <w:tc>
          <w:tcPr>
            <w:tcW w:w="1037"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27 </w:t>
            </w:r>
          </w:p>
        </w:tc>
        <w:tc>
          <w:tcPr>
            <w:tcW w:w="960"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232 </w:t>
            </w:r>
          </w:p>
        </w:tc>
        <w:tc>
          <w:tcPr>
            <w:tcW w:w="997"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6.29% </w:t>
            </w:r>
          </w:p>
        </w:tc>
      </w:tr>
      <w:tr w:rsidR="008D573F" w:rsidRPr="003E5A23" w:rsidTr="008D573F">
        <w:trPr>
          <w:trHeight w:val="300"/>
          <w:jc w:val="center"/>
        </w:trPr>
        <w:tc>
          <w:tcPr>
            <w:tcW w:w="567" w:type="dxa"/>
            <w:shd w:val="clear" w:color="000000" w:fill="FFFFFF"/>
            <w:noWrap/>
            <w:vAlign w:val="bottom"/>
          </w:tcPr>
          <w:p w:rsidR="008D573F" w:rsidRPr="003E5A23" w:rsidRDefault="008D573F" w:rsidP="008D573F">
            <w:pPr>
              <w:rPr>
                <w:rFonts w:ascii="Arial" w:hAnsi="Arial" w:cs="Arial"/>
                <w:color w:val="000000"/>
                <w:sz w:val="18"/>
                <w:szCs w:val="18"/>
              </w:rPr>
            </w:pPr>
            <w:r w:rsidRPr="003E5A23">
              <w:rPr>
                <w:rFonts w:ascii="Arial" w:hAnsi="Arial" w:cs="Arial"/>
                <w:color w:val="000000"/>
                <w:sz w:val="18"/>
                <w:szCs w:val="18"/>
              </w:rPr>
              <w:t>5</w:t>
            </w:r>
          </w:p>
        </w:tc>
        <w:tc>
          <w:tcPr>
            <w:tcW w:w="2314" w:type="dxa"/>
            <w:shd w:val="clear" w:color="000000" w:fill="FFFFFF"/>
            <w:noWrap/>
            <w:vAlign w:val="bottom"/>
            <w:hideMark/>
          </w:tcPr>
          <w:p w:rsidR="008D573F" w:rsidRPr="003E5A23" w:rsidRDefault="008D573F" w:rsidP="008D573F">
            <w:pPr>
              <w:rPr>
                <w:rFonts w:ascii="Arial" w:hAnsi="Arial" w:cs="Arial"/>
                <w:color w:val="000000"/>
                <w:sz w:val="18"/>
                <w:szCs w:val="18"/>
              </w:rPr>
            </w:pPr>
            <w:r>
              <w:rPr>
                <w:rFonts w:ascii="Arial" w:hAnsi="Arial" w:cs="Arial"/>
                <w:b/>
                <w:color w:val="000000"/>
                <w:sz w:val="18"/>
                <w:szCs w:val="18"/>
              </w:rPr>
              <w:t>31584</w:t>
            </w:r>
            <w:r>
              <w:rPr>
                <w:rFonts w:ascii="Arial" w:hAnsi="Arial" w:cs="Arial"/>
                <w:color w:val="000000"/>
                <w:sz w:val="18"/>
                <w:szCs w:val="18"/>
              </w:rPr>
              <w:t>, 105, 30393</w:t>
            </w:r>
          </w:p>
        </w:tc>
        <w:tc>
          <w:tcPr>
            <w:tcW w:w="1017"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165 </w:t>
            </w:r>
          </w:p>
        </w:tc>
        <w:tc>
          <w:tcPr>
            <w:tcW w:w="960"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496 </w:t>
            </w:r>
          </w:p>
        </w:tc>
        <w:tc>
          <w:tcPr>
            <w:tcW w:w="1286"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$304,295 </w:t>
            </w:r>
          </w:p>
        </w:tc>
        <w:tc>
          <w:tcPr>
            <w:tcW w:w="1037"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45 </w:t>
            </w:r>
          </w:p>
        </w:tc>
        <w:tc>
          <w:tcPr>
            <w:tcW w:w="960"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164 </w:t>
            </w:r>
          </w:p>
        </w:tc>
        <w:tc>
          <w:tcPr>
            <w:tcW w:w="997"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4.47% </w:t>
            </w:r>
          </w:p>
        </w:tc>
      </w:tr>
      <w:tr w:rsidR="008D573F" w:rsidRPr="003E5A23" w:rsidTr="008D573F">
        <w:trPr>
          <w:trHeight w:val="300"/>
          <w:jc w:val="center"/>
        </w:trPr>
        <w:tc>
          <w:tcPr>
            <w:tcW w:w="567" w:type="dxa"/>
            <w:shd w:val="clear" w:color="000000" w:fill="FFFFFF"/>
            <w:noWrap/>
            <w:vAlign w:val="bottom"/>
          </w:tcPr>
          <w:p w:rsidR="008D573F" w:rsidRPr="003E5A23" w:rsidRDefault="008D573F" w:rsidP="008D573F">
            <w:pPr>
              <w:rPr>
                <w:rFonts w:ascii="Arial" w:hAnsi="Arial" w:cs="Arial"/>
                <w:color w:val="000000"/>
                <w:sz w:val="18"/>
                <w:szCs w:val="18"/>
              </w:rPr>
            </w:pPr>
            <w:r w:rsidRPr="003E5A23">
              <w:rPr>
                <w:rFonts w:ascii="Arial" w:hAnsi="Arial" w:cs="Arial"/>
                <w:color w:val="000000"/>
                <w:sz w:val="18"/>
                <w:szCs w:val="18"/>
              </w:rPr>
              <w:t>6</w:t>
            </w:r>
          </w:p>
        </w:tc>
        <w:tc>
          <w:tcPr>
            <w:tcW w:w="2314" w:type="dxa"/>
            <w:shd w:val="clear" w:color="000000" w:fill="FFFFFF"/>
            <w:noWrap/>
            <w:vAlign w:val="bottom"/>
            <w:hideMark/>
          </w:tcPr>
          <w:p w:rsidR="008D573F" w:rsidRPr="003E5A23" w:rsidRDefault="008D573F" w:rsidP="008D573F">
            <w:pPr>
              <w:rPr>
                <w:rFonts w:ascii="Arial" w:hAnsi="Arial" w:cs="Arial"/>
                <w:color w:val="000000"/>
                <w:sz w:val="18"/>
                <w:szCs w:val="18"/>
              </w:rPr>
            </w:pPr>
            <w:r>
              <w:rPr>
                <w:rFonts w:ascii="Arial" w:hAnsi="Arial" w:cs="Arial"/>
                <w:b/>
                <w:color w:val="000000"/>
                <w:sz w:val="18"/>
                <w:szCs w:val="18"/>
              </w:rPr>
              <w:t>31584</w:t>
            </w:r>
            <w:r w:rsidRPr="003E5A23">
              <w:rPr>
                <w:rFonts w:ascii="Arial" w:hAnsi="Arial" w:cs="Arial"/>
                <w:color w:val="000000"/>
                <w:sz w:val="18"/>
                <w:szCs w:val="18"/>
              </w:rPr>
              <w:t xml:space="preserve">, </w:t>
            </w:r>
            <w:r>
              <w:rPr>
                <w:rFonts w:ascii="Arial" w:hAnsi="Arial" w:cs="Arial"/>
                <w:color w:val="000000"/>
                <w:sz w:val="18"/>
                <w:szCs w:val="18"/>
              </w:rPr>
              <w:t>104, 30393</w:t>
            </w:r>
          </w:p>
        </w:tc>
        <w:tc>
          <w:tcPr>
            <w:tcW w:w="1017"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114 </w:t>
            </w:r>
          </w:p>
        </w:tc>
        <w:tc>
          <w:tcPr>
            <w:tcW w:w="960"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342 </w:t>
            </w:r>
          </w:p>
        </w:tc>
        <w:tc>
          <w:tcPr>
            <w:tcW w:w="1286"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$215,323 </w:t>
            </w:r>
          </w:p>
        </w:tc>
        <w:tc>
          <w:tcPr>
            <w:tcW w:w="1037"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14 </w:t>
            </w:r>
          </w:p>
        </w:tc>
        <w:tc>
          <w:tcPr>
            <w:tcW w:w="960"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114 </w:t>
            </w:r>
          </w:p>
        </w:tc>
        <w:tc>
          <w:tcPr>
            <w:tcW w:w="997"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3.09% </w:t>
            </w:r>
          </w:p>
        </w:tc>
      </w:tr>
      <w:tr w:rsidR="008D573F" w:rsidRPr="003E5A23" w:rsidTr="008D573F">
        <w:trPr>
          <w:trHeight w:val="300"/>
          <w:jc w:val="center"/>
        </w:trPr>
        <w:tc>
          <w:tcPr>
            <w:tcW w:w="567" w:type="dxa"/>
            <w:shd w:val="clear" w:color="000000" w:fill="FFFFFF"/>
            <w:noWrap/>
            <w:vAlign w:val="bottom"/>
          </w:tcPr>
          <w:p w:rsidR="008D573F" w:rsidRPr="003E5A23" w:rsidRDefault="008D573F" w:rsidP="008D573F">
            <w:pPr>
              <w:rPr>
                <w:rFonts w:ascii="Arial" w:hAnsi="Arial" w:cs="Arial"/>
                <w:color w:val="000000"/>
                <w:sz w:val="18"/>
                <w:szCs w:val="18"/>
              </w:rPr>
            </w:pPr>
            <w:r w:rsidRPr="003E5A23">
              <w:rPr>
                <w:rFonts w:ascii="Arial" w:hAnsi="Arial" w:cs="Arial"/>
                <w:color w:val="000000"/>
                <w:sz w:val="18"/>
                <w:szCs w:val="18"/>
              </w:rPr>
              <w:t>7</w:t>
            </w:r>
          </w:p>
        </w:tc>
        <w:tc>
          <w:tcPr>
            <w:tcW w:w="2314" w:type="dxa"/>
            <w:shd w:val="clear" w:color="000000" w:fill="FFFFFF"/>
            <w:noWrap/>
            <w:vAlign w:val="bottom"/>
            <w:hideMark/>
          </w:tcPr>
          <w:p w:rsidR="008D573F" w:rsidRPr="003E5A23" w:rsidRDefault="008D573F" w:rsidP="008D573F">
            <w:pPr>
              <w:rPr>
                <w:rFonts w:ascii="Arial" w:hAnsi="Arial" w:cs="Arial"/>
                <w:color w:val="000000"/>
                <w:sz w:val="18"/>
                <w:szCs w:val="18"/>
              </w:rPr>
            </w:pPr>
            <w:r>
              <w:rPr>
                <w:rFonts w:ascii="Arial" w:hAnsi="Arial" w:cs="Arial"/>
                <w:b/>
                <w:color w:val="000000"/>
                <w:sz w:val="18"/>
                <w:szCs w:val="18"/>
              </w:rPr>
              <w:t>31584</w:t>
            </w:r>
            <w:r>
              <w:rPr>
                <w:rFonts w:ascii="Arial" w:hAnsi="Arial" w:cs="Arial"/>
                <w:color w:val="000000"/>
                <w:sz w:val="18"/>
                <w:szCs w:val="18"/>
              </w:rPr>
              <w:t>, 31569</w:t>
            </w:r>
          </w:p>
        </w:tc>
        <w:tc>
          <w:tcPr>
            <w:tcW w:w="1017"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89 </w:t>
            </w:r>
          </w:p>
        </w:tc>
        <w:tc>
          <w:tcPr>
            <w:tcW w:w="960"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178 </w:t>
            </w:r>
          </w:p>
        </w:tc>
        <w:tc>
          <w:tcPr>
            <w:tcW w:w="1286"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$174,787 </w:t>
            </w:r>
          </w:p>
        </w:tc>
        <w:tc>
          <w:tcPr>
            <w:tcW w:w="1037"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13 </w:t>
            </w:r>
          </w:p>
        </w:tc>
        <w:tc>
          <w:tcPr>
            <w:tcW w:w="960"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88 </w:t>
            </w:r>
          </w:p>
        </w:tc>
        <w:tc>
          <w:tcPr>
            <w:tcW w:w="997"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2.41% </w:t>
            </w:r>
          </w:p>
        </w:tc>
      </w:tr>
      <w:tr w:rsidR="008D573F" w:rsidRPr="003E5A23" w:rsidTr="008D573F">
        <w:trPr>
          <w:trHeight w:val="300"/>
          <w:jc w:val="center"/>
        </w:trPr>
        <w:tc>
          <w:tcPr>
            <w:tcW w:w="567" w:type="dxa"/>
            <w:shd w:val="clear" w:color="000000" w:fill="FFFFFF"/>
            <w:noWrap/>
            <w:vAlign w:val="bottom"/>
          </w:tcPr>
          <w:p w:rsidR="008D573F" w:rsidRPr="003E5A23" w:rsidRDefault="008D573F" w:rsidP="008D573F">
            <w:pPr>
              <w:rPr>
                <w:rFonts w:ascii="Arial" w:hAnsi="Arial" w:cs="Arial"/>
                <w:color w:val="000000"/>
                <w:sz w:val="18"/>
                <w:szCs w:val="18"/>
              </w:rPr>
            </w:pPr>
            <w:r w:rsidRPr="003E5A23">
              <w:rPr>
                <w:rFonts w:ascii="Arial" w:hAnsi="Arial" w:cs="Arial"/>
                <w:color w:val="000000"/>
                <w:sz w:val="18"/>
                <w:szCs w:val="18"/>
              </w:rPr>
              <w:t>8</w:t>
            </w:r>
          </w:p>
        </w:tc>
        <w:tc>
          <w:tcPr>
            <w:tcW w:w="2314" w:type="dxa"/>
            <w:shd w:val="clear" w:color="000000" w:fill="FFFFFF"/>
            <w:noWrap/>
            <w:vAlign w:val="bottom"/>
            <w:hideMark/>
          </w:tcPr>
          <w:p w:rsidR="008D573F" w:rsidRPr="003E5A23" w:rsidRDefault="008D573F" w:rsidP="008D573F">
            <w:pPr>
              <w:rPr>
                <w:rFonts w:ascii="Arial" w:hAnsi="Arial" w:cs="Arial"/>
                <w:color w:val="000000"/>
                <w:sz w:val="18"/>
                <w:szCs w:val="18"/>
              </w:rPr>
            </w:pPr>
            <w:r>
              <w:rPr>
                <w:rFonts w:ascii="Arial" w:hAnsi="Arial" w:cs="Arial"/>
                <w:b/>
                <w:color w:val="000000"/>
                <w:sz w:val="18"/>
                <w:szCs w:val="18"/>
              </w:rPr>
              <w:t>31584</w:t>
            </w:r>
            <w:r w:rsidRPr="003E5A23">
              <w:rPr>
                <w:rFonts w:ascii="Arial" w:hAnsi="Arial" w:cs="Arial"/>
                <w:color w:val="000000"/>
                <w:sz w:val="18"/>
                <w:szCs w:val="18"/>
              </w:rPr>
              <w:t xml:space="preserve">, </w:t>
            </w:r>
            <w:r>
              <w:rPr>
                <w:rFonts w:ascii="Arial" w:hAnsi="Arial" w:cs="Arial"/>
                <w:color w:val="000000"/>
                <w:sz w:val="18"/>
                <w:szCs w:val="18"/>
              </w:rPr>
              <w:t>31575</w:t>
            </w:r>
          </w:p>
        </w:tc>
        <w:tc>
          <w:tcPr>
            <w:tcW w:w="1017"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78 </w:t>
            </w:r>
          </w:p>
        </w:tc>
        <w:tc>
          <w:tcPr>
            <w:tcW w:w="960"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156 </w:t>
            </w:r>
          </w:p>
        </w:tc>
        <w:tc>
          <w:tcPr>
            <w:tcW w:w="1286"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$153,184 </w:t>
            </w:r>
          </w:p>
        </w:tc>
        <w:tc>
          <w:tcPr>
            <w:tcW w:w="1037"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14 </w:t>
            </w:r>
          </w:p>
        </w:tc>
        <w:tc>
          <w:tcPr>
            <w:tcW w:w="960"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78 </w:t>
            </w:r>
          </w:p>
        </w:tc>
        <w:tc>
          <w:tcPr>
            <w:tcW w:w="997"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2.11% </w:t>
            </w:r>
          </w:p>
        </w:tc>
      </w:tr>
      <w:tr w:rsidR="008D573F" w:rsidRPr="003E5A23" w:rsidTr="008D573F">
        <w:trPr>
          <w:trHeight w:val="300"/>
          <w:jc w:val="center"/>
        </w:trPr>
        <w:tc>
          <w:tcPr>
            <w:tcW w:w="567" w:type="dxa"/>
            <w:shd w:val="clear" w:color="000000" w:fill="FFFFFF"/>
            <w:noWrap/>
            <w:vAlign w:val="bottom"/>
          </w:tcPr>
          <w:p w:rsidR="008D573F" w:rsidRPr="003E5A23" w:rsidRDefault="008D573F" w:rsidP="008D573F">
            <w:pPr>
              <w:rPr>
                <w:rFonts w:ascii="Arial" w:hAnsi="Arial" w:cs="Arial"/>
                <w:color w:val="000000"/>
                <w:sz w:val="18"/>
                <w:szCs w:val="18"/>
              </w:rPr>
            </w:pPr>
            <w:r w:rsidRPr="003E5A23">
              <w:rPr>
                <w:rFonts w:ascii="Arial" w:hAnsi="Arial" w:cs="Arial"/>
                <w:color w:val="000000"/>
                <w:sz w:val="18"/>
                <w:szCs w:val="18"/>
              </w:rPr>
              <w:t>9</w:t>
            </w:r>
          </w:p>
        </w:tc>
        <w:tc>
          <w:tcPr>
            <w:tcW w:w="2314" w:type="dxa"/>
            <w:shd w:val="clear" w:color="000000" w:fill="FFFFFF"/>
            <w:noWrap/>
            <w:vAlign w:val="bottom"/>
            <w:hideMark/>
          </w:tcPr>
          <w:p w:rsidR="008D573F" w:rsidRPr="003E5A23" w:rsidRDefault="008D573F" w:rsidP="008D573F">
            <w:pPr>
              <w:rPr>
                <w:rFonts w:ascii="Arial" w:hAnsi="Arial" w:cs="Arial"/>
                <w:color w:val="000000"/>
                <w:sz w:val="18"/>
                <w:szCs w:val="18"/>
              </w:rPr>
            </w:pPr>
            <w:r>
              <w:rPr>
                <w:rFonts w:ascii="Arial" w:hAnsi="Arial" w:cs="Arial"/>
                <w:b/>
                <w:color w:val="000000"/>
                <w:sz w:val="18"/>
                <w:szCs w:val="18"/>
              </w:rPr>
              <w:t>31584</w:t>
            </w:r>
            <w:r>
              <w:rPr>
                <w:rFonts w:ascii="Arial" w:hAnsi="Arial" w:cs="Arial"/>
                <w:color w:val="000000"/>
                <w:sz w:val="18"/>
                <w:szCs w:val="18"/>
              </w:rPr>
              <w:t>, 104</w:t>
            </w:r>
          </w:p>
        </w:tc>
        <w:tc>
          <w:tcPr>
            <w:tcW w:w="1017"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75 </w:t>
            </w:r>
          </w:p>
        </w:tc>
        <w:tc>
          <w:tcPr>
            <w:tcW w:w="960"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150 </w:t>
            </w:r>
          </w:p>
        </w:tc>
        <w:tc>
          <w:tcPr>
            <w:tcW w:w="1286"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$121,849 </w:t>
            </w:r>
          </w:p>
        </w:tc>
        <w:tc>
          <w:tcPr>
            <w:tcW w:w="1037"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18 </w:t>
            </w:r>
          </w:p>
        </w:tc>
        <w:tc>
          <w:tcPr>
            <w:tcW w:w="960"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75 </w:t>
            </w:r>
          </w:p>
        </w:tc>
        <w:tc>
          <w:tcPr>
            <w:tcW w:w="997"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2.03% </w:t>
            </w:r>
          </w:p>
        </w:tc>
      </w:tr>
      <w:tr w:rsidR="008D573F" w:rsidRPr="003E5A23" w:rsidTr="008D573F">
        <w:trPr>
          <w:trHeight w:val="300"/>
          <w:jc w:val="center"/>
        </w:trPr>
        <w:tc>
          <w:tcPr>
            <w:tcW w:w="567" w:type="dxa"/>
            <w:shd w:val="clear" w:color="000000" w:fill="FFFFFF"/>
            <w:noWrap/>
            <w:vAlign w:val="bottom"/>
          </w:tcPr>
          <w:p w:rsidR="008D573F" w:rsidRPr="003E5A23" w:rsidRDefault="008D573F" w:rsidP="008D573F">
            <w:pPr>
              <w:rPr>
                <w:rFonts w:ascii="Arial" w:hAnsi="Arial" w:cs="Arial"/>
                <w:color w:val="000000"/>
                <w:sz w:val="18"/>
                <w:szCs w:val="18"/>
              </w:rPr>
            </w:pPr>
            <w:r w:rsidRPr="003E5A23">
              <w:rPr>
                <w:rFonts w:ascii="Arial" w:hAnsi="Arial" w:cs="Arial"/>
                <w:color w:val="000000"/>
                <w:sz w:val="18"/>
                <w:szCs w:val="18"/>
              </w:rPr>
              <w:t>10</w:t>
            </w:r>
          </w:p>
        </w:tc>
        <w:tc>
          <w:tcPr>
            <w:tcW w:w="2314" w:type="dxa"/>
            <w:shd w:val="clear" w:color="000000" w:fill="FFFFFF"/>
            <w:noWrap/>
            <w:vAlign w:val="bottom"/>
            <w:hideMark/>
          </w:tcPr>
          <w:p w:rsidR="008D573F" w:rsidRPr="003E5A23" w:rsidRDefault="008D573F" w:rsidP="008D573F">
            <w:pPr>
              <w:rPr>
                <w:rFonts w:ascii="Arial" w:hAnsi="Arial" w:cs="Arial"/>
                <w:color w:val="000000"/>
                <w:sz w:val="18"/>
                <w:szCs w:val="18"/>
              </w:rPr>
            </w:pPr>
            <w:r>
              <w:rPr>
                <w:rFonts w:ascii="Arial" w:hAnsi="Arial" w:cs="Arial"/>
                <w:b/>
                <w:color w:val="000000"/>
                <w:sz w:val="18"/>
                <w:szCs w:val="18"/>
              </w:rPr>
              <w:t>31584</w:t>
            </w:r>
            <w:r>
              <w:rPr>
                <w:rFonts w:ascii="Arial" w:hAnsi="Arial" w:cs="Arial"/>
                <w:color w:val="000000"/>
                <w:sz w:val="18"/>
                <w:szCs w:val="18"/>
              </w:rPr>
              <w:t>, 30939, 31569</w:t>
            </w:r>
          </w:p>
        </w:tc>
        <w:tc>
          <w:tcPr>
            <w:tcW w:w="1017"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68 </w:t>
            </w:r>
          </w:p>
        </w:tc>
        <w:tc>
          <w:tcPr>
            <w:tcW w:w="960"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204 </w:t>
            </w:r>
          </w:p>
        </w:tc>
        <w:tc>
          <w:tcPr>
            <w:tcW w:w="1286"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$144,085 </w:t>
            </w:r>
          </w:p>
        </w:tc>
        <w:tc>
          <w:tcPr>
            <w:tcW w:w="1037"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16 </w:t>
            </w:r>
          </w:p>
        </w:tc>
        <w:tc>
          <w:tcPr>
            <w:tcW w:w="960"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68 </w:t>
            </w:r>
          </w:p>
        </w:tc>
        <w:tc>
          <w:tcPr>
            <w:tcW w:w="997" w:type="dxa"/>
            <w:shd w:val="clear" w:color="000000" w:fill="FFFFFF"/>
            <w:noWrap/>
            <w:vAlign w:val="bottom"/>
            <w:hideMark/>
          </w:tcPr>
          <w:p w:rsidR="008D573F" w:rsidRDefault="008D573F" w:rsidP="008D573F">
            <w:pPr>
              <w:jc w:val="right"/>
              <w:rPr>
                <w:rFonts w:ascii="Arial" w:hAnsi="Arial" w:cs="Arial"/>
                <w:color w:val="000000"/>
                <w:sz w:val="18"/>
                <w:szCs w:val="18"/>
              </w:rPr>
            </w:pPr>
            <w:r>
              <w:rPr>
                <w:rFonts w:ascii="Arial" w:hAnsi="Arial" w:cs="Arial"/>
                <w:color w:val="000000"/>
                <w:sz w:val="18"/>
                <w:szCs w:val="18"/>
              </w:rPr>
              <w:t xml:space="preserve">1.84% </w:t>
            </w:r>
          </w:p>
        </w:tc>
      </w:tr>
    </w:tbl>
    <w:p w:rsidR="002E542D" w:rsidRPr="009A4B53" w:rsidRDefault="008D573F" w:rsidP="00F56938">
      <w:pPr>
        <w:spacing w:after="240"/>
        <w:rPr>
          <w:rFonts w:asciiTheme="minorHAnsi" w:hAnsiTheme="minorHAnsi"/>
          <w:bCs/>
          <w:i/>
          <w:sz w:val="16"/>
          <w:szCs w:val="16"/>
        </w:rPr>
      </w:pPr>
      <w:r w:rsidRPr="009A4B53">
        <w:rPr>
          <w:rFonts w:asciiTheme="minorHAnsi" w:hAnsiTheme="minorHAnsi"/>
          <w:bCs/>
          <w:i/>
          <w:sz w:val="16"/>
          <w:szCs w:val="16"/>
        </w:rPr>
        <w:t>Source: Department of Health, Medical Benefits Division, Primary Care and Diagnostics Branch, MBS Analytics Section, Reference no.: Q20863, July 2017</w:t>
      </w:r>
    </w:p>
    <w:p w:rsidR="00BC1364" w:rsidRPr="00426D03" w:rsidRDefault="00A91AFD" w:rsidP="00863F70">
      <w:pPr>
        <w:pStyle w:val="Heading1"/>
        <w:numPr>
          <w:ilvl w:val="0"/>
          <w:numId w:val="1"/>
        </w:numPr>
        <w:tabs>
          <w:tab w:val="left" w:pos="720"/>
          <w:tab w:val="left" w:pos="1140"/>
        </w:tabs>
        <w:ind w:hanging="720"/>
      </w:pPr>
      <w:r w:rsidRPr="00426D03">
        <w:t>Background</w:t>
      </w:r>
    </w:p>
    <w:p w:rsidR="00426D03" w:rsidRPr="00863F70" w:rsidRDefault="00426D03" w:rsidP="00863F70">
      <w:pPr>
        <w:rPr>
          <w:spacing w:val="-3"/>
          <w:szCs w:val="24"/>
        </w:rPr>
      </w:pPr>
      <w:r w:rsidRPr="00863F70">
        <w:rPr>
          <w:spacing w:val="-3"/>
          <w:szCs w:val="24"/>
        </w:rPr>
        <w:t>In mid-2010 the Department contracted Deloitte Access Economics to conduct a review of MBS bariatric services and their findings were presented to MSAC under application 1180r at the 54th MSAC meeting from 29-30 November 2011. Based on the findings of the report, MSAC recommended that the services be retained but the items restructured to eliminate ambiguity and co-claiming issues. It was recommended the term ‘morbid obesity’ be changed to ‘clinically severe obesity’, and that a registry be created to collect long term data to improve quality and safety of bariatric surgery in Australia.</w:t>
      </w:r>
    </w:p>
    <w:p w:rsidR="006D4E66" w:rsidRPr="00863F70" w:rsidRDefault="00426D03" w:rsidP="00426D03">
      <w:pPr>
        <w:spacing w:before="240"/>
        <w:rPr>
          <w:spacing w:val="-3"/>
          <w:szCs w:val="24"/>
        </w:rPr>
      </w:pPr>
      <w:r w:rsidRPr="00863F70">
        <w:rPr>
          <w:spacing w:val="-3"/>
          <w:szCs w:val="24"/>
        </w:rPr>
        <w:t>On 1 July 2013, after extensive stakeholder consultation, including the Department working closely with the Obesity Surgical Society of Australia and New Zealand to agree on the best way forward, eight new and amended MBS items for bariatric surgery were implemented (31569-31590). The Commonwealth Government also commenced funding of the Bariatric Surgery Registry from May 2014.</w:t>
      </w:r>
    </w:p>
    <w:p w:rsidR="00426D03" w:rsidRPr="00863F70" w:rsidRDefault="00426D03" w:rsidP="00426D03">
      <w:pPr>
        <w:spacing w:before="240"/>
        <w:rPr>
          <w:spacing w:val="-3"/>
          <w:szCs w:val="24"/>
        </w:rPr>
      </w:pPr>
      <w:r w:rsidRPr="00863F70">
        <w:rPr>
          <w:spacing w:val="-3"/>
          <w:szCs w:val="24"/>
        </w:rPr>
        <w:t xml:space="preserve">At the MSAC Executive’s 27 July 2017 meeting, the Department noted a range of issues around bariatric surgery, including patient access and high out of pocket costs. The MSAC Executive </w:t>
      </w:r>
      <w:r w:rsidRPr="00863F70">
        <w:rPr>
          <w:spacing w:val="-3"/>
          <w:szCs w:val="24"/>
        </w:rPr>
        <w:lastRenderedPageBreak/>
        <w:t>agreed that a PvA review of these items is warranted and the Department agreed to undertake this as soon as possible.</w:t>
      </w:r>
    </w:p>
    <w:p w:rsidR="00AC4730" w:rsidRPr="00AC4730" w:rsidRDefault="00AC4730" w:rsidP="00AC4730">
      <w:pPr>
        <w:pStyle w:val="Heading1"/>
        <w:numPr>
          <w:ilvl w:val="0"/>
          <w:numId w:val="1"/>
        </w:numPr>
        <w:tabs>
          <w:tab w:val="left" w:pos="720"/>
          <w:tab w:val="left" w:pos="1140"/>
        </w:tabs>
        <w:spacing w:before="360"/>
        <w:ind w:hanging="720"/>
      </w:pPr>
      <w:r w:rsidRPr="00AC4730">
        <w:t>Item Descriptors</w:t>
      </w:r>
    </w:p>
    <w:p w:rsidR="00AC4730" w:rsidRPr="00863F70" w:rsidRDefault="00AC4730" w:rsidP="00AC4730">
      <w:pPr>
        <w:rPr>
          <w:b/>
          <w:bCs/>
        </w:rPr>
      </w:pPr>
      <w:r w:rsidRPr="00863F70">
        <w:rPr>
          <w:b/>
          <w:bCs/>
        </w:rPr>
        <w:t xml:space="preserve">31569 </w:t>
      </w:r>
      <w:r w:rsidRPr="00863F70">
        <w:t>Adjustable gastric band, placement of, with or without crural repair taking 45 minutes or less, for a patient with clinically severe obesity (Anaes.) (Assist.)</w:t>
      </w:r>
    </w:p>
    <w:p w:rsidR="00AC4730" w:rsidRPr="00F56938" w:rsidRDefault="00AC4730" w:rsidP="00F56938">
      <w:pPr>
        <w:spacing w:after="240"/>
        <w:ind w:firstLine="720"/>
        <w:rPr>
          <w:b/>
          <w:bCs/>
          <w:iCs/>
        </w:rPr>
      </w:pPr>
      <w:r w:rsidRPr="00863F70">
        <w:rPr>
          <w:b/>
          <w:iCs/>
        </w:rPr>
        <w:t xml:space="preserve">Fee: </w:t>
      </w:r>
      <w:r w:rsidRPr="00863F70">
        <w:rPr>
          <w:iCs/>
        </w:rPr>
        <w:t>$849.55</w:t>
      </w:r>
      <w:r w:rsidRPr="00863F70">
        <w:rPr>
          <w:b/>
          <w:iCs/>
        </w:rPr>
        <w:t xml:space="preserve"> Benefit: </w:t>
      </w:r>
      <w:r w:rsidRPr="00863F70">
        <w:rPr>
          <w:iCs/>
        </w:rPr>
        <w:t>75% = $637.20</w:t>
      </w:r>
    </w:p>
    <w:p w:rsidR="00AC4730" w:rsidRPr="00863F70" w:rsidRDefault="00AC4730" w:rsidP="00AC4730">
      <w:r w:rsidRPr="00863F70">
        <w:rPr>
          <w:b/>
          <w:bCs/>
        </w:rPr>
        <w:t xml:space="preserve">31572 </w:t>
      </w:r>
      <w:r w:rsidRPr="00863F70">
        <w:t>Gastric bypass by Roux-en-Y including associated anastomoses, with or without crural repair taking 45 minutes or less, for a patient with clinically severe obesity not being associated with a services to which item 30515 applies (Anaes.) (Assist.)</w:t>
      </w:r>
    </w:p>
    <w:p w:rsidR="00AC4730" w:rsidRPr="00F56938" w:rsidRDefault="00AC4730" w:rsidP="00F56938">
      <w:pPr>
        <w:spacing w:after="240"/>
        <w:ind w:firstLine="720"/>
        <w:rPr>
          <w:b/>
          <w:iCs/>
        </w:rPr>
      </w:pPr>
      <w:r w:rsidRPr="00863F70">
        <w:rPr>
          <w:b/>
          <w:iCs/>
        </w:rPr>
        <w:t xml:space="preserve">Fee: </w:t>
      </w:r>
      <w:r w:rsidRPr="00863F70">
        <w:rPr>
          <w:iCs/>
        </w:rPr>
        <w:t>$1,045.40</w:t>
      </w:r>
      <w:r w:rsidRPr="00863F70">
        <w:rPr>
          <w:b/>
          <w:iCs/>
        </w:rPr>
        <w:t xml:space="preserve"> Benefit: </w:t>
      </w:r>
      <w:r w:rsidRPr="00863F70">
        <w:rPr>
          <w:iCs/>
        </w:rPr>
        <w:t>75% = $784.05</w:t>
      </w:r>
    </w:p>
    <w:p w:rsidR="00AC4730" w:rsidRPr="00863F70" w:rsidRDefault="00AC4730" w:rsidP="00AC4730">
      <w:r w:rsidRPr="00863F70">
        <w:rPr>
          <w:b/>
          <w:bCs/>
        </w:rPr>
        <w:t xml:space="preserve">31575 </w:t>
      </w:r>
      <w:r w:rsidRPr="00863F70">
        <w:t>Sleeve gastrectomy, with or without crural repair taking 45 minutes or less, for a patient with clinically severe obesity (Anaes.) (Assist.)</w:t>
      </w:r>
    </w:p>
    <w:p w:rsidR="00AC4730" w:rsidRPr="00F56938" w:rsidRDefault="00AC4730" w:rsidP="00F56938">
      <w:pPr>
        <w:spacing w:after="240"/>
        <w:ind w:firstLine="720"/>
        <w:rPr>
          <w:b/>
          <w:iCs/>
        </w:rPr>
      </w:pPr>
      <w:r w:rsidRPr="00863F70">
        <w:rPr>
          <w:b/>
          <w:iCs/>
        </w:rPr>
        <w:t xml:space="preserve">Fee: </w:t>
      </w:r>
      <w:r w:rsidRPr="00863F70">
        <w:rPr>
          <w:iCs/>
        </w:rPr>
        <w:t>$849.55</w:t>
      </w:r>
      <w:r w:rsidRPr="00863F70">
        <w:rPr>
          <w:b/>
          <w:iCs/>
        </w:rPr>
        <w:t xml:space="preserve"> Benefit: </w:t>
      </w:r>
      <w:r w:rsidRPr="00863F70">
        <w:rPr>
          <w:iCs/>
        </w:rPr>
        <w:t>75% = $637.20</w:t>
      </w:r>
    </w:p>
    <w:p w:rsidR="00AC4730" w:rsidRPr="00863F70" w:rsidRDefault="00AC4730" w:rsidP="00AC4730">
      <w:r w:rsidRPr="00863F70">
        <w:rPr>
          <w:b/>
          <w:bCs/>
        </w:rPr>
        <w:t xml:space="preserve">31578 </w:t>
      </w:r>
      <w:r w:rsidRPr="00863F70">
        <w:t>Gastroplasty (excluding by gastric plication), with or without crural repair taking 45 minutes or less, for a patient with clinically severe obesity</w:t>
      </w:r>
    </w:p>
    <w:p w:rsidR="00AC4730" w:rsidRPr="00863F70" w:rsidRDefault="00AC4730" w:rsidP="00AC4730">
      <w:pPr>
        <w:rPr>
          <w:b/>
          <w:bCs/>
        </w:rPr>
      </w:pPr>
      <w:r w:rsidRPr="00863F70">
        <w:t>(Anaes.) (Assist.)</w:t>
      </w:r>
    </w:p>
    <w:p w:rsidR="00AC4730" w:rsidRPr="00F56938" w:rsidRDefault="00AC4730" w:rsidP="00F56938">
      <w:pPr>
        <w:spacing w:after="240"/>
        <w:ind w:firstLine="720"/>
        <w:rPr>
          <w:b/>
          <w:iCs/>
        </w:rPr>
      </w:pPr>
      <w:r w:rsidRPr="00863F70">
        <w:rPr>
          <w:b/>
          <w:iCs/>
        </w:rPr>
        <w:t xml:space="preserve">Fee: </w:t>
      </w:r>
      <w:r w:rsidRPr="00863F70">
        <w:rPr>
          <w:iCs/>
        </w:rPr>
        <w:t xml:space="preserve">$849.55 </w:t>
      </w:r>
      <w:r w:rsidRPr="00863F70">
        <w:rPr>
          <w:b/>
          <w:iCs/>
        </w:rPr>
        <w:t xml:space="preserve">Benefit: </w:t>
      </w:r>
      <w:r w:rsidRPr="00863F70">
        <w:rPr>
          <w:iCs/>
        </w:rPr>
        <w:t>75% = $637.20</w:t>
      </w:r>
    </w:p>
    <w:p w:rsidR="00AC4730" w:rsidRPr="00863F70" w:rsidRDefault="00AC4730" w:rsidP="00AC4730">
      <w:r w:rsidRPr="00863F70">
        <w:rPr>
          <w:b/>
          <w:bCs/>
        </w:rPr>
        <w:t xml:space="preserve">31581 </w:t>
      </w:r>
      <w:r w:rsidRPr="00863F70">
        <w:t>Gastric bypass by biliopancreatic diversion with or without duodenal switch including gastric resection and anastomoses, with or without crural repair taking 45 minutes or less, for a patient with clinically severe obesity (Anaes.) (Assist.)</w:t>
      </w:r>
    </w:p>
    <w:p w:rsidR="00AC4730" w:rsidRPr="00863F70" w:rsidRDefault="00AC4730" w:rsidP="00F56938">
      <w:pPr>
        <w:spacing w:after="240"/>
        <w:ind w:firstLine="720"/>
        <w:rPr>
          <w:b/>
          <w:iCs/>
        </w:rPr>
      </w:pPr>
      <w:r w:rsidRPr="00863F70">
        <w:rPr>
          <w:b/>
          <w:iCs/>
        </w:rPr>
        <w:t xml:space="preserve">Fee: </w:t>
      </w:r>
      <w:r w:rsidRPr="00863F70">
        <w:rPr>
          <w:iCs/>
        </w:rPr>
        <w:t>$1,045.40</w:t>
      </w:r>
      <w:r w:rsidRPr="00863F70">
        <w:rPr>
          <w:b/>
          <w:iCs/>
        </w:rPr>
        <w:t xml:space="preserve"> Benefit: </w:t>
      </w:r>
      <w:r w:rsidRPr="00863F70">
        <w:rPr>
          <w:iCs/>
        </w:rPr>
        <w:t>75% = $784.05</w:t>
      </w:r>
    </w:p>
    <w:p w:rsidR="00AC4730" w:rsidRPr="00863F70" w:rsidRDefault="00AC4730" w:rsidP="00AC4730">
      <w:pPr>
        <w:pStyle w:val="NormalWeb"/>
        <w:spacing w:before="0" w:beforeAutospacing="0" w:after="0" w:afterAutospacing="0"/>
      </w:pPr>
      <w:r w:rsidRPr="00863F70">
        <w:rPr>
          <w:b/>
          <w:bCs/>
        </w:rPr>
        <w:t xml:space="preserve">31584 </w:t>
      </w:r>
      <w:r w:rsidRPr="00863F70">
        <w:t>Surgical reversal of adjustable gastric banding (removal or replacement of gastric band), gastric bypass, gastroplasty (excluding by gastric plication) or billiopancreatic diversion being services to which items 31569 to 31581 apply (Anaes.) (Assist.)</w:t>
      </w:r>
    </w:p>
    <w:p w:rsidR="00AC4730" w:rsidRPr="00863F70" w:rsidRDefault="00AC4730" w:rsidP="00F56938">
      <w:pPr>
        <w:pStyle w:val="NormalWeb"/>
        <w:spacing w:before="0" w:beforeAutospacing="0" w:after="240" w:afterAutospacing="0"/>
        <w:ind w:firstLine="720"/>
      </w:pPr>
      <w:r w:rsidRPr="00863F70">
        <w:rPr>
          <w:b/>
        </w:rPr>
        <w:t>Fee:</w:t>
      </w:r>
      <w:r w:rsidRPr="00863F70">
        <w:t xml:space="preserve"> $1,539.10 </w:t>
      </w:r>
      <w:r w:rsidRPr="00863F70">
        <w:rPr>
          <w:b/>
        </w:rPr>
        <w:t>Benefit:</w:t>
      </w:r>
      <w:r w:rsidR="00F56938">
        <w:t xml:space="preserve"> 75% = $1,154.35</w:t>
      </w:r>
    </w:p>
    <w:p w:rsidR="00AC4730" w:rsidRPr="00863F70" w:rsidRDefault="00AC4730" w:rsidP="00AC4730">
      <w:pPr>
        <w:rPr>
          <w:color w:val="0000FF"/>
        </w:rPr>
      </w:pPr>
      <w:r w:rsidRPr="00863F70">
        <w:rPr>
          <w:b/>
          <w:bCs/>
        </w:rPr>
        <w:t xml:space="preserve">31587 </w:t>
      </w:r>
      <w:r w:rsidRPr="00863F70">
        <w:t>Adjustment of a gastric band as an independent procedure including any associated consultation</w:t>
      </w:r>
    </w:p>
    <w:p w:rsidR="00AC4730" w:rsidRPr="00863F70" w:rsidRDefault="00AC4730" w:rsidP="00F56938">
      <w:pPr>
        <w:spacing w:after="240"/>
        <w:ind w:firstLine="720"/>
      </w:pPr>
      <w:r w:rsidRPr="00863F70">
        <w:rPr>
          <w:b/>
        </w:rPr>
        <w:t>Fee:</w:t>
      </w:r>
      <w:r w:rsidRPr="00863F70">
        <w:t xml:space="preserve"> $97.95 </w:t>
      </w:r>
      <w:r w:rsidRPr="00863F70">
        <w:rPr>
          <w:b/>
        </w:rPr>
        <w:t>Benefit:</w:t>
      </w:r>
      <w:r w:rsidR="00F56938">
        <w:t xml:space="preserve"> 75% = $73.50   85% = $83.30</w:t>
      </w:r>
    </w:p>
    <w:p w:rsidR="00AC4730" w:rsidRPr="00863F70" w:rsidRDefault="00AC4730" w:rsidP="00AC4730">
      <w:r w:rsidRPr="00863F70">
        <w:rPr>
          <w:b/>
          <w:bCs/>
        </w:rPr>
        <w:t xml:space="preserve">31590 </w:t>
      </w:r>
      <w:r w:rsidRPr="00863F70">
        <w:t xml:space="preserve">Adjustable gastric band reservoir, repair, revision or replacement of (Anaes.) (Assist.) </w:t>
      </w:r>
    </w:p>
    <w:p w:rsidR="00BB03A5" w:rsidRPr="00863F70" w:rsidRDefault="00AC4730" w:rsidP="00BB03A5">
      <w:pPr>
        <w:ind w:firstLine="720"/>
      </w:pPr>
      <w:r w:rsidRPr="00863F70">
        <w:rPr>
          <w:b/>
        </w:rPr>
        <w:t>Fee:</w:t>
      </w:r>
      <w:r w:rsidRPr="00863F70">
        <w:t xml:space="preserve"> $251.70 </w:t>
      </w:r>
      <w:r w:rsidRPr="00863F70">
        <w:rPr>
          <w:b/>
        </w:rPr>
        <w:t>Benefit:</w:t>
      </w:r>
      <w:r w:rsidRPr="00863F70">
        <w:t xml:space="preserve"> 75% = $188.80   85% = $213.95</w:t>
      </w:r>
    </w:p>
    <w:p w:rsidR="00357997" w:rsidRDefault="00357997" w:rsidP="00357997">
      <w:pPr>
        <w:pStyle w:val="Heading1"/>
        <w:numPr>
          <w:ilvl w:val="0"/>
          <w:numId w:val="1"/>
        </w:numPr>
        <w:tabs>
          <w:tab w:val="left" w:pos="720"/>
          <w:tab w:val="left" w:pos="1140"/>
        </w:tabs>
        <w:spacing w:before="360"/>
        <w:ind w:hanging="720"/>
      </w:pPr>
      <w:r>
        <w:t>Further information on MSAC</w:t>
      </w:r>
    </w:p>
    <w:p w:rsidR="00BC1364" w:rsidRPr="00863F70" w:rsidRDefault="00357997" w:rsidP="00BB03A5">
      <w:pPr>
        <w:rPr>
          <w:szCs w:val="24"/>
        </w:rPr>
      </w:pPr>
      <w:r w:rsidRPr="00863F70">
        <w:rPr>
          <w:szCs w:val="24"/>
        </w:rPr>
        <w:t xml:space="preserve">MSAC Terms of Reference and other information are available on the MSAC Website at: </w:t>
      </w:r>
      <w:hyperlink r:id="rId17" w:tooltip="Website of the Medical Services Advisory Committee" w:history="1">
        <w:r w:rsidRPr="00863F70">
          <w:rPr>
            <w:rStyle w:val="Hyperlink"/>
            <w:szCs w:val="24"/>
          </w:rPr>
          <w:t>www.msac.gov.au</w:t>
        </w:r>
      </w:hyperlink>
      <w:r w:rsidRPr="00863F70">
        <w:rPr>
          <w:szCs w:val="24"/>
        </w:rPr>
        <w:t>.</w:t>
      </w:r>
    </w:p>
    <w:sectPr w:rsidR="00BC1364" w:rsidRPr="00863F70" w:rsidSect="00271F18">
      <w:footerReference w:type="default" r:id="rId18"/>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205491" w15:done="0"/>
  <w15:commentEx w15:paraId="3F5903D6" w15:done="0"/>
  <w15:commentEx w15:paraId="54F4F5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5F2" w:rsidRDefault="007105F2" w:rsidP="00065623">
      <w:r>
        <w:separator/>
      </w:r>
    </w:p>
  </w:endnote>
  <w:endnote w:type="continuationSeparator" w:id="0">
    <w:p w:rsidR="007105F2" w:rsidRDefault="007105F2"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rsidR="007105F2" w:rsidRDefault="007105F2" w:rsidP="00716342">
        <w:pPr>
          <w:pStyle w:val="Footer"/>
          <w:spacing w:after="240"/>
          <w:jc w:val="right"/>
        </w:pPr>
        <w:r>
          <w:fldChar w:fldCharType="begin"/>
        </w:r>
        <w:r>
          <w:instrText xml:space="preserve"> PAGE   \* MERGEFORMAT </w:instrText>
        </w:r>
        <w:r>
          <w:fldChar w:fldCharType="separate"/>
        </w:r>
        <w:r w:rsidR="00047A9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5F2" w:rsidRDefault="007105F2" w:rsidP="00065623">
      <w:r>
        <w:separator/>
      </w:r>
    </w:p>
  </w:footnote>
  <w:footnote w:type="continuationSeparator" w:id="0">
    <w:p w:rsidR="007105F2" w:rsidRDefault="007105F2" w:rsidP="00065623">
      <w:r>
        <w:continuationSeparator/>
      </w:r>
    </w:p>
  </w:footnote>
  <w:footnote w:id="1">
    <w:p w:rsidR="007105F2" w:rsidRDefault="007105F2" w:rsidP="00426D03">
      <w:pPr>
        <w:pStyle w:val="FootnoteText"/>
      </w:pPr>
      <w:r>
        <w:rPr>
          <w:rStyle w:val="FootnoteReference"/>
        </w:rPr>
        <w:footnoteRef/>
      </w:r>
      <w:r>
        <w:t xml:space="preserve"> O’Brien P, Brown W and Dixon J. 2005. Obesity, weight loss and bariatric surgery. </w:t>
      </w:r>
      <w:r w:rsidRPr="009F775A">
        <w:rPr>
          <w:i/>
        </w:rPr>
        <w:t>Medical Journal of Australia.</w:t>
      </w:r>
      <w:r>
        <w:t xml:space="preserve"> 183(6): 310-314.</w:t>
      </w:r>
    </w:p>
  </w:footnote>
  <w:footnote w:id="2">
    <w:p w:rsidR="007105F2" w:rsidRDefault="007105F2" w:rsidP="00426D03">
      <w:pPr>
        <w:pStyle w:val="FootnoteText"/>
      </w:pPr>
      <w:r>
        <w:rPr>
          <w:rStyle w:val="FootnoteReference"/>
        </w:rPr>
        <w:footnoteRef/>
      </w:r>
      <w:r>
        <w:t xml:space="preserve"> Australian Bureau of Statistics. 2004–05. National Health Survey: summary of results, Australia. 2006. </w:t>
      </w:r>
      <w:r w:rsidRPr="00D943A6">
        <w:rPr>
          <w:i/>
        </w:rPr>
        <w:t>Australian Bureau of Statistics</w:t>
      </w:r>
      <w:r>
        <w:t>: Canberra.</w:t>
      </w:r>
    </w:p>
  </w:footnote>
  <w:footnote w:id="3">
    <w:p w:rsidR="007105F2" w:rsidRDefault="007105F2" w:rsidP="008D573F">
      <w:pPr>
        <w:pStyle w:val="FootnoteText"/>
      </w:pPr>
      <w:r>
        <w:rPr>
          <w:rStyle w:val="FootnoteReference"/>
        </w:rPr>
        <w:footnoteRef/>
      </w:r>
      <w:r>
        <w:t xml:space="preserve"> The 95</w:t>
      </w:r>
      <w:r w:rsidRPr="007D0C48">
        <w:rPr>
          <w:vertAlign w:val="superscript"/>
        </w:rPr>
        <w:t>th</w:t>
      </w:r>
      <w:r>
        <w:t xml:space="preserve"> percentile fee charged represents that 95% of the time the fee is below this amount but in 5% of cases, the fee is higher than this.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69927D2"/>
    <w:multiLevelType w:val="hybridMultilevel"/>
    <w:tmpl w:val="CF684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06F3DCA"/>
    <w:multiLevelType w:val="hybridMultilevel"/>
    <w:tmpl w:val="7A34B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1535386"/>
    <w:multiLevelType w:val="multilevel"/>
    <w:tmpl w:val="D3EC8D5C"/>
    <w:styleLink w:val="TableListNumbers"/>
    <w:lvl w:ilvl="0">
      <w:start w:val="1"/>
      <w:numFmt w:val="lowerRoman"/>
      <w:pStyle w:val="TableListNumber"/>
      <w:lvlText w:val="(%1)"/>
      <w:lvlJc w:val="left"/>
      <w:pPr>
        <w:tabs>
          <w:tab w:val="num" w:pos="170"/>
        </w:tabs>
        <w:ind w:left="170" w:hanging="170"/>
      </w:pPr>
      <w:rPr>
        <w:rFonts w:hint="default"/>
      </w:rPr>
    </w:lvl>
    <w:lvl w:ilvl="1">
      <w:start w:val="1"/>
      <w:numFmt w:val="lowerLetter"/>
      <w:pStyle w:val="TableListNumber2"/>
      <w:lvlText w:val="%2)"/>
      <w:lvlJc w:val="left"/>
      <w:pPr>
        <w:tabs>
          <w:tab w:val="num" w:pos="340"/>
        </w:tabs>
        <w:ind w:left="340" w:hanging="17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42E221A"/>
    <w:multiLevelType w:val="multilevel"/>
    <w:tmpl w:val="567ADE74"/>
    <w:styleLink w:val="TableListBullets"/>
    <w:lvl w:ilvl="0">
      <w:start w:val="1"/>
      <w:numFmt w:val="bullet"/>
      <w:pStyle w:val="TableListBullet"/>
      <w:lvlText w:val="■"/>
      <w:lvlJc w:val="left"/>
      <w:pPr>
        <w:tabs>
          <w:tab w:val="num" w:pos="170"/>
        </w:tabs>
        <w:ind w:left="170" w:hanging="170"/>
      </w:pPr>
      <w:rPr>
        <w:rFonts w:ascii="Franklin Gothic Book" w:hAnsi="Franklin Gothic Book"/>
        <w:color w:val="8064A2" w:themeColor="accent4"/>
        <w:spacing w:val="0"/>
        <w:w w:val="100"/>
        <w:position w:val="3"/>
        <w:sz w:val="12"/>
      </w:rPr>
    </w:lvl>
    <w:lvl w:ilvl="1">
      <w:start w:val="1"/>
      <w:numFmt w:val="bullet"/>
      <w:pStyle w:val="TableListBullet2"/>
      <w:lvlText w:val="–"/>
      <w:lvlJc w:val="left"/>
      <w:pPr>
        <w:tabs>
          <w:tab w:val="num" w:pos="340"/>
        </w:tabs>
        <w:ind w:left="340" w:hanging="170"/>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6787896"/>
    <w:multiLevelType w:val="multilevel"/>
    <w:tmpl w:val="567ADE74"/>
    <w:numStyleLink w:val="TableListBullets"/>
  </w:abstractNum>
  <w:abstractNum w:abstractNumId="6">
    <w:nsid w:val="718120EA"/>
    <w:multiLevelType w:val="multilevel"/>
    <w:tmpl w:val="CB3EC8D0"/>
    <w:styleLink w:val="ListBullets"/>
    <w:lvl w:ilvl="0">
      <w:start w:val="1"/>
      <w:numFmt w:val="bullet"/>
      <w:pStyle w:val="ListBullet"/>
      <w:lvlText w:val="■"/>
      <w:lvlJc w:val="left"/>
      <w:pPr>
        <w:tabs>
          <w:tab w:val="num" w:pos="284"/>
        </w:tabs>
        <w:ind w:left="284" w:hanging="284"/>
      </w:pPr>
      <w:rPr>
        <w:rFonts w:ascii="Franklin Gothic Demi" w:hAnsi="Franklin Gothic Demi" w:hint="default"/>
        <w:color w:val="8064A2" w:themeColor="accent4"/>
        <w:position w:val="3"/>
        <w:sz w:val="16"/>
      </w:rPr>
    </w:lvl>
    <w:lvl w:ilvl="1">
      <w:start w:val="1"/>
      <w:numFmt w:val="bullet"/>
      <w:pStyle w:val="ListBullet2"/>
      <w:lvlText w:val="–"/>
      <w:lvlJc w:val="left"/>
      <w:pPr>
        <w:tabs>
          <w:tab w:val="num" w:pos="567"/>
        </w:tabs>
        <w:ind w:left="567" w:hanging="283"/>
      </w:pPr>
      <w:rPr>
        <w:rFonts w:hint="default"/>
      </w:rPr>
    </w:lvl>
    <w:lvl w:ilvl="2">
      <w:start w:val="1"/>
      <w:numFmt w:val="bullet"/>
      <w:pStyle w:val="ListBullet3"/>
      <w:lvlText w:val="…"/>
      <w:lvlJc w:val="left"/>
      <w:pPr>
        <w:tabs>
          <w:tab w:val="num" w:pos="907"/>
        </w:tabs>
        <w:ind w:left="907" w:hanging="340"/>
      </w:pPr>
      <w:rPr>
        <w:rFonts w:ascii="Calisto MT" w:hAnsi="Calisto MT" w:hint="default"/>
        <w:color w:val="8064A2" w:themeColor="accent4"/>
        <w:position w:val="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2"/>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26E58"/>
    <w:rsid w:val="00036C20"/>
    <w:rsid w:val="0003739B"/>
    <w:rsid w:val="00042F11"/>
    <w:rsid w:val="000452C7"/>
    <w:rsid w:val="00047606"/>
    <w:rsid w:val="00047A9E"/>
    <w:rsid w:val="00065623"/>
    <w:rsid w:val="000746BA"/>
    <w:rsid w:val="000756B9"/>
    <w:rsid w:val="000871B7"/>
    <w:rsid w:val="000922FA"/>
    <w:rsid w:val="00096B67"/>
    <w:rsid w:val="00096DAF"/>
    <w:rsid w:val="000A11F9"/>
    <w:rsid w:val="000A51E4"/>
    <w:rsid w:val="000A5B70"/>
    <w:rsid w:val="000B01D4"/>
    <w:rsid w:val="000B6956"/>
    <w:rsid w:val="000C2F47"/>
    <w:rsid w:val="000C4BBA"/>
    <w:rsid w:val="000C6B40"/>
    <w:rsid w:val="000D1443"/>
    <w:rsid w:val="000D6C00"/>
    <w:rsid w:val="000E155F"/>
    <w:rsid w:val="000E3B33"/>
    <w:rsid w:val="000E48CF"/>
    <w:rsid w:val="000E4E04"/>
    <w:rsid w:val="000F14B4"/>
    <w:rsid w:val="000F391E"/>
    <w:rsid w:val="000F600C"/>
    <w:rsid w:val="000F75DF"/>
    <w:rsid w:val="00115C4F"/>
    <w:rsid w:val="001328FA"/>
    <w:rsid w:val="00147AAF"/>
    <w:rsid w:val="00150894"/>
    <w:rsid w:val="001552C0"/>
    <w:rsid w:val="001638D7"/>
    <w:rsid w:val="001640B1"/>
    <w:rsid w:val="00182148"/>
    <w:rsid w:val="0018435E"/>
    <w:rsid w:val="00190792"/>
    <w:rsid w:val="0019118C"/>
    <w:rsid w:val="00193898"/>
    <w:rsid w:val="001A0012"/>
    <w:rsid w:val="001B0C9F"/>
    <w:rsid w:val="001C1BE6"/>
    <w:rsid w:val="001C7C8B"/>
    <w:rsid w:val="002041A1"/>
    <w:rsid w:val="002054F0"/>
    <w:rsid w:val="00206CEF"/>
    <w:rsid w:val="00210420"/>
    <w:rsid w:val="00223F16"/>
    <w:rsid w:val="00230D6B"/>
    <w:rsid w:val="00232068"/>
    <w:rsid w:val="002330F2"/>
    <w:rsid w:val="00243D9E"/>
    <w:rsid w:val="00252368"/>
    <w:rsid w:val="00253B66"/>
    <w:rsid w:val="00261DF1"/>
    <w:rsid w:val="00271F18"/>
    <w:rsid w:val="00282779"/>
    <w:rsid w:val="0028334D"/>
    <w:rsid w:val="00287428"/>
    <w:rsid w:val="002941C2"/>
    <w:rsid w:val="002A0495"/>
    <w:rsid w:val="002B7FFA"/>
    <w:rsid w:val="002C2135"/>
    <w:rsid w:val="002C2BCF"/>
    <w:rsid w:val="002D73A2"/>
    <w:rsid w:val="002E4AF9"/>
    <w:rsid w:val="002E542D"/>
    <w:rsid w:val="002F279D"/>
    <w:rsid w:val="002F43B8"/>
    <w:rsid w:val="003206F3"/>
    <w:rsid w:val="00320D06"/>
    <w:rsid w:val="00336856"/>
    <w:rsid w:val="00345167"/>
    <w:rsid w:val="0034554D"/>
    <w:rsid w:val="00352224"/>
    <w:rsid w:val="00357997"/>
    <w:rsid w:val="003671E6"/>
    <w:rsid w:val="00376575"/>
    <w:rsid w:val="00384272"/>
    <w:rsid w:val="00386D67"/>
    <w:rsid w:val="003945B8"/>
    <w:rsid w:val="003B1333"/>
    <w:rsid w:val="003D7F29"/>
    <w:rsid w:val="003F36DA"/>
    <w:rsid w:val="003F5DD6"/>
    <w:rsid w:val="003F78D1"/>
    <w:rsid w:val="00402FA7"/>
    <w:rsid w:val="00405A6B"/>
    <w:rsid w:val="00407B1F"/>
    <w:rsid w:val="00414C57"/>
    <w:rsid w:val="0041758C"/>
    <w:rsid w:val="00417F63"/>
    <w:rsid w:val="00420DE9"/>
    <w:rsid w:val="00426C12"/>
    <w:rsid w:val="00426D03"/>
    <w:rsid w:val="004372A7"/>
    <w:rsid w:val="00442254"/>
    <w:rsid w:val="00447520"/>
    <w:rsid w:val="004539DE"/>
    <w:rsid w:val="0045582A"/>
    <w:rsid w:val="0045589E"/>
    <w:rsid w:val="00455E04"/>
    <w:rsid w:val="004617ED"/>
    <w:rsid w:val="00464960"/>
    <w:rsid w:val="004656CE"/>
    <w:rsid w:val="00471DF6"/>
    <w:rsid w:val="0048056B"/>
    <w:rsid w:val="004A205B"/>
    <w:rsid w:val="004A2CF1"/>
    <w:rsid w:val="004A63E4"/>
    <w:rsid w:val="004B2B03"/>
    <w:rsid w:val="004B41AD"/>
    <w:rsid w:val="004C3035"/>
    <w:rsid w:val="004C307F"/>
    <w:rsid w:val="004E015F"/>
    <w:rsid w:val="004E0D06"/>
    <w:rsid w:val="004E2A23"/>
    <w:rsid w:val="004E4BA8"/>
    <w:rsid w:val="004F340F"/>
    <w:rsid w:val="004F7B7C"/>
    <w:rsid w:val="0052243D"/>
    <w:rsid w:val="00531C81"/>
    <w:rsid w:val="00532435"/>
    <w:rsid w:val="0053288F"/>
    <w:rsid w:val="00532F68"/>
    <w:rsid w:val="00535E34"/>
    <w:rsid w:val="00540F30"/>
    <w:rsid w:val="00550354"/>
    <w:rsid w:val="00552BBA"/>
    <w:rsid w:val="0056178A"/>
    <w:rsid w:val="00564662"/>
    <w:rsid w:val="00571236"/>
    <w:rsid w:val="005840D3"/>
    <w:rsid w:val="0058426A"/>
    <w:rsid w:val="005953A1"/>
    <w:rsid w:val="005A012A"/>
    <w:rsid w:val="005A5929"/>
    <w:rsid w:val="005B43F1"/>
    <w:rsid w:val="005B52E3"/>
    <w:rsid w:val="005D0332"/>
    <w:rsid w:val="005D0D8C"/>
    <w:rsid w:val="005D3322"/>
    <w:rsid w:val="005D3670"/>
    <w:rsid w:val="005E3F81"/>
    <w:rsid w:val="005F0BD4"/>
    <w:rsid w:val="005F557C"/>
    <w:rsid w:val="005F6029"/>
    <w:rsid w:val="00602657"/>
    <w:rsid w:val="00604637"/>
    <w:rsid w:val="00613AC3"/>
    <w:rsid w:val="00616256"/>
    <w:rsid w:val="006263B1"/>
    <w:rsid w:val="00633ADB"/>
    <w:rsid w:val="006436B5"/>
    <w:rsid w:val="0066089A"/>
    <w:rsid w:val="00672AC2"/>
    <w:rsid w:val="006776AE"/>
    <w:rsid w:val="00682CD7"/>
    <w:rsid w:val="006A0D97"/>
    <w:rsid w:val="006B1F86"/>
    <w:rsid w:val="006C0A91"/>
    <w:rsid w:val="006C4606"/>
    <w:rsid w:val="006D4E66"/>
    <w:rsid w:val="006E4A48"/>
    <w:rsid w:val="006E5582"/>
    <w:rsid w:val="007054BB"/>
    <w:rsid w:val="0070665C"/>
    <w:rsid w:val="00707064"/>
    <w:rsid w:val="007105F2"/>
    <w:rsid w:val="00716342"/>
    <w:rsid w:val="0073002D"/>
    <w:rsid w:val="00730683"/>
    <w:rsid w:val="00732856"/>
    <w:rsid w:val="0075261F"/>
    <w:rsid w:val="00753306"/>
    <w:rsid w:val="007533C3"/>
    <w:rsid w:val="007541BD"/>
    <w:rsid w:val="0075468E"/>
    <w:rsid w:val="007656A8"/>
    <w:rsid w:val="00765E44"/>
    <w:rsid w:val="007665D8"/>
    <w:rsid w:val="00766E36"/>
    <w:rsid w:val="007715DD"/>
    <w:rsid w:val="007722BF"/>
    <w:rsid w:val="00775EF8"/>
    <w:rsid w:val="007765F4"/>
    <w:rsid w:val="00776633"/>
    <w:rsid w:val="00784D53"/>
    <w:rsid w:val="00797797"/>
    <w:rsid w:val="007A215B"/>
    <w:rsid w:val="007A63C9"/>
    <w:rsid w:val="007B32D1"/>
    <w:rsid w:val="007B3BA8"/>
    <w:rsid w:val="007B7095"/>
    <w:rsid w:val="007B7B66"/>
    <w:rsid w:val="007B7C84"/>
    <w:rsid w:val="007D24E1"/>
    <w:rsid w:val="007F35C8"/>
    <w:rsid w:val="007F4CE9"/>
    <w:rsid w:val="007F4E20"/>
    <w:rsid w:val="007F66B0"/>
    <w:rsid w:val="008156EC"/>
    <w:rsid w:val="00822C7E"/>
    <w:rsid w:val="00825661"/>
    <w:rsid w:val="00832590"/>
    <w:rsid w:val="00833132"/>
    <w:rsid w:val="00833EA2"/>
    <w:rsid w:val="00842B56"/>
    <w:rsid w:val="008430A7"/>
    <w:rsid w:val="00845790"/>
    <w:rsid w:val="00847060"/>
    <w:rsid w:val="00856A33"/>
    <w:rsid w:val="00860499"/>
    <w:rsid w:val="008620D3"/>
    <w:rsid w:val="00863878"/>
    <w:rsid w:val="00863F70"/>
    <w:rsid w:val="00875B33"/>
    <w:rsid w:val="00892620"/>
    <w:rsid w:val="008932FB"/>
    <w:rsid w:val="008B104E"/>
    <w:rsid w:val="008C6E08"/>
    <w:rsid w:val="008C7D37"/>
    <w:rsid w:val="008D573F"/>
    <w:rsid w:val="008D5885"/>
    <w:rsid w:val="008E027D"/>
    <w:rsid w:val="008E4152"/>
    <w:rsid w:val="008F5DEE"/>
    <w:rsid w:val="009149D0"/>
    <w:rsid w:val="00916EBC"/>
    <w:rsid w:val="00923FA2"/>
    <w:rsid w:val="009418F3"/>
    <w:rsid w:val="009461B5"/>
    <w:rsid w:val="00947EB9"/>
    <w:rsid w:val="0096060D"/>
    <w:rsid w:val="0096455F"/>
    <w:rsid w:val="00974A50"/>
    <w:rsid w:val="0097585A"/>
    <w:rsid w:val="009924B0"/>
    <w:rsid w:val="009942C9"/>
    <w:rsid w:val="00996CC5"/>
    <w:rsid w:val="009A2368"/>
    <w:rsid w:val="009A4B53"/>
    <w:rsid w:val="009B35C4"/>
    <w:rsid w:val="009B433F"/>
    <w:rsid w:val="009B650A"/>
    <w:rsid w:val="009C252C"/>
    <w:rsid w:val="009C630A"/>
    <w:rsid w:val="009D08F8"/>
    <w:rsid w:val="009D149B"/>
    <w:rsid w:val="009D2FA6"/>
    <w:rsid w:val="009D5A48"/>
    <w:rsid w:val="009E0D98"/>
    <w:rsid w:val="009F4192"/>
    <w:rsid w:val="00A068A1"/>
    <w:rsid w:val="00A1207D"/>
    <w:rsid w:val="00A12FD8"/>
    <w:rsid w:val="00A24B5D"/>
    <w:rsid w:val="00A33312"/>
    <w:rsid w:val="00A346FC"/>
    <w:rsid w:val="00A44FBD"/>
    <w:rsid w:val="00A53991"/>
    <w:rsid w:val="00A63661"/>
    <w:rsid w:val="00A73760"/>
    <w:rsid w:val="00A74D4C"/>
    <w:rsid w:val="00A76468"/>
    <w:rsid w:val="00A84F93"/>
    <w:rsid w:val="00A907A0"/>
    <w:rsid w:val="00A91AFD"/>
    <w:rsid w:val="00AB1AC5"/>
    <w:rsid w:val="00AB3BFC"/>
    <w:rsid w:val="00AB47DE"/>
    <w:rsid w:val="00AC02AE"/>
    <w:rsid w:val="00AC4730"/>
    <w:rsid w:val="00AC4F2E"/>
    <w:rsid w:val="00AC58CB"/>
    <w:rsid w:val="00AC657D"/>
    <w:rsid w:val="00AD0C37"/>
    <w:rsid w:val="00AD385F"/>
    <w:rsid w:val="00AE6E2A"/>
    <w:rsid w:val="00B04FDB"/>
    <w:rsid w:val="00B11472"/>
    <w:rsid w:val="00B16BD9"/>
    <w:rsid w:val="00B237C5"/>
    <w:rsid w:val="00B31E9C"/>
    <w:rsid w:val="00B35595"/>
    <w:rsid w:val="00B51C6D"/>
    <w:rsid w:val="00B55B8A"/>
    <w:rsid w:val="00B66399"/>
    <w:rsid w:val="00B85D8A"/>
    <w:rsid w:val="00B86D64"/>
    <w:rsid w:val="00B9099B"/>
    <w:rsid w:val="00B915E6"/>
    <w:rsid w:val="00B91882"/>
    <w:rsid w:val="00BA4AC5"/>
    <w:rsid w:val="00BB03A5"/>
    <w:rsid w:val="00BB19D5"/>
    <w:rsid w:val="00BC1364"/>
    <w:rsid w:val="00BC7DE9"/>
    <w:rsid w:val="00BD1F63"/>
    <w:rsid w:val="00BD5323"/>
    <w:rsid w:val="00BF13E4"/>
    <w:rsid w:val="00BF479B"/>
    <w:rsid w:val="00C00794"/>
    <w:rsid w:val="00C022A5"/>
    <w:rsid w:val="00C02577"/>
    <w:rsid w:val="00C03C9A"/>
    <w:rsid w:val="00C12F71"/>
    <w:rsid w:val="00C15603"/>
    <w:rsid w:val="00C204FB"/>
    <w:rsid w:val="00C20BEE"/>
    <w:rsid w:val="00C2158D"/>
    <w:rsid w:val="00C231EE"/>
    <w:rsid w:val="00C238C8"/>
    <w:rsid w:val="00C27865"/>
    <w:rsid w:val="00C46913"/>
    <w:rsid w:val="00C50C5F"/>
    <w:rsid w:val="00C54369"/>
    <w:rsid w:val="00C65C25"/>
    <w:rsid w:val="00C66FD5"/>
    <w:rsid w:val="00C67DD2"/>
    <w:rsid w:val="00C725CB"/>
    <w:rsid w:val="00C76F5C"/>
    <w:rsid w:val="00C8221A"/>
    <w:rsid w:val="00C90F65"/>
    <w:rsid w:val="00C9568F"/>
    <w:rsid w:val="00C96BAD"/>
    <w:rsid w:val="00CA277C"/>
    <w:rsid w:val="00CA3DEE"/>
    <w:rsid w:val="00CA6944"/>
    <w:rsid w:val="00CB0F8E"/>
    <w:rsid w:val="00CB7E7D"/>
    <w:rsid w:val="00CC2911"/>
    <w:rsid w:val="00CF0C6D"/>
    <w:rsid w:val="00CF7307"/>
    <w:rsid w:val="00CF7C68"/>
    <w:rsid w:val="00D0184F"/>
    <w:rsid w:val="00D01A07"/>
    <w:rsid w:val="00D07239"/>
    <w:rsid w:val="00D124FA"/>
    <w:rsid w:val="00D14EAB"/>
    <w:rsid w:val="00D154DA"/>
    <w:rsid w:val="00D167A6"/>
    <w:rsid w:val="00D16DFC"/>
    <w:rsid w:val="00D26292"/>
    <w:rsid w:val="00D340DE"/>
    <w:rsid w:val="00D36E7B"/>
    <w:rsid w:val="00D409BF"/>
    <w:rsid w:val="00D50A00"/>
    <w:rsid w:val="00D55723"/>
    <w:rsid w:val="00D62FAD"/>
    <w:rsid w:val="00D70450"/>
    <w:rsid w:val="00D734F2"/>
    <w:rsid w:val="00D73798"/>
    <w:rsid w:val="00D83BFD"/>
    <w:rsid w:val="00D90A38"/>
    <w:rsid w:val="00D97D6B"/>
    <w:rsid w:val="00DA0515"/>
    <w:rsid w:val="00DA171E"/>
    <w:rsid w:val="00DA56AA"/>
    <w:rsid w:val="00DB1FC4"/>
    <w:rsid w:val="00DB5833"/>
    <w:rsid w:val="00DB66AD"/>
    <w:rsid w:val="00DD2858"/>
    <w:rsid w:val="00DE60F6"/>
    <w:rsid w:val="00DF3C18"/>
    <w:rsid w:val="00E03E33"/>
    <w:rsid w:val="00E11A92"/>
    <w:rsid w:val="00E23A30"/>
    <w:rsid w:val="00E3642A"/>
    <w:rsid w:val="00E40BC5"/>
    <w:rsid w:val="00E415C4"/>
    <w:rsid w:val="00E50016"/>
    <w:rsid w:val="00E50EAA"/>
    <w:rsid w:val="00E523B1"/>
    <w:rsid w:val="00E600CC"/>
    <w:rsid w:val="00E60FC1"/>
    <w:rsid w:val="00E61026"/>
    <w:rsid w:val="00E656D6"/>
    <w:rsid w:val="00E671D3"/>
    <w:rsid w:val="00E977EE"/>
    <w:rsid w:val="00EA67A2"/>
    <w:rsid w:val="00EA6A42"/>
    <w:rsid w:val="00EB1D77"/>
    <w:rsid w:val="00EB6B6F"/>
    <w:rsid w:val="00EC2B3C"/>
    <w:rsid w:val="00EC4F98"/>
    <w:rsid w:val="00ED3D0C"/>
    <w:rsid w:val="00ED5185"/>
    <w:rsid w:val="00ED556D"/>
    <w:rsid w:val="00EE2FFB"/>
    <w:rsid w:val="00EF4DEE"/>
    <w:rsid w:val="00EF60DD"/>
    <w:rsid w:val="00F03659"/>
    <w:rsid w:val="00F06FF9"/>
    <w:rsid w:val="00F12F02"/>
    <w:rsid w:val="00F21117"/>
    <w:rsid w:val="00F30646"/>
    <w:rsid w:val="00F3088E"/>
    <w:rsid w:val="00F32E0D"/>
    <w:rsid w:val="00F35134"/>
    <w:rsid w:val="00F36900"/>
    <w:rsid w:val="00F375CA"/>
    <w:rsid w:val="00F40DA6"/>
    <w:rsid w:val="00F41812"/>
    <w:rsid w:val="00F4320D"/>
    <w:rsid w:val="00F479DE"/>
    <w:rsid w:val="00F523B5"/>
    <w:rsid w:val="00F56938"/>
    <w:rsid w:val="00F608DC"/>
    <w:rsid w:val="00F73333"/>
    <w:rsid w:val="00F85270"/>
    <w:rsid w:val="00F92897"/>
    <w:rsid w:val="00F93545"/>
    <w:rsid w:val="00F95332"/>
    <w:rsid w:val="00F95D8F"/>
    <w:rsid w:val="00FA5AC7"/>
    <w:rsid w:val="00FB1F0A"/>
    <w:rsid w:val="00FB350A"/>
    <w:rsid w:val="00FC5E86"/>
    <w:rsid w:val="00FC68A1"/>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caption" w:locked="1" w:uiPriority="0" w:qFormat="1"/>
    <w:lsdException w:name="footnote reference" w:locked="1" w:semiHidden="0" w:uiPriority="0" w:unhideWhenUsed="0"/>
    <w:lsdException w:name="annotation reference" w:uiPriority="0"/>
    <w:lsdException w:name="List Bullet" w:uiPriority="2" w:qFormat="1"/>
    <w:lsdException w:name="List Bullet 2" w:uiPriority="2"/>
    <w:lsdException w:name="List Bullet 3" w:uiPriority="2"/>
    <w:lsdException w:name="Title" w:locked="1" w:semiHidden="0" w:uiPriority="0" w:unhideWhenUsed="0" w:qFormat="1"/>
    <w:lsdException w:name="Default Paragraph Font" w:locked="1" w:semiHidden="0" w:uiPriority="0" w:unhideWhenUsed="0"/>
    <w:lsdException w:name="Body Text" w:uiPriority="0" w:qFormat="1"/>
    <w:lsdException w:name="Subtitle" w:locked="1" w:semiHidden="0" w:uiPriority="0" w:unhideWhenUsed="0" w:qFormat="1"/>
    <w:lsdException w:name="Hyperlink" w:locked="1" w:semiHidden="0" w:unhideWhenUsed="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uiPriority w:val="9"/>
    <w:unhideWhenUsed/>
    <w:qFormat/>
    <w:locked/>
    <w:rsid w:val="004E015F"/>
    <w:pPr>
      <w:keepNext/>
      <w:keepLines/>
      <w:spacing w:before="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nhideWhenUsed/>
    <w:qFormat/>
    <w:locked/>
    <w:rsid w:val="00753306"/>
    <w:pPr>
      <w:keepNext/>
      <w:keepLines/>
      <w:spacing w:before="200"/>
      <w:outlineLvl w:val="2"/>
    </w:pPr>
    <w:rPr>
      <w:rFonts w:eastAsiaTheme="majorEastAsia" w:cstheme="majorBidi"/>
      <w:b/>
      <w:bCs/>
      <w:sz w:val="18"/>
    </w:rPr>
  </w:style>
  <w:style w:type="paragraph" w:styleId="Heading4">
    <w:name w:val="heading 4"/>
    <w:basedOn w:val="Normal"/>
    <w:next w:val="Normal"/>
    <w:link w:val="Heading4Char"/>
    <w:qFormat/>
    <w:locked/>
    <w:rsid w:val="008D573F"/>
    <w:pPr>
      <w:keepNext/>
      <w:spacing w:before="240" w:after="60"/>
      <w:outlineLvl w:val="3"/>
    </w:pPr>
    <w:rPr>
      <w:rFonts w:ascii="Arial" w:hAnsi="Arial"/>
      <w:bCs/>
      <w:sz w:val="28"/>
      <w:szCs w:val="28"/>
      <w:lang w:eastAsia="en-US"/>
    </w:rPr>
  </w:style>
  <w:style w:type="paragraph" w:styleId="Heading5">
    <w:name w:val="heading 5"/>
    <w:basedOn w:val="Normal"/>
    <w:next w:val="Normal"/>
    <w:link w:val="Heading5Char"/>
    <w:unhideWhenUsed/>
    <w:qFormat/>
    <w:locked/>
    <w:rsid w:val="000E155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locked/>
    <w:rsid w:val="008D573F"/>
    <w:pPr>
      <w:keepNext/>
      <w:spacing w:before="240" w:after="60"/>
      <w:outlineLvl w:val="5"/>
    </w:pPr>
    <w:rPr>
      <w:b/>
      <w:bCs/>
      <w: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rsid w:val="00065623"/>
    <w:rPr>
      <w:rFonts w:ascii="Tahoma" w:hAnsi="Tahoma" w:cs="Tahoma"/>
      <w:sz w:val="16"/>
      <w:szCs w:val="16"/>
    </w:rPr>
  </w:style>
  <w:style w:type="character" w:customStyle="1" w:styleId="BalloonTextChar">
    <w:name w:val="Balloon Text Char"/>
    <w:basedOn w:val="DefaultParagraphFont"/>
    <w:link w:val="BalloonText"/>
    <w:uiPriority w:val="99"/>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rsid w:val="00974A50"/>
    <w:rPr>
      <w:rFonts w:cs="Times New Roman"/>
      <w:sz w:val="16"/>
      <w:szCs w:val="16"/>
    </w:rPr>
  </w:style>
  <w:style w:type="paragraph" w:styleId="CommentText">
    <w:name w:val="annotation text"/>
    <w:basedOn w:val="Normal"/>
    <w:link w:val="CommentTextChar"/>
    <w:rsid w:val="00974A50"/>
    <w:rPr>
      <w:sz w:val="20"/>
    </w:rPr>
  </w:style>
  <w:style w:type="character" w:customStyle="1" w:styleId="CommentTextChar">
    <w:name w:val="Comment Text Char"/>
    <w:basedOn w:val="DefaultParagraphFont"/>
    <w:link w:val="CommentText"/>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rsid w:val="00974A50"/>
    <w:rPr>
      <w:b/>
      <w:bCs/>
    </w:rPr>
  </w:style>
  <w:style w:type="character" w:customStyle="1" w:styleId="CommentSubjectChar">
    <w:name w:val="Comment Subject Char"/>
    <w:basedOn w:val="CommentTextChar"/>
    <w:link w:val="CommentSubject"/>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uiPriority w:val="9"/>
    <w:rsid w:val="004E015F"/>
    <w:rPr>
      <w:rFonts w:asciiTheme="majorHAnsi" w:eastAsiaTheme="majorEastAsia" w:hAnsiTheme="majorHAnsi" w:cstheme="majorBidi"/>
      <w:b/>
      <w:bCs/>
      <w:sz w:val="24"/>
      <w:szCs w:val="26"/>
    </w:rPr>
  </w:style>
  <w:style w:type="paragraph" w:customStyle="1" w:styleId="TableDataEntries">
    <w:name w:val="Table Data Entries"/>
    <w:basedOn w:val="Normal"/>
    <w:uiPriority w:val="11"/>
    <w:rsid w:val="00DB66AD"/>
    <w:pPr>
      <w:keepLines/>
      <w:spacing w:before="40" w:after="40" w:line="200" w:lineRule="atLeast"/>
      <w:jc w:val="right"/>
    </w:pPr>
    <w:rPr>
      <w:rFonts w:ascii="Franklin Gothic Book" w:hAnsi="Franklin Gothic Book"/>
      <w:sz w:val="16"/>
      <w:szCs w:val="18"/>
      <w:lang w:eastAsia="en-US"/>
    </w:rPr>
  </w:style>
  <w:style w:type="paragraph" w:customStyle="1" w:styleId="TableDataColumnHeading">
    <w:name w:val="Table Data Column Heading"/>
    <w:basedOn w:val="TableDataEntries"/>
    <w:uiPriority w:val="11"/>
    <w:rsid w:val="00DB66AD"/>
    <w:pPr>
      <w:keepNext/>
      <w:spacing w:before="80" w:after="80"/>
    </w:pPr>
    <w:rPr>
      <w:rFonts w:ascii="Franklin Gothic Demi" w:hAnsi="Franklin Gothic Demi"/>
      <w:color w:val="FFFFFF"/>
    </w:rPr>
  </w:style>
  <w:style w:type="paragraph" w:customStyle="1" w:styleId="TableUnit">
    <w:name w:val="Table Unit"/>
    <w:basedOn w:val="TableDataColumnHeading"/>
    <w:next w:val="TableDataEntries"/>
    <w:uiPriority w:val="11"/>
    <w:rsid w:val="00DB66AD"/>
    <w:rPr>
      <w:rFonts w:ascii="Franklin Gothic Book" w:hAnsi="Franklin Gothic Book"/>
      <w:color w:val="auto"/>
      <w:szCs w:val="17"/>
    </w:rPr>
  </w:style>
  <w:style w:type="paragraph" w:customStyle="1" w:styleId="ChartText">
    <w:name w:val="Chart Text"/>
    <w:basedOn w:val="Normal"/>
    <w:link w:val="ChartTextChar"/>
    <w:uiPriority w:val="23"/>
    <w:rsid w:val="000B6956"/>
    <w:pPr>
      <w:keepLines/>
      <w:spacing w:after="80" w:line="200" w:lineRule="atLeast"/>
    </w:pPr>
    <w:rPr>
      <w:rFonts w:ascii="Franklin Gothic Medium" w:hAnsi="Franklin Gothic Medium"/>
      <w:sz w:val="16"/>
      <w:szCs w:val="18"/>
      <w:lang w:eastAsia="en-US"/>
    </w:rPr>
  </w:style>
  <w:style w:type="character" w:customStyle="1" w:styleId="ChartTextChar">
    <w:name w:val="Chart Text Char"/>
    <w:link w:val="ChartText"/>
    <w:uiPriority w:val="23"/>
    <w:rsid w:val="000B6956"/>
    <w:rPr>
      <w:rFonts w:ascii="Franklin Gothic Medium" w:eastAsia="Times New Roman" w:hAnsi="Franklin Gothic Medium"/>
      <w:sz w:val="16"/>
      <w:szCs w:val="18"/>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Caption Char1 Char Char"/>
    <w:basedOn w:val="Normal"/>
    <w:next w:val="Normal"/>
    <w:link w:val="CaptionChar"/>
    <w:unhideWhenUsed/>
    <w:qFormat/>
    <w:locked/>
    <w:rsid w:val="00BB19D5"/>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BB19D5"/>
    <w:rPr>
      <w:rFonts w:ascii="Arial Narrow" w:eastAsia="Times New Roman" w:hAnsi="Arial Narrow" w:cs="Arial"/>
      <w:b/>
      <w:bCs/>
      <w:iCs/>
      <w:sz w:val="20"/>
      <w:szCs w:val="20"/>
      <w:lang w:eastAsia="en-US"/>
    </w:rPr>
  </w:style>
  <w:style w:type="paragraph" w:styleId="BodyText">
    <w:name w:val="Body Text"/>
    <w:basedOn w:val="Normal"/>
    <w:link w:val="BodyTextChar"/>
    <w:qFormat/>
    <w:rsid w:val="00BB19D5"/>
    <w:pPr>
      <w:spacing w:before="140" w:line="280" w:lineRule="atLeast"/>
    </w:pPr>
    <w:rPr>
      <w:rFonts w:asciiTheme="minorHAnsi" w:hAnsiTheme="minorHAnsi"/>
      <w:sz w:val="21"/>
      <w:szCs w:val="21"/>
    </w:rPr>
  </w:style>
  <w:style w:type="character" w:customStyle="1" w:styleId="BodyTextChar">
    <w:name w:val="Body Text Char"/>
    <w:basedOn w:val="DefaultParagraphFont"/>
    <w:link w:val="BodyText"/>
    <w:rsid w:val="00BB19D5"/>
    <w:rPr>
      <w:rFonts w:asciiTheme="minorHAnsi" w:eastAsia="Times New Roman" w:hAnsiTheme="minorHAnsi"/>
      <w:sz w:val="21"/>
      <w:szCs w:val="21"/>
    </w:rPr>
  </w:style>
  <w:style w:type="paragraph" w:customStyle="1" w:styleId="TableTextEntries">
    <w:name w:val="Table Text Entries"/>
    <w:basedOn w:val="BodyText"/>
    <w:uiPriority w:val="13"/>
    <w:rsid w:val="00BB19D5"/>
    <w:pPr>
      <w:keepLines/>
      <w:spacing w:before="80" w:after="80" w:line="200" w:lineRule="atLeast"/>
    </w:pPr>
    <w:rPr>
      <w:rFonts w:ascii="Franklin Gothic Book" w:hAnsi="Franklin Gothic Book"/>
      <w:sz w:val="16"/>
      <w:szCs w:val="18"/>
      <w:lang w:eastAsia="en-US"/>
    </w:rPr>
  </w:style>
  <w:style w:type="character" w:customStyle="1" w:styleId="NoteLabel">
    <w:name w:val="Note Label"/>
    <w:uiPriority w:val="15"/>
    <w:rsid w:val="00BB19D5"/>
    <w:rPr>
      <w:rFonts w:ascii="Franklin Gothic Demi" w:hAnsi="Franklin Gothic Demi"/>
      <w:b w:val="0"/>
      <w:i w:val="0"/>
      <w:color w:val="8064A2" w:themeColor="accent4"/>
      <w:position w:val="4"/>
      <w:sz w:val="14"/>
      <w:szCs w:val="16"/>
    </w:rPr>
  </w:style>
  <w:style w:type="paragraph" w:customStyle="1" w:styleId="TableText">
    <w:name w:val="TableText"/>
    <w:basedOn w:val="Normal"/>
    <w:link w:val="TableTextChar"/>
    <w:rsid w:val="00BB19D5"/>
    <w:pPr>
      <w:keepNext/>
      <w:spacing w:before="20" w:after="20"/>
    </w:pPr>
    <w:rPr>
      <w:rFonts w:ascii="Arial Narrow" w:hAnsi="Arial Narrow"/>
      <w:color w:val="000000"/>
      <w:sz w:val="20"/>
      <w:szCs w:val="21"/>
    </w:rPr>
  </w:style>
  <w:style w:type="character" w:customStyle="1" w:styleId="TableTextChar">
    <w:name w:val="TableText Char"/>
    <w:link w:val="TableText"/>
    <w:rsid w:val="00BB19D5"/>
    <w:rPr>
      <w:rFonts w:ascii="Arial Narrow" w:eastAsia="Times New Roman" w:hAnsi="Arial Narrow"/>
      <w:color w:val="000000"/>
      <w:sz w:val="20"/>
      <w:szCs w:val="21"/>
    </w:rPr>
  </w:style>
  <w:style w:type="paragraph" w:customStyle="1" w:styleId="Source">
    <w:name w:val="Source"/>
    <w:basedOn w:val="Normal"/>
    <w:next w:val="BodyText"/>
    <w:link w:val="SourceChar"/>
    <w:qFormat/>
    <w:rsid w:val="00BB19D5"/>
    <w:pPr>
      <w:keepLines/>
      <w:spacing w:before="40" w:after="60" w:line="180" w:lineRule="atLeast"/>
    </w:pPr>
    <w:rPr>
      <w:rFonts w:ascii="Franklin Gothic Book" w:hAnsi="Franklin Gothic Book"/>
      <w:sz w:val="14"/>
      <w:szCs w:val="16"/>
      <w:lang w:eastAsia="en-US"/>
    </w:rPr>
  </w:style>
  <w:style w:type="character" w:customStyle="1" w:styleId="SourceChar">
    <w:name w:val="Source Char"/>
    <w:basedOn w:val="DefaultParagraphFont"/>
    <w:link w:val="Source"/>
    <w:uiPriority w:val="16"/>
    <w:locked/>
    <w:rsid w:val="00BB19D5"/>
    <w:rPr>
      <w:rFonts w:ascii="Franklin Gothic Book" w:eastAsia="Times New Roman" w:hAnsi="Franklin Gothic Book"/>
      <w:sz w:val="14"/>
      <w:szCs w:val="16"/>
      <w:lang w:eastAsia="en-US"/>
    </w:rPr>
  </w:style>
  <w:style w:type="paragraph" w:customStyle="1" w:styleId="Note">
    <w:name w:val="Note"/>
    <w:basedOn w:val="TableTextEntries"/>
    <w:next w:val="Source"/>
    <w:link w:val="NoteCharChar"/>
    <w:uiPriority w:val="15"/>
    <w:rsid w:val="00BB19D5"/>
    <w:pPr>
      <w:spacing w:before="40" w:after="0" w:line="180" w:lineRule="atLeast"/>
    </w:pPr>
    <w:rPr>
      <w:sz w:val="14"/>
      <w:szCs w:val="16"/>
    </w:rPr>
  </w:style>
  <w:style w:type="character" w:customStyle="1" w:styleId="NoteCharChar">
    <w:name w:val="Note Char Char"/>
    <w:link w:val="Note"/>
    <w:uiPriority w:val="15"/>
    <w:rsid w:val="00BB19D5"/>
    <w:rPr>
      <w:rFonts w:ascii="Franklin Gothic Book" w:eastAsia="Times New Roman" w:hAnsi="Franklin Gothic Book"/>
      <w:sz w:val="14"/>
      <w:szCs w:val="16"/>
      <w:lang w:eastAsia="en-US"/>
    </w:rPr>
  </w:style>
  <w:style w:type="paragraph" w:customStyle="1" w:styleId="TableFigNotes0">
    <w:name w:val="TableFigNotes+0"/>
    <w:basedOn w:val="Normal"/>
    <w:rsid w:val="00BB19D5"/>
    <w:pPr>
      <w:keepNext/>
      <w:keepLines/>
      <w:ind w:left="720"/>
    </w:pPr>
    <w:rPr>
      <w:rFonts w:ascii="Arial Narrow" w:hAnsi="Arial Narrow"/>
      <w:color w:val="000000"/>
      <w:sz w:val="18"/>
      <w:szCs w:val="18"/>
    </w:rPr>
  </w:style>
  <w:style w:type="numbering" w:customStyle="1" w:styleId="ListBullets">
    <w:name w:val="ListBullets"/>
    <w:uiPriority w:val="99"/>
    <w:rsid w:val="00BB19D5"/>
    <w:pPr>
      <w:numPr>
        <w:numId w:val="5"/>
      </w:numPr>
    </w:pPr>
  </w:style>
  <w:style w:type="paragraph" w:styleId="ListBullet3">
    <w:name w:val="List Bullet 3"/>
    <w:basedOn w:val="ListBullet2"/>
    <w:uiPriority w:val="2"/>
    <w:rsid w:val="00BB19D5"/>
    <w:pPr>
      <w:numPr>
        <w:ilvl w:val="2"/>
      </w:numPr>
      <w:tabs>
        <w:tab w:val="clear" w:pos="907"/>
        <w:tab w:val="num" w:pos="2160"/>
      </w:tabs>
      <w:ind w:left="2160" w:hanging="360"/>
    </w:pPr>
  </w:style>
  <w:style w:type="paragraph" w:styleId="ListBullet">
    <w:name w:val="List Bullet"/>
    <w:basedOn w:val="BodyText"/>
    <w:link w:val="ListBulletChar"/>
    <w:uiPriority w:val="2"/>
    <w:qFormat/>
    <w:rsid w:val="00BB19D5"/>
    <w:pPr>
      <w:numPr>
        <w:numId w:val="5"/>
      </w:numPr>
      <w:spacing w:before="70"/>
    </w:pPr>
  </w:style>
  <w:style w:type="paragraph" w:styleId="ListBullet2">
    <w:name w:val="List Bullet 2"/>
    <w:basedOn w:val="ListBullet"/>
    <w:uiPriority w:val="2"/>
    <w:rsid w:val="00BB19D5"/>
    <w:pPr>
      <w:numPr>
        <w:ilvl w:val="1"/>
      </w:numPr>
      <w:tabs>
        <w:tab w:val="clear" w:pos="567"/>
        <w:tab w:val="num" w:pos="1440"/>
      </w:tabs>
      <w:spacing w:before="40"/>
      <w:ind w:left="568" w:hanging="284"/>
    </w:pPr>
  </w:style>
  <w:style w:type="paragraph" w:customStyle="1" w:styleId="TableTextColumnHeading">
    <w:name w:val="Table Text Column Heading"/>
    <w:basedOn w:val="TableDataColumnHeading"/>
    <w:uiPriority w:val="13"/>
    <w:rsid w:val="00BB19D5"/>
    <w:pPr>
      <w:jc w:val="left"/>
    </w:pPr>
  </w:style>
  <w:style w:type="paragraph" w:customStyle="1" w:styleId="TableListBullet">
    <w:name w:val="Table List Bullet"/>
    <w:basedOn w:val="TableTextEntries"/>
    <w:uiPriority w:val="14"/>
    <w:rsid w:val="00BB19D5"/>
    <w:pPr>
      <w:numPr>
        <w:numId w:val="4"/>
      </w:numPr>
      <w:spacing w:line="210" w:lineRule="atLeast"/>
    </w:pPr>
    <w:rPr>
      <w:szCs w:val="19"/>
    </w:rPr>
  </w:style>
  <w:style w:type="paragraph" w:customStyle="1" w:styleId="TableListBullet2">
    <w:name w:val="Table List Bullet 2"/>
    <w:basedOn w:val="TableListBullet"/>
    <w:uiPriority w:val="14"/>
    <w:rsid w:val="00BB19D5"/>
    <w:pPr>
      <w:numPr>
        <w:ilvl w:val="1"/>
      </w:numPr>
    </w:pPr>
  </w:style>
  <w:style w:type="paragraph" w:customStyle="1" w:styleId="TableListNumber">
    <w:name w:val="Table List Number"/>
    <w:basedOn w:val="TableTextEntries"/>
    <w:uiPriority w:val="14"/>
    <w:rsid w:val="00BB19D5"/>
    <w:pPr>
      <w:numPr>
        <w:numId w:val="2"/>
      </w:numPr>
      <w:spacing w:before="40" w:after="40"/>
    </w:pPr>
    <w:rPr>
      <w:szCs w:val="19"/>
    </w:rPr>
  </w:style>
  <w:style w:type="paragraph" w:customStyle="1" w:styleId="TableListNumber2">
    <w:name w:val="Table List Number 2"/>
    <w:basedOn w:val="TableListNumber"/>
    <w:uiPriority w:val="14"/>
    <w:rsid w:val="00BB19D5"/>
    <w:pPr>
      <w:numPr>
        <w:ilvl w:val="1"/>
      </w:numPr>
    </w:pPr>
  </w:style>
  <w:style w:type="numbering" w:customStyle="1" w:styleId="TableListBullets">
    <w:name w:val="TableListBullets"/>
    <w:uiPriority w:val="99"/>
    <w:rsid w:val="00BB19D5"/>
    <w:pPr>
      <w:numPr>
        <w:numId w:val="3"/>
      </w:numPr>
    </w:pPr>
  </w:style>
  <w:style w:type="numbering" w:customStyle="1" w:styleId="TableListNumbers">
    <w:name w:val="TableListNumbers"/>
    <w:uiPriority w:val="99"/>
    <w:rsid w:val="00BB19D5"/>
    <w:pPr>
      <w:numPr>
        <w:numId w:val="2"/>
      </w:numPr>
    </w:pPr>
  </w:style>
  <w:style w:type="character" w:customStyle="1" w:styleId="ListBulletChar">
    <w:name w:val="List Bullet Char"/>
    <w:link w:val="ListBullet"/>
    <w:uiPriority w:val="2"/>
    <w:locked/>
    <w:rsid w:val="00BB19D5"/>
    <w:rPr>
      <w:rFonts w:asciiTheme="minorHAnsi" w:eastAsia="Times New Roman" w:hAnsiTheme="minorHAnsi"/>
      <w:sz w:val="21"/>
      <w:szCs w:val="21"/>
    </w:rPr>
  </w:style>
  <w:style w:type="table" w:styleId="TableGrid">
    <w:name w:val="Table Grid"/>
    <w:aliases w:val="Summary box"/>
    <w:basedOn w:val="TableNormal"/>
    <w:uiPriority w:val="59"/>
    <w:locked/>
    <w:rsid w:val="000E3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14EAB"/>
    <w:rPr>
      <w:rFonts w:eastAsia="Times New Roman"/>
      <w:sz w:val="24"/>
      <w:szCs w:val="20"/>
    </w:rPr>
  </w:style>
  <w:style w:type="paragraph" w:styleId="EndnoteText">
    <w:name w:val="endnote text"/>
    <w:basedOn w:val="Normal"/>
    <w:link w:val="EndnoteTextChar"/>
    <w:uiPriority w:val="99"/>
    <w:semiHidden/>
    <w:unhideWhenUsed/>
    <w:rsid w:val="00471DF6"/>
    <w:rPr>
      <w:sz w:val="20"/>
    </w:rPr>
  </w:style>
  <w:style w:type="character" w:customStyle="1" w:styleId="EndnoteTextChar">
    <w:name w:val="Endnote Text Char"/>
    <w:basedOn w:val="DefaultParagraphFont"/>
    <w:link w:val="EndnoteText"/>
    <w:uiPriority w:val="99"/>
    <w:semiHidden/>
    <w:rsid w:val="00471DF6"/>
    <w:rPr>
      <w:rFonts w:eastAsia="Times New Roman"/>
      <w:sz w:val="20"/>
      <w:szCs w:val="20"/>
    </w:rPr>
  </w:style>
  <w:style w:type="character" w:styleId="EndnoteReference">
    <w:name w:val="endnote reference"/>
    <w:basedOn w:val="DefaultParagraphFont"/>
    <w:uiPriority w:val="99"/>
    <w:semiHidden/>
    <w:unhideWhenUsed/>
    <w:rsid w:val="00471DF6"/>
    <w:rPr>
      <w:vertAlign w:val="superscript"/>
    </w:rPr>
  </w:style>
  <w:style w:type="paragraph" w:styleId="Title">
    <w:name w:val="Title"/>
    <w:basedOn w:val="Normal"/>
    <w:next w:val="Normal"/>
    <w:link w:val="TitleChar"/>
    <w:qFormat/>
    <w:locked/>
    <w:rsid w:val="003F5DD6"/>
    <w:pPr>
      <w:pBdr>
        <w:bottom w:val="single" w:sz="8" w:space="4" w:color="4F81BD" w:themeColor="accent1"/>
      </w:pBdr>
      <w:spacing w:after="300"/>
      <w:contextualSpacing/>
      <w:jc w:val="center"/>
    </w:pPr>
    <w:rPr>
      <w:rFonts w:ascii="Arial" w:eastAsiaTheme="majorEastAsia" w:hAnsi="Arial" w:cstheme="majorBidi"/>
      <w:b/>
      <w:kern w:val="28"/>
      <w:sz w:val="32"/>
      <w:szCs w:val="52"/>
      <w:lang w:eastAsia="en-US"/>
    </w:rPr>
  </w:style>
  <w:style w:type="character" w:customStyle="1" w:styleId="TitleChar">
    <w:name w:val="Title Char"/>
    <w:basedOn w:val="DefaultParagraphFont"/>
    <w:link w:val="Title"/>
    <w:rsid w:val="003F5DD6"/>
    <w:rPr>
      <w:rFonts w:ascii="Arial" w:eastAsiaTheme="majorEastAsia" w:hAnsi="Arial" w:cstheme="majorBidi"/>
      <w:b/>
      <w:kern w:val="28"/>
      <w:sz w:val="32"/>
      <w:szCs w:val="52"/>
      <w:lang w:eastAsia="en-US"/>
    </w:rPr>
  </w:style>
  <w:style w:type="character" w:styleId="IntenseReference">
    <w:name w:val="Intense Reference"/>
    <w:basedOn w:val="DefaultParagraphFont"/>
    <w:uiPriority w:val="32"/>
    <w:qFormat/>
    <w:rsid w:val="003F5DD6"/>
    <w:rPr>
      <w:b/>
      <w:bCs/>
      <w:i/>
      <w:smallCaps/>
      <w:color w:val="C0504D" w:themeColor="accent2"/>
      <w:spacing w:val="5"/>
      <w:u w:val="none"/>
    </w:rPr>
  </w:style>
  <w:style w:type="character" w:customStyle="1" w:styleId="textitem">
    <w:name w:val="textitem"/>
    <w:basedOn w:val="DefaultParagraphFont"/>
    <w:rsid w:val="004E015F"/>
  </w:style>
  <w:style w:type="character" w:customStyle="1" w:styleId="Heading3Char">
    <w:name w:val="Heading 3 Char"/>
    <w:basedOn w:val="DefaultParagraphFont"/>
    <w:link w:val="Heading3"/>
    <w:rsid w:val="00753306"/>
    <w:rPr>
      <w:rFonts w:eastAsiaTheme="majorEastAsia" w:cstheme="majorBidi"/>
      <w:b/>
      <w:bCs/>
      <w:sz w:val="18"/>
      <w:szCs w:val="20"/>
    </w:rPr>
  </w:style>
  <w:style w:type="character" w:customStyle="1" w:styleId="Heading5Char">
    <w:name w:val="Heading 5 Char"/>
    <w:basedOn w:val="DefaultParagraphFont"/>
    <w:link w:val="Heading5"/>
    <w:semiHidden/>
    <w:rsid w:val="000E155F"/>
    <w:rPr>
      <w:rFonts w:asciiTheme="majorHAnsi" w:eastAsiaTheme="majorEastAsia" w:hAnsiTheme="majorHAnsi" w:cstheme="majorBidi"/>
      <w:color w:val="243F60" w:themeColor="accent1" w:themeShade="7F"/>
      <w:sz w:val="24"/>
      <w:szCs w:val="20"/>
    </w:rPr>
  </w:style>
  <w:style w:type="character" w:customStyle="1" w:styleId="Heading4Char">
    <w:name w:val="Heading 4 Char"/>
    <w:basedOn w:val="DefaultParagraphFont"/>
    <w:link w:val="Heading4"/>
    <w:rsid w:val="008D573F"/>
    <w:rPr>
      <w:rFonts w:ascii="Arial" w:eastAsia="Times New Roman" w:hAnsi="Arial"/>
      <w:bCs/>
      <w:sz w:val="28"/>
      <w:szCs w:val="28"/>
      <w:lang w:eastAsia="en-US"/>
    </w:rPr>
  </w:style>
  <w:style w:type="character" w:customStyle="1" w:styleId="Heading6Char">
    <w:name w:val="Heading 6 Char"/>
    <w:basedOn w:val="DefaultParagraphFont"/>
    <w:link w:val="Heading6"/>
    <w:rsid w:val="008D573F"/>
    <w:rPr>
      <w:rFonts w:eastAsia="Times New Roman"/>
      <w:b/>
      <w:bCs/>
      <w:i/>
      <w:sz w:val="24"/>
      <w:lang w:eastAsia="en-US"/>
    </w:rPr>
  </w:style>
  <w:style w:type="character" w:styleId="Emphasis">
    <w:name w:val="Emphasis"/>
    <w:basedOn w:val="DefaultParagraphFont"/>
    <w:qFormat/>
    <w:locked/>
    <w:rsid w:val="008D573F"/>
    <w:rPr>
      <w:i/>
      <w:iCs/>
    </w:rPr>
  </w:style>
  <w:style w:type="character" w:styleId="Strong">
    <w:name w:val="Strong"/>
    <w:basedOn w:val="DefaultParagraphFont"/>
    <w:qFormat/>
    <w:locked/>
    <w:rsid w:val="008D573F"/>
    <w:rPr>
      <w:b/>
      <w:bCs/>
    </w:rPr>
  </w:style>
  <w:style w:type="paragraph" w:styleId="Subtitle">
    <w:name w:val="Subtitle"/>
    <w:basedOn w:val="Normal"/>
    <w:next w:val="Normal"/>
    <w:link w:val="SubtitleChar"/>
    <w:qFormat/>
    <w:locked/>
    <w:rsid w:val="008D573F"/>
    <w:pPr>
      <w:numPr>
        <w:ilvl w:val="1"/>
      </w:numPr>
    </w:pPr>
    <w:rPr>
      <w:rFonts w:asciiTheme="majorHAnsi" w:eastAsiaTheme="majorEastAsia" w:hAnsiTheme="majorHAnsi" w:cstheme="majorBidi"/>
      <w:iCs/>
      <w:spacing w:val="15"/>
      <w:szCs w:val="24"/>
      <w:lang w:eastAsia="en-US"/>
    </w:rPr>
  </w:style>
  <w:style w:type="character" w:customStyle="1" w:styleId="SubtitleChar">
    <w:name w:val="Subtitle Char"/>
    <w:basedOn w:val="DefaultParagraphFont"/>
    <w:link w:val="Subtitle"/>
    <w:rsid w:val="008D573F"/>
    <w:rPr>
      <w:rFonts w:asciiTheme="majorHAnsi" w:eastAsiaTheme="majorEastAsia" w:hAnsiTheme="majorHAnsi" w:cstheme="majorBidi"/>
      <w:iCs/>
      <w:spacing w:val="15"/>
      <w:sz w:val="24"/>
      <w:szCs w:val="24"/>
      <w:lang w:eastAsia="en-US"/>
    </w:rPr>
  </w:style>
  <w:style w:type="paragraph" w:styleId="NoSpacing">
    <w:name w:val="No Spacing"/>
    <w:uiPriority w:val="1"/>
    <w:qFormat/>
    <w:rsid w:val="008D573F"/>
    <w:rPr>
      <w:rFonts w:eastAsia="Times New Roman"/>
      <w:sz w:val="24"/>
      <w:szCs w:val="24"/>
      <w:lang w:eastAsia="en-US"/>
    </w:rPr>
  </w:style>
  <w:style w:type="character" w:styleId="SubtleEmphasis">
    <w:name w:val="Subtle Emphasis"/>
    <w:basedOn w:val="DefaultParagraphFont"/>
    <w:uiPriority w:val="19"/>
    <w:qFormat/>
    <w:rsid w:val="008D573F"/>
    <w:rPr>
      <w:i/>
      <w:iCs/>
      <w:color w:val="808080" w:themeColor="text1" w:themeTint="7F"/>
    </w:rPr>
  </w:style>
  <w:style w:type="character" w:styleId="IntenseEmphasis">
    <w:name w:val="Intense Emphasis"/>
    <w:basedOn w:val="DefaultParagraphFont"/>
    <w:uiPriority w:val="21"/>
    <w:qFormat/>
    <w:rsid w:val="008D573F"/>
    <w:rPr>
      <w:b/>
      <w:bCs/>
      <w:i/>
      <w:iCs/>
      <w:color w:val="4F81BD" w:themeColor="accent1"/>
    </w:rPr>
  </w:style>
  <w:style w:type="paragraph" w:styleId="Quote">
    <w:name w:val="Quote"/>
    <w:basedOn w:val="Normal"/>
    <w:next w:val="Normal"/>
    <w:link w:val="QuoteChar"/>
    <w:uiPriority w:val="29"/>
    <w:qFormat/>
    <w:rsid w:val="008D573F"/>
    <w:rPr>
      <w:i/>
      <w:iCs/>
      <w:color w:val="000000" w:themeColor="text1"/>
      <w:szCs w:val="24"/>
      <w:lang w:eastAsia="en-US"/>
    </w:rPr>
  </w:style>
  <w:style w:type="character" w:customStyle="1" w:styleId="QuoteChar">
    <w:name w:val="Quote Char"/>
    <w:basedOn w:val="DefaultParagraphFont"/>
    <w:link w:val="Quote"/>
    <w:uiPriority w:val="29"/>
    <w:rsid w:val="008D573F"/>
    <w:rPr>
      <w:rFonts w:eastAsia="Times New Roman"/>
      <w:i/>
      <w:iCs/>
      <w:color w:val="000000" w:themeColor="text1"/>
      <w:sz w:val="24"/>
      <w:szCs w:val="24"/>
      <w:lang w:eastAsia="en-US"/>
    </w:rPr>
  </w:style>
  <w:style w:type="paragraph" w:styleId="IntenseQuote">
    <w:name w:val="Intense Quote"/>
    <w:basedOn w:val="Normal"/>
    <w:next w:val="Normal"/>
    <w:link w:val="IntenseQuoteChar"/>
    <w:uiPriority w:val="30"/>
    <w:qFormat/>
    <w:rsid w:val="008D573F"/>
    <w:pPr>
      <w:pBdr>
        <w:bottom w:val="single" w:sz="4" w:space="4" w:color="4F81BD" w:themeColor="accent1"/>
      </w:pBdr>
      <w:spacing w:before="200" w:after="280"/>
      <w:ind w:left="936" w:right="936"/>
    </w:pPr>
    <w:rPr>
      <w:b/>
      <w:bCs/>
      <w:i/>
      <w:iCs/>
      <w:color w:val="4F81BD" w:themeColor="accent1"/>
      <w:szCs w:val="24"/>
      <w:lang w:eastAsia="en-US"/>
    </w:rPr>
  </w:style>
  <w:style w:type="character" w:customStyle="1" w:styleId="IntenseQuoteChar">
    <w:name w:val="Intense Quote Char"/>
    <w:basedOn w:val="DefaultParagraphFont"/>
    <w:link w:val="IntenseQuote"/>
    <w:uiPriority w:val="30"/>
    <w:rsid w:val="008D573F"/>
    <w:rPr>
      <w:rFonts w:eastAsia="Times New Roman"/>
      <w:b/>
      <w:bCs/>
      <w:i/>
      <w:iCs/>
      <w:color w:val="4F81BD" w:themeColor="accent1"/>
      <w:sz w:val="24"/>
      <w:szCs w:val="24"/>
      <w:lang w:eastAsia="en-US"/>
    </w:rPr>
  </w:style>
  <w:style w:type="character" w:styleId="SubtleReference">
    <w:name w:val="Subtle Reference"/>
    <w:basedOn w:val="DefaultParagraphFont"/>
    <w:uiPriority w:val="31"/>
    <w:qFormat/>
    <w:rsid w:val="008D573F"/>
    <w:rPr>
      <w:smallCaps/>
      <w:color w:val="C0504D" w:themeColor="accent2"/>
      <w:u w:val="single"/>
    </w:rPr>
  </w:style>
  <w:style w:type="character" w:styleId="BookTitle">
    <w:name w:val="Book Title"/>
    <w:basedOn w:val="DefaultParagraphFont"/>
    <w:uiPriority w:val="33"/>
    <w:qFormat/>
    <w:rsid w:val="008D573F"/>
    <w:rPr>
      <w:b/>
      <w:bCs/>
      <w:smallCaps/>
      <w:spacing w:val="5"/>
    </w:rPr>
  </w:style>
  <w:style w:type="paragraph" w:styleId="TOCHeading">
    <w:name w:val="TOC Heading"/>
    <w:basedOn w:val="Heading1"/>
    <w:next w:val="Normal"/>
    <w:uiPriority w:val="39"/>
    <w:semiHidden/>
    <w:unhideWhenUsed/>
    <w:qFormat/>
    <w:rsid w:val="008D573F"/>
    <w:pPr>
      <w:spacing w:before="480" w:line="276" w:lineRule="auto"/>
      <w:outlineLvl w:val="9"/>
    </w:pPr>
    <w:rPr>
      <w:rFonts w:asciiTheme="majorHAnsi" w:eastAsiaTheme="majorEastAsia" w:hAnsiTheme="majorHAnsi" w:cstheme="majorBidi"/>
      <w:color w:val="365F91" w:themeColor="accent1" w:themeShade="BF"/>
      <w:sz w:val="28"/>
      <w:lang w:val="en-US" w:eastAsia="ja-JP"/>
    </w:rPr>
  </w:style>
  <w:style w:type="paragraph" w:styleId="TOC1">
    <w:name w:val="toc 1"/>
    <w:basedOn w:val="Normal"/>
    <w:next w:val="Normal"/>
    <w:autoRedefine/>
    <w:uiPriority w:val="39"/>
    <w:locked/>
    <w:rsid w:val="008D573F"/>
    <w:pPr>
      <w:spacing w:after="100"/>
    </w:pPr>
    <w:rPr>
      <w:szCs w:val="24"/>
      <w:lang w:eastAsia="en-US"/>
    </w:rPr>
  </w:style>
  <w:style w:type="paragraph" w:styleId="TOC2">
    <w:name w:val="toc 2"/>
    <w:basedOn w:val="Normal"/>
    <w:next w:val="Normal"/>
    <w:autoRedefine/>
    <w:uiPriority w:val="39"/>
    <w:locked/>
    <w:rsid w:val="008D573F"/>
    <w:pPr>
      <w:spacing w:after="100"/>
      <w:ind w:left="240"/>
    </w:pPr>
    <w:rPr>
      <w:szCs w:val="24"/>
      <w:lang w:eastAsia="en-US"/>
    </w:rPr>
  </w:style>
  <w:style w:type="paragraph" w:styleId="NormalWeb">
    <w:name w:val="Normal (Web)"/>
    <w:basedOn w:val="Normal"/>
    <w:uiPriority w:val="99"/>
    <w:unhideWhenUsed/>
    <w:rsid w:val="008D573F"/>
    <w:pPr>
      <w:spacing w:before="100" w:beforeAutospacing="1" w:after="100" w:afterAutospacing="1"/>
    </w:pPr>
    <w:rPr>
      <w:szCs w:val="24"/>
    </w:rPr>
  </w:style>
  <w:style w:type="character" w:customStyle="1" w:styleId="apple-converted-space">
    <w:name w:val="apple-converted-space"/>
    <w:basedOn w:val="DefaultParagraphFont"/>
    <w:rsid w:val="008D573F"/>
  </w:style>
  <w:style w:type="paragraph" w:styleId="TOC3">
    <w:name w:val="toc 3"/>
    <w:basedOn w:val="Normal"/>
    <w:next w:val="Normal"/>
    <w:autoRedefine/>
    <w:uiPriority w:val="39"/>
    <w:locked/>
    <w:rsid w:val="008D573F"/>
    <w:pPr>
      <w:spacing w:after="100"/>
      <w:ind w:left="480"/>
    </w:pPr>
    <w:rPr>
      <w:szCs w:val="24"/>
      <w:lang w:eastAsia="en-US"/>
    </w:rPr>
  </w:style>
  <w:style w:type="paragraph" w:customStyle="1" w:styleId="CharCharChar">
    <w:name w:val="Char Char Char"/>
    <w:basedOn w:val="Normal"/>
    <w:uiPriority w:val="99"/>
    <w:rsid w:val="008D573F"/>
    <w:rPr>
      <w:rFonts w:ascii="Arial" w:hAnsi="Arial" w:cs="Arial"/>
      <w:sz w:val="22"/>
      <w:szCs w:val="22"/>
      <w:lang w:eastAsia="en-US"/>
    </w:rPr>
  </w:style>
  <w:style w:type="paragraph" w:customStyle="1" w:styleId="Tabletext0">
    <w:name w:val="Table text"/>
    <w:basedOn w:val="NoSpacing"/>
    <w:link w:val="TabletextChar0"/>
    <w:qFormat/>
    <w:rsid w:val="008D573F"/>
    <w:pPr>
      <w:tabs>
        <w:tab w:val="left" w:pos="416"/>
        <w:tab w:val="left" w:pos="582"/>
      </w:tabs>
      <w:spacing w:before="40" w:after="40"/>
    </w:pPr>
    <w:rPr>
      <w:rFonts w:ascii="Arial Narrow" w:hAnsi="Arial Narrow"/>
      <w:sz w:val="20"/>
    </w:rPr>
  </w:style>
  <w:style w:type="character" w:customStyle="1" w:styleId="TabletextChar0">
    <w:name w:val="Table text Char"/>
    <w:basedOn w:val="DefaultParagraphFont"/>
    <w:link w:val="Tabletext0"/>
    <w:rsid w:val="008D573F"/>
    <w:rPr>
      <w:rFonts w:ascii="Arial Narrow" w:eastAsia="Times New Roman" w:hAnsi="Arial Narrow"/>
      <w:sz w:val="20"/>
      <w:szCs w:val="24"/>
      <w:lang w:eastAsia="en-US"/>
    </w:rPr>
  </w:style>
  <w:style w:type="paragraph" w:customStyle="1" w:styleId="Tabletextbold">
    <w:name w:val="Table text bold"/>
    <w:basedOn w:val="Tabletext0"/>
    <w:uiPriority w:val="99"/>
    <w:rsid w:val="008D573F"/>
    <w:pPr>
      <w:keepNext/>
      <w:keepLines/>
    </w:pPr>
    <w:rPr>
      <w:rFonts w:cs="Arial"/>
      <w:b/>
      <w:szCs w:val="20"/>
    </w:rPr>
  </w:style>
  <w:style w:type="paragraph" w:customStyle="1" w:styleId="TableNotes">
    <w:name w:val="Table Notes"/>
    <w:basedOn w:val="Normal"/>
    <w:link w:val="TableNotesChar"/>
    <w:qFormat/>
    <w:rsid w:val="008D573F"/>
    <w:pPr>
      <w:spacing w:after="40" w:line="276" w:lineRule="auto"/>
    </w:pPr>
    <w:rPr>
      <w:rFonts w:ascii="Arial Narrow" w:hAnsi="Arial Narrow"/>
      <w:sz w:val="16"/>
      <w:szCs w:val="22"/>
      <w:lang w:eastAsia="en-US" w:bidi="en-US"/>
    </w:rPr>
  </w:style>
  <w:style w:type="character" w:customStyle="1" w:styleId="TableNotesChar">
    <w:name w:val="Table Notes Char"/>
    <w:basedOn w:val="DefaultParagraphFont"/>
    <w:link w:val="TableNotes"/>
    <w:rsid w:val="008D573F"/>
    <w:rPr>
      <w:rFonts w:ascii="Arial Narrow" w:eastAsia="Times New Roman" w:hAnsi="Arial Narrow"/>
      <w:sz w:val="16"/>
      <w:lang w:eastAsia="en-US" w:bidi="en-US"/>
    </w:rPr>
  </w:style>
  <w:style w:type="paragraph" w:customStyle="1" w:styleId="captiontable">
    <w:name w:val="caption:table"/>
    <w:basedOn w:val="Normal"/>
    <w:next w:val="Normal"/>
    <w:link w:val="captiontableChar"/>
    <w:rsid w:val="008D573F"/>
    <w:pPr>
      <w:keepNext/>
      <w:adjustRightInd w:val="0"/>
      <w:spacing w:before="120"/>
      <w:textAlignment w:val="baseline"/>
    </w:pPr>
    <w:rPr>
      <w:rFonts w:ascii="Candara" w:hAnsi="Candara" w:cs="Arial"/>
      <w:b/>
      <w:bCs/>
      <w:szCs w:val="22"/>
      <w:lang w:val="en-GB" w:eastAsia="en-US"/>
    </w:rPr>
  </w:style>
  <w:style w:type="character" w:customStyle="1" w:styleId="captiontableChar">
    <w:name w:val="caption:table Char"/>
    <w:basedOn w:val="DefaultParagraphFont"/>
    <w:link w:val="captiontable"/>
    <w:locked/>
    <w:rsid w:val="008D573F"/>
    <w:rPr>
      <w:rFonts w:ascii="Candara" w:eastAsia="Times New Roman" w:hAnsi="Candara" w:cs="Arial"/>
      <w:b/>
      <w:bCs/>
      <w:sz w:val="24"/>
      <w:lang w:val="en-GB" w:eastAsia="en-US"/>
    </w:rPr>
  </w:style>
  <w:style w:type="paragraph" w:customStyle="1" w:styleId="Char1">
    <w:name w:val="Char1"/>
    <w:basedOn w:val="Normal"/>
    <w:rsid w:val="008D573F"/>
    <w:rPr>
      <w:rFonts w:ascii="Arial" w:hAnsi="Arial" w:cs="Arial"/>
      <w:sz w:val="22"/>
      <w:szCs w:val="22"/>
      <w:lang w:eastAsia="en-US"/>
    </w:rPr>
  </w:style>
  <w:style w:type="paragraph" w:customStyle="1" w:styleId="TableText2centerheaderrow">
    <w:name w:val="Table Text 2 (center) header row"/>
    <w:basedOn w:val="Normal"/>
    <w:rsid w:val="008D573F"/>
    <w:pPr>
      <w:tabs>
        <w:tab w:val="left" w:pos="2835"/>
      </w:tabs>
      <w:snapToGrid w:val="0"/>
      <w:spacing w:before="80" w:after="80"/>
      <w:jc w:val="center"/>
    </w:pPr>
    <w:rPr>
      <w:rFonts w:eastAsia="SimSun"/>
      <w:sz w:val="20"/>
      <w:lang w:eastAsia="en-US"/>
    </w:rPr>
  </w:style>
  <w:style w:type="paragraph" w:customStyle="1" w:styleId="TableText1left">
    <w:name w:val="Table Text 1 (left)"/>
    <w:basedOn w:val="Normal"/>
    <w:link w:val="TableText1leftChar"/>
    <w:qFormat/>
    <w:rsid w:val="008D573F"/>
    <w:pPr>
      <w:spacing w:before="40" w:after="40"/>
    </w:pPr>
    <w:rPr>
      <w:rFonts w:eastAsia="SimSun"/>
      <w:sz w:val="20"/>
      <w:lang w:val="en-GB" w:eastAsia="en-US"/>
    </w:rPr>
  </w:style>
  <w:style w:type="paragraph" w:customStyle="1" w:styleId="Spaceundertable">
    <w:name w:val="Space under table"/>
    <w:basedOn w:val="Normal"/>
    <w:link w:val="SpaceundertableChar"/>
    <w:qFormat/>
    <w:rsid w:val="008D573F"/>
    <w:rPr>
      <w:rFonts w:eastAsia="SimSun"/>
      <w:sz w:val="8"/>
      <w:szCs w:val="8"/>
      <w:lang w:eastAsia="zh-CN"/>
    </w:rPr>
  </w:style>
  <w:style w:type="character" w:customStyle="1" w:styleId="SourceChar1">
    <w:name w:val="Source Char1"/>
    <w:rsid w:val="008D573F"/>
    <w:rPr>
      <w:rFonts w:eastAsia="SimSun"/>
      <w:sz w:val="18"/>
      <w:szCs w:val="18"/>
      <w:lang w:eastAsia="en-US"/>
    </w:rPr>
  </w:style>
  <w:style w:type="character" w:customStyle="1" w:styleId="TableText1leftChar">
    <w:name w:val="Table Text 1 (left) Char"/>
    <w:link w:val="TableText1left"/>
    <w:rsid w:val="008D573F"/>
    <w:rPr>
      <w:rFonts w:eastAsia="SimSun"/>
      <w:sz w:val="20"/>
      <w:szCs w:val="20"/>
      <w:lang w:val="en-GB" w:eastAsia="en-US"/>
    </w:rPr>
  </w:style>
  <w:style w:type="character" w:customStyle="1" w:styleId="SpaceundertableChar">
    <w:name w:val="Space under table Char"/>
    <w:link w:val="Spaceundertable"/>
    <w:rsid w:val="008D573F"/>
    <w:rPr>
      <w:rFonts w:eastAsia="SimSun"/>
      <w:sz w:val="8"/>
      <w:szCs w:val="8"/>
      <w:lang w:eastAsia="zh-CN"/>
    </w:rPr>
  </w:style>
  <w:style w:type="paragraph" w:customStyle="1" w:styleId="TabletextindentlistABC">
    <w:name w:val="Table text indent list (ABC)"/>
    <w:basedOn w:val="TableText1left"/>
    <w:rsid w:val="008D573F"/>
    <w:pPr>
      <w:ind w:left="341" w:hanging="341"/>
    </w:pPr>
  </w:style>
  <w:style w:type="paragraph" w:customStyle="1" w:styleId="Style10">
    <w:name w:val="Style10"/>
    <w:basedOn w:val="Normal"/>
    <w:link w:val="Style10Char"/>
    <w:qFormat/>
    <w:rsid w:val="008D573F"/>
    <w:rPr>
      <w:szCs w:val="24"/>
    </w:rPr>
  </w:style>
  <w:style w:type="character" w:customStyle="1" w:styleId="Style10Char">
    <w:name w:val="Style10 Char"/>
    <w:basedOn w:val="DefaultParagraphFont"/>
    <w:link w:val="Style10"/>
    <w:rsid w:val="008D573F"/>
    <w:rPr>
      <w:rFonts w:eastAsia="Times New Roman"/>
      <w:sz w:val="24"/>
      <w:szCs w:val="24"/>
    </w:rPr>
  </w:style>
  <w:style w:type="character" w:styleId="FollowedHyperlink">
    <w:name w:val="FollowedHyperlink"/>
    <w:basedOn w:val="DefaultParagraphFont"/>
    <w:rsid w:val="008D573F"/>
    <w:rPr>
      <w:color w:val="800080" w:themeColor="followedHyperlink"/>
      <w:u w:val="single"/>
    </w:rPr>
  </w:style>
  <w:style w:type="paragraph" w:customStyle="1" w:styleId="Table-bodytext">
    <w:name w:val="Table - body text"/>
    <w:basedOn w:val="Normal"/>
    <w:link w:val="Table-bodytextChar"/>
    <w:rsid w:val="008D573F"/>
    <w:pPr>
      <w:spacing w:after="120"/>
      <w:jc w:val="center"/>
    </w:pPr>
    <w:rPr>
      <w:rFonts w:ascii="Calibri" w:eastAsia="Calibri" w:hAnsi="Calibri" w:cs="Calibri"/>
      <w:sz w:val="20"/>
      <w:szCs w:val="22"/>
      <w:lang w:eastAsia="en-US"/>
    </w:rPr>
  </w:style>
  <w:style w:type="character" w:customStyle="1" w:styleId="Table-bodytextChar">
    <w:name w:val="Table - body text Char"/>
    <w:basedOn w:val="DefaultParagraphFont"/>
    <w:link w:val="Table-bodytext"/>
    <w:rsid w:val="008D573F"/>
    <w:rPr>
      <w:rFonts w:ascii="Calibri" w:hAnsi="Calibri" w:cs="Calibri"/>
      <w:sz w:val="20"/>
      <w:lang w:eastAsia="en-US"/>
    </w:rPr>
  </w:style>
  <w:style w:type="paragraph" w:customStyle="1" w:styleId="jon">
    <w:name w:val="jon"/>
    <w:basedOn w:val="Normal"/>
    <w:link w:val="jonChar"/>
    <w:qFormat/>
    <w:rsid w:val="008D573F"/>
    <w:pPr>
      <w:spacing w:before="80" w:after="160" w:line="360" w:lineRule="auto"/>
    </w:pPr>
    <w:rPr>
      <w:rFonts w:ascii="Calibri" w:hAnsi="Calibri" w:cs="Arial"/>
      <w:sz w:val="22"/>
      <w:szCs w:val="22"/>
      <w:lang w:eastAsia="zh-CN"/>
    </w:rPr>
  </w:style>
  <w:style w:type="character" w:customStyle="1" w:styleId="jonChar">
    <w:name w:val="jon Char"/>
    <w:basedOn w:val="DefaultParagraphFont"/>
    <w:link w:val="jon"/>
    <w:rsid w:val="008D573F"/>
    <w:rPr>
      <w:rFonts w:ascii="Calibri" w:eastAsia="Times New Roman" w:hAnsi="Calibri" w:cs="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caption" w:locked="1" w:uiPriority="0" w:qFormat="1"/>
    <w:lsdException w:name="footnote reference" w:locked="1" w:semiHidden="0" w:uiPriority="0" w:unhideWhenUsed="0"/>
    <w:lsdException w:name="annotation reference" w:uiPriority="0"/>
    <w:lsdException w:name="List Bullet" w:uiPriority="2" w:qFormat="1"/>
    <w:lsdException w:name="List Bullet 2" w:uiPriority="2"/>
    <w:lsdException w:name="List Bullet 3" w:uiPriority="2"/>
    <w:lsdException w:name="Title" w:locked="1" w:semiHidden="0" w:uiPriority="0" w:unhideWhenUsed="0" w:qFormat="1"/>
    <w:lsdException w:name="Default Paragraph Font" w:locked="1" w:semiHidden="0" w:uiPriority="0" w:unhideWhenUsed="0"/>
    <w:lsdException w:name="Body Text" w:uiPriority="0" w:qFormat="1"/>
    <w:lsdException w:name="Subtitle" w:locked="1" w:semiHidden="0" w:uiPriority="0" w:unhideWhenUsed="0" w:qFormat="1"/>
    <w:lsdException w:name="Hyperlink" w:locked="1" w:semiHidden="0" w:unhideWhenUsed="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uiPriority w:val="9"/>
    <w:unhideWhenUsed/>
    <w:qFormat/>
    <w:locked/>
    <w:rsid w:val="004E015F"/>
    <w:pPr>
      <w:keepNext/>
      <w:keepLines/>
      <w:spacing w:before="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nhideWhenUsed/>
    <w:qFormat/>
    <w:locked/>
    <w:rsid w:val="00753306"/>
    <w:pPr>
      <w:keepNext/>
      <w:keepLines/>
      <w:spacing w:before="200"/>
      <w:outlineLvl w:val="2"/>
    </w:pPr>
    <w:rPr>
      <w:rFonts w:eastAsiaTheme="majorEastAsia" w:cstheme="majorBidi"/>
      <w:b/>
      <w:bCs/>
      <w:sz w:val="18"/>
    </w:rPr>
  </w:style>
  <w:style w:type="paragraph" w:styleId="Heading4">
    <w:name w:val="heading 4"/>
    <w:basedOn w:val="Normal"/>
    <w:next w:val="Normal"/>
    <w:link w:val="Heading4Char"/>
    <w:qFormat/>
    <w:locked/>
    <w:rsid w:val="008D573F"/>
    <w:pPr>
      <w:keepNext/>
      <w:spacing w:before="240" w:after="60"/>
      <w:outlineLvl w:val="3"/>
    </w:pPr>
    <w:rPr>
      <w:rFonts w:ascii="Arial" w:hAnsi="Arial"/>
      <w:bCs/>
      <w:sz w:val="28"/>
      <w:szCs w:val="28"/>
      <w:lang w:eastAsia="en-US"/>
    </w:rPr>
  </w:style>
  <w:style w:type="paragraph" w:styleId="Heading5">
    <w:name w:val="heading 5"/>
    <w:basedOn w:val="Normal"/>
    <w:next w:val="Normal"/>
    <w:link w:val="Heading5Char"/>
    <w:unhideWhenUsed/>
    <w:qFormat/>
    <w:locked/>
    <w:rsid w:val="000E155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locked/>
    <w:rsid w:val="008D573F"/>
    <w:pPr>
      <w:keepNext/>
      <w:spacing w:before="240" w:after="60"/>
      <w:outlineLvl w:val="5"/>
    </w:pPr>
    <w:rPr>
      <w:b/>
      <w:bCs/>
      <w: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rsid w:val="00065623"/>
    <w:rPr>
      <w:rFonts w:ascii="Tahoma" w:hAnsi="Tahoma" w:cs="Tahoma"/>
      <w:sz w:val="16"/>
      <w:szCs w:val="16"/>
    </w:rPr>
  </w:style>
  <w:style w:type="character" w:customStyle="1" w:styleId="BalloonTextChar">
    <w:name w:val="Balloon Text Char"/>
    <w:basedOn w:val="DefaultParagraphFont"/>
    <w:link w:val="BalloonText"/>
    <w:uiPriority w:val="99"/>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rsid w:val="00974A50"/>
    <w:rPr>
      <w:rFonts w:cs="Times New Roman"/>
      <w:sz w:val="16"/>
      <w:szCs w:val="16"/>
    </w:rPr>
  </w:style>
  <w:style w:type="paragraph" w:styleId="CommentText">
    <w:name w:val="annotation text"/>
    <w:basedOn w:val="Normal"/>
    <w:link w:val="CommentTextChar"/>
    <w:rsid w:val="00974A50"/>
    <w:rPr>
      <w:sz w:val="20"/>
    </w:rPr>
  </w:style>
  <w:style w:type="character" w:customStyle="1" w:styleId="CommentTextChar">
    <w:name w:val="Comment Text Char"/>
    <w:basedOn w:val="DefaultParagraphFont"/>
    <w:link w:val="CommentText"/>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rsid w:val="00974A50"/>
    <w:rPr>
      <w:b/>
      <w:bCs/>
    </w:rPr>
  </w:style>
  <w:style w:type="character" w:customStyle="1" w:styleId="CommentSubjectChar">
    <w:name w:val="Comment Subject Char"/>
    <w:basedOn w:val="CommentTextChar"/>
    <w:link w:val="CommentSubject"/>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uiPriority w:val="9"/>
    <w:rsid w:val="004E015F"/>
    <w:rPr>
      <w:rFonts w:asciiTheme="majorHAnsi" w:eastAsiaTheme="majorEastAsia" w:hAnsiTheme="majorHAnsi" w:cstheme="majorBidi"/>
      <w:b/>
      <w:bCs/>
      <w:sz w:val="24"/>
      <w:szCs w:val="26"/>
    </w:rPr>
  </w:style>
  <w:style w:type="paragraph" w:customStyle="1" w:styleId="TableDataEntries">
    <w:name w:val="Table Data Entries"/>
    <w:basedOn w:val="Normal"/>
    <w:uiPriority w:val="11"/>
    <w:rsid w:val="00DB66AD"/>
    <w:pPr>
      <w:keepLines/>
      <w:spacing w:before="40" w:after="40" w:line="200" w:lineRule="atLeast"/>
      <w:jc w:val="right"/>
    </w:pPr>
    <w:rPr>
      <w:rFonts w:ascii="Franklin Gothic Book" w:hAnsi="Franklin Gothic Book"/>
      <w:sz w:val="16"/>
      <w:szCs w:val="18"/>
      <w:lang w:eastAsia="en-US"/>
    </w:rPr>
  </w:style>
  <w:style w:type="paragraph" w:customStyle="1" w:styleId="TableDataColumnHeading">
    <w:name w:val="Table Data Column Heading"/>
    <w:basedOn w:val="TableDataEntries"/>
    <w:uiPriority w:val="11"/>
    <w:rsid w:val="00DB66AD"/>
    <w:pPr>
      <w:keepNext/>
      <w:spacing w:before="80" w:after="80"/>
    </w:pPr>
    <w:rPr>
      <w:rFonts w:ascii="Franklin Gothic Demi" w:hAnsi="Franklin Gothic Demi"/>
      <w:color w:val="FFFFFF"/>
    </w:rPr>
  </w:style>
  <w:style w:type="paragraph" w:customStyle="1" w:styleId="TableUnit">
    <w:name w:val="Table Unit"/>
    <w:basedOn w:val="TableDataColumnHeading"/>
    <w:next w:val="TableDataEntries"/>
    <w:uiPriority w:val="11"/>
    <w:rsid w:val="00DB66AD"/>
    <w:rPr>
      <w:rFonts w:ascii="Franklin Gothic Book" w:hAnsi="Franklin Gothic Book"/>
      <w:color w:val="auto"/>
      <w:szCs w:val="17"/>
    </w:rPr>
  </w:style>
  <w:style w:type="paragraph" w:customStyle="1" w:styleId="ChartText">
    <w:name w:val="Chart Text"/>
    <w:basedOn w:val="Normal"/>
    <w:link w:val="ChartTextChar"/>
    <w:uiPriority w:val="23"/>
    <w:rsid w:val="000B6956"/>
    <w:pPr>
      <w:keepLines/>
      <w:spacing w:after="80" w:line="200" w:lineRule="atLeast"/>
    </w:pPr>
    <w:rPr>
      <w:rFonts w:ascii="Franklin Gothic Medium" w:hAnsi="Franklin Gothic Medium"/>
      <w:sz w:val="16"/>
      <w:szCs w:val="18"/>
      <w:lang w:eastAsia="en-US"/>
    </w:rPr>
  </w:style>
  <w:style w:type="character" w:customStyle="1" w:styleId="ChartTextChar">
    <w:name w:val="Chart Text Char"/>
    <w:link w:val="ChartText"/>
    <w:uiPriority w:val="23"/>
    <w:rsid w:val="000B6956"/>
    <w:rPr>
      <w:rFonts w:ascii="Franklin Gothic Medium" w:eastAsia="Times New Roman" w:hAnsi="Franklin Gothic Medium"/>
      <w:sz w:val="16"/>
      <w:szCs w:val="18"/>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Caption Char1 Char Char"/>
    <w:basedOn w:val="Normal"/>
    <w:next w:val="Normal"/>
    <w:link w:val="CaptionChar"/>
    <w:unhideWhenUsed/>
    <w:qFormat/>
    <w:locked/>
    <w:rsid w:val="00BB19D5"/>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BB19D5"/>
    <w:rPr>
      <w:rFonts w:ascii="Arial Narrow" w:eastAsia="Times New Roman" w:hAnsi="Arial Narrow" w:cs="Arial"/>
      <w:b/>
      <w:bCs/>
      <w:iCs/>
      <w:sz w:val="20"/>
      <w:szCs w:val="20"/>
      <w:lang w:eastAsia="en-US"/>
    </w:rPr>
  </w:style>
  <w:style w:type="paragraph" w:styleId="BodyText">
    <w:name w:val="Body Text"/>
    <w:basedOn w:val="Normal"/>
    <w:link w:val="BodyTextChar"/>
    <w:qFormat/>
    <w:rsid w:val="00BB19D5"/>
    <w:pPr>
      <w:spacing w:before="140" w:line="280" w:lineRule="atLeast"/>
    </w:pPr>
    <w:rPr>
      <w:rFonts w:asciiTheme="minorHAnsi" w:hAnsiTheme="minorHAnsi"/>
      <w:sz w:val="21"/>
      <w:szCs w:val="21"/>
    </w:rPr>
  </w:style>
  <w:style w:type="character" w:customStyle="1" w:styleId="BodyTextChar">
    <w:name w:val="Body Text Char"/>
    <w:basedOn w:val="DefaultParagraphFont"/>
    <w:link w:val="BodyText"/>
    <w:rsid w:val="00BB19D5"/>
    <w:rPr>
      <w:rFonts w:asciiTheme="minorHAnsi" w:eastAsia="Times New Roman" w:hAnsiTheme="minorHAnsi"/>
      <w:sz w:val="21"/>
      <w:szCs w:val="21"/>
    </w:rPr>
  </w:style>
  <w:style w:type="paragraph" w:customStyle="1" w:styleId="TableTextEntries">
    <w:name w:val="Table Text Entries"/>
    <w:basedOn w:val="BodyText"/>
    <w:uiPriority w:val="13"/>
    <w:rsid w:val="00BB19D5"/>
    <w:pPr>
      <w:keepLines/>
      <w:spacing w:before="80" w:after="80" w:line="200" w:lineRule="atLeast"/>
    </w:pPr>
    <w:rPr>
      <w:rFonts w:ascii="Franklin Gothic Book" w:hAnsi="Franklin Gothic Book"/>
      <w:sz w:val="16"/>
      <w:szCs w:val="18"/>
      <w:lang w:eastAsia="en-US"/>
    </w:rPr>
  </w:style>
  <w:style w:type="character" w:customStyle="1" w:styleId="NoteLabel">
    <w:name w:val="Note Label"/>
    <w:uiPriority w:val="15"/>
    <w:rsid w:val="00BB19D5"/>
    <w:rPr>
      <w:rFonts w:ascii="Franklin Gothic Demi" w:hAnsi="Franklin Gothic Demi"/>
      <w:b w:val="0"/>
      <w:i w:val="0"/>
      <w:color w:val="8064A2" w:themeColor="accent4"/>
      <w:position w:val="4"/>
      <w:sz w:val="14"/>
      <w:szCs w:val="16"/>
    </w:rPr>
  </w:style>
  <w:style w:type="paragraph" w:customStyle="1" w:styleId="TableText">
    <w:name w:val="TableText"/>
    <w:basedOn w:val="Normal"/>
    <w:link w:val="TableTextChar"/>
    <w:rsid w:val="00BB19D5"/>
    <w:pPr>
      <w:keepNext/>
      <w:spacing w:before="20" w:after="20"/>
    </w:pPr>
    <w:rPr>
      <w:rFonts w:ascii="Arial Narrow" w:hAnsi="Arial Narrow"/>
      <w:color w:val="000000"/>
      <w:sz w:val="20"/>
      <w:szCs w:val="21"/>
    </w:rPr>
  </w:style>
  <w:style w:type="character" w:customStyle="1" w:styleId="TableTextChar">
    <w:name w:val="TableText Char"/>
    <w:link w:val="TableText"/>
    <w:rsid w:val="00BB19D5"/>
    <w:rPr>
      <w:rFonts w:ascii="Arial Narrow" w:eastAsia="Times New Roman" w:hAnsi="Arial Narrow"/>
      <w:color w:val="000000"/>
      <w:sz w:val="20"/>
      <w:szCs w:val="21"/>
    </w:rPr>
  </w:style>
  <w:style w:type="paragraph" w:customStyle="1" w:styleId="Source">
    <w:name w:val="Source"/>
    <w:basedOn w:val="Normal"/>
    <w:next w:val="BodyText"/>
    <w:link w:val="SourceChar"/>
    <w:qFormat/>
    <w:rsid w:val="00BB19D5"/>
    <w:pPr>
      <w:keepLines/>
      <w:spacing w:before="40" w:after="60" w:line="180" w:lineRule="atLeast"/>
    </w:pPr>
    <w:rPr>
      <w:rFonts w:ascii="Franklin Gothic Book" w:hAnsi="Franklin Gothic Book"/>
      <w:sz w:val="14"/>
      <w:szCs w:val="16"/>
      <w:lang w:eastAsia="en-US"/>
    </w:rPr>
  </w:style>
  <w:style w:type="character" w:customStyle="1" w:styleId="SourceChar">
    <w:name w:val="Source Char"/>
    <w:basedOn w:val="DefaultParagraphFont"/>
    <w:link w:val="Source"/>
    <w:uiPriority w:val="16"/>
    <w:locked/>
    <w:rsid w:val="00BB19D5"/>
    <w:rPr>
      <w:rFonts w:ascii="Franklin Gothic Book" w:eastAsia="Times New Roman" w:hAnsi="Franklin Gothic Book"/>
      <w:sz w:val="14"/>
      <w:szCs w:val="16"/>
      <w:lang w:eastAsia="en-US"/>
    </w:rPr>
  </w:style>
  <w:style w:type="paragraph" w:customStyle="1" w:styleId="Note">
    <w:name w:val="Note"/>
    <w:basedOn w:val="TableTextEntries"/>
    <w:next w:val="Source"/>
    <w:link w:val="NoteCharChar"/>
    <w:uiPriority w:val="15"/>
    <w:rsid w:val="00BB19D5"/>
    <w:pPr>
      <w:spacing w:before="40" w:after="0" w:line="180" w:lineRule="atLeast"/>
    </w:pPr>
    <w:rPr>
      <w:sz w:val="14"/>
      <w:szCs w:val="16"/>
    </w:rPr>
  </w:style>
  <w:style w:type="character" w:customStyle="1" w:styleId="NoteCharChar">
    <w:name w:val="Note Char Char"/>
    <w:link w:val="Note"/>
    <w:uiPriority w:val="15"/>
    <w:rsid w:val="00BB19D5"/>
    <w:rPr>
      <w:rFonts w:ascii="Franklin Gothic Book" w:eastAsia="Times New Roman" w:hAnsi="Franklin Gothic Book"/>
      <w:sz w:val="14"/>
      <w:szCs w:val="16"/>
      <w:lang w:eastAsia="en-US"/>
    </w:rPr>
  </w:style>
  <w:style w:type="paragraph" w:customStyle="1" w:styleId="TableFigNotes0">
    <w:name w:val="TableFigNotes+0"/>
    <w:basedOn w:val="Normal"/>
    <w:rsid w:val="00BB19D5"/>
    <w:pPr>
      <w:keepNext/>
      <w:keepLines/>
      <w:ind w:left="720"/>
    </w:pPr>
    <w:rPr>
      <w:rFonts w:ascii="Arial Narrow" w:hAnsi="Arial Narrow"/>
      <w:color w:val="000000"/>
      <w:sz w:val="18"/>
      <w:szCs w:val="18"/>
    </w:rPr>
  </w:style>
  <w:style w:type="numbering" w:customStyle="1" w:styleId="ListBullets">
    <w:name w:val="ListBullets"/>
    <w:uiPriority w:val="99"/>
    <w:rsid w:val="00BB19D5"/>
    <w:pPr>
      <w:numPr>
        <w:numId w:val="5"/>
      </w:numPr>
    </w:pPr>
  </w:style>
  <w:style w:type="paragraph" w:styleId="ListBullet3">
    <w:name w:val="List Bullet 3"/>
    <w:basedOn w:val="ListBullet2"/>
    <w:uiPriority w:val="2"/>
    <w:rsid w:val="00BB19D5"/>
    <w:pPr>
      <w:numPr>
        <w:ilvl w:val="2"/>
      </w:numPr>
      <w:tabs>
        <w:tab w:val="clear" w:pos="907"/>
        <w:tab w:val="num" w:pos="2160"/>
      </w:tabs>
      <w:ind w:left="2160" w:hanging="360"/>
    </w:pPr>
  </w:style>
  <w:style w:type="paragraph" w:styleId="ListBullet">
    <w:name w:val="List Bullet"/>
    <w:basedOn w:val="BodyText"/>
    <w:link w:val="ListBulletChar"/>
    <w:uiPriority w:val="2"/>
    <w:qFormat/>
    <w:rsid w:val="00BB19D5"/>
    <w:pPr>
      <w:numPr>
        <w:numId w:val="5"/>
      </w:numPr>
      <w:spacing w:before="70"/>
    </w:pPr>
  </w:style>
  <w:style w:type="paragraph" w:styleId="ListBullet2">
    <w:name w:val="List Bullet 2"/>
    <w:basedOn w:val="ListBullet"/>
    <w:uiPriority w:val="2"/>
    <w:rsid w:val="00BB19D5"/>
    <w:pPr>
      <w:numPr>
        <w:ilvl w:val="1"/>
      </w:numPr>
      <w:tabs>
        <w:tab w:val="clear" w:pos="567"/>
        <w:tab w:val="num" w:pos="1440"/>
      </w:tabs>
      <w:spacing w:before="40"/>
      <w:ind w:left="568" w:hanging="284"/>
    </w:pPr>
  </w:style>
  <w:style w:type="paragraph" w:customStyle="1" w:styleId="TableTextColumnHeading">
    <w:name w:val="Table Text Column Heading"/>
    <w:basedOn w:val="TableDataColumnHeading"/>
    <w:uiPriority w:val="13"/>
    <w:rsid w:val="00BB19D5"/>
    <w:pPr>
      <w:jc w:val="left"/>
    </w:pPr>
  </w:style>
  <w:style w:type="paragraph" w:customStyle="1" w:styleId="TableListBullet">
    <w:name w:val="Table List Bullet"/>
    <w:basedOn w:val="TableTextEntries"/>
    <w:uiPriority w:val="14"/>
    <w:rsid w:val="00BB19D5"/>
    <w:pPr>
      <w:numPr>
        <w:numId w:val="4"/>
      </w:numPr>
      <w:spacing w:line="210" w:lineRule="atLeast"/>
    </w:pPr>
    <w:rPr>
      <w:szCs w:val="19"/>
    </w:rPr>
  </w:style>
  <w:style w:type="paragraph" w:customStyle="1" w:styleId="TableListBullet2">
    <w:name w:val="Table List Bullet 2"/>
    <w:basedOn w:val="TableListBullet"/>
    <w:uiPriority w:val="14"/>
    <w:rsid w:val="00BB19D5"/>
    <w:pPr>
      <w:numPr>
        <w:ilvl w:val="1"/>
      </w:numPr>
    </w:pPr>
  </w:style>
  <w:style w:type="paragraph" w:customStyle="1" w:styleId="TableListNumber">
    <w:name w:val="Table List Number"/>
    <w:basedOn w:val="TableTextEntries"/>
    <w:uiPriority w:val="14"/>
    <w:rsid w:val="00BB19D5"/>
    <w:pPr>
      <w:numPr>
        <w:numId w:val="2"/>
      </w:numPr>
      <w:spacing w:before="40" w:after="40"/>
    </w:pPr>
    <w:rPr>
      <w:szCs w:val="19"/>
    </w:rPr>
  </w:style>
  <w:style w:type="paragraph" w:customStyle="1" w:styleId="TableListNumber2">
    <w:name w:val="Table List Number 2"/>
    <w:basedOn w:val="TableListNumber"/>
    <w:uiPriority w:val="14"/>
    <w:rsid w:val="00BB19D5"/>
    <w:pPr>
      <w:numPr>
        <w:ilvl w:val="1"/>
      </w:numPr>
    </w:pPr>
  </w:style>
  <w:style w:type="numbering" w:customStyle="1" w:styleId="TableListBullets">
    <w:name w:val="TableListBullets"/>
    <w:uiPriority w:val="99"/>
    <w:rsid w:val="00BB19D5"/>
    <w:pPr>
      <w:numPr>
        <w:numId w:val="3"/>
      </w:numPr>
    </w:pPr>
  </w:style>
  <w:style w:type="numbering" w:customStyle="1" w:styleId="TableListNumbers">
    <w:name w:val="TableListNumbers"/>
    <w:uiPriority w:val="99"/>
    <w:rsid w:val="00BB19D5"/>
    <w:pPr>
      <w:numPr>
        <w:numId w:val="2"/>
      </w:numPr>
    </w:pPr>
  </w:style>
  <w:style w:type="character" w:customStyle="1" w:styleId="ListBulletChar">
    <w:name w:val="List Bullet Char"/>
    <w:link w:val="ListBullet"/>
    <w:uiPriority w:val="2"/>
    <w:locked/>
    <w:rsid w:val="00BB19D5"/>
    <w:rPr>
      <w:rFonts w:asciiTheme="minorHAnsi" w:eastAsia="Times New Roman" w:hAnsiTheme="minorHAnsi"/>
      <w:sz w:val="21"/>
      <w:szCs w:val="21"/>
    </w:rPr>
  </w:style>
  <w:style w:type="table" w:styleId="TableGrid">
    <w:name w:val="Table Grid"/>
    <w:aliases w:val="Summary box"/>
    <w:basedOn w:val="TableNormal"/>
    <w:uiPriority w:val="59"/>
    <w:locked/>
    <w:rsid w:val="000E3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14EAB"/>
    <w:rPr>
      <w:rFonts w:eastAsia="Times New Roman"/>
      <w:sz w:val="24"/>
      <w:szCs w:val="20"/>
    </w:rPr>
  </w:style>
  <w:style w:type="paragraph" w:styleId="EndnoteText">
    <w:name w:val="endnote text"/>
    <w:basedOn w:val="Normal"/>
    <w:link w:val="EndnoteTextChar"/>
    <w:uiPriority w:val="99"/>
    <w:semiHidden/>
    <w:unhideWhenUsed/>
    <w:rsid w:val="00471DF6"/>
    <w:rPr>
      <w:sz w:val="20"/>
    </w:rPr>
  </w:style>
  <w:style w:type="character" w:customStyle="1" w:styleId="EndnoteTextChar">
    <w:name w:val="Endnote Text Char"/>
    <w:basedOn w:val="DefaultParagraphFont"/>
    <w:link w:val="EndnoteText"/>
    <w:uiPriority w:val="99"/>
    <w:semiHidden/>
    <w:rsid w:val="00471DF6"/>
    <w:rPr>
      <w:rFonts w:eastAsia="Times New Roman"/>
      <w:sz w:val="20"/>
      <w:szCs w:val="20"/>
    </w:rPr>
  </w:style>
  <w:style w:type="character" w:styleId="EndnoteReference">
    <w:name w:val="endnote reference"/>
    <w:basedOn w:val="DefaultParagraphFont"/>
    <w:uiPriority w:val="99"/>
    <w:semiHidden/>
    <w:unhideWhenUsed/>
    <w:rsid w:val="00471DF6"/>
    <w:rPr>
      <w:vertAlign w:val="superscript"/>
    </w:rPr>
  </w:style>
  <w:style w:type="paragraph" w:styleId="Title">
    <w:name w:val="Title"/>
    <w:basedOn w:val="Normal"/>
    <w:next w:val="Normal"/>
    <w:link w:val="TitleChar"/>
    <w:qFormat/>
    <w:locked/>
    <w:rsid w:val="003F5DD6"/>
    <w:pPr>
      <w:pBdr>
        <w:bottom w:val="single" w:sz="8" w:space="4" w:color="4F81BD" w:themeColor="accent1"/>
      </w:pBdr>
      <w:spacing w:after="300"/>
      <w:contextualSpacing/>
      <w:jc w:val="center"/>
    </w:pPr>
    <w:rPr>
      <w:rFonts w:ascii="Arial" w:eastAsiaTheme="majorEastAsia" w:hAnsi="Arial" w:cstheme="majorBidi"/>
      <w:b/>
      <w:kern w:val="28"/>
      <w:sz w:val="32"/>
      <w:szCs w:val="52"/>
      <w:lang w:eastAsia="en-US"/>
    </w:rPr>
  </w:style>
  <w:style w:type="character" w:customStyle="1" w:styleId="TitleChar">
    <w:name w:val="Title Char"/>
    <w:basedOn w:val="DefaultParagraphFont"/>
    <w:link w:val="Title"/>
    <w:rsid w:val="003F5DD6"/>
    <w:rPr>
      <w:rFonts w:ascii="Arial" w:eastAsiaTheme="majorEastAsia" w:hAnsi="Arial" w:cstheme="majorBidi"/>
      <w:b/>
      <w:kern w:val="28"/>
      <w:sz w:val="32"/>
      <w:szCs w:val="52"/>
      <w:lang w:eastAsia="en-US"/>
    </w:rPr>
  </w:style>
  <w:style w:type="character" w:styleId="IntenseReference">
    <w:name w:val="Intense Reference"/>
    <w:basedOn w:val="DefaultParagraphFont"/>
    <w:uiPriority w:val="32"/>
    <w:qFormat/>
    <w:rsid w:val="003F5DD6"/>
    <w:rPr>
      <w:b/>
      <w:bCs/>
      <w:i/>
      <w:smallCaps/>
      <w:color w:val="C0504D" w:themeColor="accent2"/>
      <w:spacing w:val="5"/>
      <w:u w:val="none"/>
    </w:rPr>
  </w:style>
  <w:style w:type="character" w:customStyle="1" w:styleId="textitem">
    <w:name w:val="textitem"/>
    <w:basedOn w:val="DefaultParagraphFont"/>
    <w:rsid w:val="004E015F"/>
  </w:style>
  <w:style w:type="character" w:customStyle="1" w:styleId="Heading3Char">
    <w:name w:val="Heading 3 Char"/>
    <w:basedOn w:val="DefaultParagraphFont"/>
    <w:link w:val="Heading3"/>
    <w:rsid w:val="00753306"/>
    <w:rPr>
      <w:rFonts w:eastAsiaTheme="majorEastAsia" w:cstheme="majorBidi"/>
      <w:b/>
      <w:bCs/>
      <w:sz w:val="18"/>
      <w:szCs w:val="20"/>
    </w:rPr>
  </w:style>
  <w:style w:type="character" w:customStyle="1" w:styleId="Heading5Char">
    <w:name w:val="Heading 5 Char"/>
    <w:basedOn w:val="DefaultParagraphFont"/>
    <w:link w:val="Heading5"/>
    <w:semiHidden/>
    <w:rsid w:val="000E155F"/>
    <w:rPr>
      <w:rFonts w:asciiTheme="majorHAnsi" w:eastAsiaTheme="majorEastAsia" w:hAnsiTheme="majorHAnsi" w:cstheme="majorBidi"/>
      <w:color w:val="243F60" w:themeColor="accent1" w:themeShade="7F"/>
      <w:sz w:val="24"/>
      <w:szCs w:val="20"/>
    </w:rPr>
  </w:style>
  <w:style w:type="character" w:customStyle="1" w:styleId="Heading4Char">
    <w:name w:val="Heading 4 Char"/>
    <w:basedOn w:val="DefaultParagraphFont"/>
    <w:link w:val="Heading4"/>
    <w:rsid w:val="008D573F"/>
    <w:rPr>
      <w:rFonts w:ascii="Arial" w:eastAsia="Times New Roman" w:hAnsi="Arial"/>
      <w:bCs/>
      <w:sz w:val="28"/>
      <w:szCs w:val="28"/>
      <w:lang w:eastAsia="en-US"/>
    </w:rPr>
  </w:style>
  <w:style w:type="character" w:customStyle="1" w:styleId="Heading6Char">
    <w:name w:val="Heading 6 Char"/>
    <w:basedOn w:val="DefaultParagraphFont"/>
    <w:link w:val="Heading6"/>
    <w:rsid w:val="008D573F"/>
    <w:rPr>
      <w:rFonts w:eastAsia="Times New Roman"/>
      <w:b/>
      <w:bCs/>
      <w:i/>
      <w:sz w:val="24"/>
      <w:lang w:eastAsia="en-US"/>
    </w:rPr>
  </w:style>
  <w:style w:type="character" w:styleId="Emphasis">
    <w:name w:val="Emphasis"/>
    <w:basedOn w:val="DefaultParagraphFont"/>
    <w:qFormat/>
    <w:locked/>
    <w:rsid w:val="008D573F"/>
    <w:rPr>
      <w:i/>
      <w:iCs/>
    </w:rPr>
  </w:style>
  <w:style w:type="character" w:styleId="Strong">
    <w:name w:val="Strong"/>
    <w:basedOn w:val="DefaultParagraphFont"/>
    <w:qFormat/>
    <w:locked/>
    <w:rsid w:val="008D573F"/>
    <w:rPr>
      <w:b/>
      <w:bCs/>
    </w:rPr>
  </w:style>
  <w:style w:type="paragraph" w:styleId="Subtitle">
    <w:name w:val="Subtitle"/>
    <w:basedOn w:val="Normal"/>
    <w:next w:val="Normal"/>
    <w:link w:val="SubtitleChar"/>
    <w:qFormat/>
    <w:locked/>
    <w:rsid w:val="008D573F"/>
    <w:pPr>
      <w:numPr>
        <w:ilvl w:val="1"/>
      </w:numPr>
    </w:pPr>
    <w:rPr>
      <w:rFonts w:asciiTheme="majorHAnsi" w:eastAsiaTheme="majorEastAsia" w:hAnsiTheme="majorHAnsi" w:cstheme="majorBidi"/>
      <w:iCs/>
      <w:spacing w:val="15"/>
      <w:szCs w:val="24"/>
      <w:lang w:eastAsia="en-US"/>
    </w:rPr>
  </w:style>
  <w:style w:type="character" w:customStyle="1" w:styleId="SubtitleChar">
    <w:name w:val="Subtitle Char"/>
    <w:basedOn w:val="DefaultParagraphFont"/>
    <w:link w:val="Subtitle"/>
    <w:rsid w:val="008D573F"/>
    <w:rPr>
      <w:rFonts w:asciiTheme="majorHAnsi" w:eastAsiaTheme="majorEastAsia" w:hAnsiTheme="majorHAnsi" w:cstheme="majorBidi"/>
      <w:iCs/>
      <w:spacing w:val="15"/>
      <w:sz w:val="24"/>
      <w:szCs w:val="24"/>
      <w:lang w:eastAsia="en-US"/>
    </w:rPr>
  </w:style>
  <w:style w:type="paragraph" w:styleId="NoSpacing">
    <w:name w:val="No Spacing"/>
    <w:uiPriority w:val="1"/>
    <w:qFormat/>
    <w:rsid w:val="008D573F"/>
    <w:rPr>
      <w:rFonts w:eastAsia="Times New Roman"/>
      <w:sz w:val="24"/>
      <w:szCs w:val="24"/>
      <w:lang w:eastAsia="en-US"/>
    </w:rPr>
  </w:style>
  <w:style w:type="character" w:styleId="SubtleEmphasis">
    <w:name w:val="Subtle Emphasis"/>
    <w:basedOn w:val="DefaultParagraphFont"/>
    <w:uiPriority w:val="19"/>
    <w:qFormat/>
    <w:rsid w:val="008D573F"/>
    <w:rPr>
      <w:i/>
      <w:iCs/>
      <w:color w:val="808080" w:themeColor="text1" w:themeTint="7F"/>
    </w:rPr>
  </w:style>
  <w:style w:type="character" w:styleId="IntenseEmphasis">
    <w:name w:val="Intense Emphasis"/>
    <w:basedOn w:val="DefaultParagraphFont"/>
    <w:uiPriority w:val="21"/>
    <w:qFormat/>
    <w:rsid w:val="008D573F"/>
    <w:rPr>
      <w:b/>
      <w:bCs/>
      <w:i/>
      <w:iCs/>
      <w:color w:val="4F81BD" w:themeColor="accent1"/>
    </w:rPr>
  </w:style>
  <w:style w:type="paragraph" w:styleId="Quote">
    <w:name w:val="Quote"/>
    <w:basedOn w:val="Normal"/>
    <w:next w:val="Normal"/>
    <w:link w:val="QuoteChar"/>
    <w:uiPriority w:val="29"/>
    <w:qFormat/>
    <w:rsid w:val="008D573F"/>
    <w:rPr>
      <w:i/>
      <w:iCs/>
      <w:color w:val="000000" w:themeColor="text1"/>
      <w:szCs w:val="24"/>
      <w:lang w:eastAsia="en-US"/>
    </w:rPr>
  </w:style>
  <w:style w:type="character" w:customStyle="1" w:styleId="QuoteChar">
    <w:name w:val="Quote Char"/>
    <w:basedOn w:val="DefaultParagraphFont"/>
    <w:link w:val="Quote"/>
    <w:uiPriority w:val="29"/>
    <w:rsid w:val="008D573F"/>
    <w:rPr>
      <w:rFonts w:eastAsia="Times New Roman"/>
      <w:i/>
      <w:iCs/>
      <w:color w:val="000000" w:themeColor="text1"/>
      <w:sz w:val="24"/>
      <w:szCs w:val="24"/>
      <w:lang w:eastAsia="en-US"/>
    </w:rPr>
  </w:style>
  <w:style w:type="paragraph" w:styleId="IntenseQuote">
    <w:name w:val="Intense Quote"/>
    <w:basedOn w:val="Normal"/>
    <w:next w:val="Normal"/>
    <w:link w:val="IntenseQuoteChar"/>
    <w:uiPriority w:val="30"/>
    <w:qFormat/>
    <w:rsid w:val="008D573F"/>
    <w:pPr>
      <w:pBdr>
        <w:bottom w:val="single" w:sz="4" w:space="4" w:color="4F81BD" w:themeColor="accent1"/>
      </w:pBdr>
      <w:spacing w:before="200" w:after="280"/>
      <w:ind w:left="936" w:right="936"/>
    </w:pPr>
    <w:rPr>
      <w:b/>
      <w:bCs/>
      <w:i/>
      <w:iCs/>
      <w:color w:val="4F81BD" w:themeColor="accent1"/>
      <w:szCs w:val="24"/>
      <w:lang w:eastAsia="en-US"/>
    </w:rPr>
  </w:style>
  <w:style w:type="character" w:customStyle="1" w:styleId="IntenseQuoteChar">
    <w:name w:val="Intense Quote Char"/>
    <w:basedOn w:val="DefaultParagraphFont"/>
    <w:link w:val="IntenseQuote"/>
    <w:uiPriority w:val="30"/>
    <w:rsid w:val="008D573F"/>
    <w:rPr>
      <w:rFonts w:eastAsia="Times New Roman"/>
      <w:b/>
      <w:bCs/>
      <w:i/>
      <w:iCs/>
      <w:color w:val="4F81BD" w:themeColor="accent1"/>
      <w:sz w:val="24"/>
      <w:szCs w:val="24"/>
      <w:lang w:eastAsia="en-US"/>
    </w:rPr>
  </w:style>
  <w:style w:type="character" w:styleId="SubtleReference">
    <w:name w:val="Subtle Reference"/>
    <w:basedOn w:val="DefaultParagraphFont"/>
    <w:uiPriority w:val="31"/>
    <w:qFormat/>
    <w:rsid w:val="008D573F"/>
    <w:rPr>
      <w:smallCaps/>
      <w:color w:val="C0504D" w:themeColor="accent2"/>
      <w:u w:val="single"/>
    </w:rPr>
  </w:style>
  <w:style w:type="character" w:styleId="BookTitle">
    <w:name w:val="Book Title"/>
    <w:basedOn w:val="DefaultParagraphFont"/>
    <w:uiPriority w:val="33"/>
    <w:qFormat/>
    <w:rsid w:val="008D573F"/>
    <w:rPr>
      <w:b/>
      <w:bCs/>
      <w:smallCaps/>
      <w:spacing w:val="5"/>
    </w:rPr>
  </w:style>
  <w:style w:type="paragraph" w:styleId="TOCHeading">
    <w:name w:val="TOC Heading"/>
    <w:basedOn w:val="Heading1"/>
    <w:next w:val="Normal"/>
    <w:uiPriority w:val="39"/>
    <w:semiHidden/>
    <w:unhideWhenUsed/>
    <w:qFormat/>
    <w:rsid w:val="008D573F"/>
    <w:pPr>
      <w:spacing w:before="480" w:line="276" w:lineRule="auto"/>
      <w:outlineLvl w:val="9"/>
    </w:pPr>
    <w:rPr>
      <w:rFonts w:asciiTheme="majorHAnsi" w:eastAsiaTheme="majorEastAsia" w:hAnsiTheme="majorHAnsi" w:cstheme="majorBidi"/>
      <w:color w:val="365F91" w:themeColor="accent1" w:themeShade="BF"/>
      <w:sz w:val="28"/>
      <w:lang w:val="en-US" w:eastAsia="ja-JP"/>
    </w:rPr>
  </w:style>
  <w:style w:type="paragraph" w:styleId="TOC1">
    <w:name w:val="toc 1"/>
    <w:basedOn w:val="Normal"/>
    <w:next w:val="Normal"/>
    <w:autoRedefine/>
    <w:uiPriority w:val="39"/>
    <w:locked/>
    <w:rsid w:val="008D573F"/>
    <w:pPr>
      <w:spacing w:after="100"/>
    </w:pPr>
    <w:rPr>
      <w:szCs w:val="24"/>
      <w:lang w:eastAsia="en-US"/>
    </w:rPr>
  </w:style>
  <w:style w:type="paragraph" w:styleId="TOC2">
    <w:name w:val="toc 2"/>
    <w:basedOn w:val="Normal"/>
    <w:next w:val="Normal"/>
    <w:autoRedefine/>
    <w:uiPriority w:val="39"/>
    <w:locked/>
    <w:rsid w:val="008D573F"/>
    <w:pPr>
      <w:spacing w:after="100"/>
      <w:ind w:left="240"/>
    </w:pPr>
    <w:rPr>
      <w:szCs w:val="24"/>
      <w:lang w:eastAsia="en-US"/>
    </w:rPr>
  </w:style>
  <w:style w:type="paragraph" w:styleId="NormalWeb">
    <w:name w:val="Normal (Web)"/>
    <w:basedOn w:val="Normal"/>
    <w:uiPriority w:val="99"/>
    <w:unhideWhenUsed/>
    <w:rsid w:val="008D573F"/>
    <w:pPr>
      <w:spacing w:before="100" w:beforeAutospacing="1" w:after="100" w:afterAutospacing="1"/>
    </w:pPr>
    <w:rPr>
      <w:szCs w:val="24"/>
    </w:rPr>
  </w:style>
  <w:style w:type="character" w:customStyle="1" w:styleId="apple-converted-space">
    <w:name w:val="apple-converted-space"/>
    <w:basedOn w:val="DefaultParagraphFont"/>
    <w:rsid w:val="008D573F"/>
  </w:style>
  <w:style w:type="paragraph" w:styleId="TOC3">
    <w:name w:val="toc 3"/>
    <w:basedOn w:val="Normal"/>
    <w:next w:val="Normal"/>
    <w:autoRedefine/>
    <w:uiPriority w:val="39"/>
    <w:locked/>
    <w:rsid w:val="008D573F"/>
    <w:pPr>
      <w:spacing w:after="100"/>
      <w:ind w:left="480"/>
    </w:pPr>
    <w:rPr>
      <w:szCs w:val="24"/>
      <w:lang w:eastAsia="en-US"/>
    </w:rPr>
  </w:style>
  <w:style w:type="paragraph" w:customStyle="1" w:styleId="CharCharChar">
    <w:name w:val="Char Char Char"/>
    <w:basedOn w:val="Normal"/>
    <w:uiPriority w:val="99"/>
    <w:rsid w:val="008D573F"/>
    <w:rPr>
      <w:rFonts w:ascii="Arial" w:hAnsi="Arial" w:cs="Arial"/>
      <w:sz w:val="22"/>
      <w:szCs w:val="22"/>
      <w:lang w:eastAsia="en-US"/>
    </w:rPr>
  </w:style>
  <w:style w:type="paragraph" w:customStyle="1" w:styleId="Tabletext0">
    <w:name w:val="Table text"/>
    <w:basedOn w:val="NoSpacing"/>
    <w:link w:val="TabletextChar0"/>
    <w:qFormat/>
    <w:rsid w:val="008D573F"/>
    <w:pPr>
      <w:tabs>
        <w:tab w:val="left" w:pos="416"/>
        <w:tab w:val="left" w:pos="582"/>
      </w:tabs>
      <w:spacing w:before="40" w:after="40"/>
    </w:pPr>
    <w:rPr>
      <w:rFonts w:ascii="Arial Narrow" w:hAnsi="Arial Narrow"/>
      <w:sz w:val="20"/>
    </w:rPr>
  </w:style>
  <w:style w:type="character" w:customStyle="1" w:styleId="TabletextChar0">
    <w:name w:val="Table text Char"/>
    <w:basedOn w:val="DefaultParagraphFont"/>
    <w:link w:val="Tabletext0"/>
    <w:rsid w:val="008D573F"/>
    <w:rPr>
      <w:rFonts w:ascii="Arial Narrow" w:eastAsia="Times New Roman" w:hAnsi="Arial Narrow"/>
      <w:sz w:val="20"/>
      <w:szCs w:val="24"/>
      <w:lang w:eastAsia="en-US"/>
    </w:rPr>
  </w:style>
  <w:style w:type="paragraph" w:customStyle="1" w:styleId="Tabletextbold">
    <w:name w:val="Table text bold"/>
    <w:basedOn w:val="Tabletext0"/>
    <w:uiPriority w:val="99"/>
    <w:rsid w:val="008D573F"/>
    <w:pPr>
      <w:keepNext/>
      <w:keepLines/>
    </w:pPr>
    <w:rPr>
      <w:rFonts w:cs="Arial"/>
      <w:b/>
      <w:szCs w:val="20"/>
    </w:rPr>
  </w:style>
  <w:style w:type="paragraph" w:customStyle="1" w:styleId="TableNotes">
    <w:name w:val="Table Notes"/>
    <w:basedOn w:val="Normal"/>
    <w:link w:val="TableNotesChar"/>
    <w:qFormat/>
    <w:rsid w:val="008D573F"/>
    <w:pPr>
      <w:spacing w:after="40" w:line="276" w:lineRule="auto"/>
    </w:pPr>
    <w:rPr>
      <w:rFonts w:ascii="Arial Narrow" w:hAnsi="Arial Narrow"/>
      <w:sz w:val="16"/>
      <w:szCs w:val="22"/>
      <w:lang w:eastAsia="en-US" w:bidi="en-US"/>
    </w:rPr>
  </w:style>
  <w:style w:type="character" w:customStyle="1" w:styleId="TableNotesChar">
    <w:name w:val="Table Notes Char"/>
    <w:basedOn w:val="DefaultParagraphFont"/>
    <w:link w:val="TableNotes"/>
    <w:rsid w:val="008D573F"/>
    <w:rPr>
      <w:rFonts w:ascii="Arial Narrow" w:eastAsia="Times New Roman" w:hAnsi="Arial Narrow"/>
      <w:sz w:val="16"/>
      <w:lang w:eastAsia="en-US" w:bidi="en-US"/>
    </w:rPr>
  </w:style>
  <w:style w:type="paragraph" w:customStyle="1" w:styleId="captiontable">
    <w:name w:val="caption:table"/>
    <w:basedOn w:val="Normal"/>
    <w:next w:val="Normal"/>
    <w:link w:val="captiontableChar"/>
    <w:rsid w:val="008D573F"/>
    <w:pPr>
      <w:keepNext/>
      <w:adjustRightInd w:val="0"/>
      <w:spacing w:before="120"/>
      <w:textAlignment w:val="baseline"/>
    </w:pPr>
    <w:rPr>
      <w:rFonts w:ascii="Candara" w:hAnsi="Candara" w:cs="Arial"/>
      <w:b/>
      <w:bCs/>
      <w:szCs w:val="22"/>
      <w:lang w:val="en-GB" w:eastAsia="en-US"/>
    </w:rPr>
  </w:style>
  <w:style w:type="character" w:customStyle="1" w:styleId="captiontableChar">
    <w:name w:val="caption:table Char"/>
    <w:basedOn w:val="DefaultParagraphFont"/>
    <w:link w:val="captiontable"/>
    <w:locked/>
    <w:rsid w:val="008D573F"/>
    <w:rPr>
      <w:rFonts w:ascii="Candara" w:eastAsia="Times New Roman" w:hAnsi="Candara" w:cs="Arial"/>
      <w:b/>
      <w:bCs/>
      <w:sz w:val="24"/>
      <w:lang w:val="en-GB" w:eastAsia="en-US"/>
    </w:rPr>
  </w:style>
  <w:style w:type="paragraph" w:customStyle="1" w:styleId="Char1">
    <w:name w:val="Char1"/>
    <w:basedOn w:val="Normal"/>
    <w:rsid w:val="008D573F"/>
    <w:rPr>
      <w:rFonts w:ascii="Arial" w:hAnsi="Arial" w:cs="Arial"/>
      <w:sz w:val="22"/>
      <w:szCs w:val="22"/>
      <w:lang w:eastAsia="en-US"/>
    </w:rPr>
  </w:style>
  <w:style w:type="paragraph" w:customStyle="1" w:styleId="TableText2centerheaderrow">
    <w:name w:val="Table Text 2 (center) header row"/>
    <w:basedOn w:val="Normal"/>
    <w:rsid w:val="008D573F"/>
    <w:pPr>
      <w:tabs>
        <w:tab w:val="left" w:pos="2835"/>
      </w:tabs>
      <w:snapToGrid w:val="0"/>
      <w:spacing w:before="80" w:after="80"/>
      <w:jc w:val="center"/>
    </w:pPr>
    <w:rPr>
      <w:rFonts w:eastAsia="SimSun"/>
      <w:sz w:val="20"/>
      <w:lang w:eastAsia="en-US"/>
    </w:rPr>
  </w:style>
  <w:style w:type="paragraph" w:customStyle="1" w:styleId="TableText1left">
    <w:name w:val="Table Text 1 (left)"/>
    <w:basedOn w:val="Normal"/>
    <w:link w:val="TableText1leftChar"/>
    <w:qFormat/>
    <w:rsid w:val="008D573F"/>
    <w:pPr>
      <w:spacing w:before="40" w:after="40"/>
    </w:pPr>
    <w:rPr>
      <w:rFonts w:eastAsia="SimSun"/>
      <w:sz w:val="20"/>
      <w:lang w:val="en-GB" w:eastAsia="en-US"/>
    </w:rPr>
  </w:style>
  <w:style w:type="paragraph" w:customStyle="1" w:styleId="Spaceundertable">
    <w:name w:val="Space under table"/>
    <w:basedOn w:val="Normal"/>
    <w:link w:val="SpaceundertableChar"/>
    <w:qFormat/>
    <w:rsid w:val="008D573F"/>
    <w:rPr>
      <w:rFonts w:eastAsia="SimSun"/>
      <w:sz w:val="8"/>
      <w:szCs w:val="8"/>
      <w:lang w:eastAsia="zh-CN"/>
    </w:rPr>
  </w:style>
  <w:style w:type="character" w:customStyle="1" w:styleId="SourceChar1">
    <w:name w:val="Source Char1"/>
    <w:rsid w:val="008D573F"/>
    <w:rPr>
      <w:rFonts w:eastAsia="SimSun"/>
      <w:sz w:val="18"/>
      <w:szCs w:val="18"/>
      <w:lang w:eastAsia="en-US"/>
    </w:rPr>
  </w:style>
  <w:style w:type="character" w:customStyle="1" w:styleId="TableText1leftChar">
    <w:name w:val="Table Text 1 (left) Char"/>
    <w:link w:val="TableText1left"/>
    <w:rsid w:val="008D573F"/>
    <w:rPr>
      <w:rFonts w:eastAsia="SimSun"/>
      <w:sz w:val="20"/>
      <w:szCs w:val="20"/>
      <w:lang w:val="en-GB" w:eastAsia="en-US"/>
    </w:rPr>
  </w:style>
  <w:style w:type="character" w:customStyle="1" w:styleId="SpaceundertableChar">
    <w:name w:val="Space under table Char"/>
    <w:link w:val="Spaceundertable"/>
    <w:rsid w:val="008D573F"/>
    <w:rPr>
      <w:rFonts w:eastAsia="SimSun"/>
      <w:sz w:val="8"/>
      <w:szCs w:val="8"/>
      <w:lang w:eastAsia="zh-CN"/>
    </w:rPr>
  </w:style>
  <w:style w:type="paragraph" w:customStyle="1" w:styleId="TabletextindentlistABC">
    <w:name w:val="Table text indent list (ABC)"/>
    <w:basedOn w:val="TableText1left"/>
    <w:rsid w:val="008D573F"/>
    <w:pPr>
      <w:ind w:left="341" w:hanging="341"/>
    </w:pPr>
  </w:style>
  <w:style w:type="paragraph" w:customStyle="1" w:styleId="Style10">
    <w:name w:val="Style10"/>
    <w:basedOn w:val="Normal"/>
    <w:link w:val="Style10Char"/>
    <w:qFormat/>
    <w:rsid w:val="008D573F"/>
    <w:rPr>
      <w:szCs w:val="24"/>
    </w:rPr>
  </w:style>
  <w:style w:type="character" w:customStyle="1" w:styleId="Style10Char">
    <w:name w:val="Style10 Char"/>
    <w:basedOn w:val="DefaultParagraphFont"/>
    <w:link w:val="Style10"/>
    <w:rsid w:val="008D573F"/>
    <w:rPr>
      <w:rFonts w:eastAsia="Times New Roman"/>
      <w:sz w:val="24"/>
      <w:szCs w:val="24"/>
    </w:rPr>
  </w:style>
  <w:style w:type="character" w:styleId="FollowedHyperlink">
    <w:name w:val="FollowedHyperlink"/>
    <w:basedOn w:val="DefaultParagraphFont"/>
    <w:rsid w:val="008D573F"/>
    <w:rPr>
      <w:color w:val="800080" w:themeColor="followedHyperlink"/>
      <w:u w:val="single"/>
    </w:rPr>
  </w:style>
  <w:style w:type="paragraph" w:customStyle="1" w:styleId="Table-bodytext">
    <w:name w:val="Table - body text"/>
    <w:basedOn w:val="Normal"/>
    <w:link w:val="Table-bodytextChar"/>
    <w:rsid w:val="008D573F"/>
    <w:pPr>
      <w:spacing w:after="120"/>
      <w:jc w:val="center"/>
    </w:pPr>
    <w:rPr>
      <w:rFonts w:ascii="Calibri" w:eastAsia="Calibri" w:hAnsi="Calibri" w:cs="Calibri"/>
      <w:sz w:val="20"/>
      <w:szCs w:val="22"/>
      <w:lang w:eastAsia="en-US"/>
    </w:rPr>
  </w:style>
  <w:style w:type="character" w:customStyle="1" w:styleId="Table-bodytextChar">
    <w:name w:val="Table - body text Char"/>
    <w:basedOn w:val="DefaultParagraphFont"/>
    <w:link w:val="Table-bodytext"/>
    <w:rsid w:val="008D573F"/>
    <w:rPr>
      <w:rFonts w:ascii="Calibri" w:hAnsi="Calibri" w:cs="Calibri"/>
      <w:sz w:val="20"/>
      <w:lang w:eastAsia="en-US"/>
    </w:rPr>
  </w:style>
  <w:style w:type="paragraph" w:customStyle="1" w:styleId="jon">
    <w:name w:val="jon"/>
    <w:basedOn w:val="Normal"/>
    <w:link w:val="jonChar"/>
    <w:qFormat/>
    <w:rsid w:val="008D573F"/>
    <w:pPr>
      <w:spacing w:before="80" w:after="160" w:line="360" w:lineRule="auto"/>
    </w:pPr>
    <w:rPr>
      <w:rFonts w:ascii="Calibri" w:hAnsi="Calibri" w:cs="Arial"/>
      <w:sz w:val="22"/>
      <w:szCs w:val="22"/>
      <w:lang w:eastAsia="zh-CN"/>
    </w:rPr>
  </w:style>
  <w:style w:type="character" w:customStyle="1" w:styleId="jonChar">
    <w:name w:val="jon Char"/>
    <w:basedOn w:val="DefaultParagraphFont"/>
    <w:link w:val="jon"/>
    <w:rsid w:val="008D573F"/>
    <w:rPr>
      <w:rFonts w:ascii="Calibri" w:eastAsia="Times New Roman"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353721">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 w:id="190398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file:///D:\Users\mccraj\AppData\Local\Microsoft\Windows\Temporary%20Internet%20Files\Content.Outlook\7M4OPGPH\www.msac.gov.au"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www.msac.gov.au/" TargetMode="External"/><Relationship Id="rId19" Type="http://schemas.openxmlformats.org/officeDocument/2006/relationships/fontTable" Target="fontTable.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entral.health\dfsuserenv\Users\User_04\staufr\Desktop\Bariatric%20pva%20and%20standard%20dev%20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Sheet2!$N$6</c:f>
              <c:strCache>
                <c:ptCount val="1"/>
                <c:pt idx="0">
                  <c:v>2013/14</c:v>
                </c:pt>
              </c:strCache>
            </c:strRef>
          </c:tx>
          <c:spPr>
            <a:solidFill>
              <a:schemeClr val="accent5"/>
            </a:solidFill>
          </c:spPr>
          <c:invertIfNegative val="0"/>
          <c:errBars>
            <c:errBarType val="both"/>
            <c:errValType val="cust"/>
            <c:noEndCap val="0"/>
            <c:plus>
              <c:numRef>
                <c:f>Sheet5!$K$18:$P$18</c:f>
                <c:numCache>
                  <c:formatCode>General</c:formatCode>
                  <c:ptCount val="6"/>
                  <c:pt idx="0">
                    <c:v>753.38000000000011</c:v>
                  </c:pt>
                  <c:pt idx="1">
                    <c:v>3131.98</c:v>
                  </c:pt>
                  <c:pt idx="2">
                    <c:v>3268.34</c:v>
                  </c:pt>
                  <c:pt idx="3">
                    <c:v>2877.32</c:v>
                  </c:pt>
                  <c:pt idx="4">
                    <c:v>2228.35</c:v>
                  </c:pt>
                  <c:pt idx="5">
                    <c:v>666.42999999999961</c:v>
                  </c:pt>
                </c:numCache>
              </c:numRef>
            </c:plus>
            <c:minus>
              <c:numRef>
                <c:f>Sheet5!$K$19:$P$19</c:f>
                <c:numCache>
                  <c:formatCode>General</c:formatCode>
                  <c:ptCount val="6"/>
                  <c:pt idx="0">
                    <c:v>797.06999999999971</c:v>
                  </c:pt>
                  <c:pt idx="1">
                    <c:v>622.61999999999989</c:v>
                  </c:pt>
                  <c:pt idx="2">
                    <c:v>1208.76</c:v>
                  </c:pt>
                  <c:pt idx="3">
                    <c:v>547.43000000000006</c:v>
                  </c:pt>
                  <c:pt idx="4">
                    <c:v>1288.6500000000001</c:v>
                  </c:pt>
                  <c:pt idx="5">
                    <c:v>99.220000000000255</c:v>
                  </c:pt>
                </c:numCache>
              </c:numRef>
            </c:minus>
          </c:errBars>
          <c:cat>
            <c:numRef>
              <c:f>Sheet2!$O$5:$T$5</c:f>
              <c:numCache>
                <c:formatCode>General</c:formatCode>
                <c:ptCount val="6"/>
                <c:pt idx="0">
                  <c:v>31569</c:v>
                </c:pt>
                <c:pt idx="1">
                  <c:v>31572</c:v>
                </c:pt>
                <c:pt idx="2">
                  <c:v>31575</c:v>
                </c:pt>
                <c:pt idx="3">
                  <c:v>31578</c:v>
                </c:pt>
                <c:pt idx="4">
                  <c:v>31581</c:v>
                </c:pt>
                <c:pt idx="5">
                  <c:v>31584</c:v>
                </c:pt>
              </c:numCache>
            </c:numRef>
          </c:cat>
          <c:val>
            <c:numRef>
              <c:f>Sheet2!$O$6:$T$6</c:f>
              <c:numCache>
                <c:formatCode>"$"#,##0.00_);[Red]\("$"#,##0.00\)</c:formatCode>
                <c:ptCount val="6"/>
                <c:pt idx="0">
                  <c:v>1646.62</c:v>
                </c:pt>
                <c:pt idx="1">
                  <c:v>1668.02</c:v>
                </c:pt>
                <c:pt idx="2">
                  <c:v>2331.66</c:v>
                </c:pt>
                <c:pt idx="3">
                  <c:v>972.23</c:v>
                </c:pt>
                <c:pt idx="4">
                  <c:v>2691.65</c:v>
                </c:pt>
                <c:pt idx="5">
                  <c:v>2133.5700000000002</c:v>
                </c:pt>
              </c:numCache>
            </c:numRef>
          </c:val>
        </c:ser>
        <c:ser>
          <c:idx val="1"/>
          <c:order val="1"/>
          <c:tx>
            <c:strRef>
              <c:f>Sheet2!$N$7</c:f>
              <c:strCache>
                <c:ptCount val="1"/>
                <c:pt idx="0">
                  <c:v>2014/15</c:v>
                </c:pt>
              </c:strCache>
            </c:strRef>
          </c:tx>
          <c:spPr>
            <a:solidFill>
              <a:srgbClr val="EE5871"/>
            </a:solidFill>
          </c:spPr>
          <c:invertIfNegative val="0"/>
          <c:errBars>
            <c:errBarType val="both"/>
            <c:errValType val="cust"/>
            <c:noEndCap val="0"/>
            <c:plus>
              <c:numRef>
                <c:f>Sheet5!$K$21:$P$21</c:f>
                <c:numCache>
                  <c:formatCode>General</c:formatCode>
                  <c:ptCount val="6"/>
                  <c:pt idx="0">
                    <c:v>2755.08</c:v>
                  </c:pt>
                  <c:pt idx="1">
                    <c:v>3264.26</c:v>
                  </c:pt>
                  <c:pt idx="2">
                    <c:v>3313.94</c:v>
                  </c:pt>
                  <c:pt idx="3">
                    <c:v>3729.54</c:v>
                  </c:pt>
                  <c:pt idx="4">
                    <c:v>0</c:v>
                  </c:pt>
                  <c:pt idx="5">
                    <c:v>630.93999999999937</c:v>
                  </c:pt>
                </c:numCache>
              </c:numRef>
            </c:plus>
            <c:minus>
              <c:numRef>
                <c:f>Sheet5!$K$22:$P$22</c:f>
                <c:numCache>
                  <c:formatCode>General</c:formatCode>
                  <c:ptCount val="6"/>
                  <c:pt idx="0">
                    <c:v>845.37000000000012</c:v>
                  </c:pt>
                  <c:pt idx="1">
                    <c:v>854.09</c:v>
                  </c:pt>
                  <c:pt idx="2">
                    <c:v>1224.1600000000001</c:v>
                  </c:pt>
                  <c:pt idx="3">
                    <c:v>737.66000000000008</c:v>
                  </c:pt>
                  <c:pt idx="4">
                    <c:v>0</c:v>
                  </c:pt>
                  <c:pt idx="5">
                    <c:v>94.210000000000036</c:v>
                  </c:pt>
                </c:numCache>
              </c:numRef>
            </c:minus>
          </c:errBars>
          <c:cat>
            <c:numRef>
              <c:f>Sheet2!$O$5:$T$5</c:f>
              <c:numCache>
                <c:formatCode>General</c:formatCode>
                <c:ptCount val="6"/>
                <c:pt idx="0">
                  <c:v>31569</c:v>
                </c:pt>
                <c:pt idx="1">
                  <c:v>31572</c:v>
                </c:pt>
                <c:pt idx="2">
                  <c:v>31575</c:v>
                </c:pt>
                <c:pt idx="3">
                  <c:v>31578</c:v>
                </c:pt>
                <c:pt idx="4">
                  <c:v>31581</c:v>
                </c:pt>
                <c:pt idx="5">
                  <c:v>31584</c:v>
                </c:pt>
              </c:numCache>
            </c:numRef>
          </c:cat>
          <c:val>
            <c:numRef>
              <c:f>Sheet2!$O$7:$T$7</c:f>
              <c:numCache>
                <c:formatCode>"$"#,##0.00_);[Red]\("$"#,##0.00\)</c:formatCode>
                <c:ptCount val="6"/>
                <c:pt idx="0">
                  <c:v>1694.92</c:v>
                </c:pt>
                <c:pt idx="1">
                  <c:v>1899.49</c:v>
                </c:pt>
                <c:pt idx="2">
                  <c:v>2286.06</c:v>
                </c:pt>
                <c:pt idx="3">
                  <c:v>1162.46</c:v>
                </c:pt>
                <c:pt idx="4">
                  <c:v>2364.0300000000002</c:v>
                </c:pt>
                <c:pt idx="5">
                  <c:v>2190.0100000000002</c:v>
                </c:pt>
              </c:numCache>
            </c:numRef>
          </c:val>
        </c:ser>
        <c:ser>
          <c:idx val="2"/>
          <c:order val="2"/>
          <c:tx>
            <c:strRef>
              <c:f>Sheet2!$N$8</c:f>
              <c:strCache>
                <c:ptCount val="1"/>
                <c:pt idx="0">
                  <c:v>2015/16</c:v>
                </c:pt>
              </c:strCache>
            </c:strRef>
          </c:tx>
          <c:spPr>
            <a:solidFill>
              <a:srgbClr val="FDB67B"/>
            </a:solidFill>
          </c:spPr>
          <c:invertIfNegative val="0"/>
          <c:errBars>
            <c:errBarType val="both"/>
            <c:errValType val="cust"/>
            <c:noEndCap val="0"/>
            <c:plus>
              <c:numRef>
                <c:f>Sheet5!$K$24:$P$24</c:f>
                <c:numCache>
                  <c:formatCode>General</c:formatCode>
                  <c:ptCount val="6"/>
                  <c:pt idx="0">
                    <c:v>2693.16</c:v>
                  </c:pt>
                  <c:pt idx="1">
                    <c:v>3609.16</c:v>
                  </c:pt>
                  <c:pt idx="2">
                    <c:v>3523.65</c:v>
                  </c:pt>
                  <c:pt idx="3">
                    <c:v>2916.98</c:v>
                  </c:pt>
                  <c:pt idx="4">
                    <c:v>2442.6899999999991</c:v>
                  </c:pt>
                  <c:pt idx="5">
                    <c:v>903.6</c:v>
                  </c:pt>
                </c:numCache>
              </c:numRef>
            </c:plus>
            <c:minus>
              <c:numRef>
                <c:f>Sheet5!$K$25:$P$25</c:f>
                <c:numCache>
                  <c:formatCode>General</c:formatCode>
                  <c:ptCount val="6"/>
                  <c:pt idx="0">
                    <c:v>1077.29</c:v>
                  </c:pt>
                  <c:pt idx="1">
                    <c:v>890.83999999999969</c:v>
                  </c:pt>
                  <c:pt idx="2">
                    <c:v>1161.8</c:v>
                  </c:pt>
                  <c:pt idx="3">
                    <c:v>1733.57</c:v>
                  </c:pt>
                  <c:pt idx="4">
                    <c:v>765.66000000000008</c:v>
                  </c:pt>
                  <c:pt idx="5">
                    <c:v>94.400000000000105</c:v>
                  </c:pt>
                </c:numCache>
              </c:numRef>
            </c:minus>
          </c:errBars>
          <c:cat>
            <c:numRef>
              <c:f>Sheet2!$O$5:$T$5</c:f>
              <c:numCache>
                <c:formatCode>General</c:formatCode>
                <c:ptCount val="6"/>
                <c:pt idx="0">
                  <c:v>31569</c:v>
                </c:pt>
                <c:pt idx="1">
                  <c:v>31572</c:v>
                </c:pt>
                <c:pt idx="2">
                  <c:v>31575</c:v>
                </c:pt>
                <c:pt idx="3">
                  <c:v>31578</c:v>
                </c:pt>
                <c:pt idx="4">
                  <c:v>31581</c:v>
                </c:pt>
                <c:pt idx="5">
                  <c:v>31584</c:v>
                </c:pt>
              </c:numCache>
            </c:numRef>
          </c:cat>
          <c:val>
            <c:numRef>
              <c:f>Sheet2!$O$8:$T$8</c:f>
              <c:numCache>
                <c:formatCode>"$"#,##0.00_);[Red]\("$"#,##0.00\)</c:formatCode>
                <c:ptCount val="6"/>
                <c:pt idx="0">
                  <c:v>1926.84</c:v>
                </c:pt>
                <c:pt idx="1">
                  <c:v>1936.24</c:v>
                </c:pt>
                <c:pt idx="2">
                  <c:v>2301.35</c:v>
                </c:pt>
                <c:pt idx="3">
                  <c:v>2483.02</c:v>
                </c:pt>
                <c:pt idx="4">
                  <c:v>2197.46</c:v>
                </c:pt>
                <c:pt idx="5">
                  <c:v>2196.4</c:v>
                </c:pt>
              </c:numCache>
            </c:numRef>
          </c:val>
        </c:ser>
        <c:ser>
          <c:idx val="3"/>
          <c:order val="3"/>
          <c:tx>
            <c:strRef>
              <c:f>Sheet2!$N$9</c:f>
              <c:strCache>
                <c:ptCount val="1"/>
                <c:pt idx="0">
                  <c:v>2016/17</c:v>
                </c:pt>
              </c:strCache>
            </c:strRef>
          </c:tx>
          <c:spPr>
            <a:solidFill>
              <a:schemeClr val="accent4"/>
            </a:solidFill>
          </c:spPr>
          <c:invertIfNegative val="0"/>
          <c:errBars>
            <c:errBarType val="both"/>
            <c:errValType val="cust"/>
            <c:noEndCap val="0"/>
            <c:plus>
              <c:numRef>
                <c:f>Sheet5!$K$27:$P$27</c:f>
                <c:numCache>
                  <c:formatCode>General</c:formatCode>
                  <c:ptCount val="6"/>
                  <c:pt idx="0">
                    <c:v>3183.62</c:v>
                  </c:pt>
                  <c:pt idx="1">
                    <c:v>3661.66</c:v>
                  </c:pt>
                  <c:pt idx="2">
                    <c:v>3657.36</c:v>
                  </c:pt>
                  <c:pt idx="3">
                    <c:v>3339.72</c:v>
                  </c:pt>
                  <c:pt idx="4">
                    <c:v>2621.53</c:v>
                  </c:pt>
                  <c:pt idx="5">
                    <c:v>1326.69</c:v>
                  </c:pt>
                </c:numCache>
              </c:numRef>
            </c:plus>
            <c:minus>
              <c:numRef>
                <c:f>Sheet5!$K$28:$P$28</c:f>
                <c:numCache>
                  <c:formatCode>General</c:formatCode>
                  <c:ptCount val="6"/>
                  <c:pt idx="0">
                    <c:v>1016.83</c:v>
                  </c:pt>
                  <c:pt idx="1">
                    <c:v>890.68999999999983</c:v>
                  </c:pt>
                  <c:pt idx="2">
                    <c:v>1194.3900000000001</c:v>
                  </c:pt>
                  <c:pt idx="3">
                    <c:v>390.07999999999993</c:v>
                  </c:pt>
                  <c:pt idx="4">
                    <c:v>865.51999999999953</c:v>
                  </c:pt>
                  <c:pt idx="5">
                    <c:v>121.31</c:v>
                  </c:pt>
                </c:numCache>
              </c:numRef>
            </c:minus>
          </c:errBars>
          <c:cat>
            <c:numRef>
              <c:f>Sheet2!$O$5:$T$5</c:f>
              <c:numCache>
                <c:formatCode>General</c:formatCode>
                <c:ptCount val="6"/>
                <c:pt idx="0">
                  <c:v>31569</c:v>
                </c:pt>
                <c:pt idx="1">
                  <c:v>31572</c:v>
                </c:pt>
                <c:pt idx="2">
                  <c:v>31575</c:v>
                </c:pt>
                <c:pt idx="3">
                  <c:v>31578</c:v>
                </c:pt>
                <c:pt idx="4">
                  <c:v>31581</c:v>
                </c:pt>
                <c:pt idx="5">
                  <c:v>31584</c:v>
                </c:pt>
              </c:numCache>
            </c:numRef>
          </c:cat>
          <c:val>
            <c:numRef>
              <c:f>Sheet2!$O$9:$T$9</c:f>
              <c:numCache>
                <c:formatCode>"$"#,##0.00_);[Red]\("$"#,##0.00\)</c:formatCode>
                <c:ptCount val="6"/>
                <c:pt idx="0">
                  <c:v>1866.38</c:v>
                </c:pt>
                <c:pt idx="1">
                  <c:v>1936.09</c:v>
                </c:pt>
                <c:pt idx="2">
                  <c:v>2342.64</c:v>
                </c:pt>
                <c:pt idx="3">
                  <c:v>1552.28</c:v>
                </c:pt>
                <c:pt idx="4">
                  <c:v>2278.4699999999998</c:v>
                </c:pt>
                <c:pt idx="5">
                  <c:v>2223.31</c:v>
                </c:pt>
              </c:numCache>
            </c:numRef>
          </c:val>
        </c:ser>
        <c:dLbls>
          <c:showLegendKey val="0"/>
          <c:showVal val="0"/>
          <c:showCatName val="0"/>
          <c:showSerName val="0"/>
          <c:showPercent val="0"/>
          <c:showBubbleSize val="0"/>
        </c:dLbls>
        <c:gapWidth val="150"/>
        <c:axId val="239129728"/>
        <c:axId val="239131264"/>
      </c:barChart>
      <c:catAx>
        <c:axId val="239129728"/>
        <c:scaling>
          <c:orientation val="minMax"/>
        </c:scaling>
        <c:delete val="0"/>
        <c:axPos val="b"/>
        <c:numFmt formatCode="General" sourceLinked="1"/>
        <c:majorTickMark val="out"/>
        <c:minorTickMark val="none"/>
        <c:tickLblPos val="nextTo"/>
        <c:crossAx val="239131264"/>
        <c:crosses val="autoZero"/>
        <c:auto val="1"/>
        <c:lblAlgn val="ctr"/>
        <c:lblOffset val="100"/>
        <c:noMultiLvlLbl val="0"/>
      </c:catAx>
      <c:valAx>
        <c:axId val="239131264"/>
        <c:scaling>
          <c:orientation val="minMax"/>
        </c:scaling>
        <c:delete val="0"/>
        <c:axPos val="l"/>
        <c:majorGridlines/>
        <c:numFmt formatCode="&quot;$&quot;#,##0.00_);[Red]\(&quot;$&quot;#,##0.00\)" sourceLinked="1"/>
        <c:majorTickMark val="out"/>
        <c:minorTickMark val="none"/>
        <c:tickLblPos val="nextTo"/>
        <c:crossAx val="239129728"/>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7CA38-9780-40D9-BAC4-DD6C224CD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6353</Words>
  <Characters>35291</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PvA PSD 1180r - Bariatric Services</dc:title>
  <dc:creator/>
  <cp:lastModifiedBy/>
  <cp:revision>1</cp:revision>
  <dcterms:created xsi:type="dcterms:W3CDTF">2018-08-27T03:27:00Z</dcterms:created>
  <dcterms:modified xsi:type="dcterms:W3CDTF">2018-08-31T00:50:00Z</dcterms:modified>
</cp:coreProperties>
</file>