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198B" w14:textId="1D47F5CC" w:rsidR="009E1612" w:rsidRDefault="009E1612" w:rsidP="00035557">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bookmarkStart w:id="0" w:name="_Hlk68005436"/>
      <w:r>
        <w:rPr>
          <w:rFonts w:ascii="Arial" w:hAnsi="Arial" w:cs="Arial"/>
          <w:b/>
          <w:bCs/>
          <w:color w:val="000080"/>
          <w:sz w:val="36"/>
          <w:szCs w:val="36"/>
        </w:rPr>
        <w:t>Medical Services Advisory Committee (MSAC)</w:t>
      </w:r>
      <w:r>
        <w:rPr>
          <w:rFonts w:ascii="Arial" w:hAnsi="Arial" w:cs="Arial"/>
          <w:b/>
          <w:bCs/>
          <w:color w:val="000080"/>
          <w:sz w:val="36"/>
          <w:szCs w:val="36"/>
        </w:rPr>
        <w:br/>
      </w:r>
      <w:r w:rsidR="00035557" w:rsidRPr="00F76D74">
        <w:rPr>
          <w:rFonts w:ascii="Arial" w:hAnsi="Arial" w:cs="Arial"/>
          <w:b/>
          <w:bCs/>
          <w:color w:val="000080"/>
          <w:sz w:val="36"/>
          <w:szCs w:val="36"/>
        </w:rPr>
        <w:t>Public Summary Document</w:t>
      </w:r>
    </w:p>
    <w:bookmarkEnd w:id="0"/>
    <w:p w14:paraId="7A128FDE" w14:textId="3D2F79AA" w:rsidR="00772829" w:rsidRPr="00CE28E3" w:rsidRDefault="00772829" w:rsidP="00772829">
      <w:pPr>
        <w:pStyle w:val="Subtitle"/>
      </w:pPr>
      <w:r w:rsidRPr="00CE28E3">
        <w:t xml:space="preserve">Application No. </w:t>
      </w:r>
      <w:r w:rsidR="00004870">
        <w:t>1727 Deep brain stimulation for treatment-refractory obsessive-compulsive disorder</w:t>
      </w:r>
    </w:p>
    <w:p w14:paraId="35263561" w14:textId="33F896C4"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A8772B">
        <w:rPr>
          <w:rFonts w:ascii="Arial" w:hAnsi="Arial" w:cs="Arial"/>
          <w:b/>
          <w:szCs w:val="24"/>
        </w:rPr>
        <w:t>Dr Philip Mosley</w:t>
      </w:r>
    </w:p>
    <w:p w14:paraId="4F85D50D" w14:textId="1799DBAD" w:rsidR="004A6EEF" w:rsidRDefault="004A6EEF" w:rsidP="004A6EEF">
      <w:pPr>
        <w:spacing w:before="320"/>
        <w:rPr>
          <w:rFonts w:ascii="Arial" w:hAnsi="Arial" w:cs="Arial"/>
          <w:b/>
          <w:bCs/>
        </w:rPr>
      </w:pPr>
      <w:bookmarkStart w:id="1" w:name="_Toc143098827"/>
      <w:r w:rsidRPr="00B427C0">
        <w:rPr>
          <w:rFonts w:ascii="Arial" w:hAnsi="Arial" w:cs="Arial"/>
          <w:b/>
          <w:bCs/>
        </w:rPr>
        <w:t xml:space="preserve">Date of </w:t>
      </w:r>
      <w:r w:rsidR="00035557">
        <w:rPr>
          <w:rFonts w:ascii="Arial" w:hAnsi="Arial" w:cs="Arial"/>
          <w:b/>
          <w:bCs/>
        </w:rPr>
        <w:t>MSAC</w:t>
      </w:r>
      <w:r w:rsidRPr="00B427C0">
        <w:rPr>
          <w:rFonts w:ascii="Arial" w:hAnsi="Arial" w:cs="Arial"/>
          <w:b/>
          <w:bCs/>
        </w:rPr>
        <w:t xml:space="preserve"> consideration:</w:t>
      </w:r>
      <w:r w:rsidRPr="00B427C0">
        <w:rPr>
          <w:rFonts w:ascii="Arial" w:hAnsi="Arial" w:cs="Arial"/>
          <w:b/>
          <w:bCs/>
        </w:rPr>
        <w:tab/>
      </w:r>
      <w:r w:rsidR="00035557">
        <w:rPr>
          <w:rFonts w:ascii="Arial" w:hAnsi="Arial" w:cs="Arial"/>
          <w:b/>
          <w:bCs/>
        </w:rPr>
        <w:t>23-24 November</w:t>
      </w:r>
      <w:r>
        <w:rPr>
          <w:rFonts w:ascii="Arial" w:hAnsi="Arial" w:cs="Arial"/>
          <w:b/>
          <w:bCs/>
        </w:rPr>
        <w:t xml:space="preserve"> 2023</w:t>
      </w:r>
    </w:p>
    <w:p w14:paraId="048D2ECE" w14:textId="734CEE45" w:rsidR="00035557" w:rsidRPr="00035557" w:rsidRDefault="00035557" w:rsidP="00035557">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22634DF5" w:rsidR="00772829" w:rsidRPr="00CE28E3" w:rsidRDefault="00772829" w:rsidP="00224C9C">
      <w:pPr>
        <w:pStyle w:val="Heading2"/>
        <w:numPr>
          <w:ilvl w:val="0"/>
          <w:numId w:val="43"/>
        </w:numPr>
        <w:ind w:left="709" w:hanging="709"/>
      </w:pPr>
      <w:r w:rsidRPr="00CE28E3">
        <w:t xml:space="preserve">Purpose </w:t>
      </w:r>
      <w:r w:rsidRPr="00CE28E3">
        <w:rPr>
          <w:szCs w:val="32"/>
        </w:rPr>
        <w:t>of</w:t>
      </w:r>
      <w:r w:rsidRPr="00CE28E3">
        <w:t xml:space="preserve"> application</w:t>
      </w:r>
      <w:bookmarkEnd w:id="1"/>
    </w:p>
    <w:p w14:paraId="13E063DA" w14:textId="43307322" w:rsidR="001A202D" w:rsidRDefault="001A202D" w:rsidP="001A202D">
      <w:pPr>
        <w:spacing w:after="240"/>
      </w:pPr>
      <w:bookmarkStart w:id="2" w:name="_Hlk69734469"/>
      <w:r>
        <w:t>An application requesting Medicare Benefits Schedule (MBS) listing of deep brain stimulation (DBS) for treatment-refractory obsessive-compulsive disorder (OCD) was received from Dr Philip Mosley by the Department of Health</w:t>
      </w:r>
      <w:r w:rsidR="47339903">
        <w:t xml:space="preserve"> and Aged Care</w:t>
      </w:r>
      <w:r>
        <w:t>.</w:t>
      </w:r>
    </w:p>
    <w:p w14:paraId="70ECB5E7" w14:textId="77777777" w:rsidR="00035557" w:rsidRDefault="00035557" w:rsidP="00035557">
      <w:pPr>
        <w:pStyle w:val="Heading2"/>
        <w:numPr>
          <w:ilvl w:val="1"/>
          <w:numId w:val="0"/>
        </w:numPr>
      </w:pPr>
      <w:r>
        <w:t>2.</w:t>
      </w:r>
      <w:r>
        <w:tab/>
        <w:t>MSAC’s advice to the Minister</w:t>
      </w:r>
    </w:p>
    <w:p w14:paraId="463A81B9" w14:textId="2AD2EDDB" w:rsidR="00B86A4F" w:rsidRDefault="00035557" w:rsidP="00B86A4F">
      <w:r w:rsidRPr="0A3FD7D2">
        <w:t xml:space="preserve">After considering the strength of the available evidence in relation to comparative safety, clinical effectiveness, </w:t>
      </w:r>
      <w:proofErr w:type="gramStart"/>
      <w:r w:rsidRPr="0A3FD7D2">
        <w:t>cost-effectiveness</w:t>
      </w:r>
      <w:proofErr w:type="gramEnd"/>
      <w:r w:rsidRPr="0A3FD7D2">
        <w:t xml:space="preserve"> and total cost, MSAC</w:t>
      </w:r>
      <w:r w:rsidR="00B86A4F" w:rsidRPr="0A3FD7D2">
        <w:t xml:space="preserve"> supported</w:t>
      </w:r>
      <w:r w:rsidR="00F51F79">
        <w:rPr>
          <w:rStyle w:val="normaltextrun"/>
          <w:color w:val="000000"/>
          <w:shd w:val="clear" w:color="auto" w:fill="FFFFFF"/>
        </w:rPr>
        <w:t xml:space="preserve"> public funding of deep brain stimulation (DBS) for treatment</w:t>
      </w:r>
      <w:r w:rsidR="008D6E53">
        <w:rPr>
          <w:rStyle w:val="normaltextrun"/>
          <w:color w:val="000000"/>
          <w:shd w:val="clear" w:color="auto" w:fill="FFFFFF"/>
        </w:rPr>
        <w:t>-</w:t>
      </w:r>
      <w:r w:rsidR="00F51F79">
        <w:rPr>
          <w:rStyle w:val="normaltextrun"/>
          <w:color w:val="000000"/>
          <w:shd w:val="clear" w:color="auto" w:fill="FFFFFF"/>
        </w:rPr>
        <w:t xml:space="preserve">refractory </w:t>
      </w:r>
      <w:r w:rsidR="1EC9B262">
        <w:rPr>
          <w:rStyle w:val="normaltextrun"/>
          <w:color w:val="000000"/>
        </w:rPr>
        <w:t>o</w:t>
      </w:r>
      <w:r w:rsidR="00F51F79">
        <w:rPr>
          <w:rStyle w:val="normaltextrun"/>
          <w:color w:val="000000"/>
        </w:rPr>
        <w:t>bsessive-</w:t>
      </w:r>
      <w:r w:rsidR="543ABCDD">
        <w:rPr>
          <w:rStyle w:val="normaltextrun"/>
          <w:color w:val="000000"/>
        </w:rPr>
        <w:t>c</w:t>
      </w:r>
      <w:r w:rsidR="00F51F79">
        <w:rPr>
          <w:rStyle w:val="normaltextrun"/>
          <w:color w:val="000000"/>
        </w:rPr>
        <w:t xml:space="preserve">ompulsive </w:t>
      </w:r>
      <w:r w:rsidR="199438DB">
        <w:rPr>
          <w:rStyle w:val="normaltextrun"/>
          <w:color w:val="000000"/>
        </w:rPr>
        <w:t>d</w:t>
      </w:r>
      <w:r w:rsidR="00F51F79">
        <w:rPr>
          <w:rStyle w:val="normaltextrun"/>
          <w:color w:val="000000"/>
        </w:rPr>
        <w:t>isorder</w:t>
      </w:r>
      <w:r w:rsidR="00F51F79">
        <w:rPr>
          <w:rStyle w:val="normaltextrun"/>
          <w:color w:val="000000"/>
          <w:shd w:val="clear" w:color="auto" w:fill="FFFFFF"/>
        </w:rPr>
        <w:t xml:space="preserve"> (OCD) but considered that MBS listing of this procedure may not be the best means of public funding. MSAC considered that a public funding arrangement alternative to the MBS should be sought, following consultation with stakeholders. MSAC considered the safety of DBS was inferior to the standard of care but acceptable given the high unmet need for </w:t>
      </w:r>
      <w:r w:rsidR="00537B7B">
        <w:rPr>
          <w:rStyle w:val="normaltextrun"/>
          <w:color w:val="000000"/>
          <w:shd w:val="clear" w:color="auto" w:fill="FFFFFF"/>
        </w:rPr>
        <w:t>a small group of patients</w:t>
      </w:r>
      <w:r w:rsidR="00F51F79">
        <w:rPr>
          <w:rStyle w:val="normaltextrun"/>
          <w:color w:val="000000"/>
          <w:shd w:val="clear" w:color="auto" w:fill="FFFFFF"/>
        </w:rPr>
        <w:t xml:space="preserve"> who had severe disease</w:t>
      </w:r>
      <w:r w:rsidR="008F4B42">
        <w:rPr>
          <w:rStyle w:val="normaltextrun"/>
          <w:color w:val="000000"/>
          <w:shd w:val="clear" w:color="auto" w:fill="FFFFFF"/>
        </w:rPr>
        <w:t xml:space="preserve"> and for whom multiple previous treatment options had not been effective</w:t>
      </w:r>
      <w:r w:rsidR="00F51F79">
        <w:rPr>
          <w:rStyle w:val="normaltextrun"/>
          <w:color w:val="000000"/>
          <w:shd w:val="clear" w:color="auto" w:fill="FFFFFF"/>
        </w:rPr>
        <w:t xml:space="preserve">. MSAC noted the low certainty evidence for the superior clinical effectiveness of DBS but considered that better clinical evidence was unlikely to be forthcoming. MSAC noted the very high incremental cost effectiveness ratio (ICER) estimated for DBS was unreliable for decision making </w:t>
      </w:r>
      <w:proofErr w:type="gramStart"/>
      <w:r w:rsidR="00F51F79">
        <w:rPr>
          <w:rStyle w:val="normaltextrun"/>
          <w:color w:val="000000"/>
          <w:shd w:val="clear" w:color="auto" w:fill="FFFFFF"/>
        </w:rPr>
        <w:t>with regard to</w:t>
      </w:r>
      <w:proofErr w:type="gramEnd"/>
      <w:r w:rsidR="00F51F79">
        <w:rPr>
          <w:rStyle w:val="normaltextrun"/>
          <w:color w:val="000000"/>
          <w:shd w:val="clear" w:color="auto" w:fill="FFFFFF"/>
        </w:rPr>
        <w:t xml:space="preserve"> the cost effectiveness of DBS. MSAC considered that </w:t>
      </w:r>
      <w:r w:rsidR="00440B4F">
        <w:rPr>
          <w:rStyle w:val="normaltextrun"/>
          <w:color w:val="000000"/>
          <w:shd w:val="clear" w:color="auto" w:fill="FFFFFF"/>
        </w:rPr>
        <w:t>the</w:t>
      </w:r>
      <w:r w:rsidR="00F51F79">
        <w:rPr>
          <w:rStyle w:val="normaltextrun"/>
          <w:color w:val="000000"/>
          <w:shd w:val="clear" w:color="auto" w:fill="FFFFFF"/>
        </w:rPr>
        <w:t xml:space="preserve"> ICER was </w:t>
      </w:r>
      <w:r w:rsidR="00440B4F">
        <w:rPr>
          <w:rStyle w:val="normaltextrun"/>
          <w:color w:val="000000"/>
          <w:shd w:val="clear" w:color="auto" w:fill="FFFFFF"/>
        </w:rPr>
        <w:t>overestimated</w:t>
      </w:r>
      <w:r w:rsidR="00F51F79">
        <w:rPr>
          <w:rStyle w:val="normaltextrun"/>
          <w:color w:val="000000"/>
          <w:shd w:val="clear" w:color="auto" w:fill="FFFFFF"/>
        </w:rPr>
        <w:t xml:space="preserve">, although </w:t>
      </w:r>
      <w:r w:rsidR="00440B4F">
        <w:rPr>
          <w:rStyle w:val="normaltextrun"/>
          <w:color w:val="000000"/>
          <w:shd w:val="clear" w:color="auto" w:fill="FFFFFF"/>
        </w:rPr>
        <w:t xml:space="preserve">it </w:t>
      </w:r>
      <w:r w:rsidR="00F51F79">
        <w:rPr>
          <w:rStyle w:val="normaltextrun"/>
          <w:color w:val="000000"/>
          <w:shd w:val="clear" w:color="auto" w:fill="FFFFFF"/>
        </w:rPr>
        <w:t xml:space="preserve">would likely still be high. MSAC considered the financial impact to the MBS would be low and the risk of leakage low due to the small tightly defined population group. </w:t>
      </w:r>
      <w:r w:rsidR="00B644D1">
        <w:rPr>
          <w:rStyle w:val="normaltextrun"/>
          <w:color w:val="000000"/>
          <w:shd w:val="clear" w:color="auto" w:fill="FFFFFF"/>
        </w:rPr>
        <w:t xml:space="preserve">MSAC considered that public funding of DBS was warranted </w:t>
      </w:r>
      <w:r w:rsidR="00F51F79">
        <w:rPr>
          <w:rStyle w:val="normaltextrun"/>
          <w:color w:val="000000"/>
          <w:shd w:val="clear" w:color="auto" w:fill="FFFFFF"/>
        </w:rPr>
        <w:t xml:space="preserve">noting the </w:t>
      </w:r>
      <w:r w:rsidR="00896ACD">
        <w:rPr>
          <w:rStyle w:val="normaltextrun"/>
          <w:color w:val="000000"/>
          <w:shd w:val="clear" w:color="auto" w:fill="FFFFFF"/>
        </w:rPr>
        <w:t>high</w:t>
      </w:r>
      <w:r w:rsidR="00F51F79">
        <w:rPr>
          <w:rStyle w:val="normaltextrun"/>
          <w:color w:val="000000"/>
          <w:shd w:val="clear" w:color="auto" w:fill="FFFFFF"/>
        </w:rPr>
        <w:t xml:space="preserve"> clinical need for DBS as a treatment of last resort</w:t>
      </w:r>
      <w:r w:rsidR="00896ACD">
        <w:rPr>
          <w:rStyle w:val="normaltextrun"/>
          <w:color w:val="000000"/>
          <w:shd w:val="clear" w:color="auto" w:fill="FFFFFF"/>
        </w:rPr>
        <w:t xml:space="preserve"> for </w:t>
      </w:r>
      <w:r w:rsidR="00C074D5">
        <w:rPr>
          <w:rStyle w:val="normaltextrun"/>
          <w:color w:val="000000"/>
          <w:shd w:val="clear" w:color="auto" w:fill="FFFFFF"/>
        </w:rPr>
        <w:t xml:space="preserve">a small number of </w:t>
      </w:r>
      <w:r w:rsidR="00896ACD">
        <w:rPr>
          <w:rStyle w:val="normaltextrun"/>
          <w:color w:val="000000"/>
          <w:shd w:val="clear" w:color="auto" w:fill="FFFFFF"/>
        </w:rPr>
        <w:t>patients with severe OCD</w:t>
      </w:r>
      <w:r w:rsidR="00F51F79">
        <w:rPr>
          <w:rStyle w:val="normaltextrun"/>
          <w:color w:val="000000"/>
          <w:shd w:val="clear" w:color="auto" w:fill="FFFFFF"/>
        </w:rPr>
        <w:t xml:space="preserve">, the low </w:t>
      </w:r>
      <w:r w:rsidR="00C074D5">
        <w:rPr>
          <w:rStyle w:val="normaltextrun"/>
          <w:color w:val="000000"/>
          <w:shd w:val="clear" w:color="auto" w:fill="FFFFFF"/>
        </w:rPr>
        <w:t xml:space="preserve">total </w:t>
      </w:r>
      <w:r w:rsidR="00F51F79">
        <w:rPr>
          <w:rStyle w:val="normaltextrun"/>
          <w:color w:val="000000"/>
          <w:shd w:val="clear" w:color="auto" w:fill="FFFFFF"/>
        </w:rPr>
        <w:t xml:space="preserve">financial cost of funding and </w:t>
      </w:r>
      <w:r w:rsidR="00C074D5">
        <w:rPr>
          <w:rStyle w:val="normaltextrun"/>
          <w:color w:val="000000"/>
          <w:shd w:val="clear" w:color="auto" w:fill="FFFFFF"/>
        </w:rPr>
        <w:t xml:space="preserve">the </w:t>
      </w:r>
      <w:r w:rsidR="00F51F79">
        <w:rPr>
          <w:rStyle w:val="normaltextrun"/>
          <w:color w:val="000000"/>
          <w:shd w:val="clear" w:color="auto" w:fill="FFFFFF"/>
        </w:rPr>
        <w:t xml:space="preserve">low risk of leakage </w:t>
      </w:r>
      <w:r w:rsidR="00BE660D">
        <w:rPr>
          <w:rStyle w:val="normaltextrun"/>
          <w:color w:val="000000"/>
          <w:shd w:val="clear" w:color="auto" w:fill="FFFFFF"/>
        </w:rPr>
        <w:t xml:space="preserve">if </w:t>
      </w:r>
      <w:r w:rsidR="00684E62">
        <w:rPr>
          <w:rStyle w:val="normaltextrun"/>
          <w:color w:val="000000"/>
          <w:shd w:val="clear" w:color="auto" w:fill="FFFFFF"/>
        </w:rPr>
        <w:t xml:space="preserve">treatment was confined to </w:t>
      </w:r>
      <w:r w:rsidR="00C074D5">
        <w:rPr>
          <w:rStyle w:val="normaltextrun"/>
          <w:color w:val="000000"/>
          <w:shd w:val="clear" w:color="auto" w:fill="FFFFFF"/>
        </w:rPr>
        <w:t xml:space="preserve">highly specialised </w:t>
      </w:r>
      <w:r w:rsidR="00B644D1">
        <w:rPr>
          <w:rStyle w:val="normaltextrun"/>
          <w:color w:val="000000"/>
          <w:shd w:val="clear" w:color="auto" w:fill="FFFFFF"/>
        </w:rPr>
        <w:t>setting</w:t>
      </w:r>
      <w:r w:rsidR="00684E62">
        <w:rPr>
          <w:rStyle w:val="normaltextrun"/>
          <w:color w:val="000000"/>
          <w:shd w:val="clear" w:color="auto" w:fill="FFFFFF"/>
        </w:rPr>
        <w:t>s</w:t>
      </w:r>
      <w:r w:rsidR="00B644D1">
        <w:rPr>
          <w:rStyle w:val="normaltextrun"/>
          <w:color w:val="000000"/>
          <w:shd w:val="clear" w:color="auto" w:fill="FFFFFF"/>
        </w:rPr>
        <w:t>.</w:t>
      </w:r>
      <w:r w:rsidR="00F94B31">
        <w:rPr>
          <w:rStyle w:val="normaltextrun"/>
          <w:color w:val="000000"/>
          <w:shd w:val="clear" w:color="auto" w:fill="FFFFFF"/>
        </w:rPr>
        <w:t xml:space="preserve"> </w:t>
      </w:r>
      <w:r w:rsidR="00B644D1">
        <w:rPr>
          <w:rStyle w:val="normaltextrun"/>
          <w:color w:val="000000"/>
          <w:shd w:val="clear" w:color="auto" w:fill="FFFFFF"/>
        </w:rPr>
        <w:t xml:space="preserve">MSAC </w:t>
      </w:r>
      <w:r w:rsidR="00FB6983">
        <w:rPr>
          <w:rStyle w:val="normaltextrun"/>
          <w:color w:val="000000"/>
          <w:shd w:val="clear" w:color="auto" w:fill="FFFFFF"/>
        </w:rPr>
        <w:t xml:space="preserve">also recognised </w:t>
      </w:r>
      <w:r w:rsidR="00F51F79">
        <w:rPr>
          <w:rStyle w:val="normaltextrun"/>
          <w:color w:val="000000"/>
          <w:shd w:val="clear" w:color="auto" w:fill="FFFFFF"/>
        </w:rPr>
        <w:t>the safety concerns, low certainty evidence for effectiveness and uncertain cost-effectiveness</w:t>
      </w:r>
      <w:r w:rsidR="00FB6983">
        <w:rPr>
          <w:szCs w:val="24"/>
        </w:rPr>
        <w:t xml:space="preserve"> and </w:t>
      </w:r>
      <w:r w:rsidR="00BE660D">
        <w:rPr>
          <w:szCs w:val="24"/>
        </w:rPr>
        <w:t xml:space="preserve">for this reason proposed public </w:t>
      </w:r>
      <w:r w:rsidR="002B0590">
        <w:rPr>
          <w:szCs w:val="24"/>
        </w:rPr>
        <w:t xml:space="preserve">funding </w:t>
      </w:r>
      <w:r w:rsidR="00BE660D">
        <w:rPr>
          <w:szCs w:val="24"/>
        </w:rPr>
        <w:t>outside a</w:t>
      </w:r>
      <w:r w:rsidR="002B0590">
        <w:rPr>
          <w:szCs w:val="24"/>
        </w:rPr>
        <w:t xml:space="preserve"> listing on the </w:t>
      </w:r>
      <w:r w:rsidR="00EE13CF">
        <w:rPr>
          <w:szCs w:val="24"/>
        </w:rPr>
        <w:t>MBS</w:t>
      </w:r>
      <w:r w:rsidR="002B0590">
        <w:rPr>
          <w:szCs w:val="24"/>
        </w:rPr>
        <w:t xml:space="preserve">. </w:t>
      </w:r>
    </w:p>
    <w:tbl>
      <w:tblPr>
        <w:tblStyle w:val="TableGrid"/>
        <w:tblW w:w="0" w:type="auto"/>
        <w:tblLook w:val="04A0" w:firstRow="1" w:lastRow="0" w:firstColumn="1" w:lastColumn="0" w:noHBand="0" w:noVBand="1"/>
        <w:tblDescription w:val="Consumer summary of MSAC consideration"/>
      </w:tblPr>
      <w:tblGrid>
        <w:gridCol w:w="9016"/>
      </w:tblGrid>
      <w:tr w:rsidR="00035557" w:rsidRPr="00AF46D8" w14:paraId="7CCE1FC1" w14:textId="77777777" w:rsidTr="00050AB4">
        <w:trPr>
          <w:tblHeader/>
        </w:trPr>
        <w:tc>
          <w:tcPr>
            <w:tcW w:w="9016" w:type="dxa"/>
          </w:tcPr>
          <w:p w14:paraId="7F1FAA1D" w14:textId="77777777" w:rsidR="00035557" w:rsidRPr="00AF46D8" w:rsidRDefault="00035557" w:rsidP="00035557">
            <w:pPr>
              <w:pStyle w:val="Heading3"/>
              <w:numPr>
                <w:ilvl w:val="0"/>
                <w:numId w:val="0"/>
              </w:numPr>
              <w:spacing w:before="120"/>
              <w:rPr>
                <w:iCs/>
              </w:rPr>
            </w:pPr>
            <w:r w:rsidRPr="00AF46D8">
              <w:t>Consumer summary</w:t>
            </w:r>
          </w:p>
        </w:tc>
      </w:tr>
      <w:tr w:rsidR="00035557" w:rsidRPr="00AF46D8" w14:paraId="1071962C" w14:textId="77777777" w:rsidTr="00050AB4">
        <w:tc>
          <w:tcPr>
            <w:tcW w:w="9016" w:type="dxa"/>
          </w:tcPr>
          <w:p w14:paraId="4781AD22" w14:textId="36401F63" w:rsidR="00BB668C" w:rsidRDefault="00BB668C" w:rsidP="00BB668C">
            <w:r w:rsidRPr="00AF46D8">
              <w:t xml:space="preserve">This is an application from </w:t>
            </w:r>
            <w:r w:rsidR="00321667">
              <w:t xml:space="preserve">psychiatrist, </w:t>
            </w:r>
            <w:r>
              <w:t>Dr Philip Mosley</w:t>
            </w:r>
            <w:r w:rsidR="00321667">
              <w:t>,</w:t>
            </w:r>
            <w:r w:rsidRPr="00AF46D8">
              <w:t xml:space="preserve"> requesting Medicare Benefits Schedule (MBS) listing of</w:t>
            </w:r>
            <w:r>
              <w:t xml:space="preserve"> </w:t>
            </w:r>
            <w:r w:rsidRPr="00E83086">
              <w:t>deep brain stimulation (DBS) for treatment-refractory obsessive-compulsive disorder (OCD</w:t>
            </w:r>
            <w:r>
              <w:t>).</w:t>
            </w:r>
          </w:p>
          <w:p w14:paraId="5D60BD3B" w14:textId="1EE5BD1B" w:rsidR="0041648F" w:rsidRDefault="0041648F" w:rsidP="00BB668C">
            <w:r>
              <w:t>OCD is a psychiatric condition where people experience obsessive thoughts, images or impulses that provoke anxiety</w:t>
            </w:r>
            <w:r w:rsidR="008B3414">
              <w:t xml:space="preserve">. These anxieties </w:t>
            </w:r>
            <w:r w:rsidR="008D1EF4">
              <w:t>lead</w:t>
            </w:r>
            <w:r w:rsidR="00641298">
              <w:t xml:space="preserve"> to people performing</w:t>
            </w:r>
            <w:r>
              <w:t xml:space="preserve"> compulsions (such </w:t>
            </w:r>
            <w:r>
              <w:lastRenderedPageBreak/>
              <w:t xml:space="preserve">as repetitive handwashing, </w:t>
            </w:r>
            <w:r w:rsidR="004247D4">
              <w:t xml:space="preserve">checking door locks, </w:t>
            </w:r>
            <w:r>
              <w:t>saying prayers)</w:t>
            </w:r>
            <w:r w:rsidR="00641298">
              <w:t xml:space="preserve"> to soothe their anxiety</w:t>
            </w:r>
            <w:r>
              <w:t>.</w:t>
            </w:r>
            <w:r w:rsidR="004247D4">
              <w:t xml:space="preserve"> OCD can </w:t>
            </w:r>
            <w:r w:rsidR="008466D9">
              <w:t>take over people’s lives</w:t>
            </w:r>
            <w:r w:rsidR="00B07DB6">
              <w:t xml:space="preserve"> and affect their ability </w:t>
            </w:r>
            <w:r w:rsidR="008466D9">
              <w:t xml:space="preserve">to </w:t>
            </w:r>
            <w:r w:rsidR="00694D68">
              <w:t>work</w:t>
            </w:r>
            <w:r w:rsidR="00892155">
              <w:t>, soc</w:t>
            </w:r>
            <w:r w:rsidR="00470CB7">
              <w:t>ialise</w:t>
            </w:r>
            <w:r w:rsidR="00940A1E">
              <w:t xml:space="preserve"> and </w:t>
            </w:r>
            <w:r w:rsidR="00470CB7">
              <w:t xml:space="preserve">form </w:t>
            </w:r>
            <w:r w:rsidR="00940A1E">
              <w:t>relationships</w:t>
            </w:r>
            <w:r w:rsidR="00470CB7">
              <w:t xml:space="preserve">. </w:t>
            </w:r>
            <w:r w:rsidR="00CB7108">
              <w:t xml:space="preserve">This has flow-on effects to the lives of </w:t>
            </w:r>
            <w:r w:rsidR="00FF5CEB">
              <w:t>patients’</w:t>
            </w:r>
            <w:r w:rsidR="00CB7108">
              <w:t xml:space="preserve"> families</w:t>
            </w:r>
            <w:r w:rsidR="00D5754E">
              <w:t xml:space="preserve">, </w:t>
            </w:r>
            <w:proofErr w:type="gramStart"/>
            <w:r w:rsidR="00D5754E">
              <w:t>carers</w:t>
            </w:r>
            <w:proofErr w:type="gramEnd"/>
            <w:r w:rsidR="00CB7108">
              <w:t xml:space="preserve"> and</w:t>
            </w:r>
            <w:r w:rsidR="00E35F1C">
              <w:t xml:space="preserve"> communities.</w:t>
            </w:r>
            <w:r w:rsidR="00CB7108">
              <w:t xml:space="preserve"> </w:t>
            </w:r>
          </w:p>
          <w:p w14:paraId="54DBC80B" w14:textId="010EFFD5" w:rsidR="00BB668C" w:rsidRDefault="0084743C" w:rsidP="00BB668C">
            <w:r>
              <w:t>OCD is usually treated with</w:t>
            </w:r>
            <w:r w:rsidR="00642373">
              <w:t xml:space="preserve"> </w:t>
            </w:r>
            <w:r>
              <w:t xml:space="preserve">medication and psychotherapy. </w:t>
            </w:r>
            <w:r w:rsidR="00642373">
              <w:t>However</w:t>
            </w:r>
            <w:r w:rsidR="00757823">
              <w:t>,</w:t>
            </w:r>
            <w:r w:rsidR="00642373">
              <w:t xml:space="preserve"> for some </w:t>
            </w:r>
            <w:r w:rsidR="00757823">
              <w:t>people with OCD</w:t>
            </w:r>
            <w:r w:rsidR="00940A1E">
              <w:t xml:space="preserve">, they </w:t>
            </w:r>
            <w:r w:rsidR="00757823">
              <w:t xml:space="preserve">may </w:t>
            </w:r>
            <w:r w:rsidR="00940A1E">
              <w:t>continue to have debilitating symptoms despite</w:t>
            </w:r>
            <w:r w:rsidR="00757823">
              <w:t xml:space="preserve"> trying many different medications and psychoth</w:t>
            </w:r>
            <w:r w:rsidR="00AB729F">
              <w:t xml:space="preserve">erapy </w:t>
            </w:r>
            <w:r w:rsidR="00757823">
              <w:t>(known as treatment-refractory OCD).</w:t>
            </w:r>
            <w:r w:rsidR="00940A1E">
              <w:t xml:space="preserve"> </w:t>
            </w:r>
            <w:r>
              <w:t xml:space="preserve">For these patients, DBS </w:t>
            </w:r>
            <w:r w:rsidR="00AB729F">
              <w:t>may be a suitable treatment option</w:t>
            </w:r>
            <w:r>
              <w:t xml:space="preserve">. </w:t>
            </w:r>
            <w:r w:rsidR="00AC7AB2">
              <w:t xml:space="preserve">In </w:t>
            </w:r>
            <w:r w:rsidR="00BB668C">
              <w:t>DBS</w:t>
            </w:r>
            <w:r w:rsidR="00AB729F">
              <w:t>,</w:t>
            </w:r>
            <w:r w:rsidR="001E1DB6">
              <w:t xml:space="preserve"> a neurosurgeon implants</w:t>
            </w:r>
            <w:r w:rsidR="00BB668C">
              <w:t xml:space="preserve"> </w:t>
            </w:r>
            <w:r w:rsidR="00C60EF4">
              <w:t>electrical leads</w:t>
            </w:r>
            <w:r w:rsidR="00AC7AB2">
              <w:t xml:space="preserve"> </w:t>
            </w:r>
            <w:r w:rsidR="00BB668C">
              <w:t>in</w:t>
            </w:r>
            <w:r w:rsidR="001E1DB6">
              <w:t>to</w:t>
            </w:r>
            <w:r w:rsidR="00BB668C">
              <w:t xml:space="preserve"> the brain</w:t>
            </w:r>
            <w:r w:rsidR="001E1DB6">
              <w:t>.</w:t>
            </w:r>
            <w:r w:rsidR="00E14402">
              <w:t xml:space="preserve"> </w:t>
            </w:r>
            <w:r w:rsidR="00AC7AB2">
              <w:t>The leads</w:t>
            </w:r>
            <w:r w:rsidR="00E14402">
              <w:t xml:space="preserve"> provide electrical stimulation to specific parts of the brain</w:t>
            </w:r>
            <w:r w:rsidR="006119BF">
              <w:t xml:space="preserve"> that are thought to be involved in OCD</w:t>
            </w:r>
            <w:r w:rsidR="00BB668C">
              <w:t>.</w:t>
            </w:r>
            <w:r w:rsidR="006119BF">
              <w:t xml:space="preserve"> When these parts of the brain are stimulated, this can </w:t>
            </w:r>
            <w:r w:rsidR="00267CE6">
              <w:t xml:space="preserve">help to </w:t>
            </w:r>
            <w:r w:rsidR="002C30BF">
              <w:t xml:space="preserve">decrease </w:t>
            </w:r>
            <w:r w:rsidR="006119BF">
              <w:t>OCD symptoms.</w:t>
            </w:r>
            <w:r w:rsidR="00BB668C">
              <w:t xml:space="preserve"> </w:t>
            </w:r>
            <w:r w:rsidR="00BE7EC8">
              <w:t xml:space="preserve">The </w:t>
            </w:r>
            <w:r w:rsidR="002104B8">
              <w:t xml:space="preserve">electrical leads are connected to a </w:t>
            </w:r>
            <w:r w:rsidR="00BE7EC8">
              <w:t xml:space="preserve">device that </w:t>
            </w:r>
            <w:r w:rsidR="00516001">
              <w:t>generates the electrical impulses</w:t>
            </w:r>
            <w:r w:rsidR="002104B8">
              <w:t xml:space="preserve">. This device is called a </w:t>
            </w:r>
            <w:r w:rsidR="00496B81">
              <w:t>pulse generator</w:t>
            </w:r>
            <w:r w:rsidR="002104B8">
              <w:t xml:space="preserve"> and is </w:t>
            </w:r>
            <w:r w:rsidR="00C96F73">
              <w:t>about the</w:t>
            </w:r>
            <w:r w:rsidR="00516001">
              <w:t xml:space="preserve"> </w:t>
            </w:r>
            <w:r w:rsidR="002104B8">
              <w:t xml:space="preserve">size of a </w:t>
            </w:r>
            <w:r w:rsidR="00C96F73">
              <w:t>matchbox.</w:t>
            </w:r>
            <w:r w:rsidR="00BB668C">
              <w:t xml:space="preserve"> It is </w:t>
            </w:r>
            <w:r w:rsidR="002104B8">
              <w:t>placed under the skin in the chest</w:t>
            </w:r>
            <w:r w:rsidR="00462223">
              <w:t xml:space="preserve">. </w:t>
            </w:r>
            <w:r w:rsidR="00AB729F">
              <w:t>DBS</w:t>
            </w:r>
            <w:r w:rsidR="00BB668C">
              <w:t xml:space="preserve"> is an established therapy for </w:t>
            </w:r>
            <w:r w:rsidR="007E432B">
              <w:t>other</w:t>
            </w:r>
            <w:r w:rsidR="00BB668C">
              <w:t xml:space="preserve"> conditions </w:t>
            </w:r>
            <w:r w:rsidR="007E432B">
              <w:t>involving the brain</w:t>
            </w:r>
            <w:r w:rsidR="00BB668C">
              <w:t xml:space="preserve"> such as Parkinson’s disease. </w:t>
            </w:r>
          </w:p>
          <w:p w14:paraId="1CF7F2D1" w14:textId="3E6F5812" w:rsidR="00877FCB" w:rsidRDefault="00BB668C" w:rsidP="00BB668C">
            <w:r>
              <w:t xml:space="preserve">MSAC noted that </w:t>
            </w:r>
            <w:r w:rsidR="002C30BF">
              <w:t xml:space="preserve">the </w:t>
            </w:r>
            <w:r w:rsidR="00463156">
              <w:t xml:space="preserve">number of </w:t>
            </w:r>
            <w:r w:rsidR="002C30BF">
              <w:t xml:space="preserve">people eligible for </w:t>
            </w:r>
            <w:r w:rsidR="003052A5">
              <w:t>DBS would be</w:t>
            </w:r>
            <w:r w:rsidR="002C30BF">
              <w:t xml:space="preserve"> </w:t>
            </w:r>
            <w:r>
              <w:t>small</w:t>
            </w:r>
            <w:r w:rsidR="00B44B59">
              <w:t xml:space="preserve"> because t</w:t>
            </w:r>
            <w:r w:rsidR="008134E0">
              <w:t>he</w:t>
            </w:r>
            <w:r w:rsidR="00CF0E1D">
              <w:t xml:space="preserve"> group</w:t>
            </w:r>
            <w:r w:rsidR="008134E0">
              <w:t xml:space="preserve"> </w:t>
            </w:r>
            <w:r w:rsidR="00CF0E1D">
              <w:t>is</w:t>
            </w:r>
            <w:r w:rsidR="0040616A">
              <w:t xml:space="preserve"> tightly defined</w:t>
            </w:r>
            <w:r w:rsidR="00B44B59">
              <w:t>. T</w:t>
            </w:r>
            <w:r w:rsidR="0040616A">
              <w:t xml:space="preserve">hey </w:t>
            </w:r>
            <w:r w:rsidR="00B44B59">
              <w:t xml:space="preserve">are defined as people </w:t>
            </w:r>
            <w:r w:rsidR="00351036">
              <w:t>who</w:t>
            </w:r>
            <w:r>
              <w:t xml:space="preserve"> have severe </w:t>
            </w:r>
            <w:r w:rsidR="00105709">
              <w:t xml:space="preserve">OCD </w:t>
            </w:r>
            <w:r w:rsidR="00196F76">
              <w:t xml:space="preserve">and have exhausted </w:t>
            </w:r>
            <w:r w:rsidR="009B6C89">
              <w:t>all</w:t>
            </w:r>
            <w:r w:rsidR="00196F76">
              <w:t xml:space="preserve"> </w:t>
            </w:r>
            <w:r>
              <w:t xml:space="preserve">treatment options. </w:t>
            </w:r>
            <w:r w:rsidR="00041807">
              <w:t>MSAC felt that t</w:t>
            </w:r>
            <w:r>
              <w:t xml:space="preserve">he </w:t>
            </w:r>
            <w:r w:rsidR="00105709">
              <w:t xml:space="preserve">studies </w:t>
            </w:r>
            <w:r w:rsidR="00E23FB9">
              <w:t xml:space="preserve">researching </w:t>
            </w:r>
            <w:r w:rsidR="003B2BE6">
              <w:t xml:space="preserve">DBS in </w:t>
            </w:r>
            <w:r w:rsidR="00E23FB9">
              <w:t>OCD</w:t>
            </w:r>
            <w:r>
              <w:t xml:space="preserve"> </w:t>
            </w:r>
            <w:r w:rsidR="00E23FB9">
              <w:t xml:space="preserve">were </w:t>
            </w:r>
            <w:r>
              <w:t>low</w:t>
            </w:r>
            <w:r w:rsidR="00E23FB9">
              <w:t xml:space="preserve"> </w:t>
            </w:r>
            <w:r w:rsidR="004A0327">
              <w:t xml:space="preserve">in </w:t>
            </w:r>
            <w:r w:rsidR="00E23FB9">
              <w:t>quality</w:t>
            </w:r>
            <w:r w:rsidR="004A0327">
              <w:t xml:space="preserve"> mainly</w:t>
            </w:r>
            <w:r>
              <w:t xml:space="preserve"> because </w:t>
            </w:r>
            <w:r w:rsidR="004A0327">
              <w:t>the number of people in each study was quite small</w:t>
            </w:r>
            <w:r w:rsidR="00CA084E">
              <w:t xml:space="preserve"> and long-term data </w:t>
            </w:r>
            <w:r w:rsidR="00432487">
              <w:t>was</w:t>
            </w:r>
            <w:r w:rsidR="00CA084E">
              <w:t xml:space="preserve"> </w:t>
            </w:r>
            <w:r w:rsidR="00A84D5C">
              <w:t>not available</w:t>
            </w:r>
            <w:r w:rsidR="004A0327">
              <w:t>. However</w:t>
            </w:r>
            <w:r w:rsidR="00CB19B3">
              <w:t>,</w:t>
            </w:r>
            <w:r w:rsidR="004A0327">
              <w:t xml:space="preserve"> MSAC acknowledged that this was</w:t>
            </w:r>
            <w:r>
              <w:t xml:space="preserve"> because </w:t>
            </w:r>
            <w:r w:rsidR="005753F3">
              <w:t>the</w:t>
            </w:r>
            <w:r w:rsidR="00310E61">
              <w:t xml:space="preserve"> number of people with treatment refractory OCD is small</w:t>
            </w:r>
            <w:r>
              <w:t xml:space="preserve">, and there </w:t>
            </w:r>
            <w:r w:rsidR="005753F3">
              <w:t>will likely be few</w:t>
            </w:r>
            <w:r>
              <w:t xml:space="preserve"> opportunit</w:t>
            </w:r>
            <w:r w:rsidR="005753F3">
              <w:t>ies</w:t>
            </w:r>
            <w:r>
              <w:t xml:space="preserve"> to collect more data in the future. </w:t>
            </w:r>
          </w:p>
          <w:p w14:paraId="29FC1292" w14:textId="07B7B86A" w:rsidR="00877FCB" w:rsidRDefault="00B406D0" w:rsidP="00BB668C">
            <w:r>
              <w:t xml:space="preserve">MSAC noted that the estimated </w:t>
            </w:r>
            <w:r w:rsidR="00BB668C">
              <w:t>ratio of cost in relation to effectiveness</w:t>
            </w:r>
            <w:r w:rsidR="00010492">
              <w:t xml:space="preserve"> </w:t>
            </w:r>
            <w:r w:rsidR="009E3BAE">
              <w:t>for</w:t>
            </w:r>
            <w:r w:rsidR="00010492">
              <w:t xml:space="preserve"> this treatment</w:t>
            </w:r>
            <w:r w:rsidR="00BB668C">
              <w:t xml:space="preserve"> is high</w:t>
            </w:r>
            <w:r w:rsidR="00010492">
              <w:t xml:space="preserve"> and</w:t>
            </w:r>
            <w:r w:rsidR="00BB668C">
              <w:t xml:space="preserve"> </w:t>
            </w:r>
            <w:r w:rsidR="00010492">
              <w:t xml:space="preserve">there was a </w:t>
            </w:r>
            <w:r w:rsidR="00BB668C">
              <w:t>lot of uncertainty</w:t>
            </w:r>
            <w:r w:rsidR="00010492">
              <w:t xml:space="preserve"> around this estimate</w:t>
            </w:r>
            <w:r w:rsidR="006221EA">
              <w:t xml:space="preserve">, making it </w:t>
            </w:r>
            <w:r w:rsidR="00BB668C">
              <w:t>difficult to calculate the value for money</w:t>
            </w:r>
            <w:r w:rsidR="006221EA">
              <w:t xml:space="preserve"> of this treatment</w:t>
            </w:r>
            <w:r w:rsidR="00B00C40">
              <w:t xml:space="preserve">. </w:t>
            </w:r>
            <w:r w:rsidR="00A02373">
              <w:t>Even if it were</w:t>
            </w:r>
            <w:r w:rsidR="00B00C40">
              <w:t xml:space="preserve"> re-calculated</w:t>
            </w:r>
            <w:r w:rsidR="006221EA">
              <w:t>, the ratio of cost to effectiveness was still likely to be high</w:t>
            </w:r>
            <w:r w:rsidR="00B00C40">
              <w:t>.</w:t>
            </w:r>
            <w:r w:rsidR="00BB668C">
              <w:t xml:space="preserve"> However, the small number of patients means that the </w:t>
            </w:r>
            <w:r w:rsidR="007525AB">
              <w:t xml:space="preserve">total </w:t>
            </w:r>
            <w:r w:rsidR="00BB668C">
              <w:t xml:space="preserve">budget impact is small. </w:t>
            </w:r>
          </w:p>
          <w:p w14:paraId="7014530A" w14:textId="3D0F5487" w:rsidR="00BB668C" w:rsidRDefault="00BB668C" w:rsidP="00BB668C">
            <w:r>
              <w:t>Therefore, MSAC agreed that DBS should be publicly funded for treatment-refractory OCD. However, MSAC</w:t>
            </w:r>
            <w:r w:rsidR="00AB2BD6">
              <w:t xml:space="preserve"> </w:t>
            </w:r>
            <w:r w:rsidR="00FA0AFA">
              <w:t>was</w:t>
            </w:r>
            <w:r w:rsidR="00500C86">
              <w:t xml:space="preserve"> not certain</w:t>
            </w:r>
            <w:r w:rsidR="00AB2BD6">
              <w:t xml:space="preserve"> whether</w:t>
            </w:r>
            <w:r>
              <w:t xml:space="preserve"> the MBS was the best system to fund it</w:t>
            </w:r>
            <w:r w:rsidR="00877FCB">
              <w:t xml:space="preserve"> particularly because patients undergoing DBS for treatment</w:t>
            </w:r>
            <w:r w:rsidR="0086537C">
              <w:t xml:space="preserve">-refractory OCD were likely to need a lot of support services from a </w:t>
            </w:r>
            <w:r w:rsidR="00A91F62">
              <w:t>variety</w:t>
            </w:r>
            <w:r w:rsidR="0086537C">
              <w:t xml:space="preserve"> of different healthcare professionals</w:t>
            </w:r>
            <w:r w:rsidR="006D32FB">
              <w:t xml:space="preserve"> working together</w:t>
            </w:r>
            <w:r w:rsidR="001A4BB6">
              <w:t>.</w:t>
            </w:r>
            <w:r w:rsidR="0086537C">
              <w:t xml:space="preserve"> </w:t>
            </w:r>
            <w:r w:rsidR="001A4BB6">
              <w:t>T</w:t>
            </w:r>
            <w:r w:rsidR="00A91F62">
              <w:t>herefore</w:t>
            </w:r>
            <w:r w:rsidR="00D07F4E">
              <w:t>,</w:t>
            </w:r>
            <w:r w:rsidR="00A91F62">
              <w:t xml:space="preserve"> </w:t>
            </w:r>
            <w:r w:rsidR="001A4BB6">
              <w:t xml:space="preserve">MSAC proposed that </w:t>
            </w:r>
            <w:r w:rsidR="00416D84">
              <w:t>providing</w:t>
            </w:r>
            <w:r w:rsidR="001A4BB6">
              <w:t xml:space="preserve"> </w:t>
            </w:r>
            <w:r w:rsidR="00CC546B">
              <w:t xml:space="preserve">DBS for treatment-refractory </w:t>
            </w:r>
            <w:r w:rsidR="001A4BB6">
              <w:t xml:space="preserve">OCD in </w:t>
            </w:r>
            <w:r w:rsidR="00A91F62">
              <w:t>a</w:t>
            </w:r>
            <w:r w:rsidR="00DD465C">
              <w:t xml:space="preserve"> </w:t>
            </w:r>
            <w:r w:rsidR="007B039C">
              <w:t xml:space="preserve">setting </w:t>
            </w:r>
            <w:r w:rsidR="00DD465C">
              <w:t>alternative</w:t>
            </w:r>
            <w:r w:rsidR="00A91F62">
              <w:t xml:space="preserve"> </w:t>
            </w:r>
            <w:r w:rsidR="007B039C">
              <w:t>to the MBS (</w:t>
            </w:r>
            <w:r w:rsidR="00D07F4E">
              <w:t>e.g.,</w:t>
            </w:r>
            <w:r w:rsidR="007B039C">
              <w:t xml:space="preserve"> </w:t>
            </w:r>
            <w:r w:rsidR="00DF0CAD">
              <w:t>as an extension of a</w:t>
            </w:r>
            <w:r w:rsidR="00A91F62">
              <w:t xml:space="preserve"> public hospital </w:t>
            </w:r>
            <w:r w:rsidR="00DF0CAD">
              <w:t>program</w:t>
            </w:r>
            <w:r w:rsidR="00A91F62">
              <w:t xml:space="preserve"> </w:t>
            </w:r>
            <w:r w:rsidR="007B4CBC">
              <w:t>instead</w:t>
            </w:r>
            <w:r w:rsidR="00D35E21">
              <w:t xml:space="preserve">) </w:t>
            </w:r>
            <w:r w:rsidR="00A91F62">
              <w:t>may be more appropriate for this treatment.</w:t>
            </w:r>
            <w:r w:rsidR="001858D8">
              <w:t xml:space="preserve"> </w:t>
            </w:r>
            <w:r w:rsidR="0092271F">
              <w:t xml:space="preserve">MSAC recommended that there should be further consultation to determine if </w:t>
            </w:r>
            <w:r w:rsidR="001858D8">
              <w:t>another funding program should be found</w:t>
            </w:r>
            <w:r>
              <w:t>.</w:t>
            </w:r>
          </w:p>
          <w:p w14:paraId="7DDB8AC1" w14:textId="77777777" w:rsidR="00035557" w:rsidRPr="00AF46D8" w:rsidRDefault="00035557" w:rsidP="00035557">
            <w:pPr>
              <w:pStyle w:val="Heading3"/>
              <w:numPr>
                <w:ilvl w:val="0"/>
                <w:numId w:val="0"/>
              </w:numPr>
            </w:pPr>
            <w:r w:rsidRPr="00AF46D8">
              <w:t xml:space="preserve">MSAC’s advice to the </w:t>
            </w:r>
            <w:proofErr w:type="gramStart"/>
            <w:r w:rsidRPr="00AF46D8">
              <w:t>Commonwealth Minister</w:t>
            </w:r>
            <w:proofErr w:type="gramEnd"/>
            <w:r w:rsidRPr="00AF46D8">
              <w:t xml:space="preserve"> for Health</w:t>
            </w:r>
            <w:r>
              <w:t xml:space="preserve"> and Aged Care</w:t>
            </w:r>
          </w:p>
          <w:p w14:paraId="6A671A87" w14:textId="72DE6C23" w:rsidR="00035557" w:rsidRPr="00AF46D8" w:rsidRDefault="00CC0472" w:rsidP="00050AB4">
            <w:pPr>
              <w:spacing w:after="120"/>
            </w:pPr>
            <w:r w:rsidRPr="00AF46D8">
              <w:t>MSAC supported</w:t>
            </w:r>
            <w:r>
              <w:t xml:space="preserve"> the public funding of DBS for treatment-refractory OCD, because it is a small, tightly defined group of patients with </w:t>
            </w:r>
            <w:r w:rsidR="008262DC">
              <w:t>severe disease and</w:t>
            </w:r>
            <w:r>
              <w:t xml:space="preserve"> no other treatment options. However, MSAC considered that another funding mechanism may be more appropriate than the MBS.</w:t>
            </w:r>
          </w:p>
        </w:tc>
      </w:tr>
    </w:tbl>
    <w:p w14:paraId="7C46B003" w14:textId="55F85C48" w:rsidR="00035557" w:rsidRDefault="00035557" w:rsidP="00D07F4E">
      <w:pPr>
        <w:pStyle w:val="Heading2"/>
        <w:numPr>
          <w:ilvl w:val="0"/>
          <w:numId w:val="0"/>
        </w:numPr>
      </w:pPr>
      <w:r>
        <w:lastRenderedPageBreak/>
        <w:t>3.</w:t>
      </w:r>
      <w:r>
        <w:tab/>
        <w:t>Summary of consideration and rationale for MSAC’s advice</w:t>
      </w:r>
    </w:p>
    <w:p w14:paraId="4D81A763" w14:textId="3116C228" w:rsidR="00FA176B" w:rsidRDefault="00FA176B" w:rsidP="00FA176B">
      <w:r>
        <w:t>MSAC noted that this is an application from Dr Philip Mosley requesting Medicare Benefits Schedule (MBS) listing of DBS for treatment-refractory OCD.</w:t>
      </w:r>
    </w:p>
    <w:p w14:paraId="3F05E315" w14:textId="696032CB" w:rsidR="00FA176B" w:rsidRDefault="00FA176B" w:rsidP="00FA176B">
      <w:r>
        <w:t xml:space="preserve">MSAC noted that DBS is an established therapy for neurological conditions such as Parkinson’s disease. The applicant </w:t>
      </w:r>
      <w:r w:rsidR="008C2068">
        <w:t>proposed</w:t>
      </w:r>
      <w:r>
        <w:t xml:space="preserve"> an amendment to the patient population under existing MBS items for DBS (items 40851, 40852, 40854, 40856, 40858, 40860, 40862), to include </w:t>
      </w:r>
      <w:r w:rsidR="0069772A">
        <w:t xml:space="preserve">the treatment of </w:t>
      </w:r>
      <w:r>
        <w:t xml:space="preserve">people with </w:t>
      </w:r>
      <w:r w:rsidR="00C930E6">
        <w:t>s</w:t>
      </w:r>
      <w:r w:rsidR="00C930E6" w:rsidRPr="00C930E6">
        <w:t>evere obsessive-compulsive disorder where the patient has a Yale-</w:t>
      </w:r>
      <w:r w:rsidR="00C930E6" w:rsidRPr="00C930E6">
        <w:lastRenderedPageBreak/>
        <w:t>Brown Obsessive Compulsive Scale Score of greater than 24/40 despite three trials of selective serotonin reuptake inhibitors, one trial of clomipramine and at least one attempted course of psychotherapy incorporating exposure and response prevention.</w:t>
      </w:r>
      <w:r>
        <w:t xml:space="preserve"> However, </w:t>
      </w:r>
      <w:r w:rsidR="00A97643">
        <w:t xml:space="preserve">MSAC considered that </w:t>
      </w:r>
      <w:r w:rsidR="00E44E86">
        <w:t xml:space="preserve">utilisation should be carefully monitored and hence </w:t>
      </w:r>
      <w:r w:rsidR="001D7791">
        <w:t xml:space="preserve">it was not advisable to </w:t>
      </w:r>
      <w:r w:rsidR="0017395C">
        <w:t xml:space="preserve">use </w:t>
      </w:r>
      <w:r w:rsidR="001D7791">
        <w:t xml:space="preserve">existing MBS item numbers for </w:t>
      </w:r>
      <w:r w:rsidR="00A97643">
        <w:t xml:space="preserve">the treatment of </w:t>
      </w:r>
      <w:r w:rsidR="00ED5AFC">
        <w:t xml:space="preserve">severe treatment refractory </w:t>
      </w:r>
      <w:r>
        <w:t>OCD</w:t>
      </w:r>
      <w:r w:rsidR="00ED5AFC">
        <w:t xml:space="preserve"> by DBS</w:t>
      </w:r>
      <w:r w:rsidR="001D7791">
        <w:t>.</w:t>
      </w:r>
    </w:p>
    <w:p w14:paraId="5E3539D7" w14:textId="6B0EE789" w:rsidR="00FA176B" w:rsidRDefault="00FA176B" w:rsidP="00FA176B">
      <w:r>
        <w:t xml:space="preserve">MSAC noted that there was public consultation input from one professional organisation, one medical device manufacturer and four state and territory offices of the chief psychiatrist. The consultation feedback received was all supportive of public funding for DBS for treatment-refractory OCD.  </w:t>
      </w:r>
      <w:r w:rsidR="00671ABD">
        <w:t xml:space="preserve">MSAC noted that among the benefits </w:t>
      </w:r>
      <w:r w:rsidR="006055CF">
        <w:t xml:space="preserve">of supporting the funding of DBS for OCD cited in the consultation feedback was that </w:t>
      </w:r>
      <w:r w:rsidR="00AE27D7">
        <w:t>it provided a</w:t>
      </w:r>
      <w:r w:rsidR="002657B8">
        <w:t>n</w:t>
      </w:r>
      <w:r w:rsidR="00AE27D7">
        <w:t xml:space="preserve"> option for those who had failed standard of care</w:t>
      </w:r>
      <w:r w:rsidR="009809F4">
        <w:t xml:space="preserve"> and </w:t>
      </w:r>
      <w:r w:rsidR="00AE27D7">
        <w:t xml:space="preserve">it could incentivise the development of additional centres of excellence where this procedure </w:t>
      </w:r>
      <w:r w:rsidR="00FF5CEB">
        <w:t>could be</w:t>
      </w:r>
      <w:r w:rsidR="00AE27D7">
        <w:t xml:space="preserve"> performed</w:t>
      </w:r>
      <w:r w:rsidR="00B93A94">
        <w:t>.</w:t>
      </w:r>
      <w:r w:rsidR="00AE27D7">
        <w:t xml:space="preserve"> </w:t>
      </w:r>
      <w:r w:rsidR="00B16AB3">
        <w:t xml:space="preserve">MSAC noted that </w:t>
      </w:r>
      <w:r w:rsidR="00C11D75">
        <w:t xml:space="preserve">a small group of </w:t>
      </w:r>
      <w:r w:rsidR="00EC6782">
        <w:t xml:space="preserve">patients </w:t>
      </w:r>
      <w:r w:rsidR="00C11D75">
        <w:t xml:space="preserve">had </w:t>
      </w:r>
      <w:r w:rsidR="00EC6782">
        <w:t xml:space="preserve">severe </w:t>
      </w:r>
      <w:r w:rsidR="00355129">
        <w:t>OCD</w:t>
      </w:r>
      <w:r w:rsidR="00EC6782">
        <w:t xml:space="preserve"> </w:t>
      </w:r>
      <w:r w:rsidR="00C11D75">
        <w:t xml:space="preserve">and were </w:t>
      </w:r>
      <w:r w:rsidR="00896A2F">
        <w:t xml:space="preserve">so </w:t>
      </w:r>
      <w:r w:rsidR="00EC6782">
        <w:t xml:space="preserve">debilitated </w:t>
      </w:r>
      <w:r w:rsidR="00896A2F">
        <w:t xml:space="preserve">that they could not participate in daily life. </w:t>
      </w:r>
      <w:r w:rsidR="00176902">
        <w:t xml:space="preserve">These patients </w:t>
      </w:r>
      <w:r w:rsidR="007C0D44">
        <w:t xml:space="preserve">had failed </w:t>
      </w:r>
      <w:r w:rsidR="00176902">
        <w:t xml:space="preserve">standard </w:t>
      </w:r>
      <w:r w:rsidR="00376F16">
        <w:t>interventions</w:t>
      </w:r>
      <w:r w:rsidR="00176902">
        <w:t xml:space="preserve"> and thus DBS </w:t>
      </w:r>
      <w:r w:rsidR="00AE27D7">
        <w:t xml:space="preserve">would </w:t>
      </w:r>
      <w:r w:rsidR="007C0D44">
        <w:t xml:space="preserve">provide a treatment option </w:t>
      </w:r>
      <w:r w:rsidR="00376F16">
        <w:t>which could</w:t>
      </w:r>
      <w:r w:rsidR="00176902">
        <w:t xml:space="preserve"> </w:t>
      </w:r>
      <w:r w:rsidR="00C32491">
        <w:t xml:space="preserve">improve the quality of life </w:t>
      </w:r>
      <w:r w:rsidR="007C0D44">
        <w:t>for the patients</w:t>
      </w:r>
      <w:r w:rsidR="00C32491">
        <w:t xml:space="preserve"> and their families</w:t>
      </w:r>
      <w:r w:rsidR="009809F4">
        <w:t xml:space="preserve">. MSAC </w:t>
      </w:r>
      <w:r w:rsidR="003D6561">
        <w:t xml:space="preserve">however </w:t>
      </w:r>
      <w:r w:rsidR="009809F4">
        <w:t>noted disadvantages of supporting funding of DBS for OCD</w:t>
      </w:r>
      <w:r w:rsidR="003D6561">
        <w:t xml:space="preserve">. </w:t>
      </w:r>
      <w:r w:rsidR="00D8047F">
        <w:t>The consultation</w:t>
      </w:r>
      <w:r w:rsidR="008516E9">
        <w:t xml:space="preserve"> feedback </w:t>
      </w:r>
      <w:r w:rsidR="003D6561">
        <w:t xml:space="preserve">cited </w:t>
      </w:r>
      <w:r w:rsidR="004B4850">
        <w:t>risks in terms of adverse events, lengthy post</w:t>
      </w:r>
      <w:r w:rsidR="002508CC">
        <w:t>-</w:t>
      </w:r>
      <w:r w:rsidR="004B4850">
        <w:t xml:space="preserve">operative programming of the devices was required and there was a limited evidence base. </w:t>
      </w:r>
    </w:p>
    <w:p w14:paraId="46832487" w14:textId="4ED0971B" w:rsidR="00D42643" w:rsidRDefault="00FA176B" w:rsidP="00D42643">
      <w:r>
        <w:t xml:space="preserve">MSAC noted that the clinical claim of superior effectiveness and inferior safety was supported by very low-certainty evidence </w:t>
      </w:r>
      <w:r w:rsidR="009515D2">
        <w:t xml:space="preserve">due to </w:t>
      </w:r>
      <w:r>
        <w:t xml:space="preserve">very small sample sizes, lack of long-term comparative data, too few events and long recruitment periods. </w:t>
      </w:r>
      <w:r w:rsidR="00D42643">
        <w:t xml:space="preserve">However, MSAC noted that due to the invasive nature of the DBS treatment and the limited prospects of future high-quality RCTs or comparative non-RCTs for a highly invasive surgical therapy (such as DBS), the </w:t>
      </w:r>
      <w:r w:rsidR="00CF14DE">
        <w:t>current</w:t>
      </w:r>
      <w:r w:rsidR="00D42643">
        <w:t xml:space="preserve"> lo</w:t>
      </w:r>
      <w:r w:rsidR="00031E5E">
        <w:t>w</w:t>
      </w:r>
      <w:r w:rsidR="00D42643">
        <w:t xml:space="preserve"> certainty evidence may need to be viewed as the highest level of evidence </w:t>
      </w:r>
      <w:r w:rsidR="00B74DAC">
        <w:t>likely to be available or forthcoming.</w:t>
      </w:r>
    </w:p>
    <w:p w14:paraId="6AD38411" w14:textId="5BA3D991" w:rsidR="00FA176B" w:rsidRDefault="00FA176B" w:rsidP="00FA176B">
      <w:r>
        <w:t xml:space="preserve">MSAC noted that no comparative safety data were available; all studies reported </w:t>
      </w:r>
      <w:r w:rsidR="000E5A2E">
        <w:t xml:space="preserve">only </w:t>
      </w:r>
      <w:r>
        <w:t>adverse events related to DBS treatment</w:t>
      </w:r>
      <w:r w:rsidR="00AA6D99">
        <w:t>.</w:t>
      </w:r>
      <w:r>
        <w:t xml:space="preserve"> Serious and non-serious adverse events associated with the DBS surgery were reported in nine studies (total </w:t>
      </w:r>
      <w:r w:rsidRPr="00604A0F">
        <w:rPr>
          <w:i/>
          <w:iCs/>
        </w:rPr>
        <w:t>n</w:t>
      </w:r>
      <w:r>
        <w:t xml:space="preserve"> = 157), device-related adverse events were reported in seven studies (total </w:t>
      </w:r>
      <w:r w:rsidRPr="00604A0F">
        <w:rPr>
          <w:i/>
          <w:iCs/>
        </w:rPr>
        <w:t>n</w:t>
      </w:r>
      <w:r>
        <w:t xml:space="preserve"> = 151) and stimulation-related adverse events were reported in 12 studies (</w:t>
      </w:r>
      <w:r w:rsidRPr="00604A0F">
        <w:rPr>
          <w:i/>
          <w:iCs/>
        </w:rPr>
        <w:t>n</w:t>
      </w:r>
      <w:r>
        <w:t xml:space="preserve"> = 214).</w:t>
      </w:r>
    </w:p>
    <w:p w14:paraId="4F7E7849" w14:textId="3D041054" w:rsidR="00FA176B" w:rsidRDefault="00FA176B" w:rsidP="00FA176B">
      <w:r>
        <w:t>MSAC noted that the 15 studies</w:t>
      </w:r>
      <w:r w:rsidR="00D21754">
        <w:t xml:space="preserve"> presented</w:t>
      </w:r>
      <w:r>
        <w:t xml:space="preserve"> reported changes in symptoms of OCD as assessed by the Yale-Brown Obsessive-Compulsive Scale (Y-BOCS). Overall, there appeared some improvement in Y-BOCS scores in patients who received DBS compared to patients who received sham or no treatment. An improvement in Y-BOCs scores was also observed over baseline scores when DBS was administered long term. </w:t>
      </w:r>
      <w:r w:rsidR="000A4800">
        <w:t xml:space="preserve">The evidence also suggested a </w:t>
      </w:r>
      <w:r w:rsidR="00FB7008">
        <w:t xml:space="preserve">possible reduction in depression and </w:t>
      </w:r>
      <w:r w:rsidR="0094747A">
        <w:t>anxiety,</w:t>
      </w:r>
      <w:r w:rsidR="00FB7008">
        <w:t xml:space="preserve"> but this did not translate into a change in </w:t>
      </w:r>
      <w:r w:rsidR="003448D7">
        <w:t xml:space="preserve">the rates of </w:t>
      </w:r>
      <w:r w:rsidR="00FB7008">
        <w:t>suicide</w:t>
      </w:r>
      <w:r w:rsidR="00C23A41">
        <w:t xml:space="preserve"> attempts or deaths</w:t>
      </w:r>
      <w:r w:rsidR="00436FE6">
        <w:t>,</w:t>
      </w:r>
      <w:r w:rsidR="00290970" w:rsidRPr="00FF16D9">
        <w:t xml:space="preserve"> suicidal thoughts and/or ideation</w:t>
      </w:r>
      <w:r w:rsidR="000E034C">
        <w:t>.</w:t>
      </w:r>
      <w:r w:rsidR="004871DF">
        <w:t xml:space="preserve"> However, there were very few </w:t>
      </w:r>
      <w:r w:rsidR="006D6763">
        <w:t xml:space="preserve">suicide events </w:t>
      </w:r>
      <w:r w:rsidR="00E32397">
        <w:t xml:space="preserve">observed in the studies </w:t>
      </w:r>
      <w:r w:rsidR="008D5D89">
        <w:t xml:space="preserve">and therefore it was difficult to </w:t>
      </w:r>
      <w:r w:rsidR="00E32397">
        <w:t xml:space="preserve">draw </w:t>
      </w:r>
      <w:r w:rsidR="00376042">
        <w:t xml:space="preserve">a robust conclusion regarding </w:t>
      </w:r>
      <w:r w:rsidR="00AF33C3">
        <w:t xml:space="preserve">the effects of DBS on </w:t>
      </w:r>
      <w:r w:rsidR="00B00825">
        <w:t>suicide</w:t>
      </w:r>
      <w:r w:rsidR="00AF33C3">
        <w:t xml:space="preserve"> events</w:t>
      </w:r>
      <w:r w:rsidR="00B00825">
        <w:t>.</w:t>
      </w:r>
    </w:p>
    <w:p w14:paraId="41D968F4" w14:textId="77C69FF9" w:rsidR="00FA176B" w:rsidRDefault="00FA176B" w:rsidP="00FA176B">
      <w:r>
        <w:t xml:space="preserve">In the randomised-control trials (RCTs), active DBS stimulation was not more effective in achieving a ≥35% reduction in Y-BOCS scores </w:t>
      </w:r>
      <w:r w:rsidR="005F6847">
        <w:t>(the minimal</w:t>
      </w:r>
      <w:r w:rsidR="00B86ADF">
        <w:t xml:space="preserve"> clinical</w:t>
      </w:r>
      <w:r w:rsidR="00EE66A2">
        <w:t>ly important difference</w:t>
      </w:r>
      <w:r w:rsidR="00DF1D55">
        <w:t>, MCID,</w:t>
      </w:r>
      <w:r w:rsidR="00EE66A2">
        <w:t xml:space="preserve"> </w:t>
      </w:r>
      <w:r w:rsidR="003B72D6">
        <w:t>across</w:t>
      </w:r>
      <w:r w:rsidR="00EE66A2">
        <w:t xml:space="preserve"> the studies)</w:t>
      </w:r>
      <w:r w:rsidR="005F6847">
        <w:t xml:space="preserve"> </w:t>
      </w:r>
      <w:r>
        <w:t xml:space="preserve">compared to sham stimulation (four RCTs; very low-certainty evidence). However, this finding may be limited by the short </w:t>
      </w:r>
      <w:r w:rsidR="00556728">
        <w:t>RCT phases of the studies</w:t>
      </w:r>
      <w:r>
        <w:t xml:space="preserve"> (ranging from 2 weeks to 3 months). Active DBS stimulation, however, showed a </w:t>
      </w:r>
      <w:r w:rsidR="007C25B5">
        <w:t xml:space="preserve">statistically significant </w:t>
      </w:r>
      <w:r>
        <w:t xml:space="preserve">difference in mean change in Y-BOCS scores at the last follow-up compared to sham stimulation (six RCTs; very low-certainty evidence). </w:t>
      </w:r>
    </w:p>
    <w:p w14:paraId="4C9C29B6" w14:textId="21C2E43B" w:rsidR="00FA176B" w:rsidRDefault="00FA176B" w:rsidP="00FA176B">
      <w:r>
        <w:t>Data from studies with long-term DBS</w:t>
      </w:r>
      <w:r w:rsidR="00916FED">
        <w:t xml:space="preserve"> </w:t>
      </w:r>
      <w:r>
        <w:t xml:space="preserve">all indicated that Y-BOCS scores decreased after DBS stimulation compared to baseline. However, the </w:t>
      </w:r>
      <w:r w:rsidR="002F6591">
        <w:t xml:space="preserve">response rate </w:t>
      </w:r>
      <w:r>
        <w:t>(</w:t>
      </w:r>
      <w:r w:rsidR="0096774E">
        <w:t xml:space="preserve">where response is defined as </w:t>
      </w:r>
      <w:r w:rsidR="00DF1D55">
        <w:t>the MCID of</w:t>
      </w:r>
      <w:r w:rsidR="0096774E">
        <w:t xml:space="preserve"> </w:t>
      </w:r>
      <w:r>
        <w:t xml:space="preserve">≥35% Y-BOCS reduction) varied across studies, ranging from 7% to 78%. </w:t>
      </w:r>
    </w:p>
    <w:p w14:paraId="7853993D" w14:textId="458F4EAB" w:rsidR="00FA176B" w:rsidRDefault="00FA176B" w:rsidP="00FA176B">
      <w:r>
        <w:lastRenderedPageBreak/>
        <w:t>MSAC noted that this procedure is limited to facilities with specialist neurosurgeons and neurologists experienced in DBS. Currently there are only three facilities in Australia where DBS procedures for psychiatric conditions are carried out</w:t>
      </w:r>
      <w:r w:rsidR="00394B19">
        <w:t>, located in Victoria and Queensland</w:t>
      </w:r>
      <w:r>
        <w:t xml:space="preserve">. Currently, psychosurgery is prohibited in NSW under the </w:t>
      </w:r>
      <w:r w:rsidRPr="00C77BB2">
        <w:rPr>
          <w:i/>
          <w:iCs/>
        </w:rPr>
        <w:t>NSW Mental Health Act 2007</w:t>
      </w:r>
      <w:r>
        <w:t xml:space="preserve">. Consultation with the states/territories clarified that in the ACT, under the </w:t>
      </w:r>
      <w:r w:rsidRPr="00C77BB2">
        <w:rPr>
          <w:i/>
          <w:iCs/>
        </w:rPr>
        <w:t>Mental Health Act 2015</w:t>
      </w:r>
      <w:r>
        <w:t xml:space="preserve">, the performance of psychiatric surgery is permitted if certain approvals and conditions are met, although an application for psychiatric surgery has never been made in the ACT. In SA, the </w:t>
      </w:r>
      <w:r w:rsidRPr="00645127">
        <w:rPr>
          <w:i/>
          <w:iCs/>
        </w:rPr>
        <w:t>Mental Health Act 2009</w:t>
      </w:r>
      <w:r>
        <w:t xml:space="preserve"> does not prohibit DBS, but there are </w:t>
      </w:r>
      <w:proofErr w:type="gramStart"/>
      <w:r>
        <w:t>a number of</w:t>
      </w:r>
      <w:proofErr w:type="gramEnd"/>
      <w:r>
        <w:t xml:space="preserve"> safeguarding requirements that must be fulfilled prior to a patient accessing this treatment. MSAC </w:t>
      </w:r>
      <w:r w:rsidR="0025428E">
        <w:t xml:space="preserve">considered </w:t>
      </w:r>
      <w:r>
        <w:t>that it is likely that only a small number of DBS centres will ever specialise in OCD treatment</w:t>
      </w:r>
      <w:r w:rsidR="00CE7D98">
        <w:t xml:space="preserve"> due to the multidisciplinary expertise required</w:t>
      </w:r>
      <w:r w:rsidR="000A25B9">
        <w:t>.</w:t>
      </w:r>
    </w:p>
    <w:p w14:paraId="3A2AA848" w14:textId="4B594C2D" w:rsidR="00FA176B" w:rsidRDefault="00FA176B" w:rsidP="00FA176B">
      <w:r>
        <w:t>MSAC noted that the economic evaluation was developed using a Markov model with four health states: DBS with a rechargea</w:t>
      </w:r>
      <w:r w:rsidRPr="00145EBA">
        <w:t>ble implantable pulse generator, DBS with a non-rechargeable implantable pulse generator,</w:t>
      </w:r>
      <w:r>
        <w:t xml:space="preserve"> </w:t>
      </w:r>
      <w:proofErr w:type="gramStart"/>
      <w:r>
        <w:t>survival</w:t>
      </w:r>
      <w:proofErr w:type="gramEnd"/>
      <w:r>
        <w:t xml:space="preserve"> and background mortality. The primary outcome calculated in the model was cost per </w:t>
      </w:r>
      <w:r w:rsidR="004B0D4D">
        <w:t>Quality Adjusted Life Years (</w:t>
      </w:r>
      <w:r>
        <w:t>QALY</w:t>
      </w:r>
      <w:r w:rsidR="004B0D4D">
        <w:t>)</w:t>
      </w:r>
      <w:r>
        <w:t xml:space="preserve"> which, based on clinical advice and time to realise all health outcomes, was estimated over a 10-year time horizon, and sourced from the main economic study (Moon et al. 2017)</w:t>
      </w:r>
      <w:r w:rsidR="00A4256C">
        <w:rPr>
          <w:rStyle w:val="FootnoteReference"/>
        </w:rPr>
        <w:footnoteReference w:id="2"/>
      </w:r>
      <w:r w:rsidR="005C70FB">
        <w:t>.</w:t>
      </w:r>
      <w:r>
        <w:t xml:space="preserve"> The costs of standard of care (pharmacotherapy and psychotherapy) were not considered in the model as these costs are realised in both the intervention and comparator arms</w:t>
      </w:r>
      <w:r w:rsidR="00A16334">
        <w:t xml:space="preserve"> </w:t>
      </w:r>
      <w:r>
        <w:t xml:space="preserve">and are therefore offset. Instead, the standard of care arm only considered QALY gains. </w:t>
      </w:r>
    </w:p>
    <w:p w14:paraId="11869405" w14:textId="35D572D3" w:rsidR="00FA176B" w:rsidRDefault="00FA176B" w:rsidP="00FA176B">
      <w:r>
        <w:t>MSAC noted that a</w:t>
      </w:r>
      <w:r w:rsidRPr="00AC75F5">
        <w:t>n additional analysis was conducted following expert clinical advice regarding whether MBS items 40858 and 40860 should be applied once or twice during initial DBS surgery</w:t>
      </w:r>
      <w:r w:rsidR="0014652A">
        <w:t>, given that these items are for unilateral procedures</w:t>
      </w:r>
      <w:r w:rsidR="00D8047F">
        <w:t>,</w:t>
      </w:r>
      <w:r w:rsidR="0014652A">
        <w:t xml:space="preserve"> but the DBS </w:t>
      </w:r>
      <w:r w:rsidR="00B7251A">
        <w:t xml:space="preserve">procedure is typically </w:t>
      </w:r>
      <w:r w:rsidR="00C1001C">
        <w:t>bilateral</w:t>
      </w:r>
      <w:r w:rsidRPr="00AC75F5">
        <w:t xml:space="preserve">. The applicant confirmed that billing each of these items twice is more consistent with clinical practice. MBS item 40858 is the unilateral placement, removal or replacement of the extension lead, and MBS item 40860 is the unilateral DBS target localisation for the insertion of a single neurostimulation wire. </w:t>
      </w:r>
      <w:r>
        <w:t>MSAC</w:t>
      </w:r>
      <w:r w:rsidRPr="00E2353C">
        <w:t xml:space="preserve"> noted the sensitivity analyses conducted by the assessment group, which corrected the cost of surgical items required for MBS items 40858 and 40860 (using bilateral costings), generated a</w:t>
      </w:r>
      <w:r w:rsidR="0085702C">
        <w:t>n</w:t>
      </w:r>
      <w:r>
        <w:t xml:space="preserve"> incremental cost-effectiveness ratio</w:t>
      </w:r>
      <w:r w:rsidRPr="00E2353C">
        <w:t xml:space="preserve"> </w:t>
      </w:r>
      <w:r>
        <w:t>(</w:t>
      </w:r>
      <w:r w:rsidRPr="00E2353C">
        <w:t>ICER</w:t>
      </w:r>
      <w:r>
        <w:t>)</w:t>
      </w:r>
      <w:r w:rsidRPr="00E2353C">
        <w:t xml:space="preserve"> of $912,489</w:t>
      </w:r>
      <w:r>
        <w:t xml:space="preserve"> per quality-adjusted life year (</w:t>
      </w:r>
      <w:r w:rsidRPr="00E2353C">
        <w:t>QALY</w:t>
      </w:r>
      <w:r>
        <w:t>)</w:t>
      </w:r>
      <w:r w:rsidRPr="00E2353C">
        <w:rPr>
          <w:rFonts w:ascii="Arial" w:hAnsi="Arial" w:cs="Arial"/>
        </w:rPr>
        <w:t>​</w:t>
      </w:r>
      <w:r>
        <w:rPr>
          <w:rFonts w:ascii="Arial" w:hAnsi="Arial" w:cs="Arial"/>
        </w:rPr>
        <w:t>.</w:t>
      </w:r>
      <w:r w:rsidRPr="00AB4177">
        <w:t xml:space="preserve"> </w:t>
      </w:r>
      <w:r>
        <w:t>MSAC</w:t>
      </w:r>
      <w:r w:rsidRPr="00AB4177">
        <w:t xml:space="preserve"> noted that the utility values were a key driver of the model, and that using a 0.21 utility improvement (rather than 0.16 used in the base case) resulted in an ICER of $483,716/QALY.</w:t>
      </w:r>
      <w:r>
        <w:t xml:space="preserve"> MSAC</w:t>
      </w:r>
      <w:r w:rsidRPr="00557A51">
        <w:t xml:space="preserve"> noted that the Moon et al. (2017) study had used a lower incremental cost of US</w:t>
      </w:r>
      <w:r>
        <w:t>$</w:t>
      </w:r>
      <w:r w:rsidRPr="00557A51">
        <w:t>31,000 and a higher incremental QALY of 0.9, which produced an ICER of US</w:t>
      </w:r>
      <w:r>
        <w:t>$</w:t>
      </w:r>
      <w:r w:rsidRPr="00557A51">
        <w:t>34,462/QALY (~A</w:t>
      </w:r>
      <w:r>
        <w:t>$</w:t>
      </w:r>
      <w:r w:rsidRPr="00557A51">
        <w:t>54,000) in the UK</w:t>
      </w:r>
      <w:r>
        <w:t>.</w:t>
      </w:r>
    </w:p>
    <w:p w14:paraId="72E950B1" w14:textId="0E361B69" w:rsidR="00FA176B" w:rsidRPr="00AB4177" w:rsidRDefault="00FA176B" w:rsidP="00FA176B">
      <w:r w:rsidRPr="00FF16D9">
        <w:t>MSAC noted</w:t>
      </w:r>
      <w:r>
        <w:t xml:space="preserve"> that ESC considered </w:t>
      </w:r>
      <w:r w:rsidRPr="00FF16D9">
        <w:t xml:space="preserve">that the different ICERs were probably driven by the difference in mortality applied. </w:t>
      </w:r>
      <w:r>
        <w:t>T</w:t>
      </w:r>
      <w:r w:rsidRPr="00FF16D9">
        <w:t>he model did not capture any differences in health outcomes or costs when an individual in the model transitions from severe to not severe OCD</w:t>
      </w:r>
      <w:r>
        <w:t>;</w:t>
      </w:r>
      <w:r w:rsidRPr="00FF16D9">
        <w:t xml:space="preserve"> however</w:t>
      </w:r>
      <w:r>
        <w:t>,</w:t>
      </w:r>
      <w:r w:rsidRPr="00FF16D9">
        <w:t xml:space="preserve"> it </w:t>
      </w:r>
      <w:r>
        <w:t xml:space="preserve">is </w:t>
      </w:r>
      <w:r w:rsidRPr="00FF16D9">
        <w:t xml:space="preserve">plausible that this would improve the utility of the intervention for responders. ESC noted the assessment found no comparative evidence of difference in suicide or suicidal thoughts and/or ideation due to DBS treatment. However, there may be evidence for utility changes due to the reduced risk of </w:t>
      </w:r>
      <w:r w:rsidR="00B045A9" w:rsidRPr="00FF16D9">
        <w:t xml:space="preserve">suicide or suicidal thoughts and/or ideation </w:t>
      </w:r>
      <w:r w:rsidRPr="00FF16D9">
        <w:t xml:space="preserve">based on OCD severity in the literature for the general population versus the target population of this intervention. </w:t>
      </w:r>
      <w:r w:rsidR="00540BA1">
        <w:t xml:space="preserve">Given these considerations, MSAC considered that the reported ICER of the economic evaluation was unreliable for decision making. </w:t>
      </w:r>
      <w:r w:rsidR="003678E3">
        <w:t xml:space="preserve">However, </w:t>
      </w:r>
      <w:r>
        <w:t xml:space="preserve">MSAC considered that </w:t>
      </w:r>
      <w:r w:rsidR="003678E3">
        <w:t xml:space="preserve">any further </w:t>
      </w:r>
      <w:r>
        <w:t xml:space="preserve">modelling would </w:t>
      </w:r>
      <w:r w:rsidR="003678E3">
        <w:t xml:space="preserve">be unlikely to be decisive </w:t>
      </w:r>
      <w:r w:rsidR="008D1B21">
        <w:lastRenderedPageBreak/>
        <w:t xml:space="preserve">as the ICER per QALY would be likely to remain high even if it is not as high as the </w:t>
      </w:r>
      <w:r w:rsidR="008D1B21" w:rsidRPr="00E2353C">
        <w:t>$912,489</w:t>
      </w:r>
      <w:r w:rsidR="008D1B21">
        <w:t xml:space="preserve"> estimated</w:t>
      </w:r>
      <w:r>
        <w:t>.</w:t>
      </w:r>
    </w:p>
    <w:p w14:paraId="669EAC0C" w14:textId="7D6573F1" w:rsidR="00437C2B" w:rsidRDefault="00437C2B" w:rsidP="00FA176B">
      <w:r>
        <w:t>MSAC noted t</w:t>
      </w:r>
      <w:r w:rsidR="00F93042">
        <w:t xml:space="preserve">hat the Department Commissioned Assessment Report (DCAR) and public consultation feedback </w:t>
      </w:r>
      <w:r w:rsidR="008F6191">
        <w:t>cited potential gains to the productivity of the patient population</w:t>
      </w:r>
      <w:r w:rsidR="00FE7A1E">
        <w:t xml:space="preserve"> and carers</w:t>
      </w:r>
      <w:r w:rsidR="008F6191">
        <w:t xml:space="preserve"> from public funding of the procedure though no evidence </w:t>
      </w:r>
      <w:r w:rsidR="008A7069">
        <w:t xml:space="preserve">(quantitative or otherwise) </w:t>
      </w:r>
      <w:r w:rsidR="008F6191">
        <w:t xml:space="preserve">was </w:t>
      </w:r>
      <w:r w:rsidR="008A7069">
        <w:t>provided</w:t>
      </w:r>
      <w:r w:rsidR="008F6191">
        <w:t xml:space="preserve"> </w:t>
      </w:r>
      <w:r w:rsidR="00351895">
        <w:t>to support</w:t>
      </w:r>
      <w:r w:rsidR="008F6191">
        <w:t xml:space="preserve"> this claim. </w:t>
      </w:r>
      <w:r w:rsidR="00776DB1">
        <w:t>MSA</w:t>
      </w:r>
      <w:r w:rsidR="000B428E">
        <w:t>C</w:t>
      </w:r>
      <w:r w:rsidR="00776DB1">
        <w:t xml:space="preserve"> considered that a relevant question was whether </w:t>
      </w:r>
      <w:r w:rsidR="00776DB1" w:rsidRPr="00776DB1">
        <w:t>productivity gains</w:t>
      </w:r>
      <w:r w:rsidR="00776DB1">
        <w:t xml:space="preserve"> and l</w:t>
      </w:r>
      <w:r w:rsidR="00776DB1" w:rsidRPr="00776DB1">
        <w:t xml:space="preserve">osses and carer benefits </w:t>
      </w:r>
      <w:r w:rsidR="00776DB1">
        <w:t xml:space="preserve">would </w:t>
      </w:r>
      <w:r w:rsidR="00776DB1" w:rsidRPr="00776DB1">
        <w:t>be more relevant here than in other interventions</w:t>
      </w:r>
      <w:r w:rsidR="00776DB1">
        <w:t xml:space="preserve"> and </w:t>
      </w:r>
      <w:r w:rsidR="00776DB1" w:rsidRPr="00776DB1">
        <w:t>populations considered by MSAC</w:t>
      </w:r>
      <w:r w:rsidR="00776DB1">
        <w:t xml:space="preserve">. </w:t>
      </w:r>
    </w:p>
    <w:p w14:paraId="7BC97E13" w14:textId="0186EBDB" w:rsidR="00FA176B" w:rsidRDefault="00FA176B" w:rsidP="00FA176B">
      <w:r>
        <w:t>When including MBS items 40858 and 40860 twice during the initial DBS surgery</w:t>
      </w:r>
      <w:r w:rsidR="006474B0">
        <w:t xml:space="preserve">, </w:t>
      </w:r>
      <w:r w:rsidR="00FE5692">
        <w:t xml:space="preserve">the </w:t>
      </w:r>
      <w:r>
        <w:t>overall additional cost to the MBS is $67,619 in year 1</w:t>
      </w:r>
      <w:r w:rsidR="00465DF0">
        <w:t xml:space="preserve"> (</w:t>
      </w:r>
      <w:r w:rsidR="00FE0B68">
        <w:t>assumed utilisation by 5 people)</w:t>
      </w:r>
      <w:r>
        <w:t xml:space="preserve"> to $425,608 in year 6</w:t>
      </w:r>
      <w:r w:rsidR="00FE0B68">
        <w:t xml:space="preserve"> (30 people)</w:t>
      </w:r>
      <w:r w:rsidR="005677D4">
        <w:t xml:space="preserve"> or just under $1</w:t>
      </w:r>
      <w:r w:rsidR="00701ACA">
        <w:t>.</w:t>
      </w:r>
      <w:r w:rsidR="005677D4">
        <w:t>5 million over 6 years</w:t>
      </w:r>
      <w:r>
        <w:t xml:space="preserve">. </w:t>
      </w:r>
      <w:proofErr w:type="gramStart"/>
      <w:r>
        <w:t>The majority of</w:t>
      </w:r>
      <w:proofErr w:type="gramEnd"/>
      <w:r>
        <w:t xml:space="preserve"> this cost is attributable to the index DBS surgery which would include the pre-operative assessment ($119,673), the implantation ($897,570) and follow-up after initial surgery ($370,834).</w:t>
      </w:r>
    </w:p>
    <w:p w14:paraId="7BF68EC4" w14:textId="1B3C32DE" w:rsidR="00FA176B" w:rsidRDefault="00FA176B" w:rsidP="00FA176B">
      <w:r>
        <w:t xml:space="preserve">MSAC noted that the total cost to the Australian health budget is </w:t>
      </w:r>
      <w:r w:rsidR="00C24DA6">
        <w:t xml:space="preserve">calculated to be </w:t>
      </w:r>
      <w:r>
        <w:t xml:space="preserve">approximately $6.7 million over six years. Of the various healthcare budgets included in the total cost, the maximum cost is attributed to cost of </w:t>
      </w:r>
      <w:r w:rsidR="00C57F17">
        <w:t xml:space="preserve">the </w:t>
      </w:r>
      <w:r>
        <w:t xml:space="preserve">prostheses (approximately $3.6 million), the cost to the MBS (approximately $1.5 million) and then to the hospitals (approximately $1.6 million). </w:t>
      </w:r>
    </w:p>
    <w:p w14:paraId="3CCFFCC0" w14:textId="6E75D872" w:rsidR="00FA176B" w:rsidRDefault="00FA176B" w:rsidP="00FA176B">
      <w:r>
        <w:t xml:space="preserve">MSAC </w:t>
      </w:r>
      <w:r w:rsidR="00CF09BA">
        <w:t xml:space="preserve">considered there was limited </w:t>
      </w:r>
      <w:r w:rsidR="00562F0C">
        <w:t xml:space="preserve">scope for service leakage or inappropriate patient selection, given </w:t>
      </w:r>
      <w:r>
        <w:t xml:space="preserve">that this treatment is </w:t>
      </w:r>
      <w:r w:rsidR="00FF7411">
        <w:t xml:space="preserve">typically undertaken </w:t>
      </w:r>
      <w:r>
        <w:t xml:space="preserve">in a centre of excellence with </w:t>
      </w:r>
      <w:r w:rsidR="0007787D">
        <w:t xml:space="preserve">a high level of </w:t>
      </w:r>
      <w:r>
        <w:t>support and</w:t>
      </w:r>
      <w:r w:rsidR="0007787D">
        <w:t xml:space="preserve"> </w:t>
      </w:r>
      <w:r w:rsidR="009A109E">
        <w:t>due attention to</w:t>
      </w:r>
      <w:r>
        <w:t xml:space="preserve"> safety considerations. The group of patients </w:t>
      </w:r>
      <w:r w:rsidR="000322DA">
        <w:t>eligible</w:t>
      </w:r>
      <w:r>
        <w:t xml:space="preserve"> is tightly defined </w:t>
      </w:r>
      <w:r w:rsidR="00EB0E66">
        <w:t>and</w:t>
      </w:r>
      <w:r>
        <w:t xml:space="preserve"> patients are highly informed about the treatment. MSAC noted that ongoing </w:t>
      </w:r>
      <w:r w:rsidR="00712F33">
        <w:t>multi-disci</w:t>
      </w:r>
      <w:r w:rsidR="00152786">
        <w:t xml:space="preserve">plinary </w:t>
      </w:r>
      <w:r>
        <w:t xml:space="preserve">support </w:t>
      </w:r>
      <w:r w:rsidR="00152786">
        <w:t>for patients following</w:t>
      </w:r>
      <w:r w:rsidR="00AE3274">
        <w:t xml:space="preserve"> </w:t>
      </w:r>
      <w:r>
        <w:t xml:space="preserve">the </w:t>
      </w:r>
      <w:r w:rsidR="00152786">
        <w:t>DBS</w:t>
      </w:r>
      <w:r w:rsidR="00706F3B">
        <w:t xml:space="preserve"> </w:t>
      </w:r>
      <w:r>
        <w:t>procedure</w:t>
      </w:r>
      <w:r w:rsidR="00AE3274">
        <w:t xml:space="preserve"> is essential for optimal patient care and </w:t>
      </w:r>
      <w:r w:rsidR="00CF1ACB">
        <w:t xml:space="preserve">should be </w:t>
      </w:r>
      <w:r>
        <w:t>included in the MBS item descriptor</w:t>
      </w:r>
      <w:r w:rsidR="00791546">
        <w:t xml:space="preserve"> if listed.</w:t>
      </w:r>
    </w:p>
    <w:p w14:paraId="2C505547" w14:textId="134E13CE" w:rsidR="000E3D5C" w:rsidRDefault="00FA176B" w:rsidP="004547BA">
      <w:r>
        <w:t xml:space="preserve">MSAC noted that although </w:t>
      </w:r>
      <w:r w:rsidR="002609E6">
        <w:t xml:space="preserve">a </w:t>
      </w:r>
      <w:r w:rsidR="00706F3B">
        <w:t>patient’s</w:t>
      </w:r>
      <w:r>
        <w:t xml:space="preserve"> </w:t>
      </w:r>
      <w:r w:rsidR="002D04BB">
        <w:t>OCD symptoms</w:t>
      </w:r>
      <w:r w:rsidR="00E54515">
        <w:t xml:space="preserve"> </w:t>
      </w:r>
      <w:r w:rsidR="00706F3B">
        <w:t>may improve</w:t>
      </w:r>
      <w:r w:rsidR="00E54515">
        <w:t xml:space="preserve"> </w:t>
      </w:r>
      <w:r w:rsidR="00F94A6B">
        <w:t>follow</w:t>
      </w:r>
      <w:r w:rsidR="00706F3B">
        <w:t>ing</w:t>
      </w:r>
      <w:r w:rsidR="00E54515">
        <w:t xml:space="preserve"> DBS</w:t>
      </w:r>
      <w:r w:rsidR="00706F3B">
        <w:t>, they may continue to have functional limitation</w:t>
      </w:r>
      <w:r w:rsidR="003B50E5">
        <w:t>s</w:t>
      </w:r>
      <w:r>
        <w:t xml:space="preserve"> </w:t>
      </w:r>
      <w:r w:rsidR="005F21DA">
        <w:t xml:space="preserve">and therefore </w:t>
      </w:r>
      <w:r w:rsidR="0010186D">
        <w:t>DBS</w:t>
      </w:r>
      <w:r w:rsidR="00D05B81">
        <w:t xml:space="preserve"> </w:t>
      </w:r>
      <w:r w:rsidR="005F21DA">
        <w:t>does not constitute a definitive ‘cure’ for OCD</w:t>
      </w:r>
      <w:r w:rsidR="005A66AB">
        <w:t>. However</w:t>
      </w:r>
      <w:r>
        <w:t xml:space="preserve">, </w:t>
      </w:r>
      <w:r w:rsidR="002E60B0">
        <w:t>improving patients’ OCD symptoms</w:t>
      </w:r>
      <w:r>
        <w:t xml:space="preserve"> from </w:t>
      </w:r>
      <w:r w:rsidR="002E60B0">
        <w:t xml:space="preserve">the </w:t>
      </w:r>
      <w:r>
        <w:t>very severe to less severe</w:t>
      </w:r>
      <w:r w:rsidR="00615DF3">
        <w:t xml:space="preserve"> </w:t>
      </w:r>
      <w:r w:rsidR="0096329A">
        <w:t>range</w:t>
      </w:r>
      <w:r w:rsidR="00904B78">
        <w:t xml:space="preserve"> </w:t>
      </w:r>
      <w:r w:rsidR="007F25D0">
        <w:t>is</w:t>
      </w:r>
      <w:r>
        <w:t xml:space="preserve"> </w:t>
      </w:r>
      <w:r w:rsidR="002E60B0">
        <w:t>likely</w:t>
      </w:r>
      <w:r>
        <w:t xml:space="preserve"> to </w:t>
      </w:r>
      <w:r w:rsidR="00033FF2">
        <w:t>have a positive impact on</w:t>
      </w:r>
      <w:r w:rsidR="002E60B0">
        <w:t xml:space="preserve"> </w:t>
      </w:r>
      <w:r>
        <w:t>patients</w:t>
      </w:r>
      <w:r w:rsidR="00615DF3">
        <w:t xml:space="preserve"> and their </w:t>
      </w:r>
      <w:proofErr w:type="spellStart"/>
      <w:r w:rsidR="00615DF3">
        <w:t>carers</w:t>
      </w:r>
      <w:proofErr w:type="spellEnd"/>
      <w:r>
        <w:t xml:space="preserve">. </w:t>
      </w:r>
      <w:r w:rsidR="00610DCF">
        <w:t>It is uncertain if smaller</w:t>
      </w:r>
      <w:r w:rsidR="00F26A45">
        <w:t xml:space="preserve"> improvements in </w:t>
      </w:r>
      <w:r>
        <w:t xml:space="preserve">Y-BOCS scores might </w:t>
      </w:r>
      <w:r w:rsidR="00360291">
        <w:t xml:space="preserve">also </w:t>
      </w:r>
      <w:r>
        <w:t>improve quality of life</w:t>
      </w:r>
      <w:r w:rsidR="006C03C3">
        <w:t>.</w:t>
      </w:r>
      <w:r w:rsidRPr="008060F0">
        <w:t xml:space="preserve"> </w:t>
      </w:r>
      <w:r w:rsidR="004547BA">
        <w:t xml:space="preserve">MSAC noted that the applicant plans to construct a data registry to collate all previous and prospective cases of DBS for OCD in Australia. Data will be collected on electrode placement, psychiatric </w:t>
      </w:r>
      <w:proofErr w:type="gramStart"/>
      <w:r w:rsidR="004547BA">
        <w:t>outcomes</w:t>
      </w:r>
      <w:proofErr w:type="gramEnd"/>
      <w:r w:rsidR="004547BA">
        <w:t xml:space="preserve"> and adverse events, to refine the efficacy and safety profile of this therapy. </w:t>
      </w:r>
      <w:r w:rsidR="000E3D5C" w:rsidRPr="000E3D5C">
        <w:t>However, as this registry will be</w:t>
      </w:r>
      <w:r w:rsidR="000E3D5C">
        <w:t xml:space="preserve"> </w:t>
      </w:r>
      <w:r w:rsidR="000E3D5C" w:rsidRPr="000E3D5C">
        <w:t xml:space="preserve">conducted </w:t>
      </w:r>
      <w:proofErr w:type="gramStart"/>
      <w:r w:rsidR="000D7B0B">
        <w:t xml:space="preserve">at a </w:t>
      </w:r>
      <w:r w:rsidR="000E3D5C" w:rsidRPr="000E3D5C">
        <w:t>later date</w:t>
      </w:r>
      <w:proofErr w:type="gramEnd"/>
      <w:r w:rsidR="000E3D5C" w:rsidRPr="000E3D5C">
        <w:t>, the planned registry was not considered as a component of the clinical and economic evaluation. MSAC considered that a pre-condition of implementation for the public funding of this procedure should be the establishment of the data registry and that the registry should also collect health related quality of life outcom</w:t>
      </w:r>
      <w:r w:rsidR="00976C53">
        <w:t xml:space="preserve">e </w:t>
      </w:r>
      <w:r w:rsidR="00892E83">
        <w:t>measures</w:t>
      </w:r>
      <w:r w:rsidR="00976C53">
        <w:t>.</w:t>
      </w:r>
    </w:p>
    <w:p w14:paraId="0F408357" w14:textId="5E4D2B47" w:rsidR="00C348B1" w:rsidRDefault="00FA176B" w:rsidP="00FA176B">
      <w:r>
        <w:t xml:space="preserve">MSAC acknowledged that cost is currently a significant barrier to </w:t>
      </w:r>
      <w:r w:rsidR="00F36E4A">
        <w:t>DBS</w:t>
      </w:r>
      <w:r>
        <w:t xml:space="preserve"> treatment of refractory OCD in the private system and providing MBS funding for this service may serve to reduce the barrier to access to treatment for a vulnerable population</w:t>
      </w:r>
      <w:r w:rsidR="00421966">
        <w:t>, and as the consultation feedback noted, also stimulate additional supply</w:t>
      </w:r>
      <w:r w:rsidR="0019076E">
        <w:t>, hence increasing equity of treatment</w:t>
      </w:r>
      <w:r>
        <w:t xml:space="preserve">. </w:t>
      </w:r>
      <w:r w:rsidR="00421966">
        <w:t>However</w:t>
      </w:r>
      <w:r w:rsidR="00237CB8">
        <w:t>,</w:t>
      </w:r>
      <w:r w:rsidR="00421966">
        <w:t xml:space="preserve"> MSAC considered that </w:t>
      </w:r>
      <w:r w:rsidR="0019076E">
        <w:t xml:space="preserve">the </w:t>
      </w:r>
      <w:r w:rsidR="002214E3">
        <w:t>additional suppl</w:t>
      </w:r>
      <w:r w:rsidR="00581561">
        <w:t>y</w:t>
      </w:r>
      <w:r w:rsidR="0019076E">
        <w:t xml:space="preserve"> </w:t>
      </w:r>
      <w:r w:rsidR="00581427">
        <w:t>of DBS in the private system</w:t>
      </w:r>
      <w:r w:rsidR="0019076E">
        <w:t xml:space="preserve"> stimulated by MBS </w:t>
      </w:r>
      <w:r w:rsidR="00581561">
        <w:t xml:space="preserve">funding </w:t>
      </w:r>
      <w:r w:rsidR="002214E3">
        <w:t>may have risk</w:t>
      </w:r>
      <w:r w:rsidR="0019076E">
        <w:t>s</w:t>
      </w:r>
      <w:r w:rsidR="002214E3">
        <w:t xml:space="preserve"> as well as benefits</w:t>
      </w:r>
      <w:r w:rsidR="00C044AB">
        <w:t>.</w:t>
      </w:r>
      <w:r w:rsidR="002214E3">
        <w:t xml:space="preserve"> </w:t>
      </w:r>
      <w:r w:rsidR="00C044AB">
        <w:t xml:space="preserve">It is likely </w:t>
      </w:r>
      <w:r w:rsidR="002214E3">
        <w:t xml:space="preserve">that </w:t>
      </w:r>
      <w:r w:rsidR="00C044AB">
        <w:t>patients accessing DBS will require</w:t>
      </w:r>
      <w:r w:rsidR="002214E3">
        <w:t xml:space="preserve"> additional</w:t>
      </w:r>
      <w:r w:rsidR="008D559E">
        <w:t xml:space="preserve"> multidisciplinary team (MDT) and support services</w:t>
      </w:r>
      <w:r w:rsidR="002214E3">
        <w:t xml:space="preserve"> </w:t>
      </w:r>
      <w:r w:rsidR="004017C7">
        <w:t xml:space="preserve">both </w:t>
      </w:r>
      <w:proofErr w:type="gramStart"/>
      <w:r w:rsidR="004017C7">
        <w:t>pre</w:t>
      </w:r>
      <w:proofErr w:type="gramEnd"/>
      <w:r w:rsidR="004017C7">
        <w:t xml:space="preserve"> and post-operatively </w:t>
      </w:r>
      <w:r w:rsidR="00541FDD">
        <w:t xml:space="preserve">to support </w:t>
      </w:r>
      <w:r w:rsidR="00D33312">
        <w:t xml:space="preserve">their </w:t>
      </w:r>
      <w:r w:rsidR="00427581">
        <w:t>mental health</w:t>
      </w:r>
      <w:r w:rsidR="00455166">
        <w:t xml:space="preserve"> and </w:t>
      </w:r>
      <w:r w:rsidR="005B5674">
        <w:t>wellbeing</w:t>
      </w:r>
      <w:r w:rsidR="00455166">
        <w:t xml:space="preserve">. </w:t>
      </w:r>
      <w:r w:rsidR="00C044AB">
        <w:t xml:space="preserve">MSAC considered that </w:t>
      </w:r>
      <w:r w:rsidR="000E6918">
        <w:t xml:space="preserve">these services could be better </w:t>
      </w:r>
      <w:r w:rsidR="00FD7F2D">
        <w:t xml:space="preserve">co-ordinated and </w:t>
      </w:r>
      <w:r w:rsidR="000E6918">
        <w:t xml:space="preserve">integrated </w:t>
      </w:r>
      <w:r w:rsidR="00581427">
        <w:t>with</w:t>
      </w:r>
      <w:r w:rsidR="000E6918">
        <w:t xml:space="preserve"> </w:t>
      </w:r>
      <w:r w:rsidR="00581427">
        <w:t>DBS</w:t>
      </w:r>
      <w:r w:rsidR="000E6918">
        <w:t xml:space="preserve"> treatment </w:t>
      </w:r>
      <w:r w:rsidR="00581427">
        <w:t>services</w:t>
      </w:r>
      <w:r w:rsidR="000E6918">
        <w:t xml:space="preserve"> in a public setting</w:t>
      </w:r>
      <w:r w:rsidR="0019076E">
        <w:t>.</w:t>
      </w:r>
      <w:r w:rsidR="006A6AF7">
        <w:t xml:space="preserve"> Overall, </w:t>
      </w:r>
      <w:r w:rsidR="006A6AF7" w:rsidRPr="000A352D">
        <w:rPr>
          <w:iCs/>
        </w:rPr>
        <w:t>MSAC</w:t>
      </w:r>
      <w:r w:rsidR="006A6AF7" w:rsidRPr="00941245">
        <w:rPr>
          <w:szCs w:val="24"/>
        </w:rPr>
        <w:t xml:space="preserve"> supported</w:t>
      </w:r>
      <w:r w:rsidR="006A6AF7">
        <w:rPr>
          <w:rStyle w:val="normaltextrun"/>
          <w:color w:val="000000"/>
          <w:shd w:val="clear" w:color="auto" w:fill="FFFFFF"/>
        </w:rPr>
        <w:t xml:space="preserve"> public funding of DBS for treatment refractory OCD but considered that MBS listing of this procedure may not be the best means of public funding. </w:t>
      </w:r>
      <w:r w:rsidR="00687AB9">
        <w:rPr>
          <w:rStyle w:val="normaltextrun"/>
          <w:color w:val="000000"/>
          <w:shd w:val="clear" w:color="auto" w:fill="FFFFFF"/>
        </w:rPr>
        <w:t xml:space="preserve"> </w:t>
      </w:r>
      <w:r w:rsidR="00687AB9">
        <w:t xml:space="preserve">MSAC noted the </w:t>
      </w:r>
      <w:r w:rsidR="00043CB9">
        <w:t>d</w:t>
      </w:r>
      <w:r w:rsidR="00687AB9">
        <w:t xml:space="preserve">epartment considers that </w:t>
      </w:r>
      <w:r w:rsidR="00941245">
        <w:t xml:space="preserve">given </w:t>
      </w:r>
      <w:r w:rsidR="00FE5FEE">
        <w:t>the</w:t>
      </w:r>
      <w:r w:rsidR="00687AB9">
        <w:t xml:space="preserve"> service </w:t>
      </w:r>
      <w:r w:rsidR="00175116">
        <w:t xml:space="preserve">is </w:t>
      </w:r>
      <w:r w:rsidR="00687AB9">
        <w:t>estimated to be of low volume</w:t>
      </w:r>
      <w:r w:rsidR="008038A9">
        <w:t xml:space="preserve"> and</w:t>
      </w:r>
      <w:r w:rsidR="001A1D65">
        <w:t xml:space="preserve"> </w:t>
      </w:r>
      <w:r w:rsidR="00175116">
        <w:t>is</w:t>
      </w:r>
      <w:r w:rsidR="00687AB9">
        <w:t xml:space="preserve"> </w:t>
      </w:r>
      <w:r w:rsidR="006C6A45">
        <w:t xml:space="preserve">for patients with </w:t>
      </w:r>
      <w:r w:rsidR="00687AB9">
        <w:t>severe OCD</w:t>
      </w:r>
      <w:r w:rsidR="00927DBD">
        <w:t xml:space="preserve">, </w:t>
      </w:r>
      <w:r w:rsidR="00376ED1">
        <w:t>i</w:t>
      </w:r>
      <w:r w:rsidR="00927DBD">
        <w:t>t</w:t>
      </w:r>
      <w:r w:rsidR="00687AB9">
        <w:t xml:space="preserve"> may be better </w:t>
      </w:r>
      <w:r w:rsidR="00687AB9">
        <w:lastRenderedPageBreak/>
        <w:t xml:space="preserve">suited to </w:t>
      </w:r>
      <w:r w:rsidR="00927DBD">
        <w:t>provide DBS</w:t>
      </w:r>
      <w:r w:rsidR="00687AB9">
        <w:t xml:space="preserve"> in the public system where associated multidisciplinary team (MDT) and support services </w:t>
      </w:r>
      <w:r w:rsidR="002F7E42">
        <w:t xml:space="preserve">can provide </w:t>
      </w:r>
      <w:r w:rsidR="00687AB9">
        <w:t>integrated</w:t>
      </w:r>
      <w:r w:rsidR="002F7E42">
        <w:t xml:space="preserve"> care</w:t>
      </w:r>
      <w:r w:rsidR="00687AB9">
        <w:t>.</w:t>
      </w:r>
      <w:r w:rsidR="004547BA">
        <w:t xml:space="preserve"> </w:t>
      </w:r>
    </w:p>
    <w:p w14:paraId="74D96CAF" w14:textId="58A2CC76" w:rsidR="00FA176B" w:rsidRDefault="004547BA" w:rsidP="00FA176B">
      <w:r>
        <w:t>Therefore</w:t>
      </w:r>
      <w:r w:rsidR="00D8047F">
        <w:t>,</w:t>
      </w:r>
      <w:r>
        <w:t xml:space="preserve"> </w:t>
      </w:r>
      <w:r w:rsidR="006A6AF7">
        <w:rPr>
          <w:rStyle w:val="normaltextrun"/>
          <w:color w:val="000000"/>
          <w:shd w:val="clear" w:color="auto" w:fill="FFFFFF"/>
        </w:rPr>
        <w:t xml:space="preserve">MSAC </w:t>
      </w:r>
      <w:r w:rsidR="00185B94">
        <w:rPr>
          <w:rStyle w:val="normaltextrun"/>
          <w:color w:val="000000"/>
          <w:shd w:val="clear" w:color="auto" w:fill="FFFFFF"/>
        </w:rPr>
        <w:t xml:space="preserve">supported public funding </w:t>
      </w:r>
      <w:r w:rsidR="00FE0C37">
        <w:rPr>
          <w:rStyle w:val="normaltextrun"/>
          <w:color w:val="000000"/>
          <w:shd w:val="clear" w:color="auto" w:fill="FFFFFF"/>
        </w:rPr>
        <w:t>of</w:t>
      </w:r>
      <w:r w:rsidR="006A6AF7">
        <w:rPr>
          <w:rStyle w:val="normaltextrun"/>
          <w:color w:val="000000"/>
          <w:shd w:val="clear" w:color="auto" w:fill="FFFFFF"/>
        </w:rPr>
        <w:t xml:space="preserve"> </w:t>
      </w:r>
      <w:r w:rsidR="003D3D53">
        <w:rPr>
          <w:rStyle w:val="normaltextrun"/>
          <w:color w:val="000000"/>
          <w:shd w:val="clear" w:color="auto" w:fill="FFFFFF"/>
        </w:rPr>
        <w:t>DBS for severe treatment-refractory OCD</w:t>
      </w:r>
      <w:r w:rsidR="00FE0C37">
        <w:rPr>
          <w:rStyle w:val="normaltextrun"/>
          <w:color w:val="000000"/>
          <w:shd w:val="clear" w:color="auto" w:fill="FFFFFF"/>
        </w:rPr>
        <w:t xml:space="preserve"> but considered it</w:t>
      </w:r>
      <w:r w:rsidR="003D3D53">
        <w:rPr>
          <w:rStyle w:val="normaltextrun"/>
          <w:color w:val="000000"/>
          <w:shd w:val="clear" w:color="auto" w:fill="FFFFFF"/>
        </w:rPr>
        <w:t xml:space="preserve"> may not be a</w:t>
      </w:r>
      <w:r w:rsidR="00B366FD">
        <w:rPr>
          <w:rStyle w:val="normaltextrun"/>
          <w:color w:val="000000"/>
          <w:shd w:val="clear" w:color="auto" w:fill="FFFFFF"/>
        </w:rPr>
        <w:t>ppropriate for funding through the MBS</w:t>
      </w:r>
      <w:r w:rsidR="00043CB9">
        <w:rPr>
          <w:rStyle w:val="normaltextrun"/>
          <w:color w:val="000000"/>
          <w:shd w:val="clear" w:color="auto" w:fill="FFFFFF"/>
        </w:rPr>
        <w:t xml:space="preserve"> </w:t>
      </w:r>
      <w:r w:rsidR="00185B94">
        <w:rPr>
          <w:rStyle w:val="normaltextrun"/>
          <w:color w:val="000000"/>
          <w:shd w:val="clear" w:color="auto" w:fill="FFFFFF"/>
        </w:rPr>
        <w:t xml:space="preserve">and requested the </w:t>
      </w:r>
      <w:r w:rsidR="00FE0C37">
        <w:rPr>
          <w:rStyle w:val="normaltextrun"/>
          <w:color w:val="000000"/>
          <w:shd w:val="clear" w:color="auto" w:fill="FFFFFF"/>
        </w:rPr>
        <w:t xml:space="preserve">department seek </w:t>
      </w:r>
      <w:r w:rsidR="006A6AF7">
        <w:rPr>
          <w:rStyle w:val="normaltextrun"/>
          <w:color w:val="000000"/>
          <w:shd w:val="clear" w:color="auto" w:fill="FFFFFF"/>
        </w:rPr>
        <w:t>alternative public funding arrangement</w:t>
      </w:r>
      <w:r w:rsidR="00FE0C37">
        <w:rPr>
          <w:rStyle w:val="normaltextrun"/>
          <w:color w:val="000000"/>
          <w:shd w:val="clear" w:color="auto" w:fill="FFFFFF"/>
        </w:rPr>
        <w:t>s</w:t>
      </w:r>
      <w:r w:rsidR="006A6AF7">
        <w:rPr>
          <w:rStyle w:val="normaltextrun"/>
          <w:color w:val="000000"/>
          <w:shd w:val="clear" w:color="auto" w:fill="FFFFFF"/>
        </w:rPr>
        <w:t>, following consultation with stakeholders</w:t>
      </w:r>
      <w:r w:rsidR="00584CBF">
        <w:rPr>
          <w:rStyle w:val="normaltextrun"/>
          <w:color w:val="000000"/>
          <w:shd w:val="clear" w:color="auto" w:fill="FFFFFF"/>
        </w:rPr>
        <w:t>.</w:t>
      </w:r>
    </w:p>
    <w:p w14:paraId="6710B69D" w14:textId="0E4B76FF" w:rsidR="00772829" w:rsidRPr="00CE28E3" w:rsidRDefault="00035557" w:rsidP="002A18BE">
      <w:pPr>
        <w:pStyle w:val="Heading2"/>
        <w:numPr>
          <w:ilvl w:val="0"/>
          <w:numId w:val="0"/>
        </w:numPr>
      </w:pPr>
      <w:bookmarkStart w:id="3" w:name="_Toc143098828"/>
      <w:bookmarkEnd w:id="2"/>
      <w:r>
        <w:t>4</w:t>
      </w:r>
      <w:r w:rsidR="00C36633">
        <w:t>.</w:t>
      </w:r>
      <w:r w:rsidR="00C36633">
        <w:tab/>
      </w:r>
      <w:r w:rsidR="00772829" w:rsidRPr="00CE28E3">
        <w:t>Background</w:t>
      </w:r>
      <w:bookmarkEnd w:id="3"/>
    </w:p>
    <w:p w14:paraId="2BE972D5" w14:textId="2FD06C66" w:rsidR="007A5E2A" w:rsidRDefault="007A5E2A" w:rsidP="00367788">
      <w:pPr>
        <w:rPr>
          <w:iCs/>
        </w:rPr>
      </w:pPr>
      <w:r w:rsidRPr="003A500E">
        <w:t xml:space="preserve">MSAC has not previously considered </w:t>
      </w:r>
      <w:r w:rsidR="00AD1C5C">
        <w:t>DBS</w:t>
      </w:r>
      <w:r w:rsidRPr="003A500E">
        <w:t xml:space="preserve"> for treatment-refractory </w:t>
      </w:r>
      <w:r w:rsidR="00AD1C5C">
        <w:t>OCD</w:t>
      </w:r>
      <w:r w:rsidRPr="003A500E">
        <w:t>.</w:t>
      </w:r>
    </w:p>
    <w:p w14:paraId="35E71B10" w14:textId="02B3DCB7" w:rsidR="007A5E2A" w:rsidRPr="003A500E" w:rsidRDefault="007A5E2A" w:rsidP="00367788">
      <w:r w:rsidRPr="00721AC0">
        <w:t>DBS is an established therapy for neurological conditions such as Parkinson’s disease</w:t>
      </w:r>
      <w:r>
        <w:t xml:space="preserve">. The application seeks an amendment to the patient population under the following existing MBS items: </w:t>
      </w:r>
      <w:r w:rsidRPr="00721AC0">
        <w:t>40851; 40852; 40854; 40856; 40858; 40860; 40862</w:t>
      </w:r>
      <w:r>
        <w:t xml:space="preserve">. </w:t>
      </w:r>
    </w:p>
    <w:p w14:paraId="6F52500A" w14:textId="04F1AEFA" w:rsidR="00772829" w:rsidRPr="00CE28E3" w:rsidRDefault="00035557" w:rsidP="002A18BE">
      <w:pPr>
        <w:pStyle w:val="Heading2"/>
        <w:numPr>
          <w:ilvl w:val="0"/>
          <w:numId w:val="0"/>
        </w:numPr>
      </w:pPr>
      <w:bookmarkStart w:id="4" w:name="_Toc143098829"/>
      <w:r>
        <w:t>5</w:t>
      </w:r>
      <w:r w:rsidR="00C36633">
        <w:t>.</w:t>
      </w:r>
      <w:r w:rsidR="00C36633">
        <w:tab/>
      </w:r>
      <w:r w:rsidR="00772829" w:rsidRPr="00CE28E3">
        <w:t>Prerequisites to implementation of any funding advice</w:t>
      </w:r>
      <w:bookmarkEnd w:id="4"/>
    </w:p>
    <w:p w14:paraId="047D8EA0" w14:textId="77777777" w:rsidR="00686373" w:rsidRDefault="00686373" w:rsidP="00686373">
      <w:r w:rsidRPr="00721AC0">
        <w:t xml:space="preserve">DBS requires </w:t>
      </w:r>
      <w:r>
        <w:t xml:space="preserve">a deep brain stimulation system for the implantation of the device (ARTG ID 351630): </w:t>
      </w:r>
      <w:r w:rsidRPr="004D755E">
        <w:t xml:space="preserve">The Medtronic Model B35200 Percept™ PC Neurostimulator with </w:t>
      </w:r>
      <w:proofErr w:type="spellStart"/>
      <w:r w:rsidRPr="004D755E">
        <w:t>BrainSense</w:t>
      </w:r>
      <w:proofErr w:type="spellEnd"/>
      <w:r w:rsidRPr="004D755E">
        <w:t>™ is part of</w:t>
      </w:r>
      <w:r>
        <w:t xml:space="preserve"> </w:t>
      </w:r>
      <w:r w:rsidRPr="004D755E">
        <w:t>an active implantable device system for deep brain stimulation and sensing.</w:t>
      </w:r>
    </w:p>
    <w:p w14:paraId="5FD54985" w14:textId="77777777" w:rsidR="00686373" w:rsidRPr="004D755E" w:rsidRDefault="00686373" w:rsidP="00686373">
      <w:r w:rsidRPr="004D755E">
        <w:t>In addition, the Medtronic Model 3391 DBS Lead (ARTG ID 174469) is an implantable component of the multiprogrammable system-Reclaim DBS Therapy for OCD and is designed to electrically stimulate specific areas of the brain. It is the only DBS lead kit currently registered on the ARTG with an indication for OCD. The applicant confirmed that other DBS leads have been used for OCD</w:t>
      </w:r>
      <w:r>
        <w:t>,</w:t>
      </w:r>
      <w:r w:rsidRPr="004D755E">
        <w:t xml:space="preserve"> both in the research setting and in current clinical practice.</w:t>
      </w:r>
    </w:p>
    <w:p w14:paraId="44C3B242" w14:textId="1182AF9C" w:rsidR="00772829" w:rsidRPr="00CE28E3" w:rsidRDefault="00035557" w:rsidP="002A18BE">
      <w:pPr>
        <w:pStyle w:val="Heading2"/>
        <w:numPr>
          <w:ilvl w:val="0"/>
          <w:numId w:val="0"/>
        </w:numPr>
      </w:pPr>
      <w:bookmarkStart w:id="5" w:name="_Toc143098830"/>
      <w:r>
        <w:t>6</w:t>
      </w:r>
      <w:r w:rsidR="00C36633">
        <w:t>.</w:t>
      </w:r>
      <w:r w:rsidR="00C36633">
        <w:tab/>
      </w:r>
      <w:r w:rsidR="00772829" w:rsidRPr="00CE28E3">
        <w:t>Proposal for public funding</w:t>
      </w:r>
      <w:bookmarkEnd w:id="5"/>
    </w:p>
    <w:p w14:paraId="62462A05" w14:textId="77777777" w:rsidR="00647A89" w:rsidRPr="007D7A12" w:rsidRDefault="00647A89" w:rsidP="00647A89">
      <w:r w:rsidRPr="007D7A12">
        <w:t xml:space="preserve">The applicant </w:t>
      </w:r>
      <w:r>
        <w:t>is proposing</w:t>
      </w:r>
      <w:r w:rsidRPr="007D7A12">
        <w:t xml:space="preserve"> an amendment to the patient population under existing MBS items for DBS (items 40851, 40852, 40854, 40856, 40858, 40860, 40862). The aim is to expand current MBS items for DBS to include the subgroup of people with OCD who have been reviewed by a panel of experts and approved by the mental health tribunal to undergo DBS for OCD. No changes have been proposed to the existing fees.</w:t>
      </w:r>
    </w:p>
    <w:p w14:paraId="38C6DA75" w14:textId="31C53C80" w:rsidR="00647A89" w:rsidRPr="000A009F" w:rsidRDefault="00647A89" w:rsidP="00367788">
      <w:r w:rsidRPr="000A009F">
        <w:t xml:space="preserve">The proposed changes to the current MBS item descriptors (as considered by PASC) are marked in blue and are identical in the descriptors, as described in </w:t>
      </w:r>
      <w:r w:rsidRPr="000A009F">
        <w:fldChar w:fldCharType="begin"/>
      </w:r>
      <w:r w:rsidRPr="000A009F">
        <w:instrText xml:space="preserve"> REF _Ref139549646 \h  \* MERGEFORMAT </w:instrText>
      </w:r>
      <w:r w:rsidRPr="000A009F">
        <w:fldChar w:fldCharType="separate"/>
      </w:r>
      <w:r w:rsidR="007F15AB">
        <w:t>Table 1</w:t>
      </w:r>
      <w:r w:rsidRPr="000A009F">
        <w:fldChar w:fldCharType="end"/>
      </w:r>
      <w:r w:rsidRPr="000A009F">
        <w:t xml:space="preserve"> below.</w:t>
      </w:r>
    </w:p>
    <w:p w14:paraId="3FB78FC6" w14:textId="5D97BED3" w:rsidR="00647A89" w:rsidRDefault="00647A89" w:rsidP="00AE2C00">
      <w:pPr>
        <w:pStyle w:val="Caption"/>
        <w:keepLines/>
      </w:pPr>
      <w:bookmarkStart w:id="6" w:name="_Ref139549646"/>
      <w:bookmarkStart w:id="7" w:name="_Toc143098938"/>
      <w:r>
        <w:lastRenderedPageBreak/>
        <w:t xml:space="preserve">Table </w:t>
      </w:r>
      <w:r>
        <w:fldChar w:fldCharType="begin"/>
      </w:r>
      <w:r>
        <w:instrText>SEQ Table \* ARABIC</w:instrText>
      </w:r>
      <w:r>
        <w:fldChar w:fldCharType="separate"/>
      </w:r>
      <w:r w:rsidR="007F15AB">
        <w:rPr>
          <w:noProof/>
        </w:rPr>
        <w:t>1</w:t>
      </w:r>
      <w:r>
        <w:fldChar w:fldCharType="end"/>
      </w:r>
      <w:bookmarkEnd w:id="6"/>
      <w:r w:rsidR="001A7A1E">
        <w:t>:</w:t>
      </w:r>
      <w:r w:rsidR="001A7A1E">
        <w:tab/>
      </w:r>
      <w:r w:rsidRPr="00A10525">
        <w:t>Presentation of amended MBS item</w:t>
      </w:r>
      <w:r>
        <w:t>s</w:t>
      </w:r>
      <w:bookmarkEnd w:id="7"/>
    </w:p>
    <w:tbl>
      <w:tblPr>
        <w:tblStyle w:val="HealthConsult1"/>
        <w:tblW w:w="5000" w:type="pct"/>
        <w:tblInd w:w="0" w:type="dxa"/>
        <w:tblLook w:val="04A0" w:firstRow="1" w:lastRow="0" w:firstColumn="1" w:lastColumn="0" w:noHBand="0" w:noVBand="1"/>
      </w:tblPr>
      <w:tblGrid>
        <w:gridCol w:w="9016"/>
      </w:tblGrid>
      <w:tr w:rsidR="00647A89" w:rsidRPr="006755D5" w14:paraId="045DC2A4" w14:textId="77777777" w:rsidTr="008A363D">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00136D89" w14:textId="77777777" w:rsidR="00647A89" w:rsidRPr="006755D5" w:rsidRDefault="00647A89" w:rsidP="00AE2C00">
            <w:pPr>
              <w:keepNext/>
              <w:keepLines/>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Category 3 – THERAPEUTIC PROCEDURES</w:t>
            </w:r>
          </w:p>
        </w:tc>
      </w:tr>
      <w:tr w:rsidR="00647A89" w:rsidRPr="006755D5" w14:paraId="333190DA" w14:textId="77777777" w:rsidTr="008A363D">
        <w:trPr>
          <w:cantSplit/>
          <w:tblHeader/>
        </w:trPr>
        <w:tc>
          <w:tcPr>
            <w:tcW w:w="5000" w:type="pct"/>
            <w:tcBorders>
              <w:top w:val="single" w:sz="4" w:space="0" w:color="auto"/>
              <w:left w:val="single" w:sz="4" w:space="0" w:color="auto"/>
              <w:bottom w:val="single" w:sz="4" w:space="0" w:color="auto"/>
              <w:right w:val="single" w:sz="4" w:space="0" w:color="auto"/>
            </w:tcBorders>
          </w:tcPr>
          <w:p w14:paraId="1C00C4F4"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MBS item 40851</w:t>
            </w:r>
          </w:p>
          <w:p w14:paraId="64908EB0"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DEEP BRAIN STIMULATION (bilateral) functional stereotactic procedure including computer assisted anatomical localisation, physiological localisation including twist drill, burr hole craniotomy or craniectomy and insertion of electrodes for the treatment of:</w:t>
            </w:r>
          </w:p>
          <w:p w14:paraId="18BED998"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Parkinson's disease where the patient's response to medical therapy is not sustained and is accompanied by unacceptable motor fluctuations; or</w:t>
            </w:r>
          </w:p>
          <w:p w14:paraId="6CAE6605"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Essential tremor or dystonia where the patient's symptoms cause severe disability.</w:t>
            </w:r>
          </w:p>
          <w:p w14:paraId="798CCACB"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i/>
                <w:iCs/>
                <w:color w:val="0070C0"/>
                <w:sz w:val="20"/>
                <w:szCs w:val="20"/>
              </w:rPr>
              <w:t>Severe obsessive-compulsive disorder where the patient has a Yale-Brown Obsessive Compulsive Scale Score of greater than 24/40 despite three trials of selective serotonin reuptake inhibitors, one trial of clomipramine and at least one attempted course of psychotherapy incorporating exposure and response prevention.</w:t>
            </w:r>
          </w:p>
          <w:p w14:paraId="294CCD0D"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Multiple Operation Rule</w:t>
            </w:r>
          </w:p>
          <w:p w14:paraId="02633695"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(Anaes.) (Assist.)</w:t>
            </w:r>
          </w:p>
        </w:tc>
      </w:tr>
      <w:tr w:rsidR="00647A89" w:rsidRPr="006755D5" w14:paraId="728785DC" w14:textId="77777777" w:rsidTr="008A363D">
        <w:trPr>
          <w:cantSplit/>
          <w:tblHeader/>
        </w:trPr>
        <w:tc>
          <w:tcPr>
            <w:tcW w:w="5000" w:type="pct"/>
            <w:tcBorders>
              <w:top w:val="single" w:sz="4" w:space="0" w:color="auto"/>
              <w:left w:val="single" w:sz="4" w:space="0" w:color="auto"/>
              <w:bottom w:val="single" w:sz="4" w:space="0" w:color="auto"/>
              <w:right w:val="single" w:sz="4" w:space="0" w:color="auto"/>
            </w:tcBorders>
            <w:vAlign w:val="center"/>
          </w:tcPr>
          <w:p w14:paraId="0F8EC0CF"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Fee: $4,189.60 Benefit: 75% = $3,142.20</w:t>
            </w:r>
          </w:p>
        </w:tc>
      </w:tr>
    </w:tbl>
    <w:p w14:paraId="5AFBBEA8" w14:textId="3D6B63A6" w:rsidR="00921299" w:rsidRDefault="00921299" w:rsidP="00647A89">
      <w:pPr>
        <w:widowControl w:val="0"/>
        <w:spacing w:before="0" w:after="120" w:line="240" w:lineRule="auto"/>
        <w:jc w:val="both"/>
        <w:rPr>
          <w:rFonts w:ascii="Arial Narrow" w:eastAsia="Times New Roman" w:hAnsi="Arial Narrow" w:cs="Arial"/>
          <w:snapToGrid w:val="0"/>
          <w:sz w:val="18"/>
          <w:szCs w:val="20"/>
        </w:rPr>
      </w:pPr>
      <w:r>
        <w:rPr>
          <w:rFonts w:ascii="Arial Narrow" w:eastAsia="Times New Roman" w:hAnsi="Arial Narrow" w:cs="Arial"/>
          <w:snapToGrid w:val="0"/>
          <w:sz w:val="18"/>
          <w:szCs w:val="20"/>
        </w:rPr>
        <w:t>Abbreviations: MBS= Medicare Benefits Scheme</w:t>
      </w:r>
    </w:p>
    <w:p w14:paraId="54273FC2" w14:textId="01FCD172" w:rsidR="00647A89" w:rsidRPr="006755D5" w:rsidRDefault="00647A89" w:rsidP="00647A89">
      <w:pPr>
        <w:widowControl w:val="0"/>
        <w:spacing w:before="0" w:after="120" w:line="240" w:lineRule="auto"/>
        <w:jc w:val="both"/>
        <w:rPr>
          <w:rFonts w:ascii="Arial Narrow" w:eastAsia="Times New Roman" w:hAnsi="Arial Narrow" w:cs="Arial"/>
          <w:snapToGrid w:val="0"/>
          <w:sz w:val="18"/>
          <w:szCs w:val="20"/>
        </w:rPr>
      </w:pPr>
      <w:r w:rsidRPr="006755D5">
        <w:rPr>
          <w:rFonts w:ascii="Arial Narrow" w:eastAsia="Times New Roman" w:hAnsi="Arial Narrow" w:cs="Arial"/>
          <w:snapToGrid w:val="0"/>
          <w:sz w:val="18"/>
          <w:szCs w:val="20"/>
        </w:rPr>
        <w:t xml:space="preserve">Note: Proposed changes to the current MBS item descriptors are marked in blue italics. </w:t>
      </w:r>
    </w:p>
    <w:tbl>
      <w:tblPr>
        <w:tblStyle w:val="HealthConsult1"/>
        <w:tblW w:w="0" w:type="auto"/>
        <w:tblInd w:w="0" w:type="dxa"/>
        <w:tblLook w:val="04A0" w:firstRow="1" w:lastRow="0" w:firstColumn="1" w:lastColumn="0" w:noHBand="0" w:noVBand="1"/>
      </w:tblPr>
      <w:tblGrid>
        <w:gridCol w:w="9016"/>
      </w:tblGrid>
      <w:tr w:rsidR="00647A89" w:rsidRPr="006755D5" w14:paraId="402DA268"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hideMark/>
          </w:tcPr>
          <w:p w14:paraId="00C5D29E"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Category 3 – THERAPEUTIC PROCEDURES</w:t>
            </w:r>
          </w:p>
        </w:tc>
      </w:tr>
      <w:tr w:rsidR="00647A89" w:rsidRPr="006755D5" w14:paraId="2935A3C7"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tcPr>
          <w:p w14:paraId="31BC53AA"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MBS item 40852</w:t>
            </w:r>
          </w:p>
          <w:p w14:paraId="20E26492"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DEEP BRAIN STIMULATION (unilateral) subcutaneous placement of neurostimulator receiver or pulse generator for the treatment of:</w:t>
            </w:r>
          </w:p>
          <w:p w14:paraId="2838F747"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Parkinson's disease where the patient's response to medical therapy is not sustained and is accompanied by unacceptable motor fluctuations; or</w:t>
            </w:r>
          </w:p>
          <w:p w14:paraId="2C732826"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Essential tremor or dystonia where the patient's symptoms cause severe disability.</w:t>
            </w:r>
          </w:p>
          <w:p w14:paraId="58D80CF9" w14:textId="69DB5886"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i/>
                <w:iCs/>
                <w:color w:val="0070C0"/>
                <w:sz w:val="20"/>
                <w:szCs w:val="20"/>
              </w:rPr>
              <w:t>Severe obsessive-compulsive disorder where the patient has a Yale-Brown Obsessive Compulsive Scale Score of greater than 24/40 despite three trials of selective serotonin reuptake inhibitors, one trial of clomipramine and at least one attempted course of psychotherapy incorporating exposure and response prevention.</w:t>
            </w:r>
          </w:p>
          <w:p w14:paraId="73769E1F"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Multiple Operation Rule</w:t>
            </w:r>
          </w:p>
          <w:p w14:paraId="289CFA28"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(Anaes.) (Assist.)</w:t>
            </w:r>
          </w:p>
        </w:tc>
      </w:tr>
      <w:tr w:rsidR="00647A89" w:rsidRPr="006755D5" w14:paraId="5F6C0E15"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09D8DB91"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Fee: $360.05 Benefit: 75% = $270.05</w:t>
            </w:r>
          </w:p>
        </w:tc>
      </w:tr>
    </w:tbl>
    <w:p w14:paraId="42EA276A" w14:textId="77777777" w:rsidR="00BD0C69" w:rsidRDefault="00BD0C69" w:rsidP="00BD0C69">
      <w:pPr>
        <w:widowControl w:val="0"/>
        <w:spacing w:before="0" w:after="120" w:line="240" w:lineRule="auto"/>
        <w:jc w:val="both"/>
        <w:rPr>
          <w:rFonts w:ascii="Arial Narrow" w:eastAsia="Times New Roman" w:hAnsi="Arial Narrow" w:cs="Arial"/>
          <w:snapToGrid w:val="0"/>
          <w:sz w:val="18"/>
          <w:szCs w:val="20"/>
        </w:rPr>
      </w:pPr>
      <w:r>
        <w:rPr>
          <w:rFonts w:ascii="Arial Narrow" w:eastAsia="Times New Roman" w:hAnsi="Arial Narrow" w:cs="Arial"/>
          <w:snapToGrid w:val="0"/>
          <w:sz w:val="18"/>
          <w:szCs w:val="20"/>
        </w:rPr>
        <w:t>Abbreviations: MBS= Medicare Benefits Scheme</w:t>
      </w:r>
    </w:p>
    <w:p w14:paraId="4F65359D" w14:textId="77777777" w:rsidR="00647A89" w:rsidRPr="006755D5" w:rsidRDefault="00647A89" w:rsidP="00647A89">
      <w:pPr>
        <w:widowControl w:val="0"/>
        <w:spacing w:before="0" w:after="120" w:line="240" w:lineRule="auto"/>
        <w:jc w:val="both"/>
        <w:rPr>
          <w:rFonts w:ascii="Arial Narrow" w:eastAsia="Times New Roman" w:hAnsi="Arial Narrow" w:cs="Arial"/>
          <w:snapToGrid w:val="0"/>
          <w:sz w:val="18"/>
          <w:szCs w:val="20"/>
        </w:rPr>
      </w:pPr>
      <w:r w:rsidRPr="006755D5">
        <w:rPr>
          <w:rFonts w:ascii="Arial Narrow" w:eastAsia="Times New Roman" w:hAnsi="Arial Narrow" w:cs="Arial"/>
          <w:snapToGrid w:val="0"/>
          <w:sz w:val="18"/>
          <w:szCs w:val="20"/>
        </w:rPr>
        <w:t xml:space="preserve">Note: Proposed changes to the current MBS item descriptors are marked in blue italics. </w:t>
      </w:r>
    </w:p>
    <w:tbl>
      <w:tblPr>
        <w:tblStyle w:val="HealthConsult1"/>
        <w:tblW w:w="0" w:type="auto"/>
        <w:tblInd w:w="0" w:type="dxa"/>
        <w:tblLook w:val="04A0" w:firstRow="1" w:lastRow="0" w:firstColumn="1" w:lastColumn="0" w:noHBand="0" w:noVBand="1"/>
      </w:tblPr>
      <w:tblGrid>
        <w:gridCol w:w="9016"/>
      </w:tblGrid>
      <w:tr w:rsidR="00647A89" w:rsidRPr="006755D5" w14:paraId="7593732F"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hideMark/>
          </w:tcPr>
          <w:p w14:paraId="78C696C8"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lastRenderedPageBreak/>
              <w:t>Category 3 – THERAPEUTIC PROCEDURES</w:t>
            </w:r>
          </w:p>
        </w:tc>
      </w:tr>
      <w:tr w:rsidR="00647A89" w:rsidRPr="006755D5" w14:paraId="29FA42B1"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tcPr>
          <w:p w14:paraId="34B6CE15"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MBS item 40854</w:t>
            </w:r>
          </w:p>
          <w:p w14:paraId="640CC6C8"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DEEP BRAIN STIMULATION (unilateral) revision or removal of brain electrode for the treatment of:</w:t>
            </w:r>
          </w:p>
          <w:p w14:paraId="5932C79D"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Parkinson's disease where the patient's response to medical therapy is not sustained and is accompanied by unacceptable motor fluctuations; or</w:t>
            </w:r>
          </w:p>
          <w:p w14:paraId="0C20AD87"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Essential tremor or dystonia where the patient's symptoms cause severe disability.</w:t>
            </w:r>
          </w:p>
          <w:p w14:paraId="5CADBF33"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i/>
                <w:iCs/>
                <w:color w:val="0070C0"/>
                <w:sz w:val="20"/>
                <w:szCs w:val="20"/>
              </w:rPr>
              <w:t>Severe obsessive-compulsive disorder where the patient has a Yale-Brown Obsessive Compulsive Scale Score of greater than 24/40 despite three trials of selective serotonin reuptake inhibitors, one trial of clomipramine and at least one attempted course of psychotherapy incorporating exposure and response prevention.</w:t>
            </w:r>
          </w:p>
          <w:p w14:paraId="108CF959"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Multiple Operation Rule</w:t>
            </w:r>
          </w:p>
          <w:p w14:paraId="0B467B71"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(Anaes.)</w:t>
            </w:r>
          </w:p>
        </w:tc>
      </w:tr>
      <w:tr w:rsidR="00647A89" w:rsidRPr="006755D5" w14:paraId="45D25485"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00DD5353"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Fee: $556.45 Benefit: 75% = $417.35</w:t>
            </w:r>
          </w:p>
        </w:tc>
      </w:tr>
    </w:tbl>
    <w:p w14:paraId="257112F3" w14:textId="77777777" w:rsidR="00BD0C69" w:rsidRDefault="00BD0C69" w:rsidP="00BD0C69">
      <w:pPr>
        <w:widowControl w:val="0"/>
        <w:spacing w:before="0" w:after="120" w:line="240" w:lineRule="auto"/>
        <w:jc w:val="both"/>
        <w:rPr>
          <w:rFonts w:ascii="Arial Narrow" w:eastAsia="Times New Roman" w:hAnsi="Arial Narrow" w:cs="Arial"/>
          <w:snapToGrid w:val="0"/>
          <w:sz w:val="18"/>
          <w:szCs w:val="20"/>
        </w:rPr>
      </w:pPr>
      <w:r>
        <w:rPr>
          <w:rFonts w:ascii="Arial Narrow" w:eastAsia="Times New Roman" w:hAnsi="Arial Narrow" w:cs="Arial"/>
          <w:snapToGrid w:val="0"/>
          <w:sz w:val="18"/>
          <w:szCs w:val="20"/>
        </w:rPr>
        <w:t>Abbreviations: MBS= Medicare Benefits Scheme</w:t>
      </w:r>
    </w:p>
    <w:p w14:paraId="31014317" w14:textId="77777777" w:rsidR="00647A89" w:rsidRPr="006755D5" w:rsidRDefault="00647A89" w:rsidP="00647A89">
      <w:pPr>
        <w:widowControl w:val="0"/>
        <w:spacing w:before="0" w:after="120" w:line="240" w:lineRule="auto"/>
        <w:jc w:val="both"/>
        <w:rPr>
          <w:rFonts w:ascii="Arial Narrow" w:eastAsia="Times New Roman" w:hAnsi="Arial Narrow" w:cs="Arial"/>
          <w:snapToGrid w:val="0"/>
          <w:sz w:val="18"/>
          <w:szCs w:val="20"/>
        </w:rPr>
      </w:pPr>
      <w:r w:rsidRPr="006755D5">
        <w:rPr>
          <w:rFonts w:ascii="Arial Narrow" w:eastAsia="Times New Roman" w:hAnsi="Arial Narrow" w:cs="Arial"/>
          <w:snapToGrid w:val="0"/>
          <w:sz w:val="18"/>
          <w:szCs w:val="20"/>
        </w:rPr>
        <w:t xml:space="preserve">Note: Proposed changes to the current MBS item descriptors are marked in blue italics. </w:t>
      </w:r>
    </w:p>
    <w:tbl>
      <w:tblPr>
        <w:tblStyle w:val="HealthConsult1"/>
        <w:tblW w:w="0" w:type="auto"/>
        <w:tblInd w:w="0" w:type="dxa"/>
        <w:tblLook w:val="04A0" w:firstRow="1" w:lastRow="0" w:firstColumn="1" w:lastColumn="0" w:noHBand="0" w:noVBand="1"/>
      </w:tblPr>
      <w:tblGrid>
        <w:gridCol w:w="9016"/>
      </w:tblGrid>
      <w:tr w:rsidR="00647A89" w:rsidRPr="006755D5" w14:paraId="415A9FB9"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hideMark/>
          </w:tcPr>
          <w:p w14:paraId="1877A751"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Category 3 – THERAPEUTIC PROCEDURES</w:t>
            </w:r>
          </w:p>
        </w:tc>
      </w:tr>
      <w:tr w:rsidR="00647A89" w:rsidRPr="006755D5" w14:paraId="684DA23D"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tcPr>
          <w:p w14:paraId="4CAE591E"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MBS item 40856</w:t>
            </w:r>
          </w:p>
          <w:p w14:paraId="579DB6BA"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DEEP BRAIN STIMULATION (unilateral) removal or replacement of neurostimulator receiver or pulse generator for the treatment of:</w:t>
            </w:r>
          </w:p>
          <w:p w14:paraId="5877EDD0"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Parkinson's disease where the patient's response to medical therapy is not sustained and is accompanied by unacceptable motor fluctuations; or</w:t>
            </w:r>
          </w:p>
          <w:p w14:paraId="0BEB2227"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Essential tremor or dystonia where the patient's symptoms cause severe disability.</w:t>
            </w:r>
          </w:p>
          <w:p w14:paraId="5689E09F"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i/>
                <w:iCs/>
                <w:color w:val="0070C0"/>
                <w:sz w:val="20"/>
                <w:szCs w:val="20"/>
              </w:rPr>
              <w:t>Severe obsessive-compulsive disorder where the patient has a Yale-Brown Obsessive Compulsive Scale Score of greater than 24/40 despite three trials of selective serotonin reuptake inhibitors, one trial of clomipramine and at least one attempted course of psychotherapy incorporating exposure and response prevention.</w:t>
            </w:r>
          </w:p>
          <w:p w14:paraId="027B2548"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Multiple Operation Rule</w:t>
            </w:r>
          </w:p>
          <w:p w14:paraId="4951F5C0"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(Anaes.)</w:t>
            </w:r>
          </w:p>
        </w:tc>
      </w:tr>
      <w:tr w:rsidR="00647A89" w:rsidRPr="006755D5" w14:paraId="4B7FB053"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0555E6B0"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Fee: $270.05 Benefit: 75% = $202.55</w:t>
            </w:r>
          </w:p>
        </w:tc>
      </w:tr>
    </w:tbl>
    <w:p w14:paraId="31A3DAE3" w14:textId="77777777" w:rsidR="00BD0C69" w:rsidRDefault="00BD0C69" w:rsidP="00BD0C69">
      <w:pPr>
        <w:widowControl w:val="0"/>
        <w:spacing w:before="0" w:after="120" w:line="240" w:lineRule="auto"/>
        <w:jc w:val="both"/>
        <w:rPr>
          <w:rFonts w:ascii="Arial Narrow" w:eastAsia="Times New Roman" w:hAnsi="Arial Narrow" w:cs="Arial"/>
          <w:snapToGrid w:val="0"/>
          <w:sz w:val="18"/>
          <w:szCs w:val="20"/>
        </w:rPr>
      </w:pPr>
      <w:r>
        <w:rPr>
          <w:rFonts w:ascii="Arial Narrow" w:eastAsia="Times New Roman" w:hAnsi="Arial Narrow" w:cs="Arial"/>
          <w:snapToGrid w:val="0"/>
          <w:sz w:val="18"/>
          <w:szCs w:val="20"/>
        </w:rPr>
        <w:t>Abbreviations: MBS= Medicare Benefits Scheme</w:t>
      </w:r>
    </w:p>
    <w:p w14:paraId="7C9C3771" w14:textId="77777777" w:rsidR="00647A89" w:rsidRPr="006755D5" w:rsidRDefault="00647A89" w:rsidP="00647A89">
      <w:pPr>
        <w:widowControl w:val="0"/>
        <w:spacing w:before="0" w:after="120" w:line="240" w:lineRule="auto"/>
        <w:jc w:val="both"/>
        <w:rPr>
          <w:rFonts w:ascii="Arial Narrow" w:eastAsia="Times New Roman" w:hAnsi="Arial Narrow" w:cs="Arial"/>
          <w:snapToGrid w:val="0"/>
          <w:sz w:val="18"/>
          <w:szCs w:val="20"/>
        </w:rPr>
      </w:pPr>
      <w:r w:rsidRPr="006755D5">
        <w:rPr>
          <w:rFonts w:ascii="Arial Narrow" w:eastAsia="Times New Roman" w:hAnsi="Arial Narrow" w:cs="Arial"/>
          <w:snapToGrid w:val="0"/>
          <w:sz w:val="18"/>
          <w:szCs w:val="20"/>
        </w:rPr>
        <w:t xml:space="preserve">Note: Proposed changes to the current MBS item descriptors are marked in blue italics. </w:t>
      </w:r>
    </w:p>
    <w:tbl>
      <w:tblPr>
        <w:tblStyle w:val="HealthConsult1"/>
        <w:tblW w:w="5000" w:type="pct"/>
        <w:tblInd w:w="0" w:type="dxa"/>
        <w:tblLook w:val="04A0" w:firstRow="1" w:lastRow="0" w:firstColumn="1" w:lastColumn="0" w:noHBand="0" w:noVBand="1"/>
      </w:tblPr>
      <w:tblGrid>
        <w:gridCol w:w="9016"/>
      </w:tblGrid>
      <w:tr w:rsidR="00647A89" w:rsidRPr="006755D5" w14:paraId="18768B06" w14:textId="77777777" w:rsidTr="008A363D">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1007DB58"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Category 3 – THERAPEUTIC PROCEDURES</w:t>
            </w:r>
          </w:p>
        </w:tc>
      </w:tr>
      <w:tr w:rsidR="00647A89" w:rsidRPr="006755D5" w14:paraId="6C510F75" w14:textId="77777777" w:rsidTr="008A363D">
        <w:trPr>
          <w:cantSplit/>
          <w:tblHeader/>
        </w:trPr>
        <w:tc>
          <w:tcPr>
            <w:tcW w:w="5000" w:type="pct"/>
            <w:tcBorders>
              <w:top w:val="single" w:sz="4" w:space="0" w:color="auto"/>
              <w:left w:val="single" w:sz="4" w:space="0" w:color="auto"/>
              <w:bottom w:val="single" w:sz="4" w:space="0" w:color="auto"/>
              <w:right w:val="single" w:sz="4" w:space="0" w:color="auto"/>
            </w:tcBorders>
          </w:tcPr>
          <w:p w14:paraId="16C026AB"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MBS item 40858</w:t>
            </w:r>
          </w:p>
          <w:p w14:paraId="64983E84" w14:textId="1EDFF3DC"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DEEP BRAIN STIMULATION (unilateral) placement, removal or replacement of extension lead for the treatment of:</w:t>
            </w:r>
          </w:p>
          <w:p w14:paraId="3FA34A56"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Parkinson's disease where the patient's response to medical therapy is not sustained and is accompanied by unacceptable motor fluctuations; or</w:t>
            </w:r>
          </w:p>
          <w:p w14:paraId="76678CCC"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Essential tremor or dystonia where the patient's symptoms cause severe disability.</w:t>
            </w:r>
          </w:p>
          <w:p w14:paraId="7D9159DA" w14:textId="109AF6F9"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i/>
                <w:iCs/>
                <w:color w:val="0070C0"/>
                <w:sz w:val="20"/>
                <w:szCs w:val="20"/>
              </w:rPr>
              <w:t xml:space="preserve">Severe obsessive-compulsive disorder where the patient has a Yale-Brown Obsessive Compulsive Scale </w:t>
            </w:r>
            <w:r w:rsidR="00ED26B0">
              <w:rPr>
                <w:rFonts w:ascii="Arial Narrow" w:eastAsia="Calibri" w:hAnsi="Arial Narrow" w:cs="Times New Roman"/>
                <w:i/>
                <w:iCs/>
                <w:color w:val="0070C0"/>
                <w:sz w:val="20"/>
                <w:szCs w:val="20"/>
              </w:rPr>
              <w:t>s</w:t>
            </w:r>
            <w:r w:rsidR="00ED26B0" w:rsidRPr="006755D5">
              <w:rPr>
                <w:rFonts w:ascii="Arial Narrow" w:eastAsia="Calibri" w:hAnsi="Arial Narrow" w:cs="Times New Roman"/>
                <w:i/>
                <w:iCs/>
                <w:color w:val="0070C0"/>
                <w:sz w:val="20"/>
                <w:szCs w:val="20"/>
              </w:rPr>
              <w:t xml:space="preserve">core </w:t>
            </w:r>
            <w:r w:rsidRPr="006755D5">
              <w:rPr>
                <w:rFonts w:ascii="Arial Narrow" w:eastAsia="Calibri" w:hAnsi="Arial Narrow" w:cs="Times New Roman"/>
                <w:i/>
                <w:iCs/>
                <w:color w:val="0070C0"/>
                <w:sz w:val="20"/>
                <w:szCs w:val="20"/>
              </w:rPr>
              <w:t>of greater than 24/40 despite three trials of selective serotonin reuptake inhibitors, one trial of clomipramine</w:t>
            </w:r>
            <w:r w:rsidR="00ED26B0">
              <w:rPr>
                <w:rFonts w:ascii="Arial Narrow" w:eastAsia="Calibri" w:hAnsi="Arial Narrow" w:cs="Times New Roman"/>
                <w:i/>
                <w:iCs/>
                <w:color w:val="0070C0"/>
                <w:sz w:val="20"/>
                <w:szCs w:val="20"/>
              </w:rPr>
              <w:t>,</w:t>
            </w:r>
            <w:r w:rsidRPr="006755D5">
              <w:rPr>
                <w:rFonts w:ascii="Arial Narrow" w:eastAsia="Calibri" w:hAnsi="Arial Narrow" w:cs="Times New Roman"/>
                <w:i/>
                <w:iCs/>
                <w:color w:val="0070C0"/>
                <w:sz w:val="20"/>
                <w:szCs w:val="20"/>
              </w:rPr>
              <w:t xml:space="preserve"> and at least one attempted course of psychotherapy incorporating exposure and response prevention.</w:t>
            </w:r>
          </w:p>
          <w:p w14:paraId="4C310831"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Multiple Operation Rule</w:t>
            </w:r>
          </w:p>
          <w:p w14:paraId="10140D5B"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(Anaes.)</w:t>
            </w:r>
          </w:p>
        </w:tc>
      </w:tr>
      <w:tr w:rsidR="00647A89" w:rsidRPr="006755D5" w14:paraId="0FE27AA1" w14:textId="77777777" w:rsidTr="008A363D">
        <w:trPr>
          <w:cantSplit/>
          <w:tblHeader/>
        </w:trPr>
        <w:tc>
          <w:tcPr>
            <w:tcW w:w="5000" w:type="pct"/>
            <w:tcBorders>
              <w:top w:val="single" w:sz="4" w:space="0" w:color="auto"/>
              <w:left w:val="single" w:sz="4" w:space="0" w:color="auto"/>
              <w:bottom w:val="single" w:sz="4" w:space="0" w:color="auto"/>
              <w:right w:val="single" w:sz="4" w:space="0" w:color="auto"/>
            </w:tcBorders>
            <w:vAlign w:val="center"/>
          </w:tcPr>
          <w:p w14:paraId="7CCAEC91"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Fee: $556.45 Benefit: 75% = $417.35</w:t>
            </w:r>
          </w:p>
        </w:tc>
      </w:tr>
    </w:tbl>
    <w:p w14:paraId="2BF402EB" w14:textId="77777777" w:rsidR="00BD0C69" w:rsidRDefault="00BD0C69" w:rsidP="00BD0C69">
      <w:pPr>
        <w:widowControl w:val="0"/>
        <w:spacing w:before="0" w:after="120" w:line="240" w:lineRule="auto"/>
        <w:jc w:val="both"/>
        <w:rPr>
          <w:rFonts w:ascii="Arial Narrow" w:eastAsia="Times New Roman" w:hAnsi="Arial Narrow" w:cs="Arial"/>
          <w:snapToGrid w:val="0"/>
          <w:sz w:val="18"/>
          <w:szCs w:val="20"/>
        </w:rPr>
      </w:pPr>
      <w:r>
        <w:rPr>
          <w:rFonts w:ascii="Arial Narrow" w:eastAsia="Times New Roman" w:hAnsi="Arial Narrow" w:cs="Arial"/>
          <w:snapToGrid w:val="0"/>
          <w:sz w:val="18"/>
          <w:szCs w:val="20"/>
        </w:rPr>
        <w:t>Abbreviations: MBS= Medicare Benefits Scheme</w:t>
      </w:r>
    </w:p>
    <w:p w14:paraId="7E872104" w14:textId="77777777" w:rsidR="00647A89" w:rsidRPr="006755D5" w:rsidRDefault="00647A89" w:rsidP="00647A89">
      <w:pPr>
        <w:widowControl w:val="0"/>
        <w:spacing w:before="0" w:after="120" w:line="240" w:lineRule="auto"/>
        <w:jc w:val="both"/>
        <w:rPr>
          <w:rFonts w:ascii="Arial Narrow" w:eastAsia="Times New Roman" w:hAnsi="Arial Narrow" w:cs="Arial"/>
          <w:snapToGrid w:val="0"/>
          <w:sz w:val="18"/>
          <w:szCs w:val="20"/>
        </w:rPr>
      </w:pPr>
      <w:r w:rsidRPr="006755D5">
        <w:rPr>
          <w:rFonts w:ascii="Arial Narrow" w:eastAsia="Times New Roman" w:hAnsi="Arial Narrow" w:cs="Arial"/>
          <w:snapToGrid w:val="0"/>
          <w:sz w:val="18"/>
          <w:szCs w:val="20"/>
        </w:rPr>
        <w:t xml:space="preserve">Note: Proposed changes to the current MBS item descriptors are marked in blue italics. </w:t>
      </w:r>
    </w:p>
    <w:tbl>
      <w:tblPr>
        <w:tblStyle w:val="HealthConsult1"/>
        <w:tblW w:w="0" w:type="auto"/>
        <w:tblInd w:w="0" w:type="dxa"/>
        <w:tblLook w:val="04A0" w:firstRow="1" w:lastRow="0" w:firstColumn="1" w:lastColumn="0" w:noHBand="0" w:noVBand="1"/>
      </w:tblPr>
      <w:tblGrid>
        <w:gridCol w:w="9016"/>
      </w:tblGrid>
      <w:tr w:rsidR="00647A89" w:rsidRPr="006755D5" w14:paraId="2D1A6A06"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hideMark/>
          </w:tcPr>
          <w:p w14:paraId="210A8EF1"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lastRenderedPageBreak/>
              <w:t>Category 3 – THERAPEUTIC PROCEDURES</w:t>
            </w:r>
          </w:p>
        </w:tc>
      </w:tr>
      <w:tr w:rsidR="00647A89" w:rsidRPr="006755D5" w14:paraId="0B865FBE"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tcPr>
          <w:p w14:paraId="6962440A"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MBS item 40860</w:t>
            </w:r>
          </w:p>
          <w:p w14:paraId="79D927FE"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DEEP BRAIN STIMULATION (unilateral) target localisation incorporating anatomical and physiological techniques, including intra-operative clinical evaluation, for the insertion of a single neurostimulation wire for the treatment of:</w:t>
            </w:r>
          </w:p>
          <w:p w14:paraId="1AE03EDA"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Parkinson's disease where the patient's response to medical therapy is not sustained and is accompanied by unacceptable motor fluctuations; or</w:t>
            </w:r>
          </w:p>
          <w:p w14:paraId="27D7E32D"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Essential tremor or dystonia where the patient's symptoms cause severe disability.</w:t>
            </w:r>
          </w:p>
          <w:p w14:paraId="2032EEBF" w14:textId="24015CD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i/>
                <w:iCs/>
                <w:color w:val="0070C0"/>
                <w:sz w:val="20"/>
                <w:szCs w:val="20"/>
              </w:rPr>
              <w:t xml:space="preserve">Severe obsessive-compulsive disorder where the patient has a Yale-Brown Obsessive Compulsive Scale </w:t>
            </w:r>
            <w:r w:rsidR="00ED26B0">
              <w:rPr>
                <w:rFonts w:ascii="Arial Narrow" w:eastAsia="Calibri" w:hAnsi="Arial Narrow" w:cs="Times New Roman"/>
                <w:i/>
                <w:iCs/>
                <w:color w:val="0070C0"/>
                <w:sz w:val="20"/>
                <w:szCs w:val="20"/>
              </w:rPr>
              <w:t>s</w:t>
            </w:r>
            <w:r w:rsidR="00ED26B0" w:rsidRPr="006755D5">
              <w:rPr>
                <w:rFonts w:ascii="Arial Narrow" w:eastAsia="Calibri" w:hAnsi="Arial Narrow" w:cs="Times New Roman"/>
                <w:i/>
                <w:iCs/>
                <w:color w:val="0070C0"/>
                <w:sz w:val="20"/>
                <w:szCs w:val="20"/>
              </w:rPr>
              <w:t xml:space="preserve">core </w:t>
            </w:r>
            <w:r w:rsidRPr="006755D5">
              <w:rPr>
                <w:rFonts w:ascii="Arial Narrow" w:eastAsia="Calibri" w:hAnsi="Arial Narrow" w:cs="Times New Roman"/>
                <w:i/>
                <w:iCs/>
                <w:color w:val="0070C0"/>
                <w:sz w:val="20"/>
                <w:szCs w:val="20"/>
              </w:rPr>
              <w:t>of greater than 24/40 despite three</w:t>
            </w:r>
            <w:r w:rsidR="00790296">
              <w:rPr>
                <w:rFonts w:ascii="Arial Narrow" w:eastAsia="Calibri" w:hAnsi="Arial Narrow" w:cs="Times New Roman"/>
                <w:i/>
                <w:iCs/>
                <w:color w:val="0070C0"/>
                <w:sz w:val="20"/>
                <w:szCs w:val="20"/>
              </w:rPr>
              <w:t xml:space="preserve"> </w:t>
            </w:r>
            <w:r w:rsidRPr="006755D5">
              <w:rPr>
                <w:rFonts w:ascii="Arial Narrow" w:eastAsia="Calibri" w:hAnsi="Arial Narrow" w:cs="Times New Roman"/>
                <w:i/>
                <w:iCs/>
                <w:color w:val="0070C0"/>
                <w:sz w:val="20"/>
                <w:szCs w:val="20"/>
              </w:rPr>
              <w:t>trials of selective serotonin reuptake inhibitors, one trial of clomipramine</w:t>
            </w:r>
            <w:r w:rsidR="00080574">
              <w:rPr>
                <w:rFonts w:ascii="Arial Narrow" w:eastAsia="Calibri" w:hAnsi="Arial Narrow" w:cs="Times New Roman"/>
                <w:i/>
                <w:iCs/>
                <w:color w:val="0070C0"/>
                <w:sz w:val="20"/>
                <w:szCs w:val="20"/>
              </w:rPr>
              <w:t>,</w:t>
            </w:r>
            <w:r w:rsidRPr="006755D5">
              <w:rPr>
                <w:rFonts w:ascii="Arial Narrow" w:eastAsia="Calibri" w:hAnsi="Arial Narrow" w:cs="Times New Roman"/>
                <w:i/>
                <w:iCs/>
                <w:color w:val="0070C0"/>
                <w:sz w:val="20"/>
                <w:szCs w:val="20"/>
              </w:rPr>
              <w:t xml:space="preserve"> and at least one attempted course of psychotherapy incorporating exposure and response prevention.</w:t>
            </w:r>
          </w:p>
          <w:p w14:paraId="5CFDCE1B"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Multiple Operation Rule</w:t>
            </w:r>
          </w:p>
          <w:p w14:paraId="0FD8CEE8" w14:textId="77777777" w:rsidR="00647A89" w:rsidRPr="006755D5" w:rsidRDefault="00647A89">
            <w:pPr>
              <w:spacing w:after="120"/>
              <w:rPr>
                <w:rFonts w:ascii="Arial Narrow" w:eastAsia="Calibri" w:hAnsi="Arial Narrow" w:cs="Times New Roman"/>
                <w:sz w:val="20"/>
                <w:szCs w:val="20"/>
              </w:rPr>
            </w:pPr>
            <w:r w:rsidRPr="006755D5">
              <w:rPr>
                <w:rFonts w:ascii="Arial Narrow" w:eastAsia="Calibri" w:hAnsi="Arial Narrow" w:cs="Times New Roman"/>
                <w:sz w:val="20"/>
                <w:szCs w:val="20"/>
              </w:rPr>
              <w:t>(Anaes.)</w:t>
            </w:r>
          </w:p>
        </w:tc>
      </w:tr>
      <w:tr w:rsidR="00647A89" w:rsidRPr="006755D5" w14:paraId="397119F4"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3D13BE1C"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Fee: $2,138.30 Benefit: 75% = $1,603.75</w:t>
            </w:r>
          </w:p>
        </w:tc>
      </w:tr>
    </w:tbl>
    <w:p w14:paraId="5FD1246A" w14:textId="77777777" w:rsidR="00BD0C69" w:rsidRDefault="00BD0C69" w:rsidP="00BD0C69">
      <w:pPr>
        <w:widowControl w:val="0"/>
        <w:spacing w:before="0" w:after="120" w:line="240" w:lineRule="auto"/>
        <w:jc w:val="both"/>
        <w:rPr>
          <w:rFonts w:ascii="Arial Narrow" w:eastAsia="Times New Roman" w:hAnsi="Arial Narrow" w:cs="Arial"/>
          <w:snapToGrid w:val="0"/>
          <w:sz w:val="18"/>
          <w:szCs w:val="20"/>
        </w:rPr>
      </w:pPr>
      <w:r>
        <w:rPr>
          <w:rFonts w:ascii="Arial Narrow" w:eastAsia="Times New Roman" w:hAnsi="Arial Narrow" w:cs="Arial"/>
          <w:snapToGrid w:val="0"/>
          <w:sz w:val="18"/>
          <w:szCs w:val="20"/>
        </w:rPr>
        <w:t>Abbreviations: MBS= Medicare Benefits Scheme</w:t>
      </w:r>
    </w:p>
    <w:p w14:paraId="42FD810E" w14:textId="77777777" w:rsidR="00647A89" w:rsidRPr="006755D5" w:rsidRDefault="00647A89" w:rsidP="00647A89">
      <w:pPr>
        <w:widowControl w:val="0"/>
        <w:spacing w:before="0" w:after="120" w:line="240" w:lineRule="auto"/>
        <w:jc w:val="both"/>
        <w:rPr>
          <w:rFonts w:ascii="Arial Narrow" w:eastAsia="Times New Roman" w:hAnsi="Arial Narrow" w:cs="Arial"/>
          <w:snapToGrid w:val="0"/>
          <w:sz w:val="18"/>
          <w:szCs w:val="20"/>
        </w:rPr>
      </w:pPr>
      <w:r w:rsidRPr="006755D5">
        <w:rPr>
          <w:rFonts w:ascii="Arial Narrow" w:eastAsia="Times New Roman" w:hAnsi="Arial Narrow" w:cs="Arial"/>
          <w:snapToGrid w:val="0"/>
          <w:sz w:val="18"/>
          <w:szCs w:val="20"/>
        </w:rPr>
        <w:t xml:space="preserve">Note: Proposed changes to the current MBS item descriptors are marked in blue italics. </w:t>
      </w:r>
    </w:p>
    <w:tbl>
      <w:tblPr>
        <w:tblStyle w:val="HealthConsult1"/>
        <w:tblW w:w="0" w:type="auto"/>
        <w:tblInd w:w="0" w:type="dxa"/>
        <w:tblLook w:val="04A0" w:firstRow="1" w:lastRow="0" w:firstColumn="1" w:lastColumn="0" w:noHBand="0" w:noVBand="1"/>
      </w:tblPr>
      <w:tblGrid>
        <w:gridCol w:w="9016"/>
      </w:tblGrid>
      <w:tr w:rsidR="00647A89" w:rsidRPr="006755D5" w14:paraId="25872327"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hideMark/>
          </w:tcPr>
          <w:p w14:paraId="124CC0A5" w14:textId="77777777" w:rsidR="00647A89" w:rsidRPr="006755D5" w:rsidRDefault="00647A89" w:rsidP="00AE2C00">
            <w:pPr>
              <w:keepNext/>
              <w:keepLines/>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Category 3 – THERAPEUTIC PROCEDURES</w:t>
            </w:r>
          </w:p>
        </w:tc>
      </w:tr>
      <w:tr w:rsidR="00647A89" w:rsidRPr="006755D5" w14:paraId="4BDCA26A"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tcPr>
          <w:p w14:paraId="4C5C6543"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MBS item 40862</w:t>
            </w:r>
          </w:p>
          <w:p w14:paraId="0FA589DE"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DEEP BRAIN STIMULATION (unilateral) electronic analysis and programming of neurostimulator pulse generator for the treatment of:</w:t>
            </w:r>
          </w:p>
          <w:p w14:paraId="5CA6CAE9"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Parkinson's disease where the patient's response to medical therapy is not sustained and is accompanied by unacceptable motor fluctuations; or</w:t>
            </w:r>
          </w:p>
          <w:p w14:paraId="05C32E81"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Essential tremor or dystonia where the patient's symptoms cause severe disability.</w:t>
            </w:r>
          </w:p>
          <w:p w14:paraId="2BDBC6E2" w14:textId="6353684A"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i/>
                <w:iCs/>
                <w:color w:val="0070C0"/>
                <w:sz w:val="20"/>
                <w:szCs w:val="20"/>
              </w:rPr>
              <w:t xml:space="preserve">Severe obsessive-compulsive disorder where the patient has a Yale-Brown Obsessive Compulsive Scale </w:t>
            </w:r>
            <w:r w:rsidR="00ED26B0">
              <w:rPr>
                <w:rFonts w:ascii="Arial Narrow" w:eastAsia="Calibri" w:hAnsi="Arial Narrow" w:cs="Times New Roman"/>
                <w:i/>
                <w:iCs/>
                <w:color w:val="0070C0"/>
                <w:sz w:val="20"/>
                <w:szCs w:val="20"/>
              </w:rPr>
              <w:t>s</w:t>
            </w:r>
            <w:r w:rsidRPr="006755D5">
              <w:rPr>
                <w:rFonts w:ascii="Arial Narrow" w:eastAsia="Calibri" w:hAnsi="Arial Narrow" w:cs="Times New Roman"/>
                <w:i/>
                <w:iCs/>
                <w:color w:val="0070C0"/>
                <w:sz w:val="20"/>
                <w:szCs w:val="20"/>
              </w:rPr>
              <w:t>core of greater than 24/40 despite three trials of selective serotonin reuptake inhibitors, one trial of clomipramine</w:t>
            </w:r>
            <w:r w:rsidR="00ED26B0">
              <w:rPr>
                <w:rFonts w:ascii="Arial Narrow" w:eastAsia="Calibri" w:hAnsi="Arial Narrow" w:cs="Times New Roman"/>
                <w:i/>
                <w:iCs/>
                <w:color w:val="0070C0"/>
                <w:sz w:val="20"/>
                <w:szCs w:val="20"/>
              </w:rPr>
              <w:t>,</w:t>
            </w:r>
            <w:r w:rsidRPr="006755D5">
              <w:rPr>
                <w:rFonts w:ascii="Arial Narrow" w:eastAsia="Calibri" w:hAnsi="Arial Narrow" w:cs="Times New Roman"/>
                <w:i/>
                <w:iCs/>
                <w:color w:val="0070C0"/>
                <w:sz w:val="20"/>
                <w:szCs w:val="20"/>
              </w:rPr>
              <w:t xml:space="preserve"> and at least one attempted</w:t>
            </w:r>
            <w:r w:rsidR="00ED26B0">
              <w:rPr>
                <w:rFonts w:ascii="Arial Narrow" w:eastAsia="Calibri" w:hAnsi="Arial Narrow" w:cs="Times New Roman"/>
                <w:i/>
                <w:iCs/>
                <w:color w:val="0070C0"/>
                <w:sz w:val="20"/>
                <w:szCs w:val="20"/>
              </w:rPr>
              <w:t xml:space="preserve"> </w:t>
            </w:r>
            <w:r w:rsidRPr="006755D5">
              <w:rPr>
                <w:rFonts w:ascii="Arial Narrow" w:eastAsia="Calibri" w:hAnsi="Arial Narrow" w:cs="Times New Roman"/>
                <w:i/>
                <w:iCs/>
                <w:color w:val="0070C0"/>
                <w:sz w:val="20"/>
                <w:szCs w:val="20"/>
              </w:rPr>
              <w:t>course of psychotherapy incorporating exposure and response prevention.</w:t>
            </w:r>
          </w:p>
          <w:p w14:paraId="29699289"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Multiple Operation Rule</w:t>
            </w:r>
          </w:p>
          <w:p w14:paraId="522761B8" w14:textId="77777777" w:rsidR="00647A89" w:rsidRPr="006755D5" w:rsidRDefault="00647A89" w:rsidP="00AE2C00">
            <w:pPr>
              <w:keepNext/>
              <w:keepLines/>
              <w:spacing w:after="120"/>
              <w:rPr>
                <w:rFonts w:ascii="Arial Narrow" w:eastAsia="Calibri" w:hAnsi="Arial Narrow" w:cs="Times New Roman"/>
                <w:sz w:val="20"/>
                <w:szCs w:val="20"/>
              </w:rPr>
            </w:pPr>
            <w:r w:rsidRPr="006755D5">
              <w:rPr>
                <w:rFonts w:ascii="Arial Narrow" w:eastAsia="Calibri" w:hAnsi="Arial Narrow" w:cs="Times New Roman"/>
                <w:sz w:val="20"/>
                <w:szCs w:val="20"/>
              </w:rPr>
              <w:t>(Anaes.)</w:t>
            </w:r>
          </w:p>
        </w:tc>
      </w:tr>
      <w:tr w:rsidR="00647A89" w:rsidRPr="006755D5" w14:paraId="0B3EDAE3" w14:textId="77777777" w:rsidTr="00BD0C69">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6A4F9CCA" w14:textId="77777777" w:rsidR="00647A89" w:rsidRPr="006755D5" w:rsidRDefault="00647A89">
            <w:pPr>
              <w:spacing w:before="40" w:after="40"/>
              <w:rPr>
                <w:rFonts w:ascii="Arial Narrow" w:eastAsia="Calibri" w:hAnsi="Arial Narrow" w:cs="Times New Roman"/>
                <w:sz w:val="20"/>
                <w:szCs w:val="20"/>
              </w:rPr>
            </w:pPr>
            <w:r w:rsidRPr="006755D5">
              <w:rPr>
                <w:rFonts w:ascii="Arial Narrow" w:eastAsia="Calibri" w:hAnsi="Arial Narrow" w:cs="Times New Roman"/>
                <w:sz w:val="20"/>
                <w:szCs w:val="20"/>
              </w:rPr>
              <w:t>Fee: $200.55 Benefit: 75% = $150.45 85% = $170.50</w:t>
            </w:r>
          </w:p>
        </w:tc>
      </w:tr>
    </w:tbl>
    <w:p w14:paraId="055FE05B" w14:textId="32AACA9E" w:rsidR="00647A89" w:rsidRPr="006755D5" w:rsidRDefault="00BD0C69" w:rsidP="00297341">
      <w:pPr>
        <w:widowControl w:val="0"/>
        <w:spacing w:before="0" w:after="120" w:line="240" w:lineRule="auto"/>
        <w:rPr>
          <w:rFonts w:ascii="Arial Narrow" w:eastAsia="Times New Roman" w:hAnsi="Arial Narrow" w:cs="Arial"/>
          <w:snapToGrid w:val="0"/>
          <w:sz w:val="18"/>
          <w:szCs w:val="20"/>
        </w:rPr>
      </w:pPr>
      <w:r>
        <w:rPr>
          <w:rFonts w:ascii="Arial Narrow" w:eastAsia="Times New Roman" w:hAnsi="Arial Narrow" w:cs="Arial"/>
          <w:snapToGrid w:val="0"/>
          <w:sz w:val="18"/>
          <w:szCs w:val="20"/>
        </w:rPr>
        <w:t>Abbreviations: MBS= Medicare Benefits Scheme</w:t>
      </w:r>
      <w:r w:rsidR="00297341">
        <w:rPr>
          <w:rFonts w:ascii="Arial Narrow" w:eastAsia="Times New Roman" w:hAnsi="Arial Narrow" w:cs="Arial"/>
          <w:snapToGrid w:val="0"/>
          <w:sz w:val="18"/>
          <w:szCs w:val="20"/>
        </w:rPr>
        <w:br/>
      </w:r>
      <w:r w:rsidR="00647A89" w:rsidRPr="006755D5">
        <w:rPr>
          <w:rFonts w:ascii="Arial Narrow" w:eastAsia="Times New Roman" w:hAnsi="Arial Narrow" w:cs="Arial"/>
          <w:snapToGrid w:val="0"/>
          <w:sz w:val="18"/>
          <w:szCs w:val="20"/>
        </w:rPr>
        <w:t xml:space="preserve">Note: Proposed changes to the current MBS item descriptors are marked in blue italics. </w:t>
      </w:r>
    </w:p>
    <w:p w14:paraId="4A2EA4C7" w14:textId="77777777" w:rsidR="00647A89" w:rsidRPr="00147907" w:rsidRDefault="00647A89" w:rsidP="00647A89">
      <w:r w:rsidRPr="00147907">
        <w:t>DBS for treatment-refractory OCD would only be carried out by specialist neurosurgeons and specialist neurologists with relevant additional training and experience in functional neurosurgery.</w:t>
      </w:r>
      <w:r>
        <w:t xml:space="preserve"> The intervention</w:t>
      </w:r>
      <w:r w:rsidRPr="00147907">
        <w:t xml:space="preserve"> would only be provided in a hospital inpatient setting (public or private hospitals).</w:t>
      </w:r>
    </w:p>
    <w:p w14:paraId="7A743617" w14:textId="2A6E8F7B" w:rsidR="00647A89" w:rsidRPr="00147907" w:rsidRDefault="00647A89" w:rsidP="00647A89">
      <w:r w:rsidRPr="00147907">
        <w:t xml:space="preserve">DBS for treatment-refractory OCD is a bilateral procedure in Australia, rather than a staged one as is common in other jurisdictions. Some of the MBS items (40851) are therefore for bilateral procedures. However, MBS items </w:t>
      </w:r>
      <w:r w:rsidR="00CB6C23">
        <w:t>for unilateral procedures</w:t>
      </w:r>
      <w:r w:rsidRPr="00147907">
        <w:t xml:space="preserve"> may be required for revision and replacement procedures. The explanatory notes of the MBS item descriptors could clarify this.</w:t>
      </w:r>
    </w:p>
    <w:p w14:paraId="574BFB5A" w14:textId="77777777" w:rsidR="00647A89" w:rsidRDefault="00647A89" w:rsidP="00647A89">
      <w:r>
        <w:t>The intervention</w:t>
      </w:r>
      <w:r w:rsidRPr="00147907">
        <w:t xml:space="preserve"> would be performed once in the patient’s lifetime. Therefore, a lifetime limit is suggested to be applied for MBS item 40851 (initial insertion/surgery), but not for items on revisions and re-insertions.</w:t>
      </w:r>
    </w:p>
    <w:p w14:paraId="18F69439" w14:textId="77777777" w:rsidR="00647A89" w:rsidRDefault="00647A89" w:rsidP="00647A89">
      <w:r w:rsidRPr="00147907">
        <w:t>The patient is admitted to hospital for a typical duration of 3-4 days. The surgical procedure itself takes 3-4 hours to perform in the hands of an experienced surgical team. Each subsequent programming session takes approximately 30-60 minutes to perform.</w:t>
      </w:r>
    </w:p>
    <w:p w14:paraId="46A11118" w14:textId="7B51032A" w:rsidR="00647A89" w:rsidRPr="00147907" w:rsidRDefault="00647A89" w:rsidP="00647A89">
      <w:r w:rsidRPr="00147907">
        <w:lastRenderedPageBreak/>
        <w:t xml:space="preserve">The device is programmed every 1-2 weeks at the commencement of treatment, but typically stable stimulation settings are obtained after 6-months and thereafter, device programming is generally not carried out at a greater frequency than 6-monthly. </w:t>
      </w:r>
    </w:p>
    <w:p w14:paraId="2C199D03" w14:textId="13AD292F" w:rsidR="00647A89" w:rsidRDefault="00647A89" w:rsidP="00647A89">
      <w:r w:rsidRPr="00147907">
        <w:t>Rarely (in approximately 2-5% of cases) an infection of the device necessitates hardware ex</w:t>
      </w:r>
      <w:r w:rsidR="009C6908">
        <w:t>-</w:t>
      </w:r>
      <w:r w:rsidRPr="00147907">
        <w:t xml:space="preserve">plantation, treatment with antibiotics and reimplantation </w:t>
      </w:r>
      <w:proofErr w:type="gramStart"/>
      <w:r w:rsidRPr="00147907">
        <w:t>at a later date</w:t>
      </w:r>
      <w:proofErr w:type="gramEnd"/>
      <w:r w:rsidR="008A1EA4">
        <w:t xml:space="preserve"> </w:t>
      </w:r>
      <w:r w:rsidR="007F7DD7">
        <w:fldChar w:fldCharType="begin">
          <w:fldData xml:space="preserve">PEVuZE5vdGU+PENpdGU+PEF1dGhvcj5CZXJuc3RlaW48L0F1dGhvcj48WWVhcj4yMDE5PC9ZZWFy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</w:fldData>
        </w:fldChar>
      </w:r>
      <w:r w:rsidR="007F7DD7">
        <w:instrText xml:space="preserve"> ADDIN EN.CITE </w:instrText>
      </w:r>
      <w:r w:rsidR="007F7DD7">
        <w:fldChar w:fldCharType="begin">
          <w:fldData xml:space="preserve">PEVuZE5vdGU+PENpdGU+PEF1dGhvcj5CZXJuc3RlaW48L0F1dGhvcj48WWVhcj4yMDE5PC9ZZWFy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</w:fldData>
        </w:fldChar>
      </w:r>
      <w:r w:rsidR="007F7DD7">
        <w:instrText xml:space="preserve"> ADDIN EN.CITE.DATA </w:instrText>
      </w:r>
      <w:r w:rsidR="007F7DD7">
        <w:fldChar w:fldCharType="end"/>
      </w:r>
      <w:r w:rsidR="007F7DD7">
        <w:fldChar w:fldCharType="separate"/>
      </w:r>
      <w:r w:rsidR="007F7DD7">
        <w:rPr>
          <w:noProof/>
        </w:rPr>
        <w:t>(Bernstein et al., 2019; Fytagoridis et al., 2016)</w:t>
      </w:r>
      <w:r w:rsidR="007F7DD7">
        <w:fldChar w:fldCharType="end"/>
      </w:r>
      <w:r w:rsidRPr="00147907">
        <w:t xml:space="preserve">. </w:t>
      </w:r>
    </w:p>
    <w:p w14:paraId="121656DF" w14:textId="09A1C7FC" w:rsidR="00647A89" w:rsidRPr="00147907" w:rsidRDefault="00647A89" w:rsidP="00647A89">
      <w:r w:rsidRPr="00147907">
        <w:t xml:space="preserve">The battery in the pulse generator depletes after 2-5 years and replacement is carried out as a day case procedure. In DBS for movement disorders such as Parkinson’s disease, the hardware cost for battery replacement is covered by the private health fund. Most device manufacturers are now making rechargeable devices that have a much longer lifespan. </w:t>
      </w:r>
      <w:r w:rsidR="00B90D46">
        <w:t xml:space="preserve">The </w:t>
      </w:r>
      <w:r w:rsidR="00B90D46" w:rsidRPr="002A1391">
        <w:t xml:space="preserve">cost of a rechargeable </w:t>
      </w:r>
      <w:r w:rsidR="00B90D46">
        <w:t xml:space="preserve">and non-rechargeable </w:t>
      </w:r>
      <w:r w:rsidR="00B90D46" w:rsidRPr="002A1391">
        <w:t xml:space="preserve">Medtronic battery is presently AUD </w:t>
      </w:r>
      <w:r w:rsidR="00B90D46">
        <w:t>$</w:t>
      </w:r>
      <w:r w:rsidR="00B90D46" w:rsidRPr="002A1391">
        <w:t>17,283</w:t>
      </w:r>
      <w:r w:rsidR="00B90D46">
        <w:t xml:space="preserve"> and AUD $13,592, respectively</w:t>
      </w:r>
      <w:r w:rsidR="00B90D46" w:rsidRPr="002A1391">
        <w:t>.</w:t>
      </w:r>
      <w:r w:rsidR="00B90D46">
        <w:t xml:space="preserve"> </w:t>
      </w:r>
      <w:r>
        <w:t>Th</w:t>
      </w:r>
      <w:r w:rsidRPr="00147907">
        <w:t xml:space="preserve">e MBS item (40863) for remote programming of the DBS neurostimulator pulse generator has been confirmed as not appropriate for the DBS device used for OCD, however this could be amended in the future should this change. </w:t>
      </w:r>
    </w:p>
    <w:p w14:paraId="7E0F6A92" w14:textId="77777777" w:rsidR="00647A89" w:rsidRDefault="00647A89" w:rsidP="00647A89">
      <w:r w:rsidRPr="00147907">
        <w:t xml:space="preserve">It is estimated that approximately </w:t>
      </w:r>
      <w:r>
        <w:t>five</w:t>
      </w:r>
      <w:r w:rsidRPr="00147907">
        <w:t xml:space="preserve"> patients will utilise DBS for OCD in the first year.</w:t>
      </w:r>
    </w:p>
    <w:p w14:paraId="307860C5" w14:textId="4D7D1F30" w:rsidR="00647A89" w:rsidRDefault="00647A89" w:rsidP="00647A89">
      <w:r>
        <w:t xml:space="preserve">An overall breakdown of delivery of DBS is presented in </w:t>
      </w:r>
      <w:r>
        <w:fldChar w:fldCharType="begin"/>
      </w:r>
      <w:r>
        <w:instrText xml:space="preserve"> REF _Ref139573547 \h </w:instrText>
      </w:r>
      <w:r>
        <w:fldChar w:fldCharType="separate"/>
      </w:r>
      <w:r w:rsidR="007F15AB">
        <w:t xml:space="preserve">Table </w:t>
      </w:r>
      <w:r w:rsidR="007F15AB">
        <w:rPr>
          <w:noProof/>
        </w:rPr>
        <w:t>2</w:t>
      </w:r>
      <w:r>
        <w:fldChar w:fldCharType="end"/>
      </w:r>
      <w:r>
        <w:t>.</w:t>
      </w:r>
    </w:p>
    <w:p w14:paraId="1525379E" w14:textId="49517008" w:rsidR="00647A89" w:rsidRDefault="00647A89" w:rsidP="00647A89">
      <w:pPr>
        <w:pStyle w:val="Caption"/>
      </w:pPr>
      <w:bookmarkStart w:id="8" w:name="_Ref139573547"/>
      <w:bookmarkStart w:id="9" w:name="_Toc143098939"/>
      <w:r>
        <w:t xml:space="preserve">Table </w:t>
      </w:r>
      <w:r>
        <w:fldChar w:fldCharType="begin"/>
      </w:r>
      <w:r>
        <w:instrText>SEQ Table \* ARABIC</w:instrText>
      </w:r>
      <w:r>
        <w:fldChar w:fldCharType="separate"/>
      </w:r>
      <w:r w:rsidR="007F15AB">
        <w:rPr>
          <w:noProof/>
        </w:rPr>
        <w:t>2</w:t>
      </w:r>
      <w:r>
        <w:fldChar w:fldCharType="end"/>
      </w:r>
      <w:bookmarkEnd w:id="8"/>
      <w:r w:rsidR="001A7A1E">
        <w:t>:</w:t>
      </w:r>
      <w:r w:rsidR="001A7A1E">
        <w:tab/>
      </w:r>
      <w:r w:rsidRPr="00835BF0">
        <w:t>Approximate cost profile of DBS for</w:t>
      </w:r>
      <w:r>
        <w:t xml:space="preserve"> treatment-refractory</w:t>
      </w:r>
      <w:r w:rsidRPr="00835BF0">
        <w:t xml:space="preserve"> OCD</w:t>
      </w:r>
      <w:bookmarkEnd w:id="9"/>
    </w:p>
    <w:tbl>
      <w:tblPr>
        <w:tblStyle w:val="TableGrid"/>
        <w:tblW w:w="5000" w:type="pct"/>
        <w:tblLook w:val="04A0" w:firstRow="1" w:lastRow="0" w:firstColumn="1" w:lastColumn="0" w:noHBand="0" w:noVBand="1"/>
      </w:tblPr>
      <w:tblGrid>
        <w:gridCol w:w="7801"/>
        <w:gridCol w:w="1215"/>
      </w:tblGrid>
      <w:tr w:rsidR="000311A8" w14:paraId="145D8E69" w14:textId="77777777" w:rsidTr="00ED4EAB">
        <w:trPr>
          <w:tblHeader/>
        </w:trPr>
        <w:tc>
          <w:tcPr>
            <w:tcW w:w="4326" w:type="pct"/>
          </w:tcPr>
          <w:p w14:paraId="7BB433C9" w14:textId="77777777" w:rsidR="000311A8" w:rsidRDefault="000311A8">
            <w:pPr>
              <w:pStyle w:val="TableHeading"/>
            </w:pPr>
            <w:r>
              <w:t>Item</w:t>
            </w:r>
          </w:p>
        </w:tc>
        <w:tc>
          <w:tcPr>
            <w:tcW w:w="674" w:type="pct"/>
          </w:tcPr>
          <w:p w14:paraId="4B339164" w14:textId="6D1FD952" w:rsidR="000311A8" w:rsidRDefault="000311A8">
            <w:pPr>
              <w:pStyle w:val="TableHeading"/>
            </w:pPr>
            <w:r>
              <w:t>Cost</w:t>
            </w:r>
            <w:r w:rsidR="00C173AD">
              <w:t xml:space="preserve"> </w:t>
            </w:r>
          </w:p>
        </w:tc>
      </w:tr>
      <w:tr w:rsidR="000311A8" w:rsidRPr="000174DA" w14:paraId="59A261DB" w14:textId="77777777" w:rsidTr="00ED4EAB">
        <w:trPr>
          <w:tblHeader/>
        </w:trPr>
        <w:tc>
          <w:tcPr>
            <w:tcW w:w="4326" w:type="pct"/>
          </w:tcPr>
          <w:p w14:paraId="642D06E4" w14:textId="77777777" w:rsidR="000311A8" w:rsidRPr="000174DA" w:rsidRDefault="000311A8">
            <w:pPr>
              <w:pStyle w:val="TableHeading"/>
              <w:rPr>
                <w:b w:val="0"/>
              </w:rPr>
            </w:pPr>
            <w:r>
              <w:rPr>
                <w:b w:val="0"/>
              </w:rPr>
              <w:t xml:space="preserve">MBS </w:t>
            </w:r>
            <w:r w:rsidRPr="000174DA">
              <w:rPr>
                <w:b w:val="0"/>
              </w:rPr>
              <w:t>Item 40851 – Insertion of deep brain stimulation device by neurosurgeon</w:t>
            </w:r>
          </w:p>
        </w:tc>
        <w:tc>
          <w:tcPr>
            <w:tcW w:w="674" w:type="pct"/>
          </w:tcPr>
          <w:p w14:paraId="2E6E543D" w14:textId="77777777" w:rsidR="000311A8" w:rsidRPr="000174DA" w:rsidRDefault="000311A8">
            <w:pPr>
              <w:pStyle w:val="TableHeading"/>
              <w:jc w:val="right"/>
              <w:rPr>
                <w:b w:val="0"/>
              </w:rPr>
            </w:pPr>
            <w:r w:rsidRPr="00F47D19">
              <w:rPr>
                <w:b w:val="0"/>
              </w:rPr>
              <w:t>$4,340.45</w:t>
            </w:r>
          </w:p>
        </w:tc>
      </w:tr>
      <w:tr w:rsidR="000311A8" w:rsidRPr="000174DA" w14:paraId="2B075E9D" w14:textId="77777777" w:rsidTr="00ED4EAB">
        <w:trPr>
          <w:tblHeader/>
        </w:trPr>
        <w:tc>
          <w:tcPr>
            <w:tcW w:w="4326" w:type="pct"/>
          </w:tcPr>
          <w:p w14:paraId="4590E327" w14:textId="77777777" w:rsidR="000311A8" w:rsidRPr="000174DA" w:rsidRDefault="000311A8">
            <w:pPr>
              <w:pStyle w:val="TableHeading"/>
              <w:rPr>
                <w:b w:val="0"/>
              </w:rPr>
            </w:pPr>
            <w:r>
              <w:rPr>
                <w:b w:val="0"/>
              </w:rPr>
              <w:t xml:space="preserve">MBS </w:t>
            </w:r>
            <w:r w:rsidRPr="000174DA">
              <w:rPr>
                <w:b w:val="0"/>
              </w:rPr>
              <w:t xml:space="preserve">Item 40852 – Subcutaneous placement of pulse generator </w:t>
            </w:r>
          </w:p>
        </w:tc>
        <w:tc>
          <w:tcPr>
            <w:tcW w:w="674" w:type="pct"/>
          </w:tcPr>
          <w:p w14:paraId="62672BC7" w14:textId="77777777" w:rsidR="000311A8" w:rsidRPr="000174DA" w:rsidRDefault="000311A8">
            <w:pPr>
              <w:pStyle w:val="TableHeading"/>
              <w:jc w:val="right"/>
              <w:rPr>
                <w:b w:val="0"/>
              </w:rPr>
            </w:pPr>
            <w:r w:rsidRPr="000174DA">
              <w:rPr>
                <w:b w:val="0"/>
              </w:rPr>
              <w:t>$3</w:t>
            </w:r>
            <w:r>
              <w:rPr>
                <w:b w:val="0"/>
              </w:rPr>
              <w:t>73.0</w:t>
            </w:r>
          </w:p>
        </w:tc>
      </w:tr>
      <w:tr w:rsidR="000311A8" w:rsidRPr="000174DA" w14:paraId="3E8BB7FC" w14:textId="77777777" w:rsidTr="00ED4EAB">
        <w:trPr>
          <w:tblHeader/>
        </w:trPr>
        <w:tc>
          <w:tcPr>
            <w:tcW w:w="4326" w:type="pct"/>
          </w:tcPr>
          <w:p w14:paraId="54C58766" w14:textId="4FFF9D0B" w:rsidR="000311A8" w:rsidRPr="000174DA" w:rsidRDefault="000311A8">
            <w:pPr>
              <w:pStyle w:val="TableHeading"/>
              <w:rPr>
                <w:b w:val="0"/>
              </w:rPr>
            </w:pPr>
            <w:r>
              <w:rPr>
                <w:b w:val="0"/>
              </w:rPr>
              <w:t xml:space="preserve">MBS </w:t>
            </w:r>
            <w:r w:rsidRPr="000174DA">
              <w:rPr>
                <w:b w:val="0"/>
              </w:rPr>
              <w:t>Item 40858 – Placement of extension lead</w:t>
            </w:r>
            <w:r w:rsidR="00EB3F60">
              <w:rPr>
                <w:b w:val="0"/>
              </w:rPr>
              <w:t>*</w:t>
            </w:r>
            <w:r w:rsidRPr="000174DA">
              <w:rPr>
                <w:b w:val="0"/>
              </w:rPr>
              <w:t xml:space="preserve"> </w:t>
            </w:r>
          </w:p>
        </w:tc>
        <w:tc>
          <w:tcPr>
            <w:tcW w:w="674" w:type="pct"/>
          </w:tcPr>
          <w:p w14:paraId="38E83024" w14:textId="77777777" w:rsidR="000311A8" w:rsidRPr="000174DA" w:rsidRDefault="000311A8">
            <w:pPr>
              <w:pStyle w:val="TableHeading"/>
              <w:jc w:val="right"/>
              <w:rPr>
                <w:b w:val="0"/>
              </w:rPr>
            </w:pPr>
            <w:r w:rsidRPr="000174DA">
              <w:rPr>
                <w:b w:val="0"/>
              </w:rPr>
              <w:t>$</w:t>
            </w:r>
            <w:r w:rsidRPr="001B5DAB">
              <w:rPr>
                <w:b w:val="0"/>
              </w:rPr>
              <w:t>576.5</w:t>
            </w:r>
            <w:r>
              <w:rPr>
                <w:b w:val="0"/>
              </w:rPr>
              <w:t>0</w:t>
            </w:r>
          </w:p>
        </w:tc>
      </w:tr>
      <w:tr w:rsidR="000311A8" w:rsidRPr="000174DA" w14:paraId="6E5226B9" w14:textId="77777777" w:rsidTr="00ED4EAB">
        <w:trPr>
          <w:tblHeader/>
        </w:trPr>
        <w:tc>
          <w:tcPr>
            <w:tcW w:w="4326" w:type="pct"/>
          </w:tcPr>
          <w:p w14:paraId="111E0F66" w14:textId="6FE0C6CC" w:rsidR="000311A8" w:rsidRPr="000174DA" w:rsidRDefault="000311A8">
            <w:pPr>
              <w:pStyle w:val="TableHeading"/>
              <w:rPr>
                <w:b w:val="0"/>
              </w:rPr>
            </w:pPr>
            <w:r>
              <w:rPr>
                <w:b w:val="0"/>
              </w:rPr>
              <w:t xml:space="preserve">MBS </w:t>
            </w:r>
            <w:r w:rsidRPr="000174DA">
              <w:rPr>
                <w:b w:val="0"/>
              </w:rPr>
              <w:t>Item 40860 – Target localisation</w:t>
            </w:r>
            <w:r w:rsidR="00EB3F60">
              <w:rPr>
                <w:b w:val="0"/>
              </w:rPr>
              <w:t>*</w:t>
            </w:r>
            <w:r w:rsidR="00912751">
              <w:rPr>
                <w:b w:val="0"/>
                <w:vertAlign w:val="superscript"/>
              </w:rPr>
              <w:t xml:space="preserve"> </w:t>
            </w:r>
          </w:p>
        </w:tc>
        <w:tc>
          <w:tcPr>
            <w:tcW w:w="674" w:type="pct"/>
          </w:tcPr>
          <w:p w14:paraId="49416F28" w14:textId="77777777" w:rsidR="000311A8" w:rsidRPr="000174DA" w:rsidRDefault="000311A8">
            <w:pPr>
              <w:pStyle w:val="TableHeading"/>
              <w:jc w:val="right"/>
              <w:rPr>
                <w:b w:val="0"/>
              </w:rPr>
            </w:pPr>
            <w:r w:rsidRPr="000174DA">
              <w:rPr>
                <w:b w:val="0"/>
              </w:rPr>
              <w:t>$</w:t>
            </w:r>
            <w:r w:rsidRPr="00017716">
              <w:rPr>
                <w:b w:val="0"/>
              </w:rPr>
              <w:t>2,215.30</w:t>
            </w:r>
          </w:p>
        </w:tc>
      </w:tr>
      <w:tr w:rsidR="000311A8" w:rsidRPr="000174DA" w14:paraId="167BDFE3" w14:textId="77777777" w:rsidTr="00ED4EAB">
        <w:trPr>
          <w:tblHeader/>
        </w:trPr>
        <w:tc>
          <w:tcPr>
            <w:tcW w:w="4326" w:type="pct"/>
          </w:tcPr>
          <w:p w14:paraId="60A47533" w14:textId="6B88764D" w:rsidR="000311A8" w:rsidRPr="000174DA" w:rsidRDefault="000311A8">
            <w:pPr>
              <w:pStyle w:val="TableHeading"/>
              <w:rPr>
                <w:b w:val="0"/>
              </w:rPr>
            </w:pPr>
            <w:r>
              <w:rPr>
                <w:b w:val="0"/>
              </w:rPr>
              <w:t xml:space="preserve">MBS </w:t>
            </w:r>
            <w:r w:rsidRPr="000174DA">
              <w:rPr>
                <w:b w:val="0"/>
              </w:rPr>
              <w:t>Item 40862 – Programming of DBS device = $2</w:t>
            </w:r>
            <w:r>
              <w:rPr>
                <w:b w:val="0"/>
              </w:rPr>
              <w:t>07.75</w:t>
            </w:r>
            <w:r w:rsidRPr="000174DA">
              <w:rPr>
                <w:b w:val="0"/>
              </w:rPr>
              <w:t xml:space="preserve"> (estimate 20 programming sessions to optimise stimulation settings </w:t>
            </w:r>
          </w:p>
        </w:tc>
        <w:tc>
          <w:tcPr>
            <w:tcW w:w="674" w:type="pct"/>
          </w:tcPr>
          <w:p w14:paraId="2031183F" w14:textId="77777777" w:rsidR="000311A8" w:rsidRPr="000174DA" w:rsidRDefault="000311A8">
            <w:pPr>
              <w:pStyle w:val="TableHeading"/>
              <w:jc w:val="right"/>
              <w:rPr>
                <w:b w:val="0"/>
              </w:rPr>
            </w:pPr>
            <w:r w:rsidRPr="000174DA">
              <w:rPr>
                <w:b w:val="0"/>
              </w:rPr>
              <w:t>$</w:t>
            </w:r>
            <w:r w:rsidRPr="00B33805">
              <w:rPr>
                <w:b w:val="0"/>
              </w:rPr>
              <w:t>4,155</w:t>
            </w:r>
            <w:r>
              <w:rPr>
                <w:b w:val="0"/>
              </w:rPr>
              <w:t>.00</w:t>
            </w:r>
          </w:p>
        </w:tc>
      </w:tr>
      <w:tr w:rsidR="000311A8" w:rsidRPr="000174DA" w14:paraId="59CA4C54" w14:textId="77777777" w:rsidTr="00ED4EAB">
        <w:trPr>
          <w:tblHeader/>
        </w:trPr>
        <w:tc>
          <w:tcPr>
            <w:tcW w:w="4326" w:type="pct"/>
          </w:tcPr>
          <w:p w14:paraId="2948C761" w14:textId="77777777" w:rsidR="000311A8" w:rsidRDefault="000311A8">
            <w:pPr>
              <w:pStyle w:val="TableHeading"/>
              <w:rPr>
                <w:b w:val="0"/>
              </w:rPr>
            </w:pPr>
            <w:r w:rsidRPr="000174DA">
              <w:rPr>
                <w:b w:val="0"/>
              </w:rPr>
              <w:t>Cost of DBS hardware estimated</w:t>
            </w:r>
            <w:r>
              <w:rPr>
                <w:b w:val="0"/>
              </w:rPr>
              <w:t>:</w:t>
            </w:r>
          </w:p>
          <w:p w14:paraId="6815ABC1" w14:textId="77777777" w:rsidR="000311A8" w:rsidRPr="00DB1A0B" w:rsidRDefault="000311A8">
            <w:pPr>
              <w:pStyle w:val="TableHeading"/>
              <w:numPr>
                <w:ilvl w:val="0"/>
                <w:numId w:val="44"/>
              </w:numPr>
              <w:spacing w:before="40" w:after="40"/>
              <w:rPr>
                <w:b w:val="0"/>
              </w:rPr>
            </w:pPr>
            <w:r w:rsidRPr="00DB1A0B">
              <w:rPr>
                <w:b w:val="0"/>
              </w:rPr>
              <w:t>Neurostimulator IPG non-rechargeable</w:t>
            </w:r>
            <w:r w:rsidRPr="00DB1A0B">
              <w:rPr>
                <w:b w:val="0"/>
              </w:rPr>
              <w:tab/>
            </w:r>
            <w:r>
              <w:rPr>
                <w:b w:val="0"/>
              </w:rPr>
              <w:t xml:space="preserve">x 50% patients = </w:t>
            </w:r>
            <w:r w:rsidRPr="00DB1A0B">
              <w:rPr>
                <w:b w:val="0"/>
              </w:rPr>
              <w:t>$</w:t>
            </w:r>
            <w:r w:rsidRPr="00AD7BB5">
              <w:rPr>
                <w:b w:val="0"/>
              </w:rPr>
              <w:t>6,796</w:t>
            </w:r>
            <w:r w:rsidRPr="00DB1A0B">
              <w:rPr>
                <w:b w:val="0"/>
              </w:rPr>
              <w:t>.00</w:t>
            </w:r>
            <w:r>
              <w:rPr>
                <w:b w:val="0"/>
              </w:rPr>
              <w:t xml:space="preserve"> (</w:t>
            </w:r>
            <w:r w:rsidRPr="00015AB1">
              <w:rPr>
                <w:b w:val="0"/>
              </w:rPr>
              <w:t>$13,592</w:t>
            </w:r>
            <w:r>
              <w:rPr>
                <w:b w:val="0"/>
              </w:rPr>
              <w:t xml:space="preserve"> each)</w:t>
            </w:r>
          </w:p>
          <w:p w14:paraId="226AEAF3" w14:textId="2139DE42" w:rsidR="000311A8" w:rsidRPr="00DB1A0B" w:rsidRDefault="000311A8">
            <w:pPr>
              <w:pStyle w:val="TableHeading"/>
              <w:numPr>
                <w:ilvl w:val="0"/>
                <w:numId w:val="44"/>
              </w:numPr>
              <w:spacing w:before="40" w:after="40"/>
              <w:rPr>
                <w:b w:val="0"/>
              </w:rPr>
            </w:pPr>
            <w:r w:rsidRPr="00DB1A0B">
              <w:rPr>
                <w:b w:val="0"/>
              </w:rPr>
              <w:t>Neurostimulator IPG rechargeable</w:t>
            </w:r>
            <w:r>
              <w:rPr>
                <w:b w:val="0"/>
              </w:rPr>
              <w:t xml:space="preserve"> x 50% patients= </w:t>
            </w:r>
            <w:r w:rsidRPr="0081105E">
              <w:rPr>
                <w:b w:val="0"/>
              </w:rPr>
              <w:t xml:space="preserve">$9,927.50 </w:t>
            </w:r>
            <w:r>
              <w:rPr>
                <w:b w:val="0"/>
              </w:rPr>
              <w:t>(</w:t>
            </w:r>
            <w:r w:rsidRPr="00DB1A0B">
              <w:rPr>
                <w:b w:val="0"/>
              </w:rPr>
              <w:t>$19,855</w:t>
            </w:r>
            <w:r>
              <w:rPr>
                <w:b w:val="0"/>
              </w:rPr>
              <w:t xml:space="preserve"> each)</w:t>
            </w:r>
          </w:p>
          <w:p w14:paraId="7AC42BF7" w14:textId="77777777" w:rsidR="000311A8" w:rsidRPr="00DB1A0B" w:rsidRDefault="000311A8">
            <w:pPr>
              <w:pStyle w:val="TableHeading"/>
              <w:numPr>
                <w:ilvl w:val="0"/>
                <w:numId w:val="44"/>
              </w:numPr>
              <w:spacing w:before="40" w:after="40"/>
              <w:rPr>
                <w:b w:val="0"/>
              </w:rPr>
            </w:pPr>
            <w:r w:rsidRPr="00DB1A0B">
              <w:rPr>
                <w:b w:val="0"/>
              </w:rPr>
              <w:t>Recharger</w:t>
            </w:r>
            <w:r>
              <w:rPr>
                <w:b w:val="0"/>
              </w:rPr>
              <w:t xml:space="preserve"> for the rechargeable </w:t>
            </w:r>
            <w:proofErr w:type="spellStart"/>
            <w:r>
              <w:rPr>
                <w:b w:val="0"/>
              </w:rPr>
              <w:t>IPGx</w:t>
            </w:r>
            <w:proofErr w:type="spellEnd"/>
            <w:r>
              <w:rPr>
                <w:b w:val="0"/>
              </w:rPr>
              <w:t xml:space="preserve"> 50% patients = $891.0 (</w:t>
            </w:r>
            <w:r w:rsidRPr="00DB1A0B">
              <w:rPr>
                <w:b w:val="0"/>
              </w:rPr>
              <w:t>$1,782.00</w:t>
            </w:r>
            <w:r>
              <w:rPr>
                <w:b w:val="0"/>
              </w:rPr>
              <w:t xml:space="preserve"> each)</w:t>
            </w:r>
          </w:p>
          <w:p w14:paraId="52D78BB4" w14:textId="77777777" w:rsidR="000311A8" w:rsidRPr="00DB1A0B" w:rsidRDefault="000311A8">
            <w:pPr>
              <w:pStyle w:val="TableHeading"/>
              <w:numPr>
                <w:ilvl w:val="0"/>
                <w:numId w:val="44"/>
              </w:numPr>
              <w:spacing w:before="40" w:after="40"/>
              <w:rPr>
                <w:b w:val="0"/>
              </w:rPr>
            </w:pPr>
            <w:r w:rsidRPr="00DB1A0B">
              <w:rPr>
                <w:b w:val="0"/>
              </w:rPr>
              <w:t>Percept patient programmer</w:t>
            </w:r>
            <w:r>
              <w:rPr>
                <w:b w:val="0"/>
              </w:rPr>
              <w:t xml:space="preserve">= </w:t>
            </w:r>
            <w:r w:rsidRPr="00DB1A0B">
              <w:rPr>
                <w:b w:val="0"/>
              </w:rPr>
              <w:t>$1,264.00</w:t>
            </w:r>
          </w:p>
          <w:p w14:paraId="321764AA" w14:textId="77777777" w:rsidR="000311A8" w:rsidRPr="00DB1A0B" w:rsidRDefault="000311A8">
            <w:pPr>
              <w:pStyle w:val="TableHeading"/>
              <w:numPr>
                <w:ilvl w:val="0"/>
                <w:numId w:val="44"/>
              </w:numPr>
              <w:spacing w:before="40" w:after="40"/>
              <w:rPr>
                <w:b w:val="0"/>
              </w:rPr>
            </w:pPr>
            <w:proofErr w:type="spellStart"/>
            <w:r w:rsidRPr="00DB1A0B">
              <w:rPr>
                <w:b w:val="0"/>
              </w:rPr>
              <w:t>Sensight</w:t>
            </w:r>
            <w:proofErr w:type="spellEnd"/>
            <w:r w:rsidRPr="00DB1A0B">
              <w:rPr>
                <w:b w:val="0"/>
              </w:rPr>
              <w:t xml:space="preserve"> 0.5 mm Permanent Lead</w:t>
            </w:r>
            <w:r>
              <w:rPr>
                <w:b w:val="0"/>
              </w:rPr>
              <w:t xml:space="preserve"> x 2= </w:t>
            </w:r>
            <w:r w:rsidRPr="00DB1A0B">
              <w:rPr>
                <w:b w:val="0"/>
              </w:rPr>
              <w:t>$</w:t>
            </w:r>
            <w:r w:rsidRPr="002D0603">
              <w:rPr>
                <w:b w:val="0"/>
              </w:rPr>
              <w:t>8,240</w:t>
            </w:r>
            <w:r w:rsidRPr="00DB1A0B">
              <w:rPr>
                <w:b w:val="0"/>
              </w:rPr>
              <w:t>.00</w:t>
            </w:r>
          </w:p>
          <w:p w14:paraId="467D934B" w14:textId="77777777" w:rsidR="000311A8" w:rsidRPr="00DB1A0B" w:rsidRDefault="000311A8">
            <w:pPr>
              <w:pStyle w:val="TableHeading"/>
              <w:numPr>
                <w:ilvl w:val="0"/>
                <w:numId w:val="44"/>
              </w:numPr>
              <w:spacing w:before="40" w:after="40"/>
              <w:rPr>
                <w:b w:val="0"/>
              </w:rPr>
            </w:pPr>
            <w:proofErr w:type="spellStart"/>
            <w:r w:rsidRPr="00DB1A0B">
              <w:rPr>
                <w:b w:val="0"/>
              </w:rPr>
              <w:t>Sensight</w:t>
            </w:r>
            <w:proofErr w:type="spellEnd"/>
            <w:r w:rsidRPr="00DB1A0B">
              <w:rPr>
                <w:b w:val="0"/>
              </w:rPr>
              <w:t xml:space="preserve"> lead extensions</w:t>
            </w:r>
            <w:r>
              <w:rPr>
                <w:b w:val="0"/>
              </w:rPr>
              <w:t xml:space="preserve"> x 2= </w:t>
            </w:r>
            <w:r w:rsidRPr="00C82623">
              <w:rPr>
                <w:b w:val="0"/>
              </w:rPr>
              <w:t>$3,790</w:t>
            </w:r>
            <w:r w:rsidRPr="00DB1A0B">
              <w:rPr>
                <w:b w:val="0"/>
              </w:rPr>
              <w:t>.00</w:t>
            </w:r>
          </w:p>
          <w:p w14:paraId="5A886D4D" w14:textId="77777777" w:rsidR="000311A8" w:rsidRPr="00DB1A0B" w:rsidRDefault="000311A8">
            <w:pPr>
              <w:pStyle w:val="TableHeading"/>
              <w:numPr>
                <w:ilvl w:val="0"/>
                <w:numId w:val="44"/>
              </w:numPr>
              <w:spacing w:before="40" w:after="40"/>
              <w:rPr>
                <w:b w:val="0"/>
              </w:rPr>
            </w:pPr>
            <w:r w:rsidRPr="00DB1A0B">
              <w:rPr>
                <w:b w:val="0"/>
              </w:rPr>
              <w:t xml:space="preserve"> Electrodes</w:t>
            </w:r>
            <w:r>
              <w:rPr>
                <w:b w:val="0"/>
              </w:rPr>
              <w:t xml:space="preserve">= </w:t>
            </w:r>
            <w:r w:rsidRPr="00DB1A0B">
              <w:rPr>
                <w:b w:val="0"/>
              </w:rPr>
              <w:t>$1,240.00</w:t>
            </w:r>
          </w:p>
          <w:p w14:paraId="3ED600A2" w14:textId="77777777" w:rsidR="000311A8" w:rsidRPr="00DB1A0B" w:rsidRDefault="000311A8">
            <w:pPr>
              <w:pStyle w:val="TableHeading"/>
              <w:numPr>
                <w:ilvl w:val="0"/>
                <w:numId w:val="44"/>
              </w:numPr>
              <w:spacing w:before="40" w:after="40"/>
              <w:rPr>
                <w:b w:val="0"/>
              </w:rPr>
            </w:pPr>
            <w:r w:rsidRPr="00DB1A0B">
              <w:rPr>
                <w:b w:val="0"/>
              </w:rPr>
              <w:t>Burr hole cover</w:t>
            </w:r>
            <w:r>
              <w:rPr>
                <w:b w:val="0"/>
              </w:rPr>
              <w:t xml:space="preserve">= </w:t>
            </w:r>
            <w:r w:rsidRPr="00DB1A0B">
              <w:rPr>
                <w:b w:val="0"/>
              </w:rPr>
              <w:t>$497.00</w:t>
            </w:r>
          </w:p>
          <w:p w14:paraId="32E322A4" w14:textId="77777777" w:rsidR="000311A8" w:rsidRPr="00DB1A0B" w:rsidRDefault="000311A8">
            <w:pPr>
              <w:pStyle w:val="TableHeading"/>
              <w:numPr>
                <w:ilvl w:val="0"/>
                <w:numId w:val="44"/>
              </w:numPr>
              <w:spacing w:before="40" w:after="40"/>
              <w:rPr>
                <w:b w:val="0"/>
              </w:rPr>
            </w:pPr>
            <w:r w:rsidRPr="00DB1A0B">
              <w:rPr>
                <w:b w:val="0"/>
              </w:rPr>
              <w:t>Sterile MER Connectors and cables</w:t>
            </w:r>
            <w:r>
              <w:rPr>
                <w:b w:val="0"/>
              </w:rPr>
              <w:t xml:space="preserve">= </w:t>
            </w:r>
            <w:r w:rsidRPr="00DB1A0B">
              <w:rPr>
                <w:b w:val="0"/>
              </w:rPr>
              <w:t>$181.00</w:t>
            </w:r>
          </w:p>
          <w:p w14:paraId="4EB4B49C" w14:textId="77777777" w:rsidR="000311A8" w:rsidRPr="000174DA" w:rsidRDefault="000311A8">
            <w:pPr>
              <w:pStyle w:val="TableHeading"/>
              <w:numPr>
                <w:ilvl w:val="0"/>
                <w:numId w:val="44"/>
              </w:numPr>
              <w:spacing w:before="40" w:after="40"/>
              <w:rPr>
                <w:b w:val="0"/>
              </w:rPr>
            </w:pPr>
            <w:r w:rsidRPr="00DB1A0B">
              <w:rPr>
                <w:b w:val="0"/>
              </w:rPr>
              <w:t>Intraoperative accessories- Insertion tube</w:t>
            </w:r>
            <w:r>
              <w:rPr>
                <w:b w:val="0"/>
              </w:rPr>
              <w:t xml:space="preserve">= </w:t>
            </w:r>
            <w:r w:rsidRPr="00DB1A0B">
              <w:rPr>
                <w:b w:val="0"/>
              </w:rPr>
              <w:t>$158.00</w:t>
            </w:r>
          </w:p>
        </w:tc>
        <w:tc>
          <w:tcPr>
            <w:tcW w:w="674" w:type="pct"/>
          </w:tcPr>
          <w:p w14:paraId="0581A602" w14:textId="77777777" w:rsidR="000311A8" w:rsidRPr="000174DA" w:rsidRDefault="000311A8">
            <w:pPr>
              <w:pStyle w:val="TableHeading"/>
              <w:jc w:val="right"/>
              <w:rPr>
                <w:b w:val="0"/>
              </w:rPr>
            </w:pPr>
            <w:r w:rsidRPr="000174DA">
              <w:rPr>
                <w:b w:val="0"/>
              </w:rPr>
              <w:t>$</w:t>
            </w:r>
            <w:r w:rsidRPr="00713B1B">
              <w:rPr>
                <w:b w:val="0"/>
              </w:rPr>
              <w:t>32</w:t>
            </w:r>
            <w:r>
              <w:rPr>
                <w:b w:val="0"/>
              </w:rPr>
              <w:t>,</w:t>
            </w:r>
            <w:r w:rsidRPr="00713B1B">
              <w:rPr>
                <w:b w:val="0"/>
              </w:rPr>
              <w:t>984.5</w:t>
            </w:r>
            <w:r>
              <w:rPr>
                <w:b w:val="0"/>
              </w:rPr>
              <w:t>0</w:t>
            </w:r>
          </w:p>
        </w:tc>
      </w:tr>
      <w:tr w:rsidR="000311A8" w:rsidRPr="000174DA" w14:paraId="36A18D8C" w14:textId="77777777" w:rsidTr="00ED4EAB">
        <w:trPr>
          <w:tblHeader/>
        </w:trPr>
        <w:tc>
          <w:tcPr>
            <w:tcW w:w="4326" w:type="pct"/>
          </w:tcPr>
          <w:p w14:paraId="40DF15CC" w14:textId="77777777" w:rsidR="000311A8" w:rsidRPr="000174DA" w:rsidRDefault="000311A8">
            <w:pPr>
              <w:pStyle w:val="TableHeading"/>
              <w:rPr>
                <w:b w:val="0"/>
              </w:rPr>
            </w:pPr>
            <w:r w:rsidRPr="000174DA">
              <w:rPr>
                <w:b w:val="0"/>
              </w:rPr>
              <w:t xml:space="preserve">Total cost </w:t>
            </w:r>
          </w:p>
        </w:tc>
        <w:tc>
          <w:tcPr>
            <w:tcW w:w="674" w:type="pct"/>
          </w:tcPr>
          <w:p w14:paraId="4954006F" w14:textId="593ACBF9" w:rsidR="000311A8" w:rsidRPr="000174DA" w:rsidRDefault="000311A8">
            <w:pPr>
              <w:pStyle w:val="TableHeading"/>
              <w:jc w:val="right"/>
              <w:rPr>
                <w:b w:val="0"/>
              </w:rPr>
            </w:pPr>
            <w:r w:rsidRPr="000174DA">
              <w:rPr>
                <w:b w:val="0"/>
              </w:rPr>
              <w:t>$</w:t>
            </w:r>
            <w:r>
              <w:rPr>
                <w:b w:val="0"/>
              </w:rPr>
              <w:t>44,644.75</w:t>
            </w:r>
            <w:r w:rsidR="009E2437" w:rsidRPr="003454D6">
              <w:rPr>
                <w:b w:val="0"/>
                <w:vertAlign w:val="superscript"/>
              </w:rPr>
              <w:t>1</w:t>
            </w:r>
          </w:p>
        </w:tc>
      </w:tr>
    </w:tbl>
    <w:p w14:paraId="292C237F" w14:textId="6CD053E6" w:rsidR="00647A89" w:rsidRDefault="00ED26B0" w:rsidP="00647A89">
      <w:pPr>
        <w:pStyle w:val="Tablenotes"/>
      </w:pPr>
      <w:r>
        <w:t xml:space="preserve">Abbreviations: </w:t>
      </w:r>
      <w:r w:rsidR="00647A89">
        <w:t>DBS=</w:t>
      </w:r>
      <w:r>
        <w:t xml:space="preserve"> </w:t>
      </w:r>
      <w:r w:rsidR="00647A89">
        <w:t xml:space="preserve">deep brain stimulation; </w:t>
      </w:r>
      <w:r w:rsidR="00AF6C5E">
        <w:t>IPG</w:t>
      </w:r>
      <w:r w:rsidR="0099155B">
        <w:t>=</w:t>
      </w:r>
      <w:r>
        <w:t xml:space="preserve"> </w:t>
      </w:r>
      <w:r w:rsidR="0099155B">
        <w:t>im</w:t>
      </w:r>
      <w:r w:rsidR="003C4EF1">
        <w:t>plan</w:t>
      </w:r>
      <w:r w:rsidR="00A6657E">
        <w:t>t</w:t>
      </w:r>
      <w:r w:rsidR="003C4EF1">
        <w:t xml:space="preserve">able </w:t>
      </w:r>
      <w:r w:rsidR="0099155B">
        <w:t xml:space="preserve">pulse generator; </w:t>
      </w:r>
      <w:r w:rsidR="00647A89">
        <w:t>MBS=</w:t>
      </w:r>
      <w:r>
        <w:t xml:space="preserve"> </w:t>
      </w:r>
      <w:r w:rsidR="00647A89">
        <w:t>Medical Benefits Scheme</w:t>
      </w:r>
    </w:p>
    <w:p w14:paraId="1D5A7D1B" w14:textId="1EFBB339" w:rsidR="00647A89" w:rsidRPr="00F40AB4" w:rsidRDefault="00EB3F60" w:rsidP="00647A89">
      <w:r>
        <w:t>*</w:t>
      </w:r>
      <w:r w:rsidR="00896484">
        <w:t xml:space="preserve">MBS items 40858 and </w:t>
      </w:r>
      <w:r w:rsidR="003C4276">
        <w:t xml:space="preserve">40860 have </w:t>
      </w:r>
      <w:r w:rsidR="00C85E2F">
        <w:t xml:space="preserve">each </w:t>
      </w:r>
      <w:r w:rsidR="003C4276">
        <w:t xml:space="preserve">been billed once in </w:t>
      </w:r>
      <w:r w:rsidR="009E2437">
        <w:t>this cost profile</w:t>
      </w:r>
      <w:r w:rsidR="00AC67E6">
        <w:t>, resulting in a total cost of $44,644.75</w:t>
      </w:r>
      <w:r w:rsidR="003C4276">
        <w:t xml:space="preserve">. However, these </w:t>
      </w:r>
      <w:r w:rsidR="00AC67E6">
        <w:t>MBS</w:t>
      </w:r>
      <w:r w:rsidR="003C4276">
        <w:t xml:space="preserve"> </w:t>
      </w:r>
      <w:r w:rsidR="0055305E">
        <w:t>items are for unilateral procedures</w:t>
      </w:r>
      <w:r w:rsidR="003C4276">
        <w:t xml:space="preserve"> and the </w:t>
      </w:r>
      <w:r w:rsidR="00AC67E6">
        <w:t>proposed intervention</w:t>
      </w:r>
      <w:r w:rsidR="003C4276">
        <w:t xml:space="preserve"> is </w:t>
      </w:r>
      <w:r w:rsidR="00AC67E6">
        <w:t xml:space="preserve">a </w:t>
      </w:r>
      <w:r w:rsidR="003C4276">
        <w:t>bilateral</w:t>
      </w:r>
      <w:r w:rsidR="00AC67E6">
        <w:t xml:space="preserve"> procedure</w:t>
      </w:r>
      <w:r w:rsidR="003C4276">
        <w:t xml:space="preserve">. </w:t>
      </w:r>
      <w:r w:rsidR="001A2F23">
        <w:t xml:space="preserve">The applicant has suggested that </w:t>
      </w:r>
      <w:r w:rsidR="003E526F">
        <w:t xml:space="preserve">billing </w:t>
      </w:r>
      <w:r w:rsidR="003C4276">
        <w:t xml:space="preserve">items </w:t>
      </w:r>
      <w:r w:rsidR="00AC67E6">
        <w:t xml:space="preserve">40858 and 40860 </w:t>
      </w:r>
      <w:r w:rsidR="003E526F">
        <w:t>twice</w:t>
      </w:r>
      <w:r w:rsidR="003C4276">
        <w:t xml:space="preserve"> </w:t>
      </w:r>
      <w:r w:rsidR="0018503B">
        <w:t>is more reflective of clinical practice</w:t>
      </w:r>
      <w:r w:rsidR="00953B07">
        <w:t xml:space="preserve">. </w:t>
      </w:r>
      <w:r w:rsidR="0018503B">
        <w:t xml:space="preserve">The implications of these </w:t>
      </w:r>
      <w:r w:rsidR="00837BD2">
        <w:t>revised</w:t>
      </w:r>
      <w:r w:rsidR="00BA4913">
        <w:t xml:space="preserve"> costings </w:t>
      </w:r>
      <w:r w:rsidR="0018503B">
        <w:t>have been</w:t>
      </w:r>
      <w:r w:rsidR="00BA4913">
        <w:t xml:space="preserve"> explored in a </w:t>
      </w:r>
      <w:r w:rsidR="00344F59">
        <w:t>s</w:t>
      </w:r>
      <w:r w:rsidR="00041D8E">
        <w:t>upplementary</w:t>
      </w:r>
      <w:r w:rsidR="001416FB">
        <w:t xml:space="preserve"> analysis</w:t>
      </w:r>
      <w:r w:rsidR="0018503B">
        <w:t xml:space="preserve"> for the economic evaluation and are reported in </w:t>
      </w:r>
      <w:r w:rsidR="0018503B">
        <w:lastRenderedPageBreak/>
        <w:t>the financials section</w:t>
      </w:r>
      <w:r w:rsidR="001416FB">
        <w:t>.</w:t>
      </w:r>
      <w:r w:rsidR="00953B07">
        <w:t xml:space="preserve"> </w:t>
      </w:r>
      <w:r w:rsidR="00647A89" w:rsidRPr="00F40AB4">
        <w:t xml:space="preserve">PASC discussed the need for a specific cut-off value of the Yale Brown Obsessive-Compulsive </w:t>
      </w:r>
      <w:r w:rsidR="008F2649">
        <w:t>S</w:t>
      </w:r>
      <w:r w:rsidR="008F2649" w:rsidRPr="00F40AB4">
        <w:t xml:space="preserve">cale </w:t>
      </w:r>
      <w:r w:rsidR="00647A89" w:rsidRPr="00F40AB4">
        <w:t>(Y-BOCS) (24/40) to define severe OCD</w:t>
      </w:r>
      <w:r w:rsidR="008F7A78">
        <w:t>. Although</w:t>
      </w:r>
      <w:r w:rsidR="00647A89" w:rsidRPr="00F40AB4">
        <w:t xml:space="preserve"> this cut-off value is not evidence based it is clinically accepted. The applicant explained that defining a cut-off value for the Y</w:t>
      </w:r>
      <w:r w:rsidR="00643710">
        <w:noBreakHyphen/>
      </w:r>
      <w:r w:rsidR="00647A89" w:rsidRPr="00F40AB4">
        <w:t>BOCS and demonstrating that a patient’s symptoms are above that cut-off value is helpful in justifying a patient’s need for the intervention, particularly when the patient is presented to the Mental Health Review Tribunal for consideration of the intervention. It may also prevent a potential criticism that the intervention may be offered to patients who do not necessarily need it.</w:t>
      </w:r>
    </w:p>
    <w:p w14:paraId="337E309A" w14:textId="77777777" w:rsidR="00647A89" w:rsidRPr="00F40AB4" w:rsidRDefault="00647A89" w:rsidP="00647A89">
      <w:r w:rsidRPr="00F40AB4">
        <w:t>PASC considered whether a broader definition of the necessary previous treatments, prior to the intervention, would be more appropriate. The preferred agents could be detailed in the item descriptor’s explanatory notes. PASC considered that the current population definition is acceptable, including the requirement to trial three SSRIs, clomipramine and at least one attempt at psychotherapy.</w:t>
      </w:r>
    </w:p>
    <w:p w14:paraId="0B1B5BD7" w14:textId="5A928D28" w:rsidR="00647A89" w:rsidRDefault="00647A89" w:rsidP="00647A89">
      <w:r w:rsidRPr="00F40AB4">
        <w:t>Additionally, PASC noted that some patients may be unable to ‘complete’ the course of psychotherapy because of the severity of their symptoms and considered changing the descriptor to ‘attempted a course’ of psychotherapy to be appropriate.</w:t>
      </w:r>
      <w:r w:rsidRPr="00147907">
        <w:t xml:space="preserve"> </w:t>
      </w:r>
    </w:p>
    <w:p w14:paraId="43ADE753" w14:textId="77777777" w:rsidR="00035557" w:rsidRDefault="00035557" w:rsidP="00035557">
      <w:pPr>
        <w:pStyle w:val="Heading2"/>
        <w:numPr>
          <w:ilvl w:val="0"/>
          <w:numId w:val="0"/>
        </w:numPr>
      </w:pPr>
      <w:bookmarkStart w:id="10" w:name="_Toc69491419"/>
      <w:r>
        <w:t>7.</w:t>
      </w:r>
      <w:r>
        <w:tab/>
      </w:r>
      <w:r w:rsidRPr="00CE28E3">
        <w:t>Population</w:t>
      </w:r>
      <w:bookmarkEnd w:id="10"/>
    </w:p>
    <w:p w14:paraId="6DF150AE" w14:textId="77777777" w:rsidR="00035557" w:rsidRDefault="00035557" w:rsidP="00035557">
      <w:r>
        <w:t>One PICO set was used for the assessment of DBS for treatment-refractory OCD.</w:t>
      </w:r>
    </w:p>
    <w:p w14:paraId="5DB12788" w14:textId="77777777" w:rsidR="00035557" w:rsidRDefault="00035557" w:rsidP="00035557">
      <w:r>
        <w:t xml:space="preserve">DBS for treatment-refractory OCD is proposed to be </w:t>
      </w:r>
      <w:r w:rsidRPr="007D7A12">
        <w:t xml:space="preserve">available </w:t>
      </w:r>
      <w:r>
        <w:t>for patients with OCD</w:t>
      </w:r>
      <w:r w:rsidRPr="00D72532">
        <w:t xml:space="preserve"> that has not been adequately controlled despite treatment for at least 12 weeks with maximum tolerated doses of at least three selective serotonin reuptake inhibitors (SSRI), clomipramine, and at least one attempt at OCD specific psychotherapy</w:t>
      </w:r>
      <w:r>
        <w:t>.</w:t>
      </w:r>
    </w:p>
    <w:p w14:paraId="70468437" w14:textId="77777777" w:rsidR="00035557" w:rsidRDefault="00035557" w:rsidP="00035557">
      <w:r w:rsidRPr="004E3735">
        <w:t>Eligible patients would meet the DSM-5 criteria to have a confirmed diagnosis of severe, treatment-refractory OCD made by a specialist psychiatrist. The minimum duration of the illness would be at least 5 years, which is in line with current practice in Australia</w:t>
      </w:r>
      <w:r>
        <w:t xml:space="preserve"> </w:t>
      </w:r>
      <w:r>
        <w:fldChar w:fldCharType="begin">
          <w:fldData xml:space="preserve">PEVuZE5vdGU+PENpdGU+PEF1dGhvcj5NYWxoaTwvQXV0aG9yPjxZZWFyPjIwMjI8L1llYXI+PFJl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</w:fldData>
        </w:fldChar>
      </w:r>
      <w:r>
        <w:instrText xml:space="preserve"> ADDIN EN.CITE </w:instrText>
      </w:r>
      <w:r>
        <w:fldChar w:fldCharType="begin">
          <w:fldData xml:space="preserve">PEVuZE5vdGU+PENpdGU+PEF1dGhvcj5NYWxoaTwvQXV0aG9yPjxZZWFyPjIwMjI8L1llYXI+PFJl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</w:fldData>
        </w:fldChar>
      </w:r>
      <w:r>
        <w:instrText xml:space="preserve"> ADDIN EN.CITE.DATA </w:instrText>
      </w:r>
      <w:r>
        <w:fldChar w:fldCharType="end"/>
      </w:r>
      <w:r>
        <w:fldChar w:fldCharType="separate"/>
      </w:r>
      <w:r>
        <w:rPr>
          <w:noProof/>
        </w:rPr>
        <w:t>(Malhi et al., 2022; Mosley et al., 2022)</w:t>
      </w:r>
      <w:r>
        <w:fldChar w:fldCharType="end"/>
      </w:r>
      <w:r w:rsidRPr="004E3735">
        <w:t>.</w:t>
      </w:r>
      <w:r>
        <w:t xml:space="preserve"> </w:t>
      </w:r>
    </w:p>
    <w:p w14:paraId="5C4B1CD4" w14:textId="77777777" w:rsidR="00035557" w:rsidRPr="00D72532" w:rsidRDefault="00035557" w:rsidP="00035557">
      <w:r w:rsidRPr="007D7A12">
        <w:t>DBS is considered an add-on</w:t>
      </w:r>
      <w:r>
        <w:t xml:space="preserve"> technology</w:t>
      </w:r>
      <w:r w:rsidRPr="007D7A12">
        <w:t xml:space="preserve"> for the small number of persons who remain highly treatment-refractory. </w:t>
      </w:r>
      <w:r>
        <w:t>T</w:t>
      </w:r>
      <w:r w:rsidRPr="00D72532">
        <w:t xml:space="preserve">he aim of </w:t>
      </w:r>
      <w:r>
        <w:t>DBS</w:t>
      </w:r>
      <w:r w:rsidRPr="00D72532">
        <w:t xml:space="preserve"> is to enhance OCD treatment</w:t>
      </w:r>
      <w:r>
        <w:t>,</w:t>
      </w:r>
      <w:r w:rsidRPr="00D72532">
        <w:t xml:space="preserve"> and patients are likely to require ongoing treatment with medication and psychotherapy.</w:t>
      </w:r>
    </w:p>
    <w:p w14:paraId="489DCBC1" w14:textId="77777777" w:rsidR="00035557" w:rsidRDefault="00035557" w:rsidP="00035557">
      <w:r>
        <w:t>DBS</w:t>
      </w:r>
      <w:r w:rsidRPr="00D72532">
        <w:t xml:space="preserve"> is a complex process involving many steps and specialised multi-disciplinary care. Following clinical assessment and the DBS procedure, patients require post-operative care, frequent follow-up post-discharge from hospital and frequent monitoring and adjustment of stimulation parameters.</w:t>
      </w:r>
    </w:p>
    <w:p w14:paraId="66BDFCC1" w14:textId="2C667FE2" w:rsidR="00772829" w:rsidRPr="00CE28E3" w:rsidRDefault="00035557" w:rsidP="002A18BE">
      <w:pPr>
        <w:pStyle w:val="Heading2"/>
        <w:numPr>
          <w:ilvl w:val="0"/>
          <w:numId w:val="0"/>
        </w:numPr>
      </w:pPr>
      <w:bookmarkStart w:id="11" w:name="_Toc143098832"/>
      <w:r>
        <w:t>8</w:t>
      </w:r>
      <w:r w:rsidR="00C36633">
        <w:t>.</w:t>
      </w:r>
      <w:r w:rsidR="00C36633">
        <w:tab/>
      </w:r>
      <w:r w:rsidR="00772829" w:rsidRPr="00CE28E3">
        <w:t>Comparator</w:t>
      </w:r>
      <w:bookmarkEnd w:id="11"/>
    </w:p>
    <w:p w14:paraId="2803B234" w14:textId="77777777" w:rsidR="00370C2D" w:rsidRPr="004E3735" w:rsidRDefault="00370C2D" w:rsidP="00370C2D">
      <w:r w:rsidRPr="004E3735">
        <w:t>The appropriate comparator for DBS in patients with treatment-refractory OCD is pharmacotherapy combined with psychological therapy.</w:t>
      </w:r>
    </w:p>
    <w:p w14:paraId="30D849A3" w14:textId="51483C63" w:rsidR="00370C2D" w:rsidRPr="004E3735" w:rsidRDefault="00370C2D" w:rsidP="00370C2D">
      <w:r w:rsidRPr="004E3735">
        <w:t>Pharmacological therapy for OCD comprises antidepressant therapy with serotonergic agents (</w:t>
      </w:r>
      <w:r>
        <w:t>SSRIs</w:t>
      </w:r>
      <w:r w:rsidRPr="004E3735">
        <w:t xml:space="preserve"> </w:t>
      </w:r>
      <w:r w:rsidR="00490602">
        <w:t>and</w:t>
      </w:r>
      <w:r w:rsidRPr="004E3735">
        <w:t xml:space="preserve"> the tricyclic antidepressant clomipramine). These may be augmented with an atypical antipsychotic</w:t>
      </w:r>
      <w:r w:rsidR="00FB4834">
        <w:t xml:space="preserve"> medication</w:t>
      </w:r>
      <w:r w:rsidRPr="004E3735">
        <w:t xml:space="preserve">. </w:t>
      </w:r>
      <w:r w:rsidR="00A92506">
        <w:t>According to the ratified PICO, c</w:t>
      </w:r>
      <w:r w:rsidRPr="004E3735">
        <w:t xml:space="preserve">lomipramine is regarded as the most effective drug treatment for OCD. It is often not used first line as it has anticholinergic properties that cause side effects such as dry mouth, </w:t>
      </w:r>
      <w:proofErr w:type="gramStart"/>
      <w:r w:rsidRPr="004E3735">
        <w:t>constipation</w:t>
      </w:r>
      <w:proofErr w:type="gramEnd"/>
      <w:r w:rsidRPr="004E3735">
        <w:t xml:space="preserve"> and urinary retention. </w:t>
      </w:r>
    </w:p>
    <w:p w14:paraId="748DB666" w14:textId="77777777" w:rsidR="00370C2D" w:rsidRPr="004E3735" w:rsidRDefault="00370C2D" w:rsidP="00370C2D">
      <w:r w:rsidRPr="004E3735">
        <w:lastRenderedPageBreak/>
        <w:t xml:space="preserve">Effective psychological therapy </w:t>
      </w:r>
      <w:r w:rsidRPr="009C14C8">
        <w:t>comprises ‘exposure and response prevention’. In this</w:t>
      </w:r>
      <w:r w:rsidRPr="004E3735">
        <w:t xml:space="preserve"> style of therapy, the patient learns to </w:t>
      </w:r>
      <w:proofErr w:type="gramStart"/>
      <w:r w:rsidRPr="004E3735">
        <w:t>gradually and deliberately place themselves</w:t>
      </w:r>
      <w:proofErr w:type="gramEnd"/>
      <w:r w:rsidRPr="004E3735">
        <w:t xml:space="preserve"> in situations that trigger their obsessive fears, but without performing a neutralising compulsion. For example, a patient with contamination fears may progress over the course of therapy from being able to touch a chair and not wash their hands to being able to touch a toilet and not wash their hands. The principle is that the fear response central </w:t>
      </w:r>
      <w:r w:rsidRPr="009C14C8">
        <w:t>to OCD ‘habituates’ as</w:t>
      </w:r>
      <w:r w:rsidRPr="004E3735">
        <w:t xml:space="preserve"> the patient challenges themselves. </w:t>
      </w:r>
    </w:p>
    <w:p w14:paraId="7B9B4C21" w14:textId="77777777" w:rsidR="00370C2D" w:rsidRPr="004E3735" w:rsidRDefault="00370C2D" w:rsidP="00370C2D">
      <w:r w:rsidRPr="004E3735">
        <w:t>The currently used MBS item numbers for the treatment of patients with OCD</w:t>
      </w:r>
      <w:r>
        <w:t xml:space="preserve"> include items </w:t>
      </w:r>
      <w:r w:rsidRPr="004E3735">
        <w:t>300, 302, 304, 306, 308 (provision of outpatient care by a psychiatrist</w:t>
      </w:r>
      <w:r>
        <w:t>) and item 80100 (</w:t>
      </w:r>
      <w:r w:rsidRPr="004E3735">
        <w:t>provision of focussed psychological care by a psychologist</w:t>
      </w:r>
      <w:r>
        <w:t>)</w:t>
      </w:r>
      <w:r w:rsidRPr="004E3735">
        <w:t>.</w:t>
      </w:r>
    </w:p>
    <w:p w14:paraId="0FC48F8B" w14:textId="7CCD6079" w:rsidR="00370C2D" w:rsidRDefault="00370C2D" w:rsidP="00370C2D">
      <w:r>
        <w:t>P</w:t>
      </w:r>
      <w:r w:rsidRPr="004E3735">
        <w:t>atients who require more than 50 psychiatry attendance services in a calendar year</w:t>
      </w:r>
      <w:r w:rsidR="00427FF0">
        <w:t>, for example,</w:t>
      </w:r>
      <w:r w:rsidRPr="004E3735">
        <w:t xml:space="preserve"> in the case </w:t>
      </w:r>
      <w:r w:rsidR="00427FF0">
        <w:t>of</w:t>
      </w:r>
      <w:r w:rsidRPr="004E3735">
        <w:t xml:space="preserve"> intensive psychotherapy</w:t>
      </w:r>
      <w:r w:rsidR="00427FF0">
        <w:t>,</w:t>
      </w:r>
      <w:r w:rsidRPr="004E3735">
        <w:t xml:space="preserve"> would move to items 310, 312, 314, 316 or 318, which are items with a lowered rebate.</w:t>
      </w:r>
    </w:p>
    <w:p w14:paraId="47BC3A84" w14:textId="32BB6ACB" w:rsidR="00772829" w:rsidRPr="00CE28E3" w:rsidRDefault="00035557" w:rsidP="002A18BE">
      <w:pPr>
        <w:pStyle w:val="Heading2"/>
        <w:numPr>
          <w:ilvl w:val="0"/>
          <w:numId w:val="0"/>
        </w:numPr>
      </w:pPr>
      <w:bookmarkStart w:id="12" w:name="_Toc143098833"/>
      <w:r>
        <w:t>9</w:t>
      </w:r>
      <w:r w:rsidR="00C36633">
        <w:t>.</w:t>
      </w:r>
      <w:r w:rsidR="00C36633">
        <w:tab/>
      </w:r>
      <w:r w:rsidR="00772829" w:rsidRPr="00CE28E3">
        <w:t xml:space="preserve">Summary of public consultation </w:t>
      </w:r>
      <w:r w:rsidR="0052575D">
        <w:t>input</w:t>
      </w:r>
      <w:bookmarkEnd w:id="12"/>
    </w:p>
    <w:p w14:paraId="051C48A7" w14:textId="73F49113" w:rsidR="00F01B7D" w:rsidRPr="009A1554" w:rsidRDefault="00F1318F" w:rsidP="00F01B7D">
      <w:pPr>
        <w:pStyle w:val="Instructionaltext"/>
        <w:rPr>
          <w:color w:val="auto"/>
        </w:rPr>
      </w:pPr>
      <w:r>
        <w:rPr>
          <w:color w:val="auto"/>
        </w:rPr>
        <w:t>C</w:t>
      </w:r>
      <w:r w:rsidR="00F01B7D" w:rsidRPr="009A1554">
        <w:rPr>
          <w:color w:val="auto"/>
        </w:rPr>
        <w:t xml:space="preserve">onsultation input </w:t>
      </w:r>
      <w:r>
        <w:rPr>
          <w:color w:val="auto"/>
        </w:rPr>
        <w:t xml:space="preserve">was received </w:t>
      </w:r>
      <w:r w:rsidR="00F01B7D" w:rsidRPr="009A1554">
        <w:rPr>
          <w:color w:val="auto"/>
        </w:rPr>
        <w:t xml:space="preserve">from </w:t>
      </w:r>
      <w:r w:rsidR="00851AD2">
        <w:rPr>
          <w:color w:val="auto"/>
        </w:rPr>
        <w:t>one</w:t>
      </w:r>
      <w:r w:rsidR="00F01B7D" w:rsidRPr="009A1554">
        <w:rPr>
          <w:color w:val="auto"/>
        </w:rPr>
        <w:t xml:space="preserve"> professional organisation, </w:t>
      </w:r>
      <w:r w:rsidR="00851AD2">
        <w:rPr>
          <w:color w:val="auto"/>
        </w:rPr>
        <w:t>two</w:t>
      </w:r>
      <w:r>
        <w:rPr>
          <w:color w:val="auto"/>
        </w:rPr>
        <w:t> </w:t>
      </w:r>
      <w:r w:rsidR="00F01B7D" w:rsidRPr="009A1554">
        <w:rPr>
          <w:color w:val="auto"/>
        </w:rPr>
        <w:t>medical device manufacturer</w:t>
      </w:r>
      <w:r w:rsidR="00F3513B">
        <w:rPr>
          <w:color w:val="auto"/>
        </w:rPr>
        <w:t>s</w:t>
      </w:r>
      <w:r w:rsidR="00F01B7D" w:rsidRPr="009A1554">
        <w:rPr>
          <w:color w:val="auto"/>
        </w:rPr>
        <w:t xml:space="preserve">, and </w:t>
      </w:r>
      <w:r w:rsidR="00851AD2">
        <w:rPr>
          <w:color w:val="auto"/>
        </w:rPr>
        <w:t>four</w:t>
      </w:r>
      <w:r w:rsidR="00F01B7D" w:rsidRPr="009A1554">
        <w:rPr>
          <w:color w:val="auto"/>
        </w:rPr>
        <w:t xml:space="preserve"> </w:t>
      </w:r>
      <w:r w:rsidR="006E1CDE">
        <w:rPr>
          <w:color w:val="auto"/>
        </w:rPr>
        <w:t>S</w:t>
      </w:r>
      <w:r w:rsidR="00F01B7D" w:rsidRPr="009A1554">
        <w:rPr>
          <w:color w:val="auto"/>
        </w:rPr>
        <w:t xml:space="preserve">tate and </w:t>
      </w:r>
      <w:r w:rsidR="006E1CDE">
        <w:rPr>
          <w:color w:val="auto"/>
        </w:rPr>
        <w:t>T</w:t>
      </w:r>
      <w:r w:rsidR="00F01B7D" w:rsidRPr="009A1554">
        <w:rPr>
          <w:color w:val="auto"/>
        </w:rPr>
        <w:t>erritory offices of the chief psychiatrist:</w:t>
      </w:r>
    </w:p>
    <w:p w14:paraId="291BD9E7" w14:textId="77777777" w:rsidR="00F01B7D" w:rsidRPr="009A1554" w:rsidRDefault="00F01B7D" w:rsidP="00A15B4C">
      <w:pPr>
        <w:pStyle w:val="Instructionaltext"/>
        <w:numPr>
          <w:ilvl w:val="0"/>
          <w:numId w:val="45"/>
        </w:numPr>
        <w:rPr>
          <w:color w:val="auto"/>
        </w:rPr>
      </w:pPr>
      <w:r w:rsidRPr="009A1554">
        <w:rPr>
          <w:color w:val="auto"/>
        </w:rPr>
        <w:t>Royal Australian and New Zealand College of Psychiatrists (RANZCP)</w:t>
      </w:r>
    </w:p>
    <w:p w14:paraId="2C834557" w14:textId="77777777" w:rsidR="00F01B7D" w:rsidRPr="009A1554" w:rsidRDefault="00F01B7D" w:rsidP="00A15B4C">
      <w:pPr>
        <w:pStyle w:val="Instructionaltext"/>
        <w:numPr>
          <w:ilvl w:val="0"/>
          <w:numId w:val="45"/>
        </w:numPr>
        <w:rPr>
          <w:color w:val="auto"/>
        </w:rPr>
      </w:pPr>
      <w:r w:rsidRPr="009A1554">
        <w:rPr>
          <w:color w:val="auto"/>
        </w:rPr>
        <w:t>Medtronic Australasia Pty Ltd (Medtronic)</w:t>
      </w:r>
    </w:p>
    <w:p w14:paraId="000E6DC2" w14:textId="2474E888" w:rsidR="008740F5" w:rsidRPr="009A1554" w:rsidRDefault="008740F5" w:rsidP="00A15B4C">
      <w:pPr>
        <w:pStyle w:val="Instructionaltext"/>
        <w:numPr>
          <w:ilvl w:val="0"/>
          <w:numId w:val="45"/>
        </w:numPr>
        <w:rPr>
          <w:color w:val="auto"/>
        </w:rPr>
      </w:pPr>
      <w:r>
        <w:rPr>
          <w:color w:val="auto"/>
        </w:rPr>
        <w:t>Ab</w:t>
      </w:r>
      <w:r w:rsidR="00493442">
        <w:rPr>
          <w:color w:val="auto"/>
        </w:rPr>
        <w:t>b</w:t>
      </w:r>
      <w:r>
        <w:rPr>
          <w:color w:val="auto"/>
        </w:rPr>
        <w:t>ott</w:t>
      </w:r>
      <w:r w:rsidR="00A74D6C">
        <w:rPr>
          <w:color w:val="auto"/>
        </w:rPr>
        <w:t xml:space="preserve"> Medical</w:t>
      </w:r>
      <w:r w:rsidR="00203950">
        <w:rPr>
          <w:color w:val="auto"/>
        </w:rPr>
        <w:t xml:space="preserve"> (Abbott)</w:t>
      </w:r>
    </w:p>
    <w:p w14:paraId="4307ECF4" w14:textId="77777777" w:rsidR="00F01B7D" w:rsidRPr="009A1554" w:rsidRDefault="00F01B7D" w:rsidP="00A15B4C">
      <w:pPr>
        <w:pStyle w:val="Instructionaltext"/>
        <w:numPr>
          <w:ilvl w:val="0"/>
          <w:numId w:val="45"/>
        </w:numPr>
        <w:rPr>
          <w:color w:val="auto"/>
        </w:rPr>
      </w:pPr>
      <w:r w:rsidRPr="009A1554">
        <w:rPr>
          <w:color w:val="auto"/>
        </w:rPr>
        <w:t>Office of the Chief Psychiatrist WA (OCPWA)</w:t>
      </w:r>
    </w:p>
    <w:p w14:paraId="221A1805" w14:textId="77777777" w:rsidR="00F01B7D" w:rsidRPr="009A1554" w:rsidRDefault="00F01B7D" w:rsidP="00A15B4C">
      <w:pPr>
        <w:pStyle w:val="Instructionaltext"/>
        <w:numPr>
          <w:ilvl w:val="0"/>
          <w:numId w:val="45"/>
        </w:numPr>
        <w:rPr>
          <w:color w:val="auto"/>
        </w:rPr>
      </w:pPr>
      <w:r w:rsidRPr="009A1554">
        <w:rPr>
          <w:color w:val="auto"/>
        </w:rPr>
        <w:t>Office of the Chief Psychiatrist Tasmania (</w:t>
      </w:r>
      <w:proofErr w:type="spellStart"/>
      <w:r w:rsidRPr="009A1554">
        <w:rPr>
          <w:color w:val="auto"/>
        </w:rPr>
        <w:t>OCPTas</w:t>
      </w:r>
      <w:proofErr w:type="spellEnd"/>
      <w:r w:rsidRPr="009A1554">
        <w:rPr>
          <w:color w:val="auto"/>
        </w:rPr>
        <w:t>)</w:t>
      </w:r>
    </w:p>
    <w:p w14:paraId="5E184750" w14:textId="77777777" w:rsidR="00F01B7D" w:rsidRPr="009A1554" w:rsidRDefault="00F01B7D" w:rsidP="00A15B4C">
      <w:pPr>
        <w:pStyle w:val="Instructionaltext"/>
        <w:numPr>
          <w:ilvl w:val="0"/>
          <w:numId w:val="45"/>
        </w:numPr>
        <w:rPr>
          <w:color w:val="auto"/>
        </w:rPr>
      </w:pPr>
      <w:r w:rsidRPr="009A1554">
        <w:rPr>
          <w:color w:val="auto"/>
        </w:rPr>
        <w:t>Office of the Chief Psychiatrist ACT (OCPACT)</w:t>
      </w:r>
    </w:p>
    <w:p w14:paraId="6474BD8C" w14:textId="77777777" w:rsidR="00F01B7D" w:rsidRPr="009A1554" w:rsidRDefault="00F01B7D" w:rsidP="00A15B4C">
      <w:pPr>
        <w:pStyle w:val="Instructionaltext"/>
        <w:numPr>
          <w:ilvl w:val="0"/>
          <w:numId w:val="45"/>
        </w:numPr>
        <w:rPr>
          <w:color w:val="auto"/>
        </w:rPr>
      </w:pPr>
      <w:r w:rsidRPr="009A1554">
        <w:rPr>
          <w:color w:val="auto"/>
        </w:rPr>
        <w:t>Office of the Chief Psychiatrist SA (OCPSA)</w:t>
      </w:r>
    </w:p>
    <w:p w14:paraId="6D989CDE" w14:textId="77777777" w:rsidR="00F01B7D" w:rsidRPr="009A1554" w:rsidRDefault="00F01B7D" w:rsidP="00F01B7D">
      <w:pPr>
        <w:pStyle w:val="Instructionaltext"/>
        <w:rPr>
          <w:color w:val="auto"/>
        </w:rPr>
      </w:pPr>
      <w:r w:rsidRPr="009A1554">
        <w:rPr>
          <w:color w:val="auto"/>
        </w:rPr>
        <w:t xml:space="preserve">The consultation feedback received was all supportive of public funding for Deep Brain Stimulation for treatment-refractory OCD. </w:t>
      </w:r>
    </w:p>
    <w:p w14:paraId="12C6D7E7" w14:textId="77777777" w:rsidR="00F01B7D" w:rsidRPr="009A1554" w:rsidRDefault="00F01B7D" w:rsidP="00B10E44">
      <w:pPr>
        <w:pStyle w:val="ExecSummaryHeader3"/>
      </w:pPr>
      <w:bookmarkStart w:id="13" w:name="_Toc143098834"/>
      <w:r w:rsidRPr="009A1554">
        <w:t>Clinical need and public health significance</w:t>
      </w:r>
      <w:bookmarkEnd w:id="13"/>
    </w:p>
    <w:p w14:paraId="71557814" w14:textId="77777777" w:rsidR="00F01B7D" w:rsidRPr="009A1554" w:rsidRDefault="00F01B7D" w:rsidP="00A15B4C">
      <w:pPr>
        <w:pStyle w:val="Instructionaltext"/>
        <w:numPr>
          <w:ilvl w:val="0"/>
          <w:numId w:val="47"/>
        </w:numPr>
        <w:rPr>
          <w:color w:val="auto"/>
        </w:rPr>
      </w:pPr>
      <w:r w:rsidRPr="009A1554">
        <w:rPr>
          <w:color w:val="auto"/>
        </w:rPr>
        <w:t xml:space="preserve">The main benefits of public funding received in the consultation feedback included: </w:t>
      </w:r>
    </w:p>
    <w:p w14:paraId="76EC9C2F" w14:textId="77777777" w:rsidR="00F01B7D" w:rsidRPr="009A1554" w:rsidRDefault="00F01B7D" w:rsidP="00A15B4C">
      <w:pPr>
        <w:pStyle w:val="Instructionaltext"/>
        <w:numPr>
          <w:ilvl w:val="1"/>
          <w:numId w:val="47"/>
        </w:numPr>
        <w:rPr>
          <w:color w:val="auto"/>
        </w:rPr>
      </w:pPr>
      <w:r w:rsidRPr="009A1554">
        <w:rPr>
          <w:color w:val="auto"/>
        </w:rPr>
        <w:t xml:space="preserve">The need for an additional treatment for people who have exhausted other treatment </w:t>
      </w:r>
      <w:proofErr w:type="gramStart"/>
      <w:r w:rsidRPr="009A1554">
        <w:rPr>
          <w:color w:val="auto"/>
        </w:rPr>
        <w:t>options</w:t>
      </w:r>
      <w:proofErr w:type="gramEnd"/>
      <w:r w:rsidRPr="009A1554">
        <w:rPr>
          <w:color w:val="auto"/>
        </w:rPr>
        <w:t xml:space="preserve"> </w:t>
      </w:r>
    </w:p>
    <w:p w14:paraId="6E30C044" w14:textId="77777777" w:rsidR="00F01B7D" w:rsidRPr="009A1554" w:rsidRDefault="00F01B7D" w:rsidP="00A15B4C">
      <w:pPr>
        <w:pStyle w:val="Instructionaltext"/>
        <w:numPr>
          <w:ilvl w:val="1"/>
          <w:numId w:val="47"/>
        </w:numPr>
        <w:rPr>
          <w:color w:val="auto"/>
        </w:rPr>
      </w:pPr>
      <w:r w:rsidRPr="009A1554">
        <w:rPr>
          <w:color w:val="auto"/>
        </w:rPr>
        <w:t xml:space="preserve">Potential to incentivise the development of new centres of expertise in </w:t>
      </w:r>
      <w:proofErr w:type="gramStart"/>
      <w:r w:rsidRPr="009A1554">
        <w:rPr>
          <w:color w:val="auto"/>
        </w:rPr>
        <w:t>Australia</w:t>
      </w:r>
      <w:proofErr w:type="gramEnd"/>
    </w:p>
    <w:p w14:paraId="5F4CE105" w14:textId="77777777" w:rsidR="00F01B7D" w:rsidRPr="009A1554" w:rsidRDefault="00F01B7D" w:rsidP="00A15B4C">
      <w:pPr>
        <w:pStyle w:val="Instructionaltext"/>
        <w:numPr>
          <w:ilvl w:val="1"/>
          <w:numId w:val="47"/>
        </w:numPr>
        <w:rPr>
          <w:color w:val="auto"/>
        </w:rPr>
      </w:pPr>
      <w:r w:rsidRPr="009A1554">
        <w:rPr>
          <w:color w:val="auto"/>
        </w:rPr>
        <w:t xml:space="preserve">Improved quality of life for carers/family through reduced caring burden </w:t>
      </w:r>
    </w:p>
    <w:p w14:paraId="23616172" w14:textId="77777777" w:rsidR="00F01B7D" w:rsidRPr="009A1554" w:rsidRDefault="00F01B7D" w:rsidP="00A15B4C">
      <w:pPr>
        <w:pStyle w:val="Instructionaltext"/>
        <w:numPr>
          <w:ilvl w:val="1"/>
          <w:numId w:val="47"/>
        </w:numPr>
        <w:rPr>
          <w:color w:val="auto"/>
        </w:rPr>
      </w:pPr>
      <w:r w:rsidRPr="009A1554">
        <w:rPr>
          <w:color w:val="auto"/>
        </w:rPr>
        <w:t>Societal benefits such as improved productivity, more efficient use of healthcare resources and, potential savings to the healthcare sector</w:t>
      </w:r>
    </w:p>
    <w:p w14:paraId="69E42A14" w14:textId="77777777" w:rsidR="00F01B7D" w:rsidRPr="009A1554" w:rsidRDefault="00F01B7D" w:rsidP="00A15B4C">
      <w:pPr>
        <w:pStyle w:val="Instructionaltext"/>
        <w:numPr>
          <w:ilvl w:val="0"/>
          <w:numId w:val="47"/>
        </w:numPr>
        <w:rPr>
          <w:color w:val="auto"/>
        </w:rPr>
      </w:pPr>
      <w:r w:rsidRPr="009A1554">
        <w:rPr>
          <w:color w:val="auto"/>
        </w:rPr>
        <w:t>The main disadvantages of public funding received in the consultation feedback included:</w:t>
      </w:r>
    </w:p>
    <w:p w14:paraId="712F2F08" w14:textId="77777777" w:rsidR="00F01B7D" w:rsidRPr="009A1554" w:rsidRDefault="00F01B7D" w:rsidP="00A15B4C">
      <w:pPr>
        <w:pStyle w:val="Instructionaltext"/>
        <w:numPr>
          <w:ilvl w:val="1"/>
          <w:numId w:val="47"/>
        </w:numPr>
        <w:rPr>
          <w:color w:val="auto"/>
        </w:rPr>
      </w:pPr>
      <w:r w:rsidRPr="009A1554">
        <w:rPr>
          <w:color w:val="auto"/>
        </w:rPr>
        <w:t>Limits to the evidence base, especially in respect of RCTs and long-term outcomes</w:t>
      </w:r>
    </w:p>
    <w:p w14:paraId="3A2C4A15" w14:textId="77777777" w:rsidR="00F01B7D" w:rsidRPr="009A1554" w:rsidRDefault="00F01B7D" w:rsidP="00A15B4C">
      <w:pPr>
        <w:pStyle w:val="Instructionaltext"/>
        <w:numPr>
          <w:ilvl w:val="1"/>
          <w:numId w:val="47"/>
        </w:numPr>
        <w:rPr>
          <w:color w:val="auto"/>
        </w:rPr>
      </w:pPr>
      <w:r w:rsidRPr="009A1554">
        <w:rPr>
          <w:color w:val="auto"/>
        </w:rPr>
        <w:lastRenderedPageBreak/>
        <w:t xml:space="preserve">Potentially lengthy programming time required </w:t>
      </w:r>
      <w:proofErr w:type="gramStart"/>
      <w:r w:rsidRPr="009A1554">
        <w:rPr>
          <w:color w:val="auto"/>
        </w:rPr>
        <w:t>postoperatively</w:t>
      </w:r>
      <w:proofErr w:type="gramEnd"/>
    </w:p>
    <w:p w14:paraId="5022CAFD" w14:textId="77777777" w:rsidR="00F01B7D" w:rsidRPr="009A1554" w:rsidRDefault="00F01B7D" w:rsidP="00A15B4C">
      <w:pPr>
        <w:pStyle w:val="Instructionaltext"/>
        <w:numPr>
          <w:ilvl w:val="1"/>
          <w:numId w:val="47"/>
        </w:numPr>
        <w:rPr>
          <w:color w:val="auto"/>
        </w:rPr>
      </w:pPr>
      <w:r w:rsidRPr="009A1554">
        <w:rPr>
          <w:color w:val="auto"/>
        </w:rPr>
        <w:t xml:space="preserve">Risks involved with surgical procedures and potential side </w:t>
      </w:r>
      <w:proofErr w:type="gramStart"/>
      <w:r w:rsidRPr="009A1554">
        <w:rPr>
          <w:color w:val="auto"/>
        </w:rPr>
        <w:t>effects</w:t>
      </w:r>
      <w:proofErr w:type="gramEnd"/>
    </w:p>
    <w:p w14:paraId="61D23110" w14:textId="77777777" w:rsidR="00F01B7D" w:rsidRPr="009A1554" w:rsidRDefault="00F01B7D" w:rsidP="00A15B4C">
      <w:pPr>
        <w:pStyle w:val="Instructionaltext"/>
        <w:numPr>
          <w:ilvl w:val="1"/>
          <w:numId w:val="47"/>
        </w:numPr>
        <w:rPr>
          <w:color w:val="auto"/>
        </w:rPr>
      </w:pPr>
      <w:r w:rsidRPr="009A1554">
        <w:rPr>
          <w:color w:val="auto"/>
        </w:rPr>
        <w:t>Relative risk of there being little or no significant improvement</w:t>
      </w:r>
    </w:p>
    <w:p w14:paraId="57B114E4" w14:textId="77777777" w:rsidR="00F01B7D" w:rsidRPr="009A1554" w:rsidRDefault="00F01B7D" w:rsidP="00A15B4C">
      <w:pPr>
        <w:pStyle w:val="Instructionaltext"/>
        <w:numPr>
          <w:ilvl w:val="0"/>
          <w:numId w:val="47"/>
        </w:numPr>
        <w:rPr>
          <w:color w:val="auto"/>
        </w:rPr>
      </w:pPr>
      <w:r w:rsidRPr="009A1554">
        <w:rPr>
          <w:color w:val="auto"/>
        </w:rPr>
        <w:t>Other services identified in the consultation feedback as being needed to be delivered before or after the intervention included:</w:t>
      </w:r>
    </w:p>
    <w:p w14:paraId="3F7B661D" w14:textId="77777777" w:rsidR="00F01B7D" w:rsidRPr="009A1554" w:rsidRDefault="00F01B7D" w:rsidP="00A15B4C">
      <w:pPr>
        <w:pStyle w:val="Instructionaltext"/>
        <w:numPr>
          <w:ilvl w:val="1"/>
          <w:numId w:val="47"/>
        </w:numPr>
        <w:rPr>
          <w:color w:val="auto"/>
        </w:rPr>
      </w:pPr>
      <w:r w:rsidRPr="009A1554">
        <w:rPr>
          <w:color w:val="auto"/>
        </w:rPr>
        <w:t xml:space="preserve">The RANZCP stated that DBS is not a substitution but an add-on therapy to psychological therapies or medications. </w:t>
      </w:r>
    </w:p>
    <w:p w14:paraId="7C0946F7" w14:textId="77777777" w:rsidR="00F01B7D" w:rsidRPr="009A1554" w:rsidRDefault="00F01B7D" w:rsidP="00A15B4C">
      <w:pPr>
        <w:pStyle w:val="Instructionaltext"/>
        <w:numPr>
          <w:ilvl w:val="1"/>
          <w:numId w:val="47"/>
        </w:numPr>
        <w:rPr>
          <w:color w:val="auto"/>
        </w:rPr>
      </w:pPr>
      <w:r w:rsidRPr="009A1554">
        <w:rPr>
          <w:color w:val="auto"/>
        </w:rPr>
        <w:t>The RANZCP stated patients undertaking DBS usually require substantial psychological support, whether responding or not responding to the DBS.</w:t>
      </w:r>
    </w:p>
    <w:p w14:paraId="0AF4692B" w14:textId="77777777" w:rsidR="00F01B7D" w:rsidRPr="009A1554" w:rsidRDefault="00F01B7D" w:rsidP="00A15B4C">
      <w:pPr>
        <w:pStyle w:val="Instructionaltext"/>
        <w:numPr>
          <w:ilvl w:val="1"/>
          <w:numId w:val="47"/>
        </w:numPr>
        <w:rPr>
          <w:color w:val="auto"/>
        </w:rPr>
      </w:pPr>
      <w:r w:rsidRPr="009A1554">
        <w:rPr>
          <w:color w:val="auto"/>
        </w:rPr>
        <w:t xml:space="preserve">Post-intervention management by a multidisciplinary team including a neurosurgeon, neurologist and, neuropsychiatrist experienced in </w:t>
      </w:r>
      <w:proofErr w:type="gramStart"/>
      <w:r w:rsidRPr="009A1554">
        <w:rPr>
          <w:color w:val="auto"/>
        </w:rPr>
        <w:t>DBS</w:t>
      </w:r>
      <w:proofErr w:type="gramEnd"/>
    </w:p>
    <w:p w14:paraId="5D735EC7" w14:textId="77777777" w:rsidR="00F01B7D" w:rsidRPr="009A1554" w:rsidRDefault="00F01B7D" w:rsidP="00B10E44">
      <w:pPr>
        <w:pStyle w:val="ExecSummaryHeader3"/>
      </w:pPr>
      <w:bookmarkStart w:id="14" w:name="_Toc143098835"/>
      <w:r w:rsidRPr="009A1554">
        <w:t>Indication(s) for the proposed medical service and clinical claim</w:t>
      </w:r>
      <w:bookmarkEnd w:id="14"/>
    </w:p>
    <w:p w14:paraId="2E07CF10" w14:textId="77777777" w:rsidR="00F01B7D" w:rsidRPr="009A1554" w:rsidRDefault="00F01B7D" w:rsidP="00A15B4C">
      <w:pPr>
        <w:pStyle w:val="Instructionaltext"/>
        <w:numPr>
          <w:ilvl w:val="0"/>
          <w:numId w:val="46"/>
        </w:numPr>
        <w:rPr>
          <w:color w:val="auto"/>
        </w:rPr>
      </w:pPr>
      <w:r w:rsidRPr="009A1554">
        <w:rPr>
          <w:color w:val="auto"/>
        </w:rPr>
        <w:t xml:space="preserve">The consultation feedback agreed with the proposed population(s). </w:t>
      </w:r>
    </w:p>
    <w:p w14:paraId="7C9F5953" w14:textId="77777777" w:rsidR="00F01B7D" w:rsidRPr="009A1554" w:rsidRDefault="00F01B7D" w:rsidP="00A15B4C">
      <w:pPr>
        <w:pStyle w:val="Instructionaltext"/>
        <w:numPr>
          <w:ilvl w:val="1"/>
          <w:numId w:val="46"/>
        </w:numPr>
        <w:rPr>
          <w:color w:val="auto"/>
        </w:rPr>
      </w:pPr>
      <w:r w:rsidRPr="009A1554">
        <w:rPr>
          <w:color w:val="auto"/>
        </w:rPr>
        <w:t>The RANZCP stated that clinical indications for DBS for OCD are set out with the RANZCP Clinical Memorandum. It states that DBS could be considered if all other treatment avenues have been exhausted, including trials of at least 4 SSRIs at maximum tolerated dose, one trial of clomipramine at maximum tolerated dose, one augmentation trial with an antipsychotic and one complete trial of exposure-based cognitive behavioural therapy. They added that, where available, other treatments with an evidence base supporting efficacy in OCD, such as deep repetitive Transcranial Magnetic Stimulation (</w:t>
      </w:r>
      <w:proofErr w:type="spellStart"/>
      <w:r w:rsidRPr="009A1554">
        <w:rPr>
          <w:color w:val="auto"/>
        </w:rPr>
        <w:t>rTMS</w:t>
      </w:r>
      <w:proofErr w:type="spellEnd"/>
      <w:r w:rsidRPr="009A1554">
        <w:rPr>
          <w:color w:val="auto"/>
        </w:rPr>
        <w:t>), should also be provided prior to a consideration of a trial of DBS.</w:t>
      </w:r>
    </w:p>
    <w:p w14:paraId="0832AE0E" w14:textId="77777777" w:rsidR="00F01B7D" w:rsidRPr="009A1554" w:rsidRDefault="00F01B7D" w:rsidP="00A15B4C">
      <w:pPr>
        <w:pStyle w:val="Instructionaltext"/>
        <w:numPr>
          <w:ilvl w:val="0"/>
          <w:numId w:val="46"/>
        </w:numPr>
        <w:rPr>
          <w:color w:val="auto"/>
        </w:rPr>
      </w:pPr>
      <w:r w:rsidRPr="009A1554">
        <w:rPr>
          <w:color w:val="auto"/>
        </w:rPr>
        <w:t xml:space="preserve">The consultation feedback agreed with the proposed comparator(s). </w:t>
      </w:r>
    </w:p>
    <w:p w14:paraId="1B4C0DF4" w14:textId="77777777" w:rsidR="00F01B7D" w:rsidRPr="009A1554" w:rsidRDefault="00F01B7D" w:rsidP="00A15B4C">
      <w:pPr>
        <w:pStyle w:val="Instructionaltext"/>
        <w:numPr>
          <w:ilvl w:val="1"/>
          <w:numId w:val="46"/>
        </w:numPr>
        <w:rPr>
          <w:color w:val="auto"/>
        </w:rPr>
      </w:pPr>
      <w:r w:rsidRPr="009A1554">
        <w:rPr>
          <w:color w:val="auto"/>
        </w:rPr>
        <w:t xml:space="preserve">Feedback from the RANZCP and Medtronic suggested other therapies could be potential comparators: </w:t>
      </w:r>
      <w:proofErr w:type="spellStart"/>
      <w:r w:rsidRPr="009A1554">
        <w:rPr>
          <w:color w:val="auto"/>
        </w:rPr>
        <w:t>rTMS</w:t>
      </w:r>
      <w:proofErr w:type="spellEnd"/>
      <w:r w:rsidRPr="009A1554">
        <w:rPr>
          <w:color w:val="auto"/>
        </w:rPr>
        <w:t xml:space="preserve"> and invasive ablative neurosurgical procedures (anterior capsulotomy, anterior cingulotomy).</w:t>
      </w:r>
    </w:p>
    <w:p w14:paraId="4FC00C53" w14:textId="77777777" w:rsidR="00F01B7D" w:rsidRPr="009A1554" w:rsidRDefault="00F01B7D" w:rsidP="00A15B4C">
      <w:pPr>
        <w:pStyle w:val="Instructionaltext"/>
        <w:numPr>
          <w:ilvl w:val="0"/>
          <w:numId w:val="46"/>
        </w:numPr>
        <w:rPr>
          <w:color w:val="auto"/>
        </w:rPr>
      </w:pPr>
      <w:r w:rsidRPr="009A1554">
        <w:rPr>
          <w:color w:val="auto"/>
        </w:rPr>
        <w:t xml:space="preserve">The consultation feedback agreed with the clinical claim. </w:t>
      </w:r>
    </w:p>
    <w:p w14:paraId="15A5BF52" w14:textId="77777777" w:rsidR="00F01B7D" w:rsidRPr="009A1554" w:rsidRDefault="00F01B7D" w:rsidP="00B10E44">
      <w:pPr>
        <w:pStyle w:val="ExecSummaryHeader3"/>
      </w:pPr>
      <w:bookmarkStart w:id="15" w:name="_Toc143098836"/>
      <w:r w:rsidRPr="009A1554">
        <w:t>Cost information for the proposed medical service</w:t>
      </w:r>
      <w:bookmarkEnd w:id="15"/>
    </w:p>
    <w:p w14:paraId="12A9673C" w14:textId="77777777" w:rsidR="00F01B7D" w:rsidRPr="009A1554" w:rsidRDefault="00F01B7D" w:rsidP="00A15B4C">
      <w:pPr>
        <w:pStyle w:val="Instructionaltext"/>
        <w:numPr>
          <w:ilvl w:val="0"/>
          <w:numId w:val="46"/>
        </w:numPr>
        <w:rPr>
          <w:color w:val="auto"/>
        </w:rPr>
      </w:pPr>
      <w:r w:rsidRPr="009A1554">
        <w:rPr>
          <w:color w:val="auto"/>
        </w:rPr>
        <w:t>The consultation feedback agreed with the proposed service descriptor.</w:t>
      </w:r>
    </w:p>
    <w:p w14:paraId="07EA365A" w14:textId="77777777" w:rsidR="00F01B7D" w:rsidRPr="009A1554" w:rsidRDefault="00F01B7D" w:rsidP="00A15B4C">
      <w:pPr>
        <w:pStyle w:val="Instructionaltext"/>
        <w:numPr>
          <w:ilvl w:val="1"/>
          <w:numId w:val="46"/>
        </w:numPr>
        <w:rPr>
          <w:color w:val="auto"/>
        </w:rPr>
      </w:pPr>
      <w:r w:rsidRPr="009A1554">
        <w:rPr>
          <w:color w:val="auto"/>
        </w:rPr>
        <w:t xml:space="preserve">The RANZCP stated that the proposed item numbers are not clear in the definition of the professional groups able to claim the service. </w:t>
      </w:r>
    </w:p>
    <w:p w14:paraId="3F33CE19" w14:textId="77777777" w:rsidR="00F01B7D" w:rsidRPr="009A1554" w:rsidRDefault="00F01B7D" w:rsidP="00A15B4C">
      <w:pPr>
        <w:pStyle w:val="Instructionaltext"/>
        <w:numPr>
          <w:ilvl w:val="0"/>
          <w:numId w:val="46"/>
        </w:numPr>
        <w:rPr>
          <w:color w:val="auto"/>
        </w:rPr>
      </w:pPr>
      <w:r w:rsidRPr="009A1554">
        <w:rPr>
          <w:color w:val="auto"/>
        </w:rPr>
        <w:t xml:space="preserve">The consultation feedback agreed with the proposed service fee. </w:t>
      </w:r>
    </w:p>
    <w:p w14:paraId="41765FC9" w14:textId="77777777" w:rsidR="00F01B7D" w:rsidRPr="009A1554" w:rsidRDefault="00F01B7D" w:rsidP="00A15B4C">
      <w:pPr>
        <w:pStyle w:val="Instructionaltext"/>
        <w:numPr>
          <w:ilvl w:val="1"/>
          <w:numId w:val="46"/>
        </w:numPr>
        <w:rPr>
          <w:color w:val="auto"/>
        </w:rPr>
      </w:pPr>
      <w:r w:rsidRPr="009A1554">
        <w:rPr>
          <w:color w:val="auto"/>
        </w:rPr>
        <w:t>The RANZCP stated that costs for DBS for OCD would align with the currently available item numbers for DBS in neurological disorders.</w:t>
      </w:r>
    </w:p>
    <w:p w14:paraId="75457F87" w14:textId="77777777" w:rsidR="00F01B7D" w:rsidRPr="009A1554" w:rsidRDefault="00F01B7D" w:rsidP="00A15B4C">
      <w:pPr>
        <w:pStyle w:val="Instructionaltext"/>
        <w:numPr>
          <w:ilvl w:val="1"/>
          <w:numId w:val="46"/>
        </w:numPr>
        <w:rPr>
          <w:color w:val="auto"/>
        </w:rPr>
      </w:pPr>
      <w:r w:rsidRPr="009A1554">
        <w:rPr>
          <w:color w:val="auto"/>
        </w:rPr>
        <w:t>The RANZCP added that the proposed costs reflect that the approved indication for OCD is for bilateral stimulation.</w:t>
      </w:r>
    </w:p>
    <w:p w14:paraId="063A5243" w14:textId="77777777" w:rsidR="00F01B7D" w:rsidRPr="009A1554" w:rsidRDefault="00F01B7D" w:rsidP="00B10E44">
      <w:pPr>
        <w:pStyle w:val="ExecSummaryHeader3"/>
      </w:pPr>
      <w:bookmarkStart w:id="16" w:name="_Toc143098837"/>
      <w:r w:rsidRPr="009A1554">
        <w:lastRenderedPageBreak/>
        <w:t>Additional comments</w:t>
      </w:r>
      <w:bookmarkEnd w:id="16"/>
      <w:r w:rsidRPr="009A1554">
        <w:t xml:space="preserve"> </w:t>
      </w:r>
    </w:p>
    <w:p w14:paraId="06727D54" w14:textId="72AF14E8" w:rsidR="00F01B7D" w:rsidRPr="009A1554" w:rsidRDefault="00F01B7D" w:rsidP="00F01B7D">
      <w:pPr>
        <w:pStyle w:val="Instructionaltext"/>
        <w:rPr>
          <w:color w:val="auto"/>
        </w:rPr>
      </w:pPr>
      <w:r w:rsidRPr="009A1554">
        <w:rPr>
          <w:color w:val="auto"/>
        </w:rPr>
        <w:t xml:space="preserve">The RANZCP stated legislative barriers affect access </w:t>
      </w:r>
      <w:r w:rsidR="00D944BC">
        <w:rPr>
          <w:color w:val="auto"/>
        </w:rPr>
        <w:t xml:space="preserve">to </w:t>
      </w:r>
      <w:r w:rsidRPr="009A1554">
        <w:rPr>
          <w:color w:val="auto"/>
        </w:rPr>
        <w:t xml:space="preserve">DBS to treat OCD. The offices of the chief psychiatrist in WA, Tasmania, the ACT and SA all stated that this service could be provided within their respective jurisdictions, </w:t>
      </w:r>
      <w:proofErr w:type="gramStart"/>
      <w:r w:rsidRPr="009A1554">
        <w:rPr>
          <w:color w:val="auto"/>
        </w:rPr>
        <w:t>provided that</w:t>
      </w:r>
      <w:proofErr w:type="gramEnd"/>
      <w:r w:rsidRPr="009A1554">
        <w:rPr>
          <w:color w:val="auto"/>
        </w:rPr>
        <w:t xml:space="preserve"> it was accessed through the relevant pathways in those jurisdictions. The RANZCP stated DBS to treat mental illness is currently prohibited in New South Wales and the Northern Territory. The ACT Chief Psychiatrist stated that DBS would fall within the definition of psychiatric surgery and that an application for psychiatric surgery has never been made under the ACT Mental Health Act 2015.</w:t>
      </w:r>
    </w:p>
    <w:p w14:paraId="713EC0B3" w14:textId="77777777" w:rsidR="00F01B7D" w:rsidRPr="009A1554" w:rsidRDefault="00F01B7D" w:rsidP="00F01B7D">
      <w:pPr>
        <w:pStyle w:val="Instructionaltext"/>
        <w:rPr>
          <w:color w:val="auto"/>
        </w:rPr>
      </w:pPr>
      <w:r w:rsidRPr="009A1554">
        <w:rPr>
          <w:color w:val="auto"/>
        </w:rPr>
        <w:t xml:space="preserve">RANZCP stated that cautious provision of this therapy in highly specialised centres may be beneficial. </w:t>
      </w:r>
    </w:p>
    <w:p w14:paraId="0F739448" w14:textId="77777777" w:rsidR="00F01B7D" w:rsidRPr="009A1554" w:rsidRDefault="00F01B7D" w:rsidP="00F01B7D">
      <w:pPr>
        <w:pStyle w:val="Instructionaltext"/>
        <w:rPr>
          <w:color w:val="auto"/>
        </w:rPr>
      </w:pPr>
      <w:r w:rsidRPr="009A1554">
        <w:rPr>
          <w:color w:val="auto"/>
        </w:rPr>
        <w:t>The RANZCP stated that they are supportive of developing a registry for all previous and prospective cases of DBS for OCD to ensure rigorous collection of outcome data.</w:t>
      </w:r>
    </w:p>
    <w:p w14:paraId="600C4E5E" w14:textId="3359277D" w:rsidR="00F01B7D" w:rsidRPr="009A1554" w:rsidRDefault="00F01B7D" w:rsidP="00F01B7D">
      <w:pPr>
        <w:pStyle w:val="Instructionaltext"/>
        <w:rPr>
          <w:color w:val="auto"/>
        </w:rPr>
      </w:pPr>
      <w:r w:rsidRPr="009A1554">
        <w:rPr>
          <w:color w:val="auto"/>
        </w:rPr>
        <w:t>PASC noted the positive feedback from the Royal Australian and New Zealand College of Psychiatry (RANZCP) regarding the intervention and their support of the development of a registry.</w:t>
      </w:r>
    </w:p>
    <w:p w14:paraId="03C7A1F1" w14:textId="6BEDE5BA" w:rsidR="00772829" w:rsidRPr="00CE28E3" w:rsidRDefault="00035557" w:rsidP="002A18BE">
      <w:pPr>
        <w:pStyle w:val="Heading2"/>
        <w:numPr>
          <w:ilvl w:val="0"/>
          <w:numId w:val="0"/>
        </w:numPr>
      </w:pPr>
      <w:bookmarkStart w:id="17" w:name="_Toc143098838"/>
      <w:r>
        <w:t>1</w:t>
      </w:r>
      <w:r w:rsidR="000E24CD">
        <w:t>0</w:t>
      </w:r>
      <w:r w:rsidR="00C36633">
        <w:t>.</w:t>
      </w:r>
      <w:r w:rsidR="00C36633">
        <w:tab/>
      </w:r>
      <w:r w:rsidR="00772829" w:rsidRPr="00CE28E3">
        <w:t>Characteristics of the evidence base</w:t>
      </w:r>
      <w:bookmarkEnd w:id="17"/>
    </w:p>
    <w:p w14:paraId="2628213B" w14:textId="065D7481" w:rsidR="00421F3C" w:rsidRPr="00421F3C" w:rsidRDefault="000612CA" w:rsidP="00421F3C">
      <w:r w:rsidRPr="000612CA">
        <w:t xml:space="preserve">A total of </w:t>
      </w:r>
      <w:r w:rsidR="00F3700F">
        <w:t>15</w:t>
      </w:r>
      <w:r w:rsidRPr="000612CA">
        <w:t xml:space="preserve"> studies (total n = </w:t>
      </w:r>
      <w:r w:rsidR="00260D8F">
        <w:t>286</w:t>
      </w:r>
      <w:r w:rsidRPr="000612CA">
        <w:t>) met the inclusion criteria for assessing the safety and effectiveness of DBS of the subcortex plus standard care in patients with severe treatment-refractory OCD</w:t>
      </w:r>
      <w:r>
        <w:t xml:space="preserve">. </w:t>
      </w:r>
      <w:r w:rsidR="009D06E5">
        <w:t xml:space="preserve">All studies were small with sample size ranging from 4 to </w:t>
      </w:r>
      <w:r w:rsidR="00260D8F">
        <w:t>70</w:t>
      </w:r>
      <w:r w:rsidR="009D06E5">
        <w:t xml:space="preserve"> participants. </w:t>
      </w:r>
      <w:r w:rsidR="00037D1D">
        <w:t>Seven</w:t>
      </w:r>
      <w:r w:rsidR="00614443">
        <w:t xml:space="preserve"> studies included a</w:t>
      </w:r>
      <w:r w:rsidR="0086141B">
        <w:t xml:space="preserve"> short</w:t>
      </w:r>
      <w:r w:rsidR="00614443">
        <w:t xml:space="preserve"> RCT component where </w:t>
      </w:r>
      <w:r w:rsidR="00CE2F1E">
        <w:t xml:space="preserve">active </w:t>
      </w:r>
      <w:r w:rsidR="00614443">
        <w:t xml:space="preserve">DBS </w:t>
      </w:r>
      <w:r w:rsidR="00CE2F1E">
        <w:t xml:space="preserve">stimulation </w:t>
      </w:r>
      <w:r w:rsidR="00614443">
        <w:t xml:space="preserve">was </w:t>
      </w:r>
      <w:r w:rsidR="00CE2F1E">
        <w:t xml:space="preserve">compared to sham </w:t>
      </w:r>
      <w:r w:rsidR="001A51EB">
        <w:t>stimulation,</w:t>
      </w:r>
      <w:r w:rsidR="00CE2F1E">
        <w:t xml:space="preserve"> </w:t>
      </w:r>
      <w:r w:rsidR="007F52DB">
        <w:t>in addition to</w:t>
      </w:r>
      <w:r w:rsidR="00CE2F1E">
        <w:t xml:space="preserve"> a</w:t>
      </w:r>
      <w:r w:rsidR="0086141B">
        <w:t xml:space="preserve"> longer phase where all study patients received </w:t>
      </w:r>
      <w:r w:rsidR="00392E9B">
        <w:t xml:space="preserve">long-term </w:t>
      </w:r>
      <w:r w:rsidR="0086141B">
        <w:t>active DBS stimulation</w:t>
      </w:r>
      <w:r w:rsidR="00CE2F1E">
        <w:t xml:space="preserve">. </w:t>
      </w:r>
      <w:r w:rsidR="0085159F">
        <w:t xml:space="preserve">The evidence also included </w:t>
      </w:r>
      <w:r w:rsidR="00260D8F">
        <w:t>two</w:t>
      </w:r>
      <w:r w:rsidR="00CE2F1E">
        <w:t xml:space="preserve"> </w:t>
      </w:r>
      <w:r w:rsidR="009D06E5">
        <w:t>prospective cohort stud</w:t>
      </w:r>
      <w:r w:rsidR="00260D8F">
        <w:t>ies</w:t>
      </w:r>
      <w:r w:rsidR="009D06E5">
        <w:t xml:space="preserve"> </w:t>
      </w:r>
      <w:r w:rsidR="0085159F">
        <w:t>(n</w:t>
      </w:r>
      <w:r w:rsidR="00264E47">
        <w:t xml:space="preserve"> </w:t>
      </w:r>
      <w:r w:rsidR="0085159F">
        <w:t>=</w:t>
      </w:r>
      <w:r w:rsidR="00264E47">
        <w:t xml:space="preserve"> </w:t>
      </w:r>
      <w:r w:rsidR="00C364D7">
        <w:t>58</w:t>
      </w:r>
      <w:r w:rsidR="0085159F">
        <w:t>)</w:t>
      </w:r>
      <w:r w:rsidR="00C364D7">
        <w:t xml:space="preserve">, one retrospective cohort </w:t>
      </w:r>
      <w:r w:rsidR="009D06E5">
        <w:t xml:space="preserve">study </w:t>
      </w:r>
      <w:r w:rsidR="0085159F">
        <w:t>(n</w:t>
      </w:r>
      <w:r w:rsidR="00C364D7">
        <w:t xml:space="preserve"> = 15),</w:t>
      </w:r>
      <w:r w:rsidR="000813BB">
        <w:t xml:space="preserve"> and </w:t>
      </w:r>
      <w:r w:rsidR="00264E47">
        <w:t>five</w:t>
      </w:r>
      <w:r w:rsidR="0085159F">
        <w:t xml:space="preserve"> (n</w:t>
      </w:r>
      <w:r w:rsidR="00264E47">
        <w:t xml:space="preserve"> </w:t>
      </w:r>
      <w:r w:rsidR="0085159F">
        <w:t>=</w:t>
      </w:r>
      <w:r w:rsidR="00264E47">
        <w:t xml:space="preserve"> </w:t>
      </w:r>
      <w:r w:rsidR="00E1523D">
        <w:t>131</w:t>
      </w:r>
      <w:r w:rsidR="0085159F">
        <w:t xml:space="preserve">) </w:t>
      </w:r>
      <w:r w:rsidR="000813BB">
        <w:t>case-series</w:t>
      </w:r>
      <w:r w:rsidR="00932D5B">
        <w:t xml:space="preserve"> of patients receiving DBS as part of their care.</w:t>
      </w:r>
      <w:r w:rsidR="000813BB">
        <w:t xml:space="preserve"> </w:t>
      </w:r>
      <w:r w:rsidR="007C3FCB">
        <w:t xml:space="preserve">They key features of the included evidence are summarised in </w:t>
      </w:r>
      <w:r w:rsidR="007C3FCB">
        <w:fldChar w:fldCharType="begin"/>
      </w:r>
      <w:r w:rsidR="007C3FCB">
        <w:instrText xml:space="preserve"> REF _Ref69725651 \h </w:instrText>
      </w:r>
      <w:r w:rsidR="007C3FCB">
        <w:fldChar w:fldCharType="separate"/>
      </w:r>
      <w:r w:rsidR="007F15AB" w:rsidRPr="00CE28E3">
        <w:t>Table</w:t>
      </w:r>
      <w:r w:rsidR="007F15AB">
        <w:t> </w:t>
      </w:r>
      <w:r w:rsidR="007F15AB">
        <w:rPr>
          <w:noProof/>
        </w:rPr>
        <w:t>3</w:t>
      </w:r>
      <w:r w:rsidR="007C3FCB">
        <w:fldChar w:fldCharType="end"/>
      </w:r>
      <w:r w:rsidR="007C3FCB">
        <w:t>.</w:t>
      </w:r>
    </w:p>
    <w:p w14:paraId="180DBB9E" w14:textId="5A2F7B04" w:rsidR="00601593" w:rsidRDefault="00092D6F" w:rsidP="007C3FCB">
      <w:r>
        <w:t xml:space="preserve">There were numerous studies identified that did not meet the pre-specified PICO definition of severe treatment- refractory </w:t>
      </w:r>
      <w:r w:rsidR="00540AE6">
        <w:t>OCD</w:t>
      </w:r>
      <w:r>
        <w:t xml:space="preserve">, specifically patients </w:t>
      </w:r>
      <w:r w:rsidR="00FA41D3">
        <w:t>failing a trial of</w:t>
      </w:r>
      <w:r>
        <w:t xml:space="preserve"> at least three different selective serotonin reuptake inhibitors (SSRIs) plus clomipramine. From 15 studies included in the evidence base, 5 were from studies were patients </w:t>
      </w:r>
      <w:r w:rsidR="00FA41D3">
        <w:t>failed a trail of</w:t>
      </w:r>
      <w:r>
        <w:t xml:space="preserve"> at least 3 SSRIs + clomipramine, and 10 were from studies where patients </w:t>
      </w:r>
      <w:r w:rsidR="00226AC2">
        <w:t>failed a trail of</w:t>
      </w:r>
      <w:r>
        <w:t xml:space="preserve"> at least 2 SSRIs + clomipramine. It was judged that the studies in the latter group were still applicable to the assessment</w:t>
      </w:r>
      <w:r w:rsidR="00A122D2">
        <w:t xml:space="preserve"> due to illness severity</w:t>
      </w:r>
      <w:r>
        <w:t xml:space="preserve">. </w:t>
      </w:r>
      <w:r w:rsidR="00AD44AC">
        <w:t>All studies were in adults aged 18 years or over</w:t>
      </w:r>
      <w:r>
        <w:t xml:space="preserve"> with the </w:t>
      </w:r>
      <w:r w:rsidR="00D730C0">
        <w:t xml:space="preserve">mean age </w:t>
      </w:r>
      <w:r>
        <w:t xml:space="preserve">of participants </w:t>
      </w:r>
      <w:r w:rsidR="00D730C0">
        <w:t>in the included studies rang</w:t>
      </w:r>
      <w:r>
        <w:t xml:space="preserve">ing </w:t>
      </w:r>
      <w:r w:rsidR="00D730C0">
        <w:t>from 36 to 48 years</w:t>
      </w:r>
      <w:r w:rsidR="00AD44AC">
        <w:t>.</w:t>
      </w:r>
    </w:p>
    <w:p w14:paraId="692BCA4B" w14:textId="447C0AC4" w:rsidR="00956ACE" w:rsidRPr="00330A0A" w:rsidRDefault="00956ACE" w:rsidP="00BF6554">
      <w:pPr>
        <w:pStyle w:val="Caption"/>
        <w:keepLines/>
        <w:ind w:left="709" w:hanging="709"/>
        <w:rPr>
          <w:color w:val="538135" w:themeColor="accent6" w:themeShade="BF"/>
          <w:sz w:val="16"/>
          <w:szCs w:val="16"/>
        </w:rPr>
      </w:pPr>
      <w:bookmarkStart w:id="18" w:name="_Ref69725651"/>
      <w:bookmarkStart w:id="19" w:name="_Toc143098940"/>
      <w:r w:rsidRPr="00CE28E3">
        <w:t>Table</w:t>
      </w:r>
      <w:r w:rsidR="004A4FDF">
        <w:t> </w:t>
      </w:r>
      <w:r>
        <w:fldChar w:fldCharType="begin"/>
      </w:r>
      <w:r>
        <w:instrText>SEQ Table \* ARABIC</w:instrText>
      </w:r>
      <w:r>
        <w:fldChar w:fldCharType="separate"/>
      </w:r>
      <w:r w:rsidR="007F15AB">
        <w:rPr>
          <w:noProof/>
        </w:rPr>
        <w:t>3</w:t>
      </w:r>
      <w:r>
        <w:fldChar w:fldCharType="end"/>
      </w:r>
      <w:bookmarkEnd w:id="18"/>
      <w:r w:rsidR="001A7A1E">
        <w:t>:</w:t>
      </w:r>
      <w:r w:rsidR="00BF6554">
        <w:t xml:space="preserve"> </w:t>
      </w:r>
      <w:r w:rsidRPr="00CE28E3">
        <w:t>Key features of the included evidence</w:t>
      </w:r>
      <w:r>
        <w:t xml:space="preserve"> </w:t>
      </w:r>
      <w:r w:rsidR="00763E64">
        <w:t>for deep brain stimulation of the subcortex</w:t>
      </w:r>
      <w:r w:rsidR="00D21613">
        <w:rPr>
          <w:color w:val="258221"/>
        </w:rPr>
        <w:t xml:space="preserve"> </w:t>
      </w:r>
      <w:r w:rsidR="00D02BB7">
        <w:t xml:space="preserve">standard of care </w:t>
      </w:r>
      <w:r w:rsidR="00D02BB7" w:rsidRPr="00CE28E3">
        <w:t>vs</w:t>
      </w:r>
      <w:r w:rsidR="00D02BB7">
        <w:t>.</w:t>
      </w:r>
      <w:r w:rsidR="00D02BB7" w:rsidRPr="00CE28E3">
        <w:t xml:space="preserve"> </w:t>
      </w:r>
      <w:r w:rsidR="00D02BB7">
        <w:t>standard of care</w:t>
      </w:r>
      <w:bookmarkEnd w:id="19"/>
    </w:p>
    <w:tbl>
      <w:tblPr>
        <w:tblStyle w:val="TableGrid1"/>
        <w:tblW w:w="4991" w:type="pct"/>
        <w:tblCellMar>
          <w:left w:w="28" w:type="dxa"/>
          <w:right w:w="28" w:type="dxa"/>
        </w:tblCellMar>
        <w:tblLook w:val="04A0" w:firstRow="1" w:lastRow="0" w:firstColumn="1" w:lastColumn="0" w:noHBand="0" w:noVBand="1"/>
      </w:tblPr>
      <w:tblGrid>
        <w:gridCol w:w="1347"/>
        <w:gridCol w:w="1226"/>
        <w:gridCol w:w="1316"/>
        <w:gridCol w:w="1220"/>
        <w:gridCol w:w="1976"/>
        <w:gridCol w:w="1915"/>
      </w:tblGrid>
      <w:tr w:rsidR="007F15AB" w:rsidRPr="00CE28E3" w14:paraId="475D8C60" w14:textId="77777777" w:rsidTr="00297341">
        <w:trPr>
          <w:cnfStyle w:val="100000000000" w:firstRow="1" w:lastRow="0" w:firstColumn="0" w:lastColumn="0" w:oddVBand="0" w:evenVBand="0" w:oddHBand="0" w:evenHBand="0" w:firstRowFirstColumn="0" w:firstRowLastColumn="0" w:lastRowFirstColumn="0" w:lastRowLastColumn="0"/>
          <w:cantSplit/>
          <w:tblHeader/>
        </w:trPr>
        <w:tc>
          <w:tcPr>
            <w:tcW w:w="748" w:type="pct"/>
            <w:tcBorders>
              <w:bottom w:val="single" w:sz="4" w:space="0" w:color="auto"/>
            </w:tcBorders>
            <w:shd w:val="clear" w:color="auto" w:fill="auto"/>
          </w:tcPr>
          <w:p w14:paraId="4FFC981B" w14:textId="77777777" w:rsidR="00956ACE" w:rsidRPr="00CE28E3" w:rsidRDefault="00956ACE" w:rsidP="00297341">
            <w:pPr>
              <w:pStyle w:val="In-tableHeading"/>
              <w:keepLines/>
            </w:pPr>
            <w:bookmarkStart w:id="20" w:name="ColumnTitle_Table3"/>
            <w:bookmarkStart w:id="21" w:name="_Hlk68276112"/>
            <w:bookmarkEnd w:id="20"/>
            <w:r w:rsidRPr="00CE28E3">
              <w:t>References</w:t>
            </w:r>
          </w:p>
        </w:tc>
        <w:tc>
          <w:tcPr>
            <w:tcW w:w="681" w:type="pct"/>
            <w:tcBorders>
              <w:bottom w:val="single" w:sz="4" w:space="0" w:color="auto"/>
            </w:tcBorders>
            <w:shd w:val="clear" w:color="auto" w:fill="auto"/>
          </w:tcPr>
          <w:p w14:paraId="28641D20" w14:textId="77777777" w:rsidR="00956ACE" w:rsidRPr="00CE28E3" w:rsidRDefault="00956ACE" w:rsidP="00297341">
            <w:pPr>
              <w:pStyle w:val="In-tableHeading"/>
              <w:keepLines/>
            </w:pPr>
            <w:r w:rsidRPr="00CE28E3">
              <w:t>N</w:t>
            </w:r>
          </w:p>
        </w:tc>
        <w:tc>
          <w:tcPr>
            <w:tcW w:w="725" w:type="pct"/>
            <w:tcBorders>
              <w:bottom w:val="single" w:sz="4" w:space="0" w:color="auto"/>
            </w:tcBorders>
            <w:shd w:val="clear" w:color="auto" w:fill="auto"/>
          </w:tcPr>
          <w:p w14:paraId="23BE1BE2" w14:textId="0DE3768C" w:rsidR="00956ACE" w:rsidRPr="00CE28E3" w:rsidRDefault="00956ACE" w:rsidP="00297341">
            <w:pPr>
              <w:pStyle w:val="In-tableHeading"/>
              <w:keepLines/>
            </w:pPr>
            <w:r w:rsidRPr="00CE28E3">
              <w:t>Design/duration</w:t>
            </w:r>
          </w:p>
        </w:tc>
        <w:tc>
          <w:tcPr>
            <w:tcW w:w="678" w:type="pct"/>
            <w:tcBorders>
              <w:bottom w:val="single" w:sz="4" w:space="0" w:color="auto"/>
            </w:tcBorders>
            <w:shd w:val="clear" w:color="auto" w:fill="auto"/>
          </w:tcPr>
          <w:p w14:paraId="4F407CF9" w14:textId="77777777" w:rsidR="00956ACE" w:rsidRPr="00CE28E3" w:rsidRDefault="00956ACE" w:rsidP="00297341">
            <w:pPr>
              <w:pStyle w:val="In-tableHeading"/>
              <w:keepLines/>
            </w:pPr>
            <w:r w:rsidRPr="00CE28E3">
              <w:t>Risk of bias</w:t>
            </w:r>
          </w:p>
        </w:tc>
        <w:tc>
          <w:tcPr>
            <w:tcW w:w="1098" w:type="pct"/>
            <w:tcBorders>
              <w:bottom w:val="single" w:sz="4" w:space="0" w:color="auto"/>
            </w:tcBorders>
            <w:shd w:val="clear" w:color="auto" w:fill="auto"/>
          </w:tcPr>
          <w:p w14:paraId="4B5869A3" w14:textId="414F9513" w:rsidR="00956ACE" w:rsidRPr="00CE28E3" w:rsidRDefault="00956ACE" w:rsidP="00297341">
            <w:pPr>
              <w:pStyle w:val="In-tableHeading"/>
              <w:keepLines/>
            </w:pPr>
            <w:r w:rsidRPr="00CE28E3">
              <w:t>Outcome(s)</w:t>
            </w:r>
            <w:r w:rsidR="00461CF6">
              <w:t>*</w:t>
            </w:r>
          </w:p>
        </w:tc>
        <w:tc>
          <w:tcPr>
            <w:tcW w:w="1070" w:type="pct"/>
            <w:tcBorders>
              <w:bottom w:val="single" w:sz="4" w:space="0" w:color="auto"/>
            </w:tcBorders>
            <w:shd w:val="clear" w:color="auto" w:fill="auto"/>
          </w:tcPr>
          <w:p w14:paraId="19D97B58" w14:textId="4D9B6B31" w:rsidR="00956ACE" w:rsidRPr="00CE28E3" w:rsidRDefault="00956ACE" w:rsidP="00297341">
            <w:pPr>
              <w:pStyle w:val="In-tableHeading"/>
              <w:keepLines/>
            </w:pPr>
            <w:r>
              <w:t>Use in modelled evaluation</w:t>
            </w:r>
            <w:r w:rsidR="00600C34">
              <w:t>~</w:t>
            </w:r>
          </w:p>
        </w:tc>
      </w:tr>
      <w:tr w:rsidR="00492E9F" w:rsidRPr="00CE28E3" w14:paraId="19B3A590" w14:textId="77777777" w:rsidTr="00297341">
        <w:trPr>
          <w:cantSplit/>
        </w:trPr>
        <w:tc>
          <w:tcPr>
            <w:tcW w:w="5000" w:type="pct"/>
            <w:gridSpan w:val="6"/>
            <w:shd w:val="clear" w:color="auto" w:fill="auto"/>
          </w:tcPr>
          <w:p w14:paraId="1D2E710C" w14:textId="3A05EB3C" w:rsidR="00492E9F" w:rsidRPr="00CE28E3" w:rsidRDefault="00492E9F" w:rsidP="00297341">
            <w:pPr>
              <w:pStyle w:val="TableText"/>
              <w:keepNext/>
              <w:keepLines/>
              <w:rPr>
                <w:lang w:val="en-US"/>
              </w:rPr>
            </w:pPr>
            <w:r>
              <w:rPr>
                <w:lang w:val="en-US"/>
              </w:rPr>
              <w:t>3 SSRIs + clomipramine</w:t>
            </w:r>
          </w:p>
        </w:tc>
      </w:tr>
      <w:tr w:rsidR="007F15AB" w:rsidRPr="00CE28E3" w14:paraId="7E776818" w14:textId="77777777" w:rsidTr="00297341">
        <w:trPr>
          <w:cantSplit/>
        </w:trPr>
        <w:tc>
          <w:tcPr>
            <w:tcW w:w="748" w:type="pct"/>
            <w:shd w:val="clear" w:color="auto" w:fill="auto"/>
          </w:tcPr>
          <w:p w14:paraId="563AC767" w14:textId="197F73DC" w:rsidR="008E04DB" w:rsidRPr="00CE28E3" w:rsidRDefault="008E04DB" w:rsidP="00297341">
            <w:pPr>
              <w:pStyle w:val="TableText"/>
              <w:keepNext/>
              <w:keepLines/>
              <w:rPr>
                <w:lang w:val="en-US"/>
              </w:rPr>
            </w:pPr>
            <w:r>
              <w:rPr>
                <w:lang w:val="en-US"/>
              </w:rPr>
              <w:t>Abelson 2005</w:t>
            </w:r>
          </w:p>
        </w:tc>
        <w:tc>
          <w:tcPr>
            <w:tcW w:w="681" w:type="pct"/>
            <w:shd w:val="clear" w:color="auto" w:fill="auto"/>
          </w:tcPr>
          <w:p w14:paraId="280096E2" w14:textId="2C8BFF0A" w:rsidR="008E04DB" w:rsidRPr="00CE28E3" w:rsidRDefault="008E04DB" w:rsidP="00297341">
            <w:pPr>
              <w:pStyle w:val="TableText"/>
              <w:keepNext/>
              <w:keepLines/>
              <w:rPr>
                <w:lang w:val="en-US"/>
              </w:rPr>
            </w:pPr>
            <w:r>
              <w:rPr>
                <w:lang w:val="en-US"/>
              </w:rPr>
              <w:t>4</w:t>
            </w:r>
          </w:p>
        </w:tc>
        <w:tc>
          <w:tcPr>
            <w:tcW w:w="725" w:type="pct"/>
            <w:shd w:val="clear" w:color="auto" w:fill="auto"/>
          </w:tcPr>
          <w:p w14:paraId="39A9151F" w14:textId="151909B0" w:rsidR="008E04DB" w:rsidRPr="00CE28E3" w:rsidRDefault="008E04DB" w:rsidP="00297341">
            <w:pPr>
              <w:pStyle w:val="TableText"/>
              <w:keepNext/>
              <w:keepLines/>
              <w:rPr>
                <w:lang w:val="en-US"/>
              </w:rPr>
            </w:pPr>
            <w:r>
              <w:rPr>
                <w:lang w:val="en-US"/>
              </w:rPr>
              <w:t>RCT</w:t>
            </w:r>
            <w:r w:rsidR="00D62448">
              <w:rPr>
                <w:lang w:val="en-US"/>
              </w:rPr>
              <w:t>,</w:t>
            </w:r>
            <w:r>
              <w:rPr>
                <w:lang w:val="en-US"/>
              </w:rPr>
              <w:t xml:space="preserve"> crossover DB </w:t>
            </w:r>
            <w:r w:rsidR="00117627">
              <w:rPr>
                <w:lang w:val="en-US"/>
              </w:rPr>
              <w:t>(3 weeks on/off)</w:t>
            </w:r>
            <w:r w:rsidR="0077095A">
              <w:rPr>
                <w:lang w:val="en-US"/>
              </w:rPr>
              <w:t xml:space="preserve"> </w:t>
            </w:r>
            <w:r>
              <w:rPr>
                <w:lang w:val="en-US"/>
              </w:rPr>
              <w:t>+ open phase</w:t>
            </w:r>
          </w:p>
        </w:tc>
        <w:tc>
          <w:tcPr>
            <w:tcW w:w="678" w:type="pct"/>
            <w:shd w:val="clear" w:color="auto" w:fill="auto"/>
          </w:tcPr>
          <w:p w14:paraId="6666B5D7" w14:textId="6CECA4DD" w:rsidR="008E04DB" w:rsidRPr="006A658E" w:rsidRDefault="008E04DB" w:rsidP="00297341">
            <w:pPr>
              <w:pStyle w:val="TableText"/>
              <w:keepNext/>
              <w:keepLines/>
              <w:rPr>
                <w:i/>
                <w:vertAlign w:val="superscript"/>
                <w:lang w:val="en-US"/>
              </w:rPr>
            </w:pPr>
            <w:proofErr w:type="spellStart"/>
            <w:r w:rsidRPr="006A658E">
              <w:rPr>
                <w:i/>
                <w:lang w:val="en-US"/>
              </w:rPr>
              <w:t>High</w:t>
            </w:r>
            <w:r w:rsidRPr="006A658E">
              <w:rPr>
                <w:i/>
                <w:vertAlign w:val="superscript"/>
                <w:lang w:val="en-US"/>
              </w:rPr>
              <w:t>a</w:t>
            </w:r>
            <w:proofErr w:type="spellEnd"/>
          </w:p>
          <w:p w14:paraId="269C28DF" w14:textId="4D7DAF44" w:rsidR="008E04DB" w:rsidRPr="00AF440E" w:rsidRDefault="008E04DB" w:rsidP="00297341">
            <w:pPr>
              <w:pStyle w:val="TableText"/>
              <w:keepNext/>
              <w:keepLines/>
              <w:rPr>
                <w:i/>
                <w:lang w:val="en-US"/>
              </w:rPr>
            </w:pPr>
            <w:proofErr w:type="spellStart"/>
            <w:r w:rsidRPr="00AF440E">
              <w:rPr>
                <w:i/>
                <w:lang w:val="en-US"/>
              </w:rPr>
              <w:t>Moderate</w:t>
            </w:r>
            <w:r w:rsidRPr="00AF440E">
              <w:rPr>
                <w:i/>
                <w:vertAlign w:val="superscript"/>
                <w:lang w:val="en-US"/>
              </w:rPr>
              <w:t>b</w:t>
            </w:r>
            <w:proofErr w:type="spellEnd"/>
          </w:p>
        </w:tc>
        <w:tc>
          <w:tcPr>
            <w:tcW w:w="1098" w:type="pct"/>
            <w:shd w:val="clear" w:color="auto" w:fill="auto"/>
          </w:tcPr>
          <w:p w14:paraId="73946A0A" w14:textId="72BBBE30" w:rsidR="008E04DB" w:rsidRPr="000A0E88" w:rsidRDefault="008E04DB" w:rsidP="00297341">
            <w:pPr>
              <w:pStyle w:val="Tabletext0"/>
              <w:keepNext/>
              <w:keepLines/>
              <w:jc w:val="left"/>
            </w:pPr>
            <w:r w:rsidRPr="000A0E88">
              <w:t>Adverse events</w:t>
            </w:r>
          </w:p>
          <w:p w14:paraId="45B1587F" w14:textId="4E31C216" w:rsidR="008E04DB" w:rsidRPr="007A03A2" w:rsidRDefault="008E04DB" w:rsidP="00297341">
            <w:pPr>
              <w:pStyle w:val="Tabletext0"/>
              <w:keepNext/>
              <w:keepLines/>
              <w:jc w:val="left"/>
            </w:pPr>
            <w:r>
              <w:t>OCD severity, depression, anxiety</w:t>
            </w:r>
          </w:p>
        </w:tc>
        <w:tc>
          <w:tcPr>
            <w:tcW w:w="1070" w:type="pct"/>
            <w:shd w:val="clear" w:color="auto" w:fill="auto"/>
          </w:tcPr>
          <w:p w14:paraId="3F9CD3D5" w14:textId="77777777" w:rsidR="008E04DB" w:rsidRPr="00CE28E3" w:rsidRDefault="008E04DB" w:rsidP="00297341">
            <w:pPr>
              <w:pStyle w:val="TableText"/>
              <w:keepNext/>
              <w:keepLines/>
              <w:rPr>
                <w:lang w:val="en-US"/>
              </w:rPr>
            </w:pPr>
            <w:r w:rsidRPr="00CE28E3">
              <w:rPr>
                <w:lang w:val="en-US"/>
              </w:rPr>
              <w:t>Not used</w:t>
            </w:r>
          </w:p>
        </w:tc>
      </w:tr>
      <w:tr w:rsidR="007F15AB" w:rsidRPr="00CE28E3" w14:paraId="16DAC4F1" w14:textId="77777777" w:rsidTr="00297341">
        <w:trPr>
          <w:cantSplit/>
        </w:trPr>
        <w:tc>
          <w:tcPr>
            <w:tcW w:w="748" w:type="pct"/>
            <w:shd w:val="clear" w:color="auto" w:fill="auto"/>
          </w:tcPr>
          <w:p w14:paraId="1958CAC5" w14:textId="35AB65F8" w:rsidR="008E04DB" w:rsidRDefault="008E04DB" w:rsidP="00824458">
            <w:pPr>
              <w:pStyle w:val="TableText"/>
              <w:rPr>
                <w:lang w:val="en-US"/>
              </w:rPr>
            </w:pPr>
            <w:r>
              <w:rPr>
                <w:lang w:val="en-US"/>
              </w:rPr>
              <w:t>Barcia 2019</w:t>
            </w:r>
          </w:p>
        </w:tc>
        <w:tc>
          <w:tcPr>
            <w:tcW w:w="681" w:type="pct"/>
            <w:shd w:val="clear" w:color="auto" w:fill="auto"/>
          </w:tcPr>
          <w:p w14:paraId="7E67B9E9" w14:textId="660D0D34" w:rsidR="008E04DB" w:rsidRDefault="008E04DB" w:rsidP="005B2D18">
            <w:pPr>
              <w:pStyle w:val="TableText"/>
              <w:rPr>
                <w:lang w:val="en-US"/>
              </w:rPr>
            </w:pPr>
            <w:r>
              <w:rPr>
                <w:lang w:val="en-US"/>
              </w:rPr>
              <w:t>7</w:t>
            </w:r>
          </w:p>
        </w:tc>
        <w:tc>
          <w:tcPr>
            <w:tcW w:w="725" w:type="pct"/>
            <w:shd w:val="clear" w:color="auto" w:fill="auto"/>
          </w:tcPr>
          <w:p w14:paraId="6C541162" w14:textId="41118531" w:rsidR="008E04DB" w:rsidRDefault="00355BA9" w:rsidP="005B2D18">
            <w:pPr>
              <w:pStyle w:val="TableText"/>
              <w:rPr>
                <w:lang w:val="en-US"/>
              </w:rPr>
            </w:pPr>
            <w:r>
              <w:rPr>
                <w:lang w:val="en-US"/>
              </w:rPr>
              <w:t>RCT,</w:t>
            </w:r>
            <w:r w:rsidR="00D62448">
              <w:rPr>
                <w:lang w:val="en-US"/>
              </w:rPr>
              <w:t xml:space="preserve"> crossover</w:t>
            </w:r>
            <w:r>
              <w:rPr>
                <w:lang w:val="en-US"/>
              </w:rPr>
              <w:t xml:space="preserve"> DB</w:t>
            </w:r>
            <w:r w:rsidR="00844A21">
              <w:rPr>
                <w:lang w:val="en-US"/>
              </w:rPr>
              <w:t xml:space="preserve"> (3 months on/off)</w:t>
            </w:r>
          </w:p>
        </w:tc>
        <w:tc>
          <w:tcPr>
            <w:tcW w:w="678" w:type="pct"/>
            <w:shd w:val="clear" w:color="auto" w:fill="auto"/>
          </w:tcPr>
          <w:p w14:paraId="702BD29C" w14:textId="5F7E6FF7" w:rsidR="008E04DB" w:rsidRPr="006A658E" w:rsidRDefault="008E04DB" w:rsidP="005B2D18">
            <w:pPr>
              <w:pStyle w:val="TableText"/>
              <w:rPr>
                <w:i/>
                <w:vertAlign w:val="superscript"/>
                <w:lang w:val="en-US"/>
              </w:rPr>
            </w:pPr>
            <w:proofErr w:type="spellStart"/>
            <w:r w:rsidRPr="006A658E">
              <w:rPr>
                <w:i/>
                <w:iCs/>
                <w:lang w:val="en-US"/>
              </w:rPr>
              <w:t>High</w:t>
            </w:r>
            <w:r w:rsidRPr="006A658E">
              <w:rPr>
                <w:i/>
                <w:iCs/>
                <w:vertAlign w:val="superscript"/>
                <w:lang w:val="en-US"/>
              </w:rPr>
              <w:t>a</w:t>
            </w:r>
            <w:proofErr w:type="spellEnd"/>
          </w:p>
        </w:tc>
        <w:tc>
          <w:tcPr>
            <w:tcW w:w="1098" w:type="pct"/>
          </w:tcPr>
          <w:p w14:paraId="78959F6E" w14:textId="468A160A" w:rsidR="008E04DB" w:rsidRDefault="00355BA9" w:rsidP="005B2D18">
            <w:pPr>
              <w:pStyle w:val="Tabletext0"/>
              <w:jc w:val="left"/>
            </w:pPr>
            <w:r>
              <w:t>OCD severity</w:t>
            </w:r>
          </w:p>
        </w:tc>
        <w:tc>
          <w:tcPr>
            <w:tcW w:w="1070" w:type="pct"/>
            <w:shd w:val="clear" w:color="auto" w:fill="auto"/>
          </w:tcPr>
          <w:p w14:paraId="1F1229D0" w14:textId="3A7C4B7C" w:rsidR="008E04DB" w:rsidRPr="00CE28E3" w:rsidRDefault="00355BA9" w:rsidP="005B2D18">
            <w:pPr>
              <w:pStyle w:val="TableText"/>
              <w:rPr>
                <w:lang w:val="en-US"/>
              </w:rPr>
            </w:pPr>
            <w:r>
              <w:t>Not used</w:t>
            </w:r>
          </w:p>
        </w:tc>
      </w:tr>
      <w:tr w:rsidR="007F15AB" w:rsidRPr="00CE28E3" w14:paraId="6E4E23A7" w14:textId="77777777" w:rsidTr="00297341">
        <w:trPr>
          <w:cantSplit/>
        </w:trPr>
        <w:tc>
          <w:tcPr>
            <w:tcW w:w="748" w:type="pct"/>
            <w:shd w:val="clear" w:color="auto" w:fill="auto"/>
          </w:tcPr>
          <w:p w14:paraId="45E15921" w14:textId="61FC330F" w:rsidR="008E04DB" w:rsidRPr="00CE28E3" w:rsidRDefault="008E04DB" w:rsidP="00824458">
            <w:pPr>
              <w:pStyle w:val="TableText"/>
              <w:rPr>
                <w:lang w:val="en-US"/>
              </w:rPr>
            </w:pPr>
            <w:r>
              <w:rPr>
                <w:lang w:val="en-US"/>
              </w:rPr>
              <w:lastRenderedPageBreak/>
              <w:t>Goodman 2010</w:t>
            </w:r>
          </w:p>
        </w:tc>
        <w:tc>
          <w:tcPr>
            <w:tcW w:w="681" w:type="pct"/>
            <w:shd w:val="clear" w:color="auto" w:fill="auto"/>
          </w:tcPr>
          <w:p w14:paraId="71251CEE" w14:textId="20A3E38D" w:rsidR="008E04DB" w:rsidRPr="00CE28E3" w:rsidRDefault="008E04DB" w:rsidP="005B2D18">
            <w:pPr>
              <w:pStyle w:val="TableText"/>
              <w:rPr>
                <w:lang w:val="en-US"/>
              </w:rPr>
            </w:pPr>
            <w:r>
              <w:rPr>
                <w:lang w:val="en-US"/>
              </w:rPr>
              <w:t>6</w:t>
            </w:r>
          </w:p>
        </w:tc>
        <w:tc>
          <w:tcPr>
            <w:tcW w:w="725" w:type="pct"/>
            <w:shd w:val="clear" w:color="auto" w:fill="auto"/>
          </w:tcPr>
          <w:p w14:paraId="37D3BD6A" w14:textId="480CE956" w:rsidR="008E04DB" w:rsidRPr="00CE28E3" w:rsidRDefault="008E04DB" w:rsidP="005B2D18">
            <w:pPr>
              <w:pStyle w:val="TableText"/>
              <w:rPr>
                <w:lang w:val="en-US"/>
              </w:rPr>
            </w:pPr>
            <w:r>
              <w:rPr>
                <w:lang w:val="en-US"/>
              </w:rPr>
              <w:t xml:space="preserve">RCT </w:t>
            </w:r>
            <w:r w:rsidR="00FD729C">
              <w:rPr>
                <w:lang w:val="en-US"/>
              </w:rPr>
              <w:t>(delayed start, 1 month)</w:t>
            </w:r>
            <w:r w:rsidR="0077095A">
              <w:rPr>
                <w:lang w:val="en-US"/>
              </w:rPr>
              <w:t xml:space="preserve"> </w:t>
            </w:r>
            <w:r>
              <w:rPr>
                <w:lang w:val="en-US"/>
              </w:rPr>
              <w:t>+ open phase</w:t>
            </w:r>
          </w:p>
        </w:tc>
        <w:tc>
          <w:tcPr>
            <w:tcW w:w="678" w:type="pct"/>
            <w:shd w:val="clear" w:color="auto" w:fill="auto"/>
          </w:tcPr>
          <w:p w14:paraId="1FDF24E2" w14:textId="5E4489CA" w:rsidR="008E04DB" w:rsidRPr="006A658E" w:rsidRDefault="008E04DB" w:rsidP="005B2D18">
            <w:pPr>
              <w:pStyle w:val="TableText"/>
              <w:rPr>
                <w:i/>
                <w:vertAlign w:val="superscript"/>
                <w:lang w:val="en-US"/>
              </w:rPr>
            </w:pPr>
            <w:proofErr w:type="spellStart"/>
            <w:r w:rsidRPr="006A658E">
              <w:rPr>
                <w:i/>
                <w:lang w:val="en-US"/>
              </w:rPr>
              <w:t>High</w:t>
            </w:r>
            <w:r w:rsidRPr="006A658E">
              <w:rPr>
                <w:i/>
                <w:vertAlign w:val="superscript"/>
                <w:lang w:val="en-US"/>
              </w:rPr>
              <w:t>a</w:t>
            </w:r>
            <w:proofErr w:type="spellEnd"/>
          </w:p>
          <w:p w14:paraId="51165529" w14:textId="4E96C1C0" w:rsidR="008E04DB" w:rsidRPr="006A658E" w:rsidRDefault="008E04DB" w:rsidP="005B2D18">
            <w:pPr>
              <w:pStyle w:val="TableText"/>
              <w:rPr>
                <w:i/>
                <w:lang w:val="en-US"/>
              </w:rPr>
            </w:pPr>
            <w:proofErr w:type="spellStart"/>
            <w:r w:rsidRPr="006A658E">
              <w:rPr>
                <w:i/>
                <w:lang w:val="en-US"/>
              </w:rPr>
              <w:t>Moderate</w:t>
            </w:r>
            <w:r w:rsidRPr="006A658E">
              <w:rPr>
                <w:i/>
                <w:vertAlign w:val="superscript"/>
                <w:lang w:val="en-US"/>
              </w:rPr>
              <w:t>b</w:t>
            </w:r>
            <w:proofErr w:type="spellEnd"/>
          </w:p>
        </w:tc>
        <w:tc>
          <w:tcPr>
            <w:tcW w:w="1098" w:type="pct"/>
          </w:tcPr>
          <w:p w14:paraId="433F453C" w14:textId="77777777" w:rsidR="008E04DB" w:rsidRDefault="008E04DB" w:rsidP="005B2D18">
            <w:pPr>
              <w:pStyle w:val="Tabletext0"/>
              <w:jc w:val="left"/>
            </w:pPr>
            <w:r>
              <w:t>Adverse events</w:t>
            </w:r>
          </w:p>
          <w:p w14:paraId="583A7C5E" w14:textId="7F9CFE93" w:rsidR="008E04DB" w:rsidRPr="00CE28E3" w:rsidRDefault="008E04DB" w:rsidP="005B2D18">
            <w:pPr>
              <w:pStyle w:val="TableText"/>
              <w:rPr>
                <w:lang w:val="en-US"/>
              </w:rPr>
            </w:pPr>
            <w:r>
              <w:t xml:space="preserve">OCD severity, depression, anxiety, </w:t>
            </w:r>
            <w:r>
              <w:rPr>
                <w:lang w:val="en-US"/>
              </w:rPr>
              <w:t>QoL</w:t>
            </w:r>
          </w:p>
        </w:tc>
        <w:tc>
          <w:tcPr>
            <w:tcW w:w="1070" w:type="pct"/>
            <w:shd w:val="clear" w:color="auto" w:fill="auto"/>
          </w:tcPr>
          <w:p w14:paraId="56C2128A" w14:textId="77777777" w:rsidR="008E04DB" w:rsidRPr="00CE28E3" w:rsidRDefault="008E04DB" w:rsidP="005B2D18">
            <w:pPr>
              <w:pStyle w:val="TableText"/>
              <w:rPr>
                <w:lang w:val="en-US"/>
              </w:rPr>
            </w:pPr>
            <w:r w:rsidRPr="00CE28E3">
              <w:rPr>
                <w:lang w:val="en-US"/>
              </w:rPr>
              <w:t>Not used</w:t>
            </w:r>
          </w:p>
        </w:tc>
      </w:tr>
      <w:tr w:rsidR="007F15AB" w:rsidRPr="00CE28E3" w14:paraId="764EB7FF" w14:textId="77777777" w:rsidTr="00297341">
        <w:trPr>
          <w:cantSplit/>
        </w:trPr>
        <w:tc>
          <w:tcPr>
            <w:tcW w:w="748" w:type="pct"/>
            <w:shd w:val="clear" w:color="auto" w:fill="auto"/>
          </w:tcPr>
          <w:p w14:paraId="46BAB09C" w14:textId="100B0DCF" w:rsidR="008E04DB" w:rsidRPr="00CE28E3" w:rsidRDefault="008E04DB" w:rsidP="00824458">
            <w:pPr>
              <w:pStyle w:val="TableText"/>
              <w:rPr>
                <w:lang w:val="en-US"/>
              </w:rPr>
            </w:pPr>
            <w:r>
              <w:rPr>
                <w:lang w:val="en-US"/>
              </w:rPr>
              <w:t>Mar-</w:t>
            </w:r>
            <w:proofErr w:type="spellStart"/>
            <w:r>
              <w:rPr>
                <w:lang w:val="en-US"/>
              </w:rPr>
              <w:t>Barruita</w:t>
            </w:r>
            <w:proofErr w:type="spellEnd"/>
            <w:r>
              <w:rPr>
                <w:lang w:val="en-US"/>
              </w:rPr>
              <w:t xml:space="preserve"> 2022</w:t>
            </w:r>
          </w:p>
        </w:tc>
        <w:tc>
          <w:tcPr>
            <w:tcW w:w="681" w:type="pct"/>
            <w:shd w:val="clear" w:color="auto" w:fill="auto"/>
          </w:tcPr>
          <w:p w14:paraId="03161CBA" w14:textId="08CCDCCE" w:rsidR="008E04DB" w:rsidRPr="00CE28E3" w:rsidRDefault="008E04DB" w:rsidP="005B2D18">
            <w:pPr>
              <w:pStyle w:val="TableText"/>
              <w:rPr>
                <w:lang w:val="en-US"/>
              </w:rPr>
            </w:pPr>
            <w:r>
              <w:rPr>
                <w:lang w:val="en-US"/>
              </w:rPr>
              <w:t>50</w:t>
            </w:r>
          </w:p>
        </w:tc>
        <w:tc>
          <w:tcPr>
            <w:tcW w:w="725" w:type="pct"/>
            <w:shd w:val="clear" w:color="auto" w:fill="auto"/>
          </w:tcPr>
          <w:p w14:paraId="0258CD10" w14:textId="4D0D62A7" w:rsidR="008E04DB" w:rsidRPr="00CE28E3" w:rsidRDefault="008E04DB" w:rsidP="005B2D18">
            <w:pPr>
              <w:pStyle w:val="TableText"/>
              <w:rPr>
                <w:lang w:val="en-US"/>
              </w:rPr>
            </w:pPr>
            <w:r>
              <w:rPr>
                <w:lang w:val="en-US"/>
              </w:rPr>
              <w:t>Cohort (prospective)</w:t>
            </w:r>
          </w:p>
        </w:tc>
        <w:tc>
          <w:tcPr>
            <w:tcW w:w="678" w:type="pct"/>
            <w:shd w:val="clear" w:color="auto" w:fill="auto"/>
          </w:tcPr>
          <w:p w14:paraId="23BF88DA" w14:textId="3041D4E4" w:rsidR="008E04DB" w:rsidRPr="006A658E" w:rsidRDefault="008E04DB" w:rsidP="005B2D18">
            <w:pPr>
              <w:pStyle w:val="TableText"/>
              <w:rPr>
                <w:i/>
                <w:lang w:val="en-US"/>
              </w:rPr>
            </w:pPr>
            <w:r>
              <w:rPr>
                <w:i/>
                <w:iCs/>
                <w:lang w:val="en-US"/>
              </w:rPr>
              <w:t>Poor</w:t>
            </w:r>
            <w:r w:rsidRPr="006A658E">
              <w:rPr>
                <w:i/>
                <w:iCs/>
                <w:vertAlign w:val="superscript"/>
                <w:lang w:val="en-US"/>
              </w:rPr>
              <w:t>c</w:t>
            </w:r>
          </w:p>
        </w:tc>
        <w:tc>
          <w:tcPr>
            <w:tcW w:w="1098" w:type="pct"/>
          </w:tcPr>
          <w:p w14:paraId="6E0809D4" w14:textId="77777777" w:rsidR="008E04DB" w:rsidRDefault="008E04DB" w:rsidP="005B2D18">
            <w:pPr>
              <w:pStyle w:val="Tabletext0"/>
              <w:jc w:val="left"/>
            </w:pPr>
            <w:r>
              <w:t>Adverse events</w:t>
            </w:r>
          </w:p>
          <w:p w14:paraId="2A3F370B" w14:textId="456DF6D0" w:rsidR="008E04DB" w:rsidRPr="00CE28E3" w:rsidRDefault="008E04DB" w:rsidP="005B2D18">
            <w:pPr>
              <w:pStyle w:val="TableText"/>
              <w:rPr>
                <w:lang w:val="en-US"/>
              </w:rPr>
            </w:pPr>
            <w:r>
              <w:t>OCD severity, depression</w:t>
            </w:r>
          </w:p>
        </w:tc>
        <w:tc>
          <w:tcPr>
            <w:tcW w:w="1070" w:type="pct"/>
            <w:shd w:val="clear" w:color="auto" w:fill="auto"/>
          </w:tcPr>
          <w:p w14:paraId="562F7956" w14:textId="77777777" w:rsidR="008E04DB" w:rsidRPr="00CE28E3" w:rsidRDefault="008E04DB" w:rsidP="005B2D18">
            <w:pPr>
              <w:pStyle w:val="TableText"/>
              <w:rPr>
                <w:lang w:val="en-US"/>
              </w:rPr>
            </w:pPr>
            <w:r w:rsidRPr="00CE28E3">
              <w:rPr>
                <w:lang w:val="en-US"/>
              </w:rPr>
              <w:t>Not used</w:t>
            </w:r>
          </w:p>
        </w:tc>
      </w:tr>
      <w:tr w:rsidR="007F15AB" w:rsidRPr="00CE28E3" w14:paraId="4C0FCC71" w14:textId="77777777" w:rsidTr="00297341">
        <w:trPr>
          <w:cantSplit/>
        </w:trPr>
        <w:tc>
          <w:tcPr>
            <w:tcW w:w="748" w:type="pct"/>
            <w:tcBorders>
              <w:bottom w:val="single" w:sz="4" w:space="0" w:color="auto"/>
            </w:tcBorders>
            <w:shd w:val="clear" w:color="auto" w:fill="auto"/>
          </w:tcPr>
          <w:p w14:paraId="6D249FDD" w14:textId="1252A9AA" w:rsidR="008E04DB" w:rsidRPr="00CE28E3" w:rsidRDefault="008E04DB" w:rsidP="00824458">
            <w:pPr>
              <w:pStyle w:val="TableText"/>
              <w:rPr>
                <w:lang w:val="en-US"/>
              </w:rPr>
            </w:pPr>
            <w:r>
              <w:rPr>
                <w:lang w:val="en-US"/>
              </w:rPr>
              <w:t>Islam 2015</w:t>
            </w:r>
          </w:p>
        </w:tc>
        <w:tc>
          <w:tcPr>
            <w:tcW w:w="681" w:type="pct"/>
            <w:tcBorders>
              <w:bottom w:val="single" w:sz="4" w:space="0" w:color="auto"/>
            </w:tcBorders>
            <w:shd w:val="clear" w:color="auto" w:fill="auto"/>
          </w:tcPr>
          <w:p w14:paraId="3115E3F6" w14:textId="5490E413" w:rsidR="008E04DB" w:rsidRPr="00CE28E3" w:rsidRDefault="008E04DB" w:rsidP="005B2D18">
            <w:pPr>
              <w:pStyle w:val="TableText"/>
              <w:rPr>
                <w:lang w:val="en-US"/>
              </w:rPr>
            </w:pPr>
            <w:r>
              <w:rPr>
                <w:lang w:val="en-US"/>
              </w:rPr>
              <w:t>8</w:t>
            </w:r>
          </w:p>
        </w:tc>
        <w:tc>
          <w:tcPr>
            <w:tcW w:w="725" w:type="pct"/>
            <w:tcBorders>
              <w:bottom w:val="single" w:sz="4" w:space="0" w:color="auto"/>
            </w:tcBorders>
            <w:shd w:val="clear" w:color="auto" w:fill="auto"/>
          </w:tcPr>
          <w:p w14:paraId="2FD725D1" w14:textId="7C09487E" w:rsidR="008E04DB" w:rsidRPr="00CE28E3" w:rsidRDefault="008E04DB" w:rsidP="005B2D18">
            <w:pPr>
              <w:pStyle w:val="TableText"/>
              <w:rPr>
                <w:lang w:val="en-US"/>
              </w:rPr>
            </w:pPr>
            <w:r>
              <w:rPr>
                <w:lang w:val="en-US"/>
              </w:rPr>
              <w:t>Case series</w:t>
            </w:r>
          </w:p>
        </w:tc>
        <w:tc>
          <w:tcPr>
            <w:tcW w:w="678" w:type="pct"/>
            <w:tcBorders>
              <w:bottom w:val="single" w:sz="4" w:space="0" w:color="auto"/>
            </w:tcBorders>
            <w:shd w:val="clear" w:color="auto" w:fill="auto"/>
          </w:tcPr>
          <w:p w14:paraId="6BD28768" w14:textId="301C93DA" w:rsidR="008E04DB" w:rsidRPr="006A658E" w:rsidRDefault="008E04DB" w:rsidP="005B2D18">
            <w:pPr>
              <w:pStyle w:val="TableText"/>
              <w:rPr>
                <w:i/>
                <w:lang w:val="en-US"/>
              </w:rPr>
            </w:pPr>
            <w:proofErr w:type="spellStart"/>
            <w:r w:rsidRPr="006A658E">
              <w:rPr>
                <w:i/>
                <w:lang w:val="en-US"/>
              </w:rPr>
              <w:t>Acceptable</w:t>
            </w:r>
            <w:r w:rsidRPr="006A658E">
              <w:rPr>
                <w:i/>
                <w:vertAlign w:val="superscript"/>
                <w:lang w:val="en-US"/>
              </w:rPr>
              <w:t>d</w:t>
            </w:r>
            <w:proofErr w:type="spellEnd"/>
          </w:p>
        </w:tc>
        <w:tc>
          <w:tcPr>
            <w:tcW w:w="1098" w:type="pct"/>
            <w:tcBorders>
              <w:bottom w:val="single" w:sz="4" w:space="0" w:color="auto"/>
            </w:tcBorders>
          </w:tcPr>
          <w:p w14:paraId="35F2B2E4" w14:textId="77777777" w:rsidR="008E04DB" w:rsidRDefault="008E04DB" w:rsidP="005B2D18">
            <w:pPr>
              <w:pStyle w:val="Tabletext0"/>
              <w:jc w:val="left"/>
            </w:pPr>
            <w:r>
              <w:t>Adverse events</w:t>
            </w:r>
          </w:p>
          <w:p w14:paraId="01C67401" w14:textId="3AC59737" w:rsidR="008E04DB" w:rsidRPr="00CE28E3" w:rsidRDefault="008E04DB" w:rsidP="005B2D18">
            <w:pPr>
              <w:pStyle w:val="TableText"/>
              <w:rPr>
                <w:lang w:val="en-US"/>
              </w:rPr>
            </w:pPr>
            <w:r>
              <w:t>OCD severity</w:t>
            </w:r>
          </w:p>
        </w:tc>
        <w:tc>
          <w:tcPr>
            <w:tcW w:w="1070" w:type="pct"/>
            <w:tcBorders>
              <w:bottom w:val="single" w:sz="4" w:space="0" w:color="auto"/>
            </w:tcBorders>
            <w:shd w:val="clear" w:color="auto" w:fill="auto"/>
          </w:tcPr>
          <w:p w14:paraId="355D0183" w14:textId="776732F7" w:rsidR="008E04DB" w:rsidRPr="00CE28E3" w:rsidRDefault="008E04DB" w:rsidP="005B2D18">
            <w:pPr>
              <w:pStyle w:val="TableText"/>
              <w:rPr>
                <w:lang w:val="en-US"/>
              </w:rPr>
            </w:pPr>
            <w:r>
              <w:rPr>
                <w:lang w:val="en-US"/>
              </w:rPr>
              <w:t>Not used</w:t>
            </w:r>
          </w:p>
        </w:tc>
      </w:tr>
      <w:tr w:rsidR="00492E9F" w:rsidRPr="00CE28E3" w14:paraId="6FF7B7D3" w14:textId="77777777" w:rsidTr="00297341">
        <w:trPr>
          <w:cantSplit/>
        </w:trPr>
        <w:tc>
          <w:tcPr>
            <w:tcW w:w="5000" w:type="pct"/>
            <w:gridSpan w:val="6"/>
            <w:shd w:val="clear" w:color="auto" w:fill="auto"/>
          </w:tcPr>
          <w:p w14:paraId="16CA7503" w14:textId="7A639054" w:rsidR="00492E9F" w:rsidRDefault="00492E9F" w:rsidP="007F15AB">
            <w:pPr>
              <w:pStyle w:val="TableText"/>
              <w:keepNext/>
              <w:keepLines/>
            </w:pPr>
            <w:r>
              <w:rPr>
                <w:lang w:val="en-US"/>
              </w:rPr>
              <w:t>2 SSRIs + clomipramine</w:t>
            </w:r>
          </w:p>
        </w:tc>
      </w:tr>
      <w:tr w:rsidR="00297341" w:rsidRPr="00CE28E3" w14:paraId="549424E5" w14:textId="77777777" w:rsidTr="00297341">
        <w:trPr>
          <w:cantSplit/>
        </w:trPr>
        <w:tc>
          <w:tcPr>
            <w:tcW w:w="748" w:type="pct"/>
            <w:shd w:val="clear" w:color="auto" w:fill="auto"/>
          </w:tcPr>
          <w:p w14:paraId="240616E3" w14:textId="5602104F" w:rsidR="005E43AF" w:rsidRDefault="00EB5066" w:rsidP="007F15AB">
            <w:pPr>
              <w:pStyle w:val="TableText"/>
              <w:keepNext/>
              <w:keepLines/>
              <w:rPr>
                <w:lang w:val="en-US"/>
              </w:rPr>
            </w:pPr>
            <w:r>
              <w:rPr>
                <w:lang w:val="en-US"/>
              </w:rPr>
              <w:t>Denys 2010</w:t>
            </w:r>
          </w:p>
        </w:tc>
        <w:tc>
          <w:tcPr>
            <w:tcW w:w="676" w:type="pct"/>
            <w:shd w:val="clear" w:color="auto" w:fill="auto"/>
          </w:tcPr>
          <w:p w14:paraId="18A8CB73" w14:textId="54CDA4A9" w:rsidR="005E43AF" w:rsidRDefault="00EB5066" w:rsidP="007F15AB">
            <w:pPr>
              <w:pStyle w:val="TableText"/>
              <w:keepNext/>
              <w:keepLines/>
              <w:rPr>
                <w:lang w:val="en-US"/>
              </w:rPr>
            </w:pPr>
            <w:r>
              <w:rPr>
                <w:lang w:val="en-US"/>
              </w:rPr>
              <w:t>16</w:t>
            </w:r>
          </w:p>
        </w:tc>
        <w:tc>
          <w:tcPr>
            <w:tcW w:w="731" w:type="pct"/>
            <w:shd w:val="clear" w:color="auto" w:fill="auto"/>
          </w:tcPr>
          <w:p w14:paraId="1E91AB1C" w14:textId="55740D3E" w:rsidR="005E43AF" w:rsidRDefault="00750CEF" w:rsidP="007F15AB">
            <w:pPr>
              <w:pStyle w:val="TableText"/>
              <w:keepNext/>
              <w:keepLines/>
              <w:rPr>
                <w:lang w:val="en-US"/>
              </w:rPr>
            </w:pPr>
            <w:r>
              <w:rPr>
                <w:lang w:val="en-US"/>
              </w:rPr>
              <w:t xml:space="preserve">Open phase + </w:t>
            </w:r>
            <w:r w:rsidR="00EB5066">
              <w:rPr>
                <w:lang w:val="en-US"/>
              </w:rPr>
              <w:t xml:space="preserve">RCT, DB </w:t>
            </w:r>
            <w:r w:rsidR="00FD729C">
              <w:rPr>
                <w:lang w:val="en-US"/>
              </w:rPr>
              <w:t xml:space="preserve">(2 weeks on/off) </w:t>
            </w:r>
            <w:r w:rsidR="00EB5066">
              <w:rPr>
                <w:lang w:val="en-US"/>
              </w:rPr>
              <w:t>+ open phase</w:t>
            </w:r>
          </w:p>
        </w:tc>
        <w:tc>
          <w:tcPr>
            <w:tcW w:w="678" w:type="pct"/>
            <w:shd w:val="clear" w:color="auto" w:fill="auto"/>
          </w:tcPr>
          <w:p w14:paraId="555E0AB7" w14:textId="72F0A708" w:rsidR="005E43AF" w:rsidRPr="006A658E" w:rsidRDefault="00EB5066" w:rsidP="007F15AB">
            <w:pPr>
              <w:pStyle w:val="TableText"/>
              <w:keepNext/>
              <w:keepLines/>
              <w:rPr>
                <w:i/>
                <w:vertAlign w:val="superscript"/>
                <w:lang w:val="en-US"/>
              </w:rPr>
            </w:pPr>
            <w:proofErr w:type="spellStart"/>
            <w:r w:rsidRPr="008643EE">
              <w:rPr>
                <w:i/>
                <w:iCs/>
                <w:lang w:val="en-US"/>
              </w:rPr>
              <w:t>High</w:t>
            </w:r>
            <w:r w:rsidRPr="008643EE">
              <w:rPr>
                <w:i/>
                <w:iCs/>
                <w:vertAlign w:val="superscript"/>
                <w:lang w:val="en-US"/>
              </w:rPr>
              <w:t>a</w:t>
            </w:r>
            <w:proofErr w:type="spellEnd"/>
          </w:p>
        </w:tc>
        <w:tc>
          <w:tcPr>
            <w:tcW w:w="1098" w:type="pct"/>
            <w:shd w:val="clear" w:color="auto" w:fill="auto"/>
          </w:tcPr>
          <w:p w14:paraId="0954AD95" w14:textId="77777777" w:rsidR="00EB5066" w:rsidRPr="002D5F3E" w:rsidRDefault="00EB5066" w:rsidP="007F15AB">
            <w:pPr>
              <w:pStyle w:val="Tabletext0"/>
              <w:keepNext/>
              <w:keepLines/>
              <w:jc w:val="left"/>
            </w:pPr>
            <w:r>
              <w:t>Adverse events</w:t>
            </w:r>
          </w:p>
          <w:p w14:paraId="127E7E9B" w14:textId="364C350D" w:rsidR="00EB5066" w:rsidRPr="002D5F3E" w:rsidRDefault="00EB5066" w:rsidP="007F15AB">
            <w:pPr>
              <w:pStyle w:val="Tabletext0"/>
              <w:keepNext/>
              <w:keepLines/>
              <w:jc w:val="left"/>
            </w:pPr>
            <w:r>
              <w:t>OCD severity</w:t>
            </w:r>
            <w:r w:rsidR="0077095A">
              <w:t>, depression,</w:t>
            </w:r>
          </w:p>
          <w:p w14:paraId="6036425A" w14:textId="324D22D9" w:rsidR="005E43AF" w:rsidRDefault="00082F18" w:rsidP="007F15AB">
            <w:pPr>
              <w:pStyle w:val="Tabletext0"/>
              <w:keepNext/>
              <w:keepLines/>
              <w:jc w:val="left"/>
            </w:pPr>
            <w:r>
              <w:t>A</w:t>
            </w:r>
            <w:r w:rsidR="00EB5066">
              <w:t>nxiety</w:t>
            </w:r>
          </w:p>
        </w:tc>
        <w:tc>
          <w:tcPr>
            <w:tcW w:w="1070" w:type="pct"/>
            <w:shd w:val="clear" w:color="auto" w:fill="auto"/>
          </w:tcPr>
          <w:p w14:paraId="1C9C6345" w14:textId="395D996E" w:rsidR="005E43AF" w:rsidRDefault="00EB5066" w:rsidP="007F15AB">
            <w:pPr>
              <w:pStyle w:val="TableText"/>
              <w:keepNext/>
              <w:keepLines/>
              <w:rPr>
                <w:lang w:val="en-US"/>
              </w:rPr>
            </w:pPr>
            <w:r>
              <w:t>Not used</w:t>
            </w:r>
          </w:p>
        </w:tc>
      </w:tr>
      <w:tr w:rsidR="00297341" w:rsidRPr="00CE28E3" w14:paraId="18FAAC99" w14:textId="77777777" w:rsidTr="00297341">
        <w:trPr>
          <w:cantSplit/>
        </w:trPr>
        <w:tc>
          <w:tcPr>
            <w:tcW w:w="748" w:type="pct"/>
            <w:shd w:val="clear" w:color="auto" w:fill="auto"/>
          </w:tcPr>
          <w:p w14:paraId="4E3B36A3" w14:textId="31FAF810" w:rsidR="005E43AF" w:rsidRDefault="00EB5066" w:rsidP="00824458">
            <w:pPr>
              <w:pStyle w:val="TableText"/>
              <w:rPr>
                <w:lang w:val="en-US"/>
              </w:rPr>
            </w:pPr>
            <w:r>
              <w:rPr>
                <w:lang w:val="en-US"/>
              </w:rPr>
              <w:t>Luyten 2016</w:t>
            </w:r>
          </w:p>
        </w:tc>
        <w:tc>
          <w:tcPr>
            <w:tcW w:w="676" w:type="pct"/>
            <w:shd w:val="clear" w:color="auto" w:fill="auto"/>
          </w:tcPr>
          <w:p w14:paraId="50ABEF78" w14:textId="4C5A9E75" w:rsidR="005E43AF" w:rsidRDefault="00EB5066" w:rsidP="005B2D18">
            <w:pPr>
              <w:pStyle w:val="TableText"/>
              <w:rPr>
                <w:lang w:val="en-US"/>
              </w:rPr>
            </w:pPr>
            <w:r>
              <w:rPr>
                <w:lang w:val="en-US"/>
              </w:rPr>
              <w:t>24</w:t>
            </w:r>
          </w:p>
        </w:tc>
        <w:tc>
          <w:tcPr>
            <w:tcW w:w="731" w:type="pct"/>
            <w:shd w:val="clear" w:color="auto" w:fill="auto"/>
          </w:tcPr>
          <w:p w14:paraId="6F0EA9C7" w14:textId="144E9A2A" w:rsidR="005E43AF" w:rsidRDefault="006C6DE6" w:rsidP="005B2D18">
            <w:pPr>
              <w:pStyle w:val="TableText"/>
              <w:rPr>
                <w:lang w:val="en-US"/>
              </w:rPr>
            </w:pPr>
            <w:r>
              <w:rPr>
                <w:lang w:val="en-US"/>
              </w:rPr>
              <w:t xml:space="preserve">RCT, </w:t>
            </w:r>
            <w:r w:rsidR="003A4063">
              <w:rPr>
                <w:lang w:val="en-US"/>
              </w:rPr>
              <w:t xml:space="preserve">crossover </w:t>
            </w:r>
            <w:r>
              <w:rPr>
                <w:lang w:val="en-US"/>
              </w:rPr>
              <w:t>DB</w:t>
            </w:r>
            <w:r w:rsidR="003A4063">
              <w:rPr>
                <w:lang w:val="en-US"/>
              </w:rPr>
              <w:t xml:space="preserve"> (3 months on/off)</w:t>
            </w:r>
            <w:r>
              <w:rPr>
                <w:lang w:val="en-US"/>
              </w:rPr>
              <w:t xml:space="preserve"> </w:t>
            </w:r>
            <w:r w:rsidR="00BC0CB9">
              <w:rPr>
                <w:lang w:val="en-US"/>
              </w:rPr>
              <w:t>+ open phase</w:t>
            </w:r>
          </w:p>
        </w:tc>
        <w:tc>
          <w:tcPr>
            <w:tcW w:w="678" w:type="pct"/>
            <w:shd w:val="clear" w:color="auto" w:fill="auto"/>
          </w:tcPr>
          <w:p w14:paraId="0799C9B4" w14:textId="77777777" w:rsidR="00D95B30" w:rsidRPr="008643EE" w:rsidRDefault="00BC0CB9" w:rsidP="005B2D18">
            <w:pPr>
              <w:pStyle w:val="TableText"/>
              <w:rPr>
                <w:i/>
                <w:iCs/>
                <w:vertAlign w:val="superscript"/>
                <w:lang w:val="en-US"/>
              </w:rPr>
            </w:pPr>
            <w:proofErr w:type="spellStart"/>
            <w:r w:rsidRPr="008643EE">
              <w:rPr>
                <w:i/>
                <w:iCs/>
                <w:lang w:val="en-US"/>
              </w:rPr>
              <w:t>High</w:t>
            </w:r>
            <w:r w:rsidRPr="008643EE">
              <w:rPr>
                <w:i/>
                <w:iCs/>
                <w:vertAlign w:val="superscript"/>
                <w:lang w:val="en-US"/>
              </w:rPr>
              <w:t>a</w:t>
            </w:r>
            <w:proofErr w:type="spellEnd"/>
          </w:p>
          <w:p w14:paraId="209439AC" w14:textId="1CBF0934" w:rsidR="005E43AF" w:rsidRPr="00D95B30" w:rsidRDefault="00D95B30" w:rsidP="005B2D18">
            <w:pPr>
              <w:pStyle w:val="TableText"/>
              <w:rPr>
                <w:vertAlign w:val="superscript"/>
                <w:lang w:val="en-US"/>
              </w:rPr>
            </w:pPr>
            <w:proofErr w:type="spellStart"/>
            <w:r>
              <w:rPr>
                <w:i/>
                <w:iCs/>
                <w:lang w:val="en-US"/>
              </w:rPr>
              <w:t>Serious</w:t>
            </w:r>
            <w:r>
              <w:rPr>
                <w:i/>
                <w:iCs/>
                <w:vertAlign w:val="superscript"/>
                <w:lang w:val="en-US"/>
              </w:rPr>
              <w:t>b</w:t>
            </w:r>
            <w:proofErr w:type="spellEnd"/>
          </w:p>
        </w:tc>
        <w:tc>
          <w:tcPr>
            <w:tcW w:w="1098" w:type="pct"/>
            <w:shd w:val="clear" w:color="auto" w:fill="auto"/>
          </w:tcPr>
          <w:p w14:paraId="22D7BBD9" w14:textId="77777777" w:rsidR="00BC0CB9" w:rsidRPr="002D5F3E" w:rsidRDefault="00BC0CB9" w:rsidP="005B2D18">
            <w:pPr>
              <w:pStyle w:val="Tabletext0"/>
              <w:jc w:val="left"/>
            </w:pPr>
            <w:r>
              <w:t>Adverse events</w:t>
            </w:r>
          </w:p>
          <w:p w14:paraId="37E7E16B" w14:textId="19D28DB6" w:rsidR="005E43AF" w:rsidRDefault="00BC0CB9" w:rsidP="005B2D18">
            <w:pPr>
              <w:pStyle w:val="Tabletext0"/>
              <w:jc w:val="left"/>
            </w:pPr>
            <w:r>
              <w:t>OCD severity</w:t>
            </w:r>
          </w:p>
        </w:tc>
        <w:tc>
          <w:tcPr>
            <w:tcW w:w="1070" w:type="pct"/>
            <w:shd w:val="clear" w:color="auto" w:fill="auto"/>
          </w:tcPr>
          <w:p w14:paraId="55BF9F1C" w14:textId="0A802BEF" w:rsidR="005E43AF" w:rsidRDefault="00BC0CB9" w:rsidP="005B2D18">
            <w:pPr>
              <w:pStyle w:val="TableText"/>
              <w:rPr>
                <w:lang w:val="en-US"/>
              </w:rPr>
            </w:pPr>
            <w:r>
              <w:t>Not used</w:t>
            </w:r>
          </w:p>
        </w:tc>
      </w:tr>
      <w:tr w:rsidR="00297341" w:rsidRPr="00CE28E3" w14:paraId="15581B73" w14:textId="77777777" w:rsidTr="00297341">
        <w:trPr>
          <w:cantSplit/>
        </w:trPr>
        <w:tc>
          <w:tcPr>
            <w:tcW w:w="748" w:type="pct"/>
            <w:shd w:val="clear" w:color="auto" w:fill="auto"/>
          </w:tcPr>
          <w:p w14:paraId="575BBDA7" w14:textId="24A570E6" w:rsidR="00BC0CB9" w:rsidRDefault="00C74D7A" w:rsidP="00824458">
            <w:pPr>
              <w:pStyle w:val="TableText"/>
              <w:rPr>
                <w:lang w:val="en-US"/>
              </w:rPr>
            </w:pPr>
            <w:r>
              <w:rPr>
                <w:lang w:val="en-US"/>
              </w:rPr>
              <w:t>Mallet 2008</w:t>
            </w:r>
          </w:p>
        </w:tc>
        <w:tc>
          <w:tcPr>
            <w:tcW w:w="676" w:type="pct"/>
            <w:shd w:val="clear" w:color="auto" w:fill="auto"/>
          </w:tcPr>
          <w:p w14:paraId="7587A108" w14:textId="3F478538" w:rsidR="00BC0CB9" w:rsidRDefault="00C74D7A" w:rsidP="005B2D18">
            <w:pPr>
              <w:pStyle w:val="TableText"/>
              <w:rPr>
                <w:lang w:val="en-US"/>
              </w:rPr>
            </w:pPr>
            <w:r>
              <w:rPr>
                <w:lang w:val="en-US"/>
              </w:rPr>
              <w:t>16</w:t>
            </w:r>
          </w:p>
        </w:tc>
        <w:tc>
          <w:tcPr>
            <w:tcW w:w="731" w:type="pct"/>
            <w:shd w:val="clear" w:color="auto" w:fill="auto"/>
          </w:tcPr>
          <w:p w14:paraId="6F39A94A" w14:textId="267CE7D2" w:rsidR="00BC0CB9" w:rsidRDefault="00C74D7A" w:rsidP="005B2D18">
            <w:pPr>
              <w:pStyle w:val="TableText"/>
              <w:rPr>
                <w:lang w:val="en-US"/>
              </w:rPr>
            </w:pPr>
            <w:r>
              <w:rPr>
                <w:lang w:val="en-US"/>
              </w:rPr>
              <w:t xml:space="preserve">RCT, </w:t>
            </w:r>
            <w:r w:rsidR="00F55536">
              <w:rPr>
                <w:lang w:val="en-US"/>
              </w:rPr>
              <w:t xml:space="preserve">crossover </w:t>
            </w:r>
            <w:r>
              <w:rPr>
                <w:lang w:val="en-US"/>
              </w:rPr>
              <w:t>DB</w:t>
            </w:r>
            <w:r w:rsidR="00F55536">
              <w:rPr>
                <w:lang w:val="en-US"/>
              </w:rPr>
              <w:t xml:space="preserve"> (3 months on/off)</w:t>
            </w:r>
          </w:p>
        </w:tc>
        <w:tc>
          <w:tcPr>
            <w:tcW w:w="678" w:type="pct"/>
            <w:shd w:val="clear" w:color="auto" w:fill="auto"/>
          </w:tcPr>
          <w:p w14:paraId="12205F9E" w14:textId="72082AEC" w:rsidR="00BC0CB9" w:rsidRPr="008643EE" w:rsidRDefault="00C74D7A" w:rsidP="005B2D18">
            <w:pPr>
              <w:pStyle w:val="TableText"/>
              <w:rPr>
                <w:i/>
                <w:iCs/>
                <w:lang w:val="en-US"/>
              </w:rPr>
            </w:pPr>
            <w:proofErr w:type="spellStart"/>
            <w:r w:rsidRPr="008643EE">
              <w:rPr>
                <w:i/>
                <w:iCs/>
                <w:lang w:val="en-US"/>
              </w:rPr>
              <w:t>High</w:t>
            </w:r>
            <w:r w:rsidRPr="008643EE">
              <w:rPr>
                <w:i/>
                <w:iCs/>
                <w:vertAlign w:val="superscript"/>
                <w:lang w:val="en-US"/>
              </w:rPr>
              <w:t>a</w:t>
            </w:r>
            <w:proofErr w:type="spellEnd"/>
          </w:p>
        </w:tc>
        <w:tc>
          <w:tcPr>
            <w:tcW w:w="1098" w:type="pct"/>
            <w:shd w:val="clear" w:color="auto" w:fill="auto"/>
          </w:tcPr>
          <w:p w14:paraId="0F4C16EA" w14:textId="77777777" w:rsidR="00C74D7A" w:rsidRPr="002D5F3E" w:rsidRDefault="00C74D7A" w:rsidP="005B2D18">
            <w:pPr>
              <w:pStyle w:val="Tabletext0"/>
              <w:jc w:val="left"/>
            </w:pPr>
            <w:r>
              <w:t>Adverse events</w:t>
            </w:r>
          </w:p>
          <w:p w14:paraId="5ED9E990" w14:textId="5131237E" w:rsidR="00BC0CB9" w:rsidRDefault="00C74D7A" w:rsidP="005B2D18">
            <w:pPr>
              <w:pStyle w:val="Tabletext0"/>
              <w:jc w:val="left"/>
            </w:pPr>
            <w:r>
              <w:t>OCD severity</w:t>
            </w:r>
            <w:r w:rsidR="0077095A">
              <w:t>, d</w:t>
            </w:r>
            <w:r>
              <w:t>epression</w:t>
            </w:r>
          </w:p>
        </w:tc>
        <w:tc>
          <w:tcPr>
            <w:tcW w:w="1070" w:type="pct"/>
            <w:shd w:val="clear" w:color="auto" w:fill="auto"/>
          </w:tcPr>
          <w:p w14:paraId="68E23504" w14:textId="39BFF13F" w:rsidR="00BC0CB9" w:rsidRDefault="00C74D7A" w:rsidP="005B2D18">
            <w:pPr>
              <w:pStyle w:val="TableText"/>
            </w:pPr>
            <w:r>
              <w:t>Not used</w:t>
            </w:r>
          </w:p>
        </w:tc>
      </w:tr>
      <w:tr w:rsidR="00297341" w:rsidRPr="00CE28E3" w14:paraId="3F754381" w14:textId="77777777" w:rsidTr="00297341">
        <w:trPr>
          <w:cantSplit/>
        </w:trPr>
        <w:tc>
          <w:tcPr>
            <w:tcW w:w="748" w:type="pct"/>
            <w:shd w:val="clear" w:color="auto" w:fill="auto"/>
          </w:tcPr>
          <w:p w14:paraId="577FF4CF" w14:textId="262D63FE" w:rsidR="00C74D7A" w:rsidRDefault="00C74D7A" w:rsidP="00824458">
            <w:pPr>
              <w:pStyle w:val="TableText"/>
              <w:rPr>
                <w:lang w:val="en-US"/>
              </w:rPr>
            </w:pPr>
            <w:r>
              <w:rPr>
                <w:lang w:val="en-US"/>
              </w:rPr>
              <w:t>Mosley 2021</w:t>
            </w:r>
          </w:p>
        </w:tc>
        <w:tc>
          <w:tcPr>
            <w:tcW w:w="676" w:type="pct"/>
            <w:shd w:val="clear" w:color="auto" w:fill="auto"/>
          </w:tcPr>
          <w:p w14:paraId="62DF84FC" w14:textId="02670EA9" w:rsidR="00C74D7A" w:rsidRDefault="00C74D7A" w:rsidP="005B2D18">
            <w:pPr>
              <w:pStyle w:val="TableText"/>
              <w:rPr>
                <w:lang w:val="en-US"/>
              </w:rPr>
            </w:pPr>
            <w:r>
              <w:rPr>
                <w:lang w:val="en-US"/>
              </w:rPr>
              <w:t>9</w:t>
            </w:r>
          </w:p>
        </w:tc>
        <w:tc>
          <w:tcPr>
            <w:tcW w:w="731" w:type="pct"/>
            <w:shd w:val="clear" w:color="auto" w:fill="auto"/>
          </w:tcPr>
          <w:p w14:paraId="33FDA4F1" w14:textId="76A60CA3" w:rsidR="00C74D7A" w:rsidRDefault="00D95B30" w:rsidP="005B2D18">
            <w:pPr>
              <w:pStyle w:val="TableText"/>
              <w:rPr>
                <w:lang w:val="en-US"/>
              </w:rPr>
            </w:pPr>
            <w:r>
              <w:rPr>
                <w:lang w:val="en-US"/>
              </w:rPr>
              <w:t>RCT, DB + open phase</w:t>
            </w:r>
          </w:p>
        </w:tc>
        <w:tc>
          <w:tcPr>
            <w:tcW w:w="678" w:type="pct"/>
            <w:shd w:val="clear" w:color="auto" w:fill="auto"/>
          </w:tcPr>
          <w:p w14:paraId="017C1224" w14:textId="77777777" w:rsidR="00D95B30" w:rsidRPr="008643EE" w:rsidRDefault="00D95B30" w:rsidP="005B2D18">
            <w:pPr>
              <w:pStyle w:val="TableText"/>
              <w:rPr>
                <w:i/>
                <w:iCs/>
                <w:vertAlign w:val="superscript"/>
                <w:lang w:val="en-US"/>
              </w:rPr>
            </w:pPr>
            <w:proofErr w:type="spellStart"/>
            <w:r w:rsidRPr="008643EE">
              <w:rPr>
                <w:i/>
                <w:iCs/>
                <w:lang w:val="en-US"/>
              </w:rPr>
              <w:t>High</w:t>
            </w:r>
            <w:r w:rsidRPr="008643EE">
              <w:rPr>
                <w:i/>
                <w:iCs/>
                <w:vertAlign w:val="superscript"/>
                <w:lang w:val="en-US"/>
              </w:rPr>
              <w:t>a</w:t>
            </w:r>
            <w:proofErr w:type="spellEnd"/>
          </w:p>
          <w:p w14:paraId="24AD92E2" w14:textId="0FD0955F" w:rsidR="00C74D7A" w:rsidRPr="008643EE" w:rsidRDefault="00D95B30" w:rsidP="005B2D18">
            <w:pPr>
              <w:pStyle w:val="TableText"/>
              <w:rPr>
                <w:i/>
                <w:iCs/>
                <w:lang w:val="en-US"/>
              </w:rPr>
            </w:pPr>
            <w:proofErr w:type="spellStart"/>
            <w:r>
              <w:rPr>
                <w:i/>
                <w:iCs/>
                <w:lang w:val="en-US"/>
              </w:rPr>
              <w:t>Serious</w:t>
            </w:r>
            <w:r>
              <w:rPr>
                <w:i/>
                <w:iCs/>
                <w:vertAlign w:val="superscript"/>
                <w:lang w:val="en-US"/>
              </w:rPr>
              <w:t>b</w:t>
            </w:r>
            <w:proofErr w:type="spellEnd"/>
          </w:p>
        </w:tc>
        <w:tc>
          <w:tcPr>
            <w:tcW w:w="1098" w:type="pct"/>
            <w:shd w:val="clear" w:color="auto" w:fill="auto"/>
          </w:tcPr>
          <w:p w14:paraId="203B2B98" w14:textId="77777777" w:rsidR="00D95B30" w:rsidRPr="002D5F3E" w:rsidRDefault="00D95B30" w:rsidP="005B2D18">
            <w:pPr>
              <w:pStyle w:val="Tabletext0"/>
              <w:jc w:val="left"/>
            </w:pPr>
            <w:r>
              <w:t>Adverse events</w:t>
            </w:r>
          </w:p>
          <w:p w14:paraId="491D2F75" w14:textId="51EC5F45" w:rsidR="00C74D7A" w:rsidRDefault="00D95B30" w:rsidP="005B2D18">
            <w:pPr>
              <w:pStyle w:val="Tabletext0"/>
              <w:jc w:val="left"/>
            </w:pPr>
            <w:r>
              <w:t>OCD severity</w:t>
            </w:r>
            <w:r w:rsidR="0077095A">
              <w:t>, depression</w:t>
            </w:r>
          </w:p>
        </w:tc>
        <w:tc>
          <w:tcPr>
            <w:tcW w:w="1070" w:type="pct"/>
            <w:shd w:val="clear" w:color="auto" w:fill="auto"/>
          </w:tcPr>
          <w:p w14:paraId="7FB268D4" w14:textId="6F23EBB4" w:rsidR="00C74D7A" w:rsidRDefault="00D95B30" w:rsidP="005B2D18">
            <w:pPr>
              <w:pStyle w:val="TableText"/>
            </w:pPr>
            <w:r>
              <w:t>Not used</w:t>
            </w:r>
          </w:p>
        </w:tc>
      </w:tr>
      <w:tr w:rsidR="00297341" w:rsidRPr="00CE28E3" w14:paraId="7F3FB80A" w14:textId="77777777" w:rsidTr="00297341">
        <w:trPr>
          <w:cantSplit/>
        </w:trPr>
        <w:tc>
          <w:tcPr>
            <w:tcW w:w="748" w:type="pct"/>
            <w:shd w:val="clear" w:color="auto" w:fill="auto"/>
          </w:tcPr>
          <w:p w14:paraId="6872EE9E" w14:textId="5C2A5BF3" w:rsidR="00D95B30" w:rsidRDefault="00D95B30" w:rsidP="00D95B30">
            <w:pPr>
              <w:pStyle w:val="TableText"/>
              <w:rPr>
                <w:lang w:val="en-US"/>
              </w:rPr>
            </w:pPr>
            <w:proofErr w:type="spellStart"/>
            <w:r>
              <w:rPr>
                <w:lang w:val="en-US"/>
              </w:rPr>
              <w:t>Charbades</w:t>
            </w:r>
            <w:proofErr w:type="spellEnd"/>
            <w:r>
              <w:rPr>
                <w:lang w:val="en-US"/>
              </w:rPr>
              <w:t xml:space="preserve"> 2020</w:t>
            </w:r>
          </w:p>
        </w:tc>
        <w:tc>
          <w:tcPr>
            <w:tcW w:w="678" w:type="pct"/>
            <w:shd w:val="clear" w:color="auto" w:fill="auto"/>
          </w:tcPr>
          <w:p w14:paraId="1C39210E" w14:textId="1BA0A4F5" w:rsidR="00D95B30" w:rsidRDefault="00D95B30" w:rsidP="005B2D18">
            <w:pPr>
              <w:pStyle w:val="TableText"/>
              <w:rPr>
                <w:lang w:val="en-US"/>
              </w:rPr>
            </w:pPr>
            <w:r>
              <w:rPr>
                <w:lang w:val="en-US"/>
              </w:rPr>
              <w:t>15 (new)</w:t>
            </w:r>
          </w:p>
        </w:tc>
        <w:tc>
          <w:tcPr>
            <w:tcW w:w="728" w:type="pct"/>
            <w:shd w:val="clear" w:color="auto" w:fill="auto"/>
          </w:tcPr>
          <w:p w14:paraId="56B5E103" w14:textId="4B709A78" w:rsidR="00D95B30" w:rsidRDefault="00D95B30" w:rsidP="005B2D18">
            <w:pPr>
              <w:pStyle w:val="TableText"/>
              <w:rPr>
                <w:lang w:val="en-US"/>
              </w:rPr>
            </w:pPr>
            <w:r>
              <w:rPr>
                <w:lang w:val="en-US"/>
              </w:rPr>
              <w:t>Prospective cohort, no control</w:t>
            </w:r>
          </w:p>
        </w:tc>
        <w:tc>
          <w:tcPr>
            <w:tcW w:w="678" w:type="pct"/>
            <w:shd w:val="clear" w:color="auto" w:fill="auto"/>
          </w:tcPr>
          <w:p w14:paraId="1A862282" w14:textId="2A5ED730" w:rsidR="00D95B30" w:rsidRPr="00D95B30" w:rsidRDefault="00D95B30" w:rsidP="005B2D18">
            <w:pPr>
              <w:pStyle w:val="TableText"/>
              <w:rPr>
                <w:i/>
                <w:iCs/>
                <w:vertAlign w:val="superscript"/>
                <w:lang w:val="en-US"/>
              </w:rPr>
            </w:pPr>
            <w:r>
              <w:rPr>
                <w:i/>
                <w:iCs/>
                <w:lang w:val="en-US"/>
              </w:rPr>
              <w:t>Poor</w:t>
            </w:r>
            <w:r>
              <w:rPr>
                <w:i/>
                <w:iCs/>
                <w:vertAlign w:val="superscript"/>
                <w:lang w:val="en-US"/>
              </w:rPr>
              <w:t>c</w:t>
            </w:r>
          </w:p>
        </w:tc>
        <w:tc>
          <w:tcPr>
            <w:tcW w:w="1098" w:type="pct"/>
            <w:shd w:val="clear" w:color="auto" w:fill="auto"/>
          </w:tcPr>
          <w:p w14:paraId="610A746F" w14:textId="77777777" w:rsidR="00D95B30" w:rsidRPr="002D5F3E" w:rsidRDefault="00D95B30" w:rsidP="005B2D18">
            <w:pPr>
              <w:pStyle w:val="Tabletext0"/>
              <w:jc w:val="left"/>
            </w:pPr>
            <w:r>
              <w:t>Adverse events</w:t>
            </w:r>
          </w:p>
          <w:p w14:paraId="7730BAE0" w14:textId="0C400BD5" w:rsidR="00D95B30" w:rsidRDefault="00D95B30" w:rsidP="005B2D18">
            <w:pPr>
              <w:pStyle w:val="Tabletext0"/>
              <w:jc w:val="left"/>
            </w:pPr>
            <w:r>
              <w:t>OCD severity</w:t>
            </w:r>
          </w:p>
        </w:tc>
        <w:tc>
          <w:tcPr>
            <w:tcW w:w="1070" w:type="pct"/>
            <w:shd w:val="clear" w:color="auto" w:fill="auto"/>
          </w:tcPr>
          <w:p w14:paraId="237E1FC2" w14:textId="7729D339" w:rsidR="00D95B30" w:rsidRDefault="00D95B30" w:rsidP="005B2D18">
            <w:pPr>
              <w:pStyle w:val="TableText"/>
            </w:pPr>
            <w:r>
              <w:t>Not used</w:t>
            </w:r>
          </w:p>
        </w:tc>
      </w:tr>
      <w:tr w:rsidR="00297341" w:rsidRPr="00CE28E3" w14:paraId="779DF71D" w14:textId="77777777" w:rsidTr="00297341">
        <w:trPr>
          <w:cantSplit/>
        </w:trPr>
        <w:tc>
          <w:tcPr>
            <w:tcW w:w="748" w:type="pct"/>
            <w:shd w:val="clear" w:color="auto" w:fill="auto"/>
          </w:tcPr>
          <w:p w14:paraId="75AA558C" w14:textId="2A2BAAE5" w:rsidR="00D95B30" w:rsidRDefault="00D95B30" w:rsidP="00D95B30">
            <w:pPr>
              <w:pStyle w:val="TableText"/>
              <w:rPr>
                <w:lang w:val="en-US"/>
              </w:rPr>
            </w:pPr>
            <w:r>
              <w:rPr>
                <w:lang w:val="en-US"/>
              </w:rPr>
              <w:t xml:space="preserve">Van der </w:t>
            </w:r>
            <w:proofErr w:type="spellStart"/>
            <w:r>
              <w:rPr>
                <w:lang w:val="en-US"/>
              </w:rPr>
              <w:t>Vlis</w:t>
            </w:r>
            <w:proofErr w:type="spellEnd"/>
            <w:r>
              <w:rPr>
                <w:lang w:val="en-US"/>
              </w:rPr>
              <w:t xml:space="preserve"> 2021</w:t>
            </w:r>
          </w:p>
        </w:tc>
        <w:tc>
          <w:tcPr>
            <w:tcW w:w="681" w:type="pct"/>
            <w:shd w:val="clear" w:color="auto" w:fill="auto"/>
          </w:tcPr>
          <w:p w14:paraId="22A0C6B6" w14:textId="6E58DA29" w:rsidR="00D95B30" w:rsidRDefault="00D95B30" w:rsidP="005B2D18">
            <w:pPr>
              <w:pStyle w:val="TableText"/>
              <w:rPr>
                <w:lang w:val="en-US"/>
              </w:rPr>
            </w:pPr>
            <w:r>
              <w:rPr>
                <w:lang w:val="en-US"/>
              </w:rPr>
              <w:t>8</w:t>
            </w:r>
          </w:p>
        </w:tc>
        <w:tc>
          <w:tcPr>
            <w:tcW w:w="725" w:type="pct"/>
            <w:shd w:val="clear" w:color="auto" w:fill="auto"/>
          </w:tcPr>
          <w:p w14:paraId="0CF3E87F" w14:textId="2BFF9BB5" w:rsidR="00D95B30" w:rsidRDefault="00D95B30" w:rsidP="005B2D18">
            <w:pPr>
              <w:pStyle w:val="TableText"/>
              <w:rPr>
                <w:lang w:val="en-US"/>
              </w:rPr>
            </w:pPr>
            <w:r>
              <w:rPr>
                <w:lang w:val="en-US"/>
              </w:rPr>
              <w:t>Retrospective cohort, no control</w:t>
            </w:r>
          </w:p>
        </w:tc>
        <w:tc>
          <w:tcPr>
            <w:tcW w:w="678" w:type="pct"/>
            <w:shd w:val="clear" w:color="auto" w:fill="auto"/>
          </w:tcPr>
          <w:p w14:paraId="042B0258" w14:textId="3E5095F0" w:rsidR="00D95B30" w:rsidRDefault="00D95B30" w:rsidP="005B2D18">
            <w:pPr>
              <w:pStyle w:val="TableText"/>
              <w:rPr>
                <w:i/>
                <w:iCs/>
                <w:lang w:val="en-US"/>
              </w:rPr>
            </w:pPr>
            <w:r>
              <w:rPr>
                <w:i/>
                <w:iCs/>
                <w:lang w:val="en-US"/>
              </w:rPr>
              <w:t>Poor</w:t>
            </w:r>
            <w:r>
              <w:rPr>
                <w:i/>
                <w:iCs/>
                <w:vertAlign w:val="superscript"/>
                <w:lang w:val="en-US"/>
              </w:rPr>
              <w:t>c</w:t>
            </w:r>
          </w:p>
        </w:tc>
        <w:tc>
          <w:tcPr>
            <w:tcW w:w="1098" w:type="pct"/>
            <w:shd w:val="clear" w:color="auto" w:fill="auto"/>
          </w:tcPr>
          <w:p w14:paraId="3494DC73" w14:textId="77777777" w:rsidR="00D95B30" w:rsidRPr="002D5F3E" w:rsidRDefault="00D95B30" w:rsidP="005B2D18">
            <w:pPr>
              <w:pStyle w:val="Tabletext0"/>
              <w:jc w:val="left"/>
            </w:pPr>
            <w:r>
              <w:t>Adverse events</w:t>
            </w:r>
          </w:p>
          <w:p w14:paraId="4DBB4400" w14:textId="5FBEBC9E" w:rsidR="00D95B30" w:rsidRDefault="00D95B30" w:rsidP="005B2D18">
            <w:pPr>
              <w:pStyle w:val="Tabletext0"/>
              <w:jc w:val="left"/>
            </w:pPr>
            <w:r>
              <w:t>OCD severity</w:t>
            </w:r>
            <w:r w:rsidR="0077095A">
              <w:t>, depression, anxiety, QoL</w:t>
            </w:r>
          </w:p>
        </w:tc>
        <w:tc>
          <w:tcPr>
            <w:tcW w:w="1070" w:type="pct"/>
            <w:shd w:val="clear" w:color="auto" w:fill="auto"/>
          </w:tcPr>
          <w:p w14:paraId="242CA239" w14:textId="3C779EDC" w:rsidR="00D95B30" w:rsidRDefault="00D95B30" w:rsidP="005B2D18">
            <w:pPr>
              <w:pStyle w:val="TableText"/>
            </w:pPr>
            <w:r>
              <w:t>Not used</w:t>
            </w:r>
          </w:p>
        </w:tc>
      </w:tr>
      <w:tr w:rsidR="00297341" w:rsidRPr="00CE28E3" w14:paraId="41445FBB" w14:textId="77777777" w:rsidTr="00297341">
        <w:trPr>
          <w:cantSplit/>
        </w:trPr>
        <w:tc>
          <w:tcPr>
            <w:tcW w:w="748" w:type="pct"/>
            <w:shd w:val="clear" w:color="auto" w:fill="auto"/>
          </w:tcPr>
          <w:p w14:paraId="7FD05765" w14:textId="77777777" w:rsidR="001C01FA" w:rsidRDefault="001C01FA" w:rsidP="00D95B30">
            <w:pPr>
              <w:pStyle w:val="TableText"/>
              <w:rPr>
                <w:lang w:val="en-US"/>
              </w:rPr>
            </w:pPr>
            <w:r>
              <w:rPr>
                <w:lang w:val="en-US"/>
              </w:rPr>
              <w:t>Denys 2020</w:t>
            </w:r>
          </w:p>
          <w:p w14:paraId="652BA6F7" w14:textId="217F15FB" w:rsidR="001C01FA" w:rsidRDefault="001C01FA" w:rsidP="00D95B30">
            <w:pPr>
              <w:pStyle w:val="TableText"/>
              <w:rPr>
                <w:lang w:val="en-US"/>
              </w:rPr>
            </w:pPr>
            <w:r>
              <w:rPr>
                <w:lang w:val="en-US"/>
              </w:rPr>
              <w:t>(</w:t>
            </w:r>
            <w:proofErr w:type="spellStart"/>
            <w:r>
              <w:rPr>
                <w:lang w:val="en-US"/>
              </w:rPr>
              <w:t>Graat</w:t>
            </w:r>
            <w:proofErr w:type="spellEnd"/>
            <w:r>
              <w:rPr>
                <w:lang w:val="en-US"/>
              </w:rPr>
              <w:t xml:space="preserve"> 2021)</w:t>
            </w:r>
          </w:p>
        </w:tc>
        <w:tc>
          <w:tcPr>
            <w:tcW w:w="681" w:type="pct"/>
            <w:shd w:val="clear" w:color="auto" w:fill="auto"/>
          </w:tcPr>
          <w:p w14:paraId="56B12F2A" w14:textId="3D5DF986" w:rsidR="001C01FA" w:rsidRDefault="001C01FA" w:rsidP="005B2D18">
            <w:pPr>
              <w:pStyle w:val="TableText"/>
              <w:rPr>
                <w:lang w:val="en-US"/>
              </w:rPr>
            </w:pPr>
            <w:r>
              <w:rPr>
                <w:lang w:val="en-US"/>
              </w:rPr>
              <w:t>70</w:t>
            </w:r>
          </w:p>
        </w:tc>
        <w:tc>
          <w:tcPr>
            <w:tcW w:w="725" w:type="pct"/>
            <w:shd w:val="clear" w:color="auto" w:fill="auto"/>
          </w:tcPr>
          <w:p w14:paraId="666B4B80" w14:textId="09B731E5" w:rsidR="001C01FA" w:rsidRDefault="001C01FA" w:rsidP="005B2D18">
            <w:pPr>
              <w:pStyle w:val="TableText"/>
              <w:rPr>
                <w:lang w:val="en-US"/>
              </w:rPr>
            </w:pPr>
            <w:r>
              <w:rPr>
                <w:lang w:val="en-US"/>
              </w:rPr>
              <w:t>Case series</w:t>
            </w:r>
          </w:p>
        </w:tc>
        <w:tc>
          <w:tcPr>
            <w:tcW w:w="678" w:type="pct"/>
            <w:shd w:val="clear" w:color="auto" w:fill="auto"/>
          </w:tcPr>
          <w:p w14:paraId="3D3C6742" w14:textId="6A8C4116" w:rsidR="001C01FA" w:rsidRPr="001C01FA" w:rsidRDefault="001C01FA" w:rsidP="005B2D18">
            <w:pPr>
              <w:pStyle w:val="TableText"/>
              <w:rPr>
                <w:i/>
                <w:iCs/>
                <w:vertAlign w:val="superscript"/>
                <w:lang w:val="en-US"/>
              </w:rPr>
            </w:pPr>
            <w:proofErr w:type="spellStart"/>
            <w:r>
              <w:rPr>
                <w:i/>
                <w:iCs/>
                <w:lang w:val="en-US"/>
              </w:rPr>
              <w:t>Acceptable</w:t>
            </w:r>
            <w:r>
              <w:rPr>
                <w:i/>
                <w:iCs/>
                <w:vertAlign w:val="superscript"/>
                <w:lang w:val="en-US"/>
              </w:rPr>
              <w:t>d</w:t>
            </w:r>
            <w:proofErr w:type="spellEnd"/>
          </w:p>
        </w:tc>
        <w:tc>
          <w:tcPr>
            <w:tcW w:w="1098" w:type="pct"/>
            <w:shd w:val="clear" w:color="auto" w:fill="auto"/>
          </w:tcPr>
          <w:p w14:paraId="12001329" w14:textId="77777777" w:rsidR="002065A3" w:rsidRPr="002D5F3E" w:rsidRDefault="002065A3" w:rsidP="005B2D18">
            <w:pPr>
              <w:pStyle w:val="Tabletext0"/>
              <w:jc w:val="left"/>
            </w:pPr>
            <w:r>
              <w:t>Adverse events</w:t>
            </w:r>
          </w:p>
          <w:p w14:paraId="58E9009B" w14:textId="1485549F" w:rsidR="002065A3" w:rsidRDefault="002065A3" w:rsidP="005B2D18">
            <w:pPr>
              <w:pStyle w:val="Tabletext0"/>
              <w:jc w:val="left"/>
            </w:pPr>
            <w:r>
              <w:t>OCD severity</w:t>
            </w:r>
            <w:r w:rsidR="0077095A">
              <w:t>, depression, anxiety, QoL, medication use, employment status</w:t>
            </w:r>
          </w:p>
        </w:tc>
        <w:tc>
          <w:tcPr>
            <w:tcW w:w="1070" w:type="pct"/>
            <w:shd w:val="clear" w:color="auto" w:fill="auto"/>
          </w:tcPr>
          <w:p w14:paraId="7DC90EAD" w14:textId="02F45D32" w:rsidR="002065A3" w:rsidRDefault="002065A3" w:rsidP="005B2D18">
            <w:pPr>
              <w:pStyle w:val="TableText"/>
            </w:pPr>
            <w:r>
              <w:t>Not used</w:t>
            </w:r>
          </w:p>
        </w:tc>
      </w:tr>
      <w:tr w:rsidR="00297341" w:rsidRPr="00CE28E3" w14:paraId="493AC71A" w14:textId="77777777" w:rsidTr="00297341">
        <w:trPr>
          <w:cantSplit/>
        </w:trPr>
        <w:tc>
          <w:tcPr>
            <w:tcW w:w="748" w:type="pct"/>
            <w:shd w:val="clear" w:color="auto" w:fill="auto"/>
          </w:tcPr>
          <w:p w14:paraId="1644E521" w14:textId="4A35A46A" w:rsidR="002065A3" w:rsidRDefault="002065A3" w:rsidP="00D95B30">
            <w:pPr>
              <w:pStyle w:val="TableText"/>
              <w:rPr>
                <w:lang w:val="en-US"/>
              </w:rPr>
            </w:pPr>
            <w:r>
              <w:rPr>
                <w:lang w:val="en-US"/>
              </w:rPr>
              <w:t>Farrand 2018</w:t>
            </w:r>
          </w:p>
        </w:tc>
        <w:tc>
          <w:tcPr>
            <w:tcW w:w="681" w:type="pct"/>
            <w:shd w:val="clear" w:color="auto" w:fill="auto"/>
          </w:tcPr>
          <w:p w14:paraId="6C16EDD7" w14:textId="0318EC28" w:rsidR="002065A3" w:rsidRDefault="002065A3" w:rsidP="005B2D18">
            <w:pPr>
              <w:pStyle w:val="TableText"/>
              <w:rPr>
                <w:lang w:val="en-US"/>
              </w:rPr>
            </w:pPr>
            <w:r>
              <w:rPr>
                <w:lang w:val="en-US"/>
              </w:rPr>
              <w:t>7</w:t>
            </w:r>
          </w:p>
        </w:tc>
        <w:tc>
          <w:tcPr>
            <w:tcW w:w="725" w:type="pct"/>
            <w:shd w:val="clear" w:color="auto" w:fill="auto"/>
          </w:tcPr>
          <w:p w14:paraId="46AF3C8D" w14:textId="43658D6A" w:rsidR="002065A3" w:rsidRDefault="00E25CCC" w:rsidP="005B2D18">
            <w:pPr>
              <w:pStyle w:val="TableText"/>
              <w:rPr>
                <w:lang w:val="en-US"/>
              </w:rPr>
            </w:pPr>
            <w:r>
              <w:rPr>
                <w:lang w:val="en-US"/>
              </w:rPr>
              <w:t>Case series</w:t>
            </w:r>
          </w:p>
        </w:tc>
        <w:tc>
          <w:tcPr>
            <w:tcW w:w="678" w:type="pct"/>
            <w:shd w:val="clear" w:color="auto" w:fill="auto"/>
          </w:tcPr>
          <w:p w14:paraId="4BB2D958" w14:textId="29EEF31A" w:rsidR="002065A3" w:rsidRDefault="00E25CCC" w:rsidP="005B2D18">
            <w:pPr>
              <w:pStyle w:val="TableText"/>
              <w:rPr>
                <w:i/>
                <w:iCs/>
                <w:lang w:val="en-US"/>
              </w:rPr>
            </w:pPr>
            <w:proofErr w:type="spellStart"/>
            <w:r>
              <w:rPr>
                <w:i/>
                <w:iCs/>
                <w:lang w:val="en-US"/>
              </w:rPr>
              <w:t>Acceptable</w:t>
            </w:r>
            <w:r>
              <w:rPr>
                <w:i/>
                <w:iCs/>
                <w:vertAlign w:val="superscript"/>
                <w:lang w:val="en-US"/>
              </w:rPr>
              <w:t>d</w:t>
            </w:r>
            <w:proofErr w:type="spellEnd"/>
          </w:p>
        </w:tc>
        <w:tc>
          <w:tcPr>
            <w:tcW w:w="1098" w:type="pct"/>
            <w:shd w:val="clear" w:color="auto" w:fill="auto"/>
          </w:tcPr>
          <w:p w14:paraId="4EF0ECE2" w14:textId="77777777" w:rsidR="00E25CCC" w:rsidRPr="002D5F3E" w:rsidRDefault="00E25CCC" w:rsidP="005B2D18">
            <w:pPr>
              <w:pStyle w:val="Tabletext0"/>
              <w:jc w:val="left"/>
            </w:pPr>
            <w:r>
              <w:t>Adverse events</w:t>
            </w:r>
          </w:p>
          <w:p w14:paraId="323695C2" w14:textId="3622A4BC" w:rsidR="002065A3" w:rsidRDefault="00E25CCC" w:rsidP="005B2D18">
            <w:pPr>
              <w:pStyle w:val="Tabletext0"/>
              <w:jc w:val="left"/>
            </w:pPr>
            <w:r>
              <w:t>OCD severity</w:t>
            </w:r>
            <w:r w:rsidR="0077095A">
              <w:t>, depression, anxiety</w:t>
            </w:r>
          </w:p>
        </w:tc>
        <w:tc>
          <w:tcPr>
            <w:tcW w:w="1070" w:type="pct"/>
            <w:shd w:val="clear" w:color="auto" w:fill="auto"/>
          </w:tcPr>
          <w:p w14:paraId="731C1063" w14:textId="24643B77" w:rsidR="002065A3" w:rsidRDefault="00E25CCC" w:rsidP="005B2D18">
            <w:pPr>
              <w:pStyle w:val="TableText"/>
            </w:pPr>
            <w:r>
              <w:t>Not used</w:t>
            </w:r>
          </w:p>
        </w:tc>
      </w:tr>
      <w:tr w:rsidR="00297341" w:rsidRPr="00CE28E3" w14:paraId="0AE760F5" w14:textId="77777777" w:rsidTr="00297341">
        <w:trPr>
          <w:cantSplit/>
        </w:trPr>
        <w:tc>
          <w:tcPr>
            <w:tcW w:w="748" w:type="pct"/>
            <w:shd w:val="clear" w:color="auto" w:fill="auto"/>
          </w:tcPr>
          <w:p w14:paraId="31442D5C" w14:textId="12867F98" w:rsidR="00E25CCC" w:rsidRDefault="00E25CCC" w:rsidP="00E25CCC">
            <w:pPr>
              <w:pStyle w:val="TableText"/>
              <w:rPr>
                <w:lang w:val="en-US"/>
              </w:rPr>
            </w:pPr>
            <w:r>
              <w:rPr>
                <w:lang w:val="en-US"/>
              </w:rPr>
              <w:t>Greenberg 2010 (Greenberg 2006)</w:t>
            </w:r>
          </w:p>
        </w:tc>
        <w:tc>
          <w:tcPr>
            <w:tcW w:w="681" w:type="pct"/>
            <w:shd w:val="clear" w:color="auto" w:fill="auto"/>
          </w:tcPr>
          <w:p w14:paraId="1F8CE569" w14:textId="3C815906" w:rsidR="00E25CCC" w:rsidRDefault="00E25CCC" w:rsidP="005B2D18">
            <w:pPr>
              <w:pStyle w:val="TableText"/>
              <w:rPr>
                <w:lang w:val="en-US"/>
              </w:rPr>
            </w:pPr>
            <w:r>
              <w:rPr>
                <w:lang w:val="en-US"/>
              </w:rPr>
              <w:t>26</w:t>
            </w:r>
          </w:p>
        </w:tc>
        <w:tc>
          <w:tcPr>
            <w:tcW w:w="725" w:type="pct"/>
            <w:shd w:val="clear" w:color="auto" w:fill="auto"/>
          </w:tcPr>
          <w:p w14:paraId="7B49AF74" w14:textId="2283A98A" w:rsidR="00E25CCC" w:rsidRDefault="00E25CCC" w:rsidP="005B2D18">
            <w:pPr>
              <w:pStyle w:val="TableText"/>
              <w:rPr>
                <w:lang w:val="en-US"/>
              </w:rPr>
            </w:pPr>
            <w:r>
              <w:rPr>
                <w:lang w:val="en-US"/>
              </w:rPr>
              <w:t>Case series</w:t>
            </w:r>
          </w:p>
        </w:tc>
        <w:tc>
          <w:tcPr>
            <w:tcW w:w="678" w:type="pct"/>
            <w:shd w:val="clear" w:color="auto" w:fill="auto"/>
          </w:tcPr>
          <w:p w14:paraId="54DCEBD3" w14:textId="300BE6FB" w:rsidR="00E25CCC" w:rsidRDefault="00E25CCC" w:rsidP="005B2D18">
            <w:pPr>
              <w:pStyle w:val="TableText"/>
              <w:rPr>
                <w:i/>
                <w:iCs/>
                <w:lang w:val="en-US"/>
              </w:rPr>
            </w:pPr>
            <w:proofErr w:type="spellStart"/>
            <w:r>
              <w:rPr>
                <w:i/>
                <w:iCs/>
                <w:lang w:val="en-US"/>
              </w:rPr>
              <w:t>Acceptable</w:t>
            </w:r>
            <w:r>
              <w:rPr>
                <w:i/>
                <w:iCs/>
                <w:vertAlign w:val="superscript"/>
                <w:lang w:val="en-US"/>
              </w:rPr>
              <w:t>d</w:t>
            </w:r>
            <w:proofErr w:type="spellEnd"/>
          </w:p>
        </w:tc>
        <w:tc>
          <w:tcPr>
            <w:tcW w:w="1098" w:type="pct"/>
            <w:shd w:val="clear" w:color="auto" w:fill="auto"/>
          </w:tcPr>
          <w:p w14:paraId="53A8E879" w14:textId="77777777" w:rsidR="00E25CCC" w:rsidRPr="002D5F3E" w:rsidRDefault="00E25CCC" w:rsidP="005B2D18">
            <w:pPr>
              <w:pStyle w:val="Tabletext0"/>
              <w:jc w:val="left"/>
            </w:pPr>
            <w:r>
              <w:t>Adverse events</w:t>
            </w:r>
          </w:p>
          <w:p w14:paraId="282C9EDB" w14:textId="6BB9523A" w:rsidR="00E25CCC" w:rsidRDefault="00E25CCC" w:rsidP="005B2D18">
            <w:pPr>
              <w:pStyle w:val="Tabletext0"/>
              <w:jc w:val="left"/>
            </w:pPr>
            <w:r>
              <w:t>OCD severity</w:t>
            </w:r>
            <w:r w:rsidR="0077095A">
              <w:t>, d</w:t>
            </w:r>
            <w:r>
              <w:t>epression</w:t>
            </w:r>
            <w:r w:rsidR="0077095A">
              <w:t>, anxiety</w:t>
            </w:r>
          </w:p>
        </w:tc>
        <w:tc>
          <w:tcPr>
            <w:tcW w:w="1070" w:type="pct"/>
            <w:shd w:val="clear" w:color="auto" w:fill="auto"/>
          </w:tcPr>
          <w:p w14:paraId="52D6FC91" w14:textId="44B64B02" w:rsidR="00E25CCC" w:rsidRDefault="00E25CCC" w:rsidP="005B2D18">
            <w:pPr>
              <w:pStyle w:val="TableText"/>
            </w:pPr>
            <w:r>
              <w:t>Not used</w:t>
            </w:r>
          </w:p>
        </w:tc>
      </w:tr>
      <w:tr w:rsidR="00297341" w:rsidRPr="00CE28E3" w14:paraId="44EBE05D" w14:textId="77777777" w:rsidTr="00297341">
        <w:trPr>
          <w:cantSplit/>
        </w:trPr>
        <w:tc>
          <w:tcPr>
            <w:tcW w:w="748" w:type="pct"/>
            <w:shd w:val="clear" w:color="auto" w:fill="auto"/>
          </w:tcPr>
          <w:p w14:paraId="3F8A5BD3" w14:textId="12085578" w:rsidR="00E25CCC" w:rsidRDefault="00224871" w:rsidP="00E25CCC">
            <w:pPr>
              <w:pStyle w:val="TableText"/>
              <w:rPr>
                <w:lang w:val="en-US"/>
              </w:rPr>
            </w:pPr>
            <w:r>
              <w:rPr>
                <w:lang w:val="en-US"/>
              </w:rPr>
              <w:t>Huys 2019</w:t>
            </w:r>
          </w:p>
        </w:tc>
        <w:tc>
          <w:tcPr>
            <w:tcW w:w="681" w:type="pct"/>
            <w:shd w:val="clear" w:color="auto" w:fill="auto"/>
          </w:tcPr>
          <w:p w14:paraId="39F17B94" w14:textId="0DE15E80" w:rsidR="00E25CCC" w:rsidRDefault="00224871" w:rsidP="005B2D18">
            <w:pPr>
              <w:pStyle w:val="TableText"/>
              <w:rPr>
                <w:lang w:val="en-US"/>
              </w:rPr>
            </w:pPr>
            <w:r>
              <w:rPr>
                <w:lang w:val="en-US"/>
              </w:rPr>
              <w:t>20</w:t>
            </w:r>
          </w:p>
        </w:tc>
        <w:tc>
          <w:tcPr>
            <w:tcW w:w="725" w:type="pct"/>
            <w:shd w:val="clear" w:color="auto" w:fill="auto"/>
          </w:tcPr>
          <w:p w14:paraId="001EB303" w14:textId="712EFA3F" w:rsidR="00E25CCC" w:rsidRDefault="00E25CCC" w:rsidP="005B2D18">
            <w:pPr>
              <w:pStyle w:val="TableText"/>
              <w:rPr>
                <w:lang w:val="en-US"/>
              </w:rPr>
            </w:pPr>
            <w:r>
              <w:rPr>
                <w:lang w:val="en-US"/>
              </w:rPr>
              <w:t>Case series</w:t>
            </w:r>
          </w:p>
        </w:tc>
        <w:tc>
          <w:tcPr>
            <w:tcW w:w="678" w:type="pct"/>
            <w:shd w:val="clear" w:color="auto" w:fill="auto"/>
          </w:tcPr>
          <w:p w14:paraId="34C63030" w14:textId="324338AD" w:rsidR="00E25CCC" w:rsidRDefault="00E25CCC" w:rsidP="005B2D18">
            <w:pPr>
              <w:pStyle w:val="TableText"/>
              <w:rPr>
                <w:i/>
                <w:iCs/>
                <w:lang w:val="en-US"/>
              </w:rPr>
            </w:pPr>
            <w:proofErr w:type="spellStart"/>
            <w:r>
              <w:rPr>
                <w:i/>
                <w:iCs/>
                <w:lang w:val="en-US"/>
              </w:rPr>
              <w:t>Acceptable</w:t>
            </w:r>
            <w:r>
              <w:rPr>
                <w:i/>
                <w:iCs/>
                <w:vertAlign w:val="superscript"/>
                <w:lang w:val="en-US"/>
              </w:rPr>
              <w:t>d</w:t>
            </w:r>
            <w:proofErr w:type="spellEnd"/>
          </w:p>
        </w:tc>
        <w:tc>
          <w:tcPr>
            <w:tcW w:w="1098" w:type="pct"/>
            <w:shd w:val="clear" w:color="auto" w:fill="auto"/>
          </w:tcPr>
          <w:p w14:paraId="57E20D01" w14:textId="77777777" w:rsidR="00E25CCC" w:rsidRPr="002D5F3E" w:rsidRDefault="00E25CCC" w:rsidP="005B2D18">
            <w:pPr>
              <w:pStyle w:val="Tabletext0"/>
              <w:jc w:val="left"/>
            </w:pPr>
            <w:r>
              <w:t>Adverse events</w:t>
            </w:r>
          </w:p>
          <w:p w14:paraId="7CE1E947" w14:textId="35E9807C" w:rsidR="00E25CCC" w:rsidRDefault="00E25CCC" w:rsidP="005B2D18">
            <w:pPr>
              <w:pStyle w:val="Tabletext0"/>
              <w:jc w:val="left"/>
            </w:pPr>
            <w:r>
              <w:t>OCD severity</w:t>
            </w:r>
            <w:r w:rsidR="0077095A">
              <w:t>, depression, anxiety</w:t>
            </w:r>
          </w:p>
        </w:tc>
        <w:tc>
          <w:tcPr>
            <w:tcW w:w="1070" w:type="pct"/>
            <w:shd w:val="clear" w:color="auto" w:fill="auto"/>
          </w:tcPr>
          <w:p w14:paraId="01BF45B4" w14:textId="6C01A14D" w:rsidR="00E25CCC" w:rsidRDefault="00E25CCC" w:rsidP="005B2D18">
            <w:pPr>
              <w:pStyle w:val="TableText"/>
            </w:pPr>
            <w:r>
              <w:t>Not used</w:t>
            </w:r>
          </w:p>
        </w:tc>
      </w:tr>
    </w:tbl>
    <w:p w14:paraId="77F184CE" w14:textId="0C981FF3" w:rsidR="00956ACE" w:rsidRPr="00367E7C" w:rsidRDefault="001612BE" w:rsidP="001559BB">
      <w:pPr>
        <w:pStyle w:val="TableFigureFooter"/>
        <w:spacing w:before="0" w:after="0"/>
      </w:pPr>
      <w:bookmarkStart w:id="22" w:name="_Hlk68276176"/>
      <w:bookmarkEnd w:id="21"/>
      <w:r>
        <w:t xml:space="preserve">Abbreviations: </w:t>
      </w:r>
      <w:r w:rsidR="00956ACE" w:rsidRPr="00CE28E3">
        <w:t>DB= double blind;</w:t>
      </w:r>
      <w:r w:rsidR="004330D4">
        <w:t xml:space="preserve"> HAM-A/D= Hamilton Scale for Anxiety/Depression;</w:t>
      </w:r>
      <w:r w:rsidR="00956ACE" w:rsidRPr="00CE28E3">
        <w:t xml:space="preserve"> R</w:t>
      </w:r>
      <w:r w:rsidR="00F943BF">
        <w:t>CT</w:t>
      </w:r>
      <w:r w:rsidR="00956ACE" w:rsidRPr="00CE28E3">
        <w:t>= randomised</w:t>
      </w:r>
      <w:r w:rsidR="00F943BF">
        <w:t xml:space="preserve"> controlled trial</w:t>
      </w:r>
      <w:r w:rsidR="001A75C8">
        <w:t xml:space="preserve">: </w:t>
      </w:r>
      <w:r w:rsidR="00F718D4">
        <w:t>SSRI</w:t>
      </w:r>
      <w:r w:rsidR="00B33E5A">
        <w:t>=</w:t>
      </w:r>
      <w:r w:rsidR="00F718D4">
        <w:t xml:space="preserve"> selective serotonin reuptake inhibitor; </w:t>
      </w:r>
      <w:r w:rsidR="001A75C8">
        <w:t>QoL</w:t>
      </w:r>
      <w:r w:rsidR="00B33E5A">
        <w:t>=</w:t>
      </w:r>
      <w:r w:rsidR="001A75C8">
        <w:t xml:space="preserve"> quality of life</w:t>
      </w:r>
      <w:r w:rsidR="00941158">
        <w:t>.</w:t>
      </w:r>
    </w:p>
    <w:p w14:paraId="75A3CA44" w14:textId="430E6686" w:rsidR="00461CF6" w:rsidRPr="00461CF6" w:rsidRDefault="00461CF6" w:rsidP="001559BB">
      <w:pPr>
        <w:pStyle w:val="TableFigureFooter"/>
        <w:spacing w:before="0" w:after="0"/>
      </w:pPr>
      <w:r w:rsidRPr="00461CF6">
        <w:t xml:space="preserve">* </w:t>
      </w:r>
      <w:r>
        <w:t>O</w:t>
      </w:r>
      <w:r w:rsidRPr="00461CF6">
        <w:t xml:space="preserve">utcomes listed here are only outcomes of interest to the PICO for this clinical evaluation. The full list of outcomes reported by each </w:t>
      </w:r>
      <w:r w:rsidR="00D54E89">
        <w:t>study</w:t>
      </w:r>
      <w:r w:rsidR="00D54E89" w:rsidRPr="00461CF6">
        <w:t xml:space="preserve"> </w:t>
      </w:r>
      <w:r w:rsidRPr="00461CF6">
        <w:t>are described in Appendix B.</w:t>
      </w:r>
    </w:p>
    <w:p w14:paraId="08C62F81" w14:textId="03D4E263" w:rsidR="00600C34" w:rsidRPr="00461CF6" w:rsidRDefault="00600C34" w:rsidP="001559BB">
      <w:pPr>
        <w:pStyle w:val="TableFigureFooter"/>
        <w:spacing w:before="0" w:after="0"/>
      </w:pPr>
      <w:r>
        <w:t xml:space="preserve">~ </w:t>
      </w:r>
      <w:r w:rsidR="00667523">
        <w:t xml:space="preserve">The Gadot et al. 2019 </w:t>
      </w:r>
      <w:r w:rsidR="00246557">
        <w:t xml:space="preserve">systematic review </w:t>
      </w:r>
      <w:r w:rsidR="00667523">
        <w:t>article was used</w:t>
      </w:r>
      <w:r w:rsidR="005C1F78">
        <w:t>.</w:t>
      </w:r>
    </w:p>
    <w:p w14:paraId="0B29206E" w14:textId="21DCDE53" w:rsidR="00731070" w:rsidRDefault="00731070" w:rsidP="00731070">
      <w:pPr>
        <w:pStyle w:val="TableFigureFooter"/>
        <w:spacing w:before="0" w:after="0"/>
      </w:pPr>
      <w:r w:rsidRPr="40CD34C0">
        <w:rPr>
          <w:vertAlign w:val="superscript"/>
        </w:rPr>
        <w:t>a</w:t>
      </w:r>
      <w:r>
        <w:t xml:space="preserve"> ROB 1.0 Cochrane Risk of Bias tool is rated per domain: low, unclear, high.</w:t>
      </w:r>
    </w:p>
    <w:p w14:paraId="43CDDE33" w14:textId="77777777" w:rsidR="00731070" w:rsidRDefault="00731070" w:rsidP="00731070">
      <w:pPr>
        <w:pStyle w:val="TableFigureFooter"/>
        <w:spacing w:before="0" w:after="0"/>
      </w:pPr>
      <w:r w:rsidRPr="068751CA">
        <w:rPr>
          <w:vertAlign w:val="superscript"/>
        </w:rPr>
        <w:t>b</w:t>
      </w:r>
      <w:r>
        <w:t xml:space="preserve"> ROBINS-I Tool assessment is out of: low, moderate, serious, critical, no information.</w:t>
      </w:r>
    </w:p>
    <w:p w14:paraId="624FBCCA" w14:textId="77777777" w:rsidR="00E43A00" w:rsidRDefault="00731070" w:rsidP="00E43A00">
      <w:pPr>
        <w:pStyle w:val="TableFigureFooter"/>
        <w:spacing w:before="0" w:after="0"/>
      </w:pPr>
      <w:r w:rsidRPr="068751CA">
        <w:rPr>
          <w:vertAlign w:val="superscript"/>
        </w:rPr>
        <w:t>c</w:t>
      </w:r>
      <w:r>
        <w:t xml:space="preserve"> </w:t>
      </w:r>
      <w:r w:rsidR="00E43A00">
        <w:t xml:space="preserve">Newcastle-Ottawa Scale (NOS) assessment is out </w:t>
      </w:r>
      <w:proofErr w:type="gramStart"/>
      <w:r w:rsidR="00E43A00">
        <w:t>of:</w:t>
      </w:r>
      <w:proofErr w:type="gramEnd"/>
      <w:r w:rsidR="00E43A00">
        <w:t xml:space="preserve"> good, fair, poor.</w:t>
      </w:r>
    </w:p>
    <w:p w14:paraId="199A3D74" w14:textId="31AB6AEF" w:rsidR="00731070" w:rsidRPr="008D13ED" w:rsidRDefault="00731070" w:rsidP="008D13ED">
      <w:pPr>
        <w:pStyle w:val="TableFigureFooter"/>
        <w:spacing w:before="0" w:after="0"/>
      </w:pPr>
      <w:r w:rsidRPr="068751CA">
        <w:rPr>
          <w:vertAlign w:val="superscript"/>
        </w:rPr>
        <w:t xml:space="preserve">d </w:t>
      </w:r>
      <w:r w:rsidR="00E43A00" w:rsidRPr="00501D09">
        <w:t>The Canada Institute of Health Economics (IHE) Quality Appraisal Tool for Case Seri</w:t>
      </w:r>
      <w:r w:rsidR="00E43A00">
        <w:t>es</w:t>
      </w:r>
      <w:r w:rsidR="00E43A00" w:rsidRPr="00501D09">
        <w:t xml:space="preserve"> </w:t>
      </w:r>
      <w:r w:rsidR="00E43A00">
        <w:t>(Interventional) assessment is</w:t>
      </w:r>
      <w:r w:rsidR="00265046">
        <w:t xml:space="preserve"> out </w:t>
      </w:r>
      <w:proofErr w:type="gramStart"/>
      <w:r w:rsidR="00265046">
        <w:t>of</w:t>
      </w:r>
      <w:r w:rsidR="00E43A00">
        <w:t>:</w:t>
      </w:r>
      <w:proofErr w:type="gramEnd"/>
      <w:r w:rsidR="00E43A00">
        <w:t xml:space="preserve"> </w:t>
      </w:r>
      <w:r w:rsidR="00DA7EBC">
        <w:t>acceptable</w:t>
      </w:r>
      <w:r w:rsidR="00265046">
        <w:t>,</w:t>
      </w:r>
      <w:r w:rsidR="00E43A00" w:rsidRPr="3A375978">
        <w:t xml:space="preserve"> high risk</w:t>
      </w:r>
      <w:r w:rsidR="00265046">
        <w:t>.</w:t>
      </w:r>
    </w:p>
    <w:p w14:paraId="3B9FC2AD" w14:textId="0058458E" w:rsidR="00772829" w:rsidRPr="00CE28E3" w:rsidRDefault="000E24CD" w:rsidP="002A18BE">
      <w:pPr>
        <w:pStyle w:val="Heading2"/>
        <w:numPr>
          <w:ilvl w:val="0"/>
          <w:numId w:val="0"/>
        </w:numPr>
      </w:pPr>
      <w:bookmarkStart w:id="23" w:name="_Toc143098839"/>
      <w:bookmarkEnd w:id="22"/>
      <w:r>
        <w:lastRenderedPageBreak/>
        <w:t>11</w:t>
      </w:r>
      <w:r w:rsidR="00C36633">
        <w:t>.</w:t>
      </w:r>
      <w:r w:rsidR="00C36633">
        <w:tab/>
      </w:r>
      <w:r w:rsidR="00772829" w:rsidRPr="00B01EDA">
        <w:t>Comparative safety</w:t>
      </w:r>
      <w:bookmarkEnd w:id="23"/>
    </w:p>
    <w:p w14:paraId="1BA729C3" w14:textId="1999415E" w:rsidR="001D7934" w:rsidRDefault="001D7934" w:rsidP="0026597D">
      <w:r>
        <w:t xml:space="preserve">No comparative safety data was available. </w:t>
      </w:r>
      <w:r w:rsidR="005E1FA7">
        <w:t xml:space="preserve">All studies reported adverse events related to DBS treatment only. </w:t>
      </w:r>
      <w:r w:rsidR="00A23CA0">
        <w:t xml:space="preserve">For </w:t>
      </w:r>
      <w:r w:rsidR="001343D4">
        <w:t xml:space="preserve">clarity </w:t>
      </w:r>
      <w:r w:rsidR="00A23CA0">
        <w:t>purposes a</w:t>
      </w:r>
      <w:r w:rsidR="005E1FA7">
        <w:t xml:space="preserve">dverse events were </w:t>
      </w:r>
      <w:r w:rsidR="00A37700">
        <w:t>classified</w:t>
      </w:r>
      <w:r w:rsidR="005E1FA7">
        <w:t xml:space="preserve"> as surgery related, device </w:t>
      </w:r>
      <w:r w:rsidR="001343D4">
        <w:t>related,</w:t>
      </w:r>
      <w:r w:rsidR="005E1FA7">
        <w:t xml:space="preserve"> or stimulation related</w:t>
      </w:r>
      <w:r w:rsidR="00F62287" w:rsidRPr="00F62287">
        <w:t xml:space="preserve"> </w:t>
      </w:r>
      <w:r w:rsidR="00F62287">
        <w:t>in this report</w:t>
      </w:r>
      <w:r w:rsidR="001343D4">
        <w:t xml:space="preserve">. </w:t>
      </w:r>
    </w:p>
    <w:p w14:paraId="4816F999" w14:textId="0155E6C5" w:rsidR="00550ECC" w:rsidRDefault="00550ECC" w:rsidP="000E24CD">
      <w:pPr>
        <w:keepNext/>
        <w:rPr>
          <w:b/>
          <w:bCs/>
        </w:rPr>
      </w:pPr>
      <w:r w:rsidRPr="00EF4D81">
        <w:rPr>
          <w:b/>
          <w:bCs/>
        </w:rPr>
        <w:t xml:space="preserve">Surgery related adverse </w:t>
      </w:r>
      <w:proofErr w:type="gramStart"/>
      <w:r w:rsidRPr="00EF4D81">
        <w:rPr>
          <w:b/>
          <w:bCs/>
        </w:rPr>
        <w:t>events</w:t>
      </w:r>
      <w:proofErr w:type="gramEnd"/>
    </w:p>
    <w:p w14:paraId="684B7E32" w14:textId="692AAFED" w:rsidR="009B5519" w:rsidRPr="004D6EFF" w:rsidRDefault="009B5519" w:rsidP="000E24CD">
      <w:pPr>
        <w:keepNext/>
      </w:pPr>
      <w:r w:rsidRPr="002C752A">
        <w:t xml:space="preserve">Serious and non-serious adverse events associated with the DBS surgery were reported in </w:t>
      </w:r>
      <w:r>
        <w:t>nine</w:t>
      </w:r>
      <w:r w:rsidRPr="002C752A">
        <w:t xml:space="preserve"> studies </w:t>
      </w:r>
      <w:r w:rsidR="00AC55C4">
        <w:t xml:space="preserve">(total n = </w:t>
      </w:r>
      <w:r w:rsidRPr="002C752A">
        <w:t>1</w:t>
      </w:r>
      <w:r>
        <w:t>57</w:t>
      </w:r>
      <w:r w:rsidR="00AC55C4">
        <w:t>)</w:t>
      </w:r>
      <w:r>
        <w:t xml:space="preserve">. </w:t>
      </w:r>
      <w:r w:rsidRPr="002C752A">
        <w:t xml:space="preserve">Serious adverse events related to surgery included intracerebral haemorrhage, seizure, malposition of electrodes, malposition of pulse generator and infection. Haemorrhages were reported at </w:t>
      </w:r>
      <w:r>
        <w:t xml:space="preserve">an </w:t>
      </w:r>
      <w:r w:rsidRPr="002C752A">
        <w:t>equal rate</w:t>
      </w:r>
      <w:r w:rsidR="002369DB">
        <w:t xml:space="preserve"> </w:t>
      </w:r>
      <w:r w:rsidRPr="002C752A">
        <w:t xml:space="preserve">in </w:t>
      </w:r>
      <w:r>
        <w:t>two</w:t>
      </w:r>
      <w:r w:rsidRPr="002C752A">
        <w:t xml:space="preserve"> studies</w:t>
      </w:r>
      <w:r w:rsidR="002369DB">
        <w:t xml:space="preserve"> </w:t>
      </w:r>
      <w:r w:rsidR="001E16FD">
        <w:t>(Greenberg 2010, Mallet 2008)</w:t>
      </w:r>
      <w:r w:rsidR="0076120A">
        <w:t xml:space="preserve">: </w:t>
      </w:r>
      <w:r w:rsidR="0076120A" w:rsidRPr="002C752A">
        <w:t>1/13 (7.7%) and 2/26 (7.7%), respectively</w:t>
      </w:r>
      <w:r w:rsidRPr="002C752A">
        <w:t>. Generalised tonic-</w:t>
      </w:r>
      <w:proofErr w:type="spellStart"/>
      <w:r w:rsidRPr="002C752A">
        <w:t>clonic</w:t>
      </w:r>
      <w:proofErr w:type="spellEnd"/>
      <w:r w:rsidRPr="002C752A">
        <w:t xml:space="preserve"> seizure occurred in 1/26 (3.8%) participants in</w:t>
      </w:r>
      <w:r w:rsidR="0076120A">
        <w:t xml:space="preserve"> one study</w:t>
      </w:r>
      <w:r w:rsidRPr="002C752A">
        <w:t xml:space="preserve"> </w:t>
      </w:r>
      <w:r w:rsidR="007F7DD7">
        <w:fldChar w:fldCharType="begin">
          <w:fldData xml:space="preserve">PEVuZE5vdGU+PENpdGUgQXV0aG9yWWVhcj0iMSI+PEF1dGhvcj5HcmVlbmJlcmc8L0F1dGhvcj48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</w:fldData>
        </w:fldChar>
      </w:r>
      <w:r w:rsidR="007F7DD7">
        <w:instrText xml:space="preserve"> ADDIN EN.CITE </w:instrText>
      </w:r>
      <w:r w:rsidR="007F7DD7">
        <w:fldChar w:fldCharType="begin">
          <w:fldData xml:space="preserve">PEVuZE5vdGU+PENpdGUgQXV0aG9yWWVhcj0iMSI+PEF1dGhvcj5HcmVlbmJlcmc8L0F1dGhvcj48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</w:fldData>
        </w:fldChar>
      </w:r>
      <w:r w:rsidR="007F7DD7">
        <w:instrText xml:space="preserve"> ADDIN EN.CITE.DATA </w:instrText>
      </w:r>
      <w:r w:rsidR="007F7DD7">
        <w:fldChar w:fldCharType="end"/>
      </w:r>
      <w:r w:rsidR="007F7DD7">
        <w:fldChar w:fldCharType="separate"/>
      </w:r>
      <w:r w:rsidR="007F7DD7">
        <w:rPr>
          <w:noProof/>
        </w:rPr>
        <w:t>Greenberg et al. (2010)</w:t>
      </w:r>
      <w:r w:rsidR="007F7DD7">
        <w:fldChar w:fldCharType="end"/>
      </w:r>
      <w:r w:rsidRPr="002C752A">
        <w:t xml:space="preserve">. </w:t>
      </w:r>
      <w:r w:rsidR="003F0167">
        <w:t xml:space="preserve">Malposition of electrode was </w:t>
      </w:r>
      <w:r w:rsidRPr="002C752A">
        <w:t>reported in</w:t>
      </w:r>
      <w:r w:rsidR="00EB1BEE">
        <w:t xml:space="preserve"> two studies at rates of</w:t>
      </w:r>
      <w:r w:rsidRPr="002C752A">
        <w:t xml:space="preserve"> 6/70 (8.6%) </w:t>
      </w:r>
      <w:r w:rsidR="00EB1BEE">
        <w:t xml:space="preserve">in one </w:t>
      </w:r>
      <w:r w:rsidR="007F7DD7">
        <w:fldChar w:fldCharType="begin">
          <w:fldData xml:space="preserve">PEVuZE5vdGU+PENpdGU+PEF1dGhvcj5EZW55czwvQXV0aG9yPjxZZWFyPjIwMjA8L1llYXI+PFJl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</w:fldData>
        </w:fldChar>
      </w:r>
      <w:r w:rsidR="007F7DD7">
        <w:instrText xml:space="preserve"> ADDIN EN.CITE </w:instrText>
      </w:r>
      <w:r w:rsidR="007F7DD7">
        <w:fldChar w:fldCharType="begin">
          <w:fldData xml:space="preserve">PEVuZE5vdGU+PENpdGU+PEF1dGhvcj5EZW55czwvQXV0aG9yPjxZZWFyPjIwMjA8L1llYXI+PFJl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</w:fldData>
        </w:fldChar>
      </w:r>
      <w:r w:rsidR="007F7DD7">
        <w:instrText xml:space="preserve"> ADDIN EN.CITE.DATA </w:instrText>
      </w:r>
      <w:r w:rsidR="007F7DD7">
        <w:fldChar w:fldCharType="end"/>
      </w:r>
      <w:r w:rsidR="007F7DD7">
        <w:fldChar w:fldCharType="separate"/>
      </w:r>
      <w:r w:rsidR="007F7DD7">
        <w:rPr>
          <w:noProof/>
        </w:rPr>
        <w:t>(Denys et al., 2020; Mosley et al., 2021)</w:t>
      </w:r>
      <w:r w:rsidR="007F7DD7">
        <w:fldChar w:fldCharType="end"/>
      </w:r>
      <w:r w:rsidR="00EB1BEE">
        <w:t xml:space="preserve"> </w:t>
      </w:r>
      <w:r w:rsidR="008F60A5">
        <w:t>and</w:t>
      </w:r>
      <w:r w:rsidRPr="002C752A">
        <w:t xml:space="preserve"> 1/9 patients (1.1%)</w:t>
      </w:r>
      <w:r w:rsidR="00EB1BEE">
        <w:t xml:space="preserve"> in the other </w:t>
      </w:r>
      <w:r w:rsidR="007F7DD7">
        <w:fldChar w:fldCharType="begin"/>
      </w:r>
      <w:r w:rsidR="007F7DD7">
        <w:instrText xml:space="preserve"> ADDIN EN.CITE &lt;EndNote&gt;&lt;Cite&gt;&lt;Author&gt;Mosley&lt;/Author&gt;&lt;Year&gt;2021&lt;/Year&gt;&lt;RecNum&gt;15&lt;/RecNum&gt;&lt;DisplayText&gt;(Mosley et al., 2021)&lt;/DisplayText&gt;&lt;record&gt;&lt;rec-number&gt;15&lt;/rec-number&gt;&lt;foreign-keys&gt;&lt;key app="EN" db-id="tdxf2002ma5txae92atp5z2wttp5rzxaweap" timestamp="1688348029"&gt;15&lt;/key&gt;&lt;/foreign-keys&gt;&lt;ref-type name="Journal Article"&gt;17&lt;/ref-type&gt;&lt;contributors&gt;&lt;authors&gt;&lt;author&gt;Mosley, P. E.&lt;/author&gt;&lt;author&gt;Windels, F.&lt;/author&gt;&lt;author&gt;Morris, J.&lt;/author&gt;&lt;author&gt;Coyne, T.&lt;/author&gt;&lt;author&gt;Marsh, R.&lt;/author&gt;&lt;author&gt;Giorni, A.&lt;/author&gt;&lt;author&gt;Mohan, A.&lt;/author&gt;&lt;author&gt;Sachdev, P.&lt;/author&gt;&lt;author&gt;O&amp;apos;Leary, E.&lt;/author&gt;&lt;author&gt;Boschen, M.&lt;/author&gt;&lt;author&gt;et al.,&lt;/author&gt;&lt;/authors&gt;&lt;/contributors&gt;&lt;titles&gt;&lt;title&gt;A randomised, double-blind, sham-controlled trial of deep brain stimulation of the bed nucleus of the stria terminalis for treatment-resistant obsessive-compulsive disorder&lt;/title&gt;&lt;/titles&gt;&lt;pages&gt;190&lt;/pages&gt;&lt;volume&gt;11&lt;/volume&gt;&lt;number&gt;1&lt;/number&gt;&lt;dates&gt;&lt;year&gt;2021&lt;/year&gt;&lt;/dates&gt;&lt;accession-num&gt;CN-02266071&lt;/accession-num&gt;&lt;urls&gt;&lt;related-urls&gt;&lt;url&gt;https://www.cochranelibrary.com/central/doi/10.1002/central/CN-02266071/full&lt;/url&gt;&lt;url&gt;https://www.nature.com/articles/s41398-021-01307-9.pdf&lt;/url&gt;&lt;/related-urls&gt;&lt;/urls&gt;&lt;electronic-resource-num&gt;10.1038/s41398-021-01307-9&lt;/electronic-resource-num&gt;&lt;/record&gt;&lt;/Cite&gt;&lt;/EndNote&gt;</w:instrText>
      </w:r>
      <w:r w:rsidR="007F7DD7">
        <w:fldChar w:fldCharType="separate"/>
      </w:r>
      <w:r w:rsidR="007F7DD7">
        <w:rPr>
          <w:noProof/>
        </w:rPr>
        <w:t>(Mosley et al., 2021)</w:t>
      </w:r>
      <w:r w:rsidR="007F7DD7">
        <w:fldChar w:fldCharType="end"/>
      </w:r>
      <w:r w:rsidRPr="002C752A">
        <w:t xml:space="preserve">. Malposition of pulse generator was observed in 2/70 (2.6%) patients </w:t>
      </w:r>
      <w:r w:rsidR="008F60A5">
        <w:t xml:space="preserve">in one study </w:t>
      </w:r>
      <w:r w:rsidR="007F7DD7">
        <w:fldChar w:fldCharType="begin"/>
      </w:r>
      <w:r w:rsidR="007F7DD7">
        <w:instrText xml:space="preserve"> ADDIN EN.CITE &lt;EndNote&gt;&lt;Cite&gt;&lt;Author&gt;Denys&lt;/Author&gt;&lt;Year&gt;2020&lt;/Year&gt;&lt;RecNum&gt;13&lt;/RecNum&gt;&lt;DisplayText&gt;(Denys et al., 2020)&lt;/DisplayText&gt;&lt;record&gt;&lt;rec-number&gt;13&lt;/rec-number&gt;&lt;foreign-keys&gt;&lt;key app="EN" db-id="tdxf2002ma5txae92atp5z2wttp5rzxaweap" timestamp="1688347983"&gt;13&lt;/key&gt;&lt;/foreign-keys&gt;&lt;ref-type name="Journal Article"&gt;17&lt;/ref-type&gt;&lt;contributors&gt;&lt;authors&gt;&lt;author&gt;Denys, Damiaan&lt;/author&gt;&lt;author&gt;Graat, Ilse&lt;/author&gt;&lt;author&gt;Mocking, Roel&lt;/author&gt;&lt;author&gt;de Koning, Pelle&lt;/author&gt;&lt;author&gt;Vulink, Nienke&lt;/author&gt;&lt;author&gt;Figee, Martijn&lt;/author&gt;&lt;author&gt;Ooms, Pieter&lt;/author&gt;&lt;author&gt;Mantione, Mariska&lt;/author&gt;&lt;author&gt;van den Munckhof, Pepijn&lt;/author&gt;&lt;author&gt;Schuurman, Rick&lt;/author&gt;&lt;/authors&gt;&lt;/contributors&gt;&lt;titles&gt;&lt;title&gt;Efficacy of Deep Brain Stimulation of the Ventral Anterior Limb of the Internal Capsule for Refractory Obsessive-Compulsive Disorder: A Clinical Cohort of 70 Patients&lt;/title&gt;&lt;secondary-title&gt;The American journal of psychiatry&lt;/secondary-title&gt;&lt;/titles&gt;&lt;periodical&gt;&lt;full-title&gt;The American journal of psychiatry&lt;/full-title&gt;&lt;/periodical&gt;&lt;pages&gt;265-271&lt;/pages&gt;&lt;volume&gt;177&lt;/volume&gt;&lt;number&gt;3&lt;/number&gt;&lt;dates&gt;&lt;year&gt;2020&lt;/year&gt;&lt;/dates&gt;&lt;pub-location&gt;United States&lt;/pub-location&gt;&lt;urls&gt;&lt;/urls&gt;&lt;electronic-resource-num&gt;https://dx.doi.org/10.1176/appi.ajp.2019.19060656&lt;/electronic-resource-num&gt;&lt;/record&gt;&lt;/Cite&gt;&lt;/EndNote&gt;</w:instrText>
      </w:r>
      <w:r w:rsidR="007F7DD7">
        <w:fldChar w:fldCharType="separate"/>
      </w:r>
      <w:r w:rsidR="007F7DD7">
        <w:rPr>
          <w:noProof/>
        </w:rPr>
        <w:t>(Denys et al., 2020)</w:t>
      </w:r>
      <w:r w:rsidR="007F7DD7">
        <w:fldChar w:fldCharType="end"/>
      </w:r>
      <w:r w:rsidRPr="002C752A">
        <w:t xml:space="preserve">. Commonly reported non-serious adverse events included headaches, </w:t>
      </w:r>
      <w:proofErr w:type="gramStart"/>
      <w:r w:rsidRPr="002C752A">
        <w:t>delirium</w:t>
      </w:r>
      <w:proofErr w:type="gramEnd"/>
      <w:r w:rsidRPr="002C752A">
        <w:t xml:space="preserve"> and wound infection</w:t>
      </w:r>
      <w:r w:rsidRPr="000826E1">
        <w:t>.</w:t>
      </w:r>
      <w:r>
        <w:t xml:space="preserve"> </w:t>
      </w:r>
    </w:p>
    <w:p w14:paraId="398D0E8C" w14:textId="446FE2F4" w:rsidR="009B5519" w:rsidRDefault="00D54F49" w:rsidP="000E24CD">
      <w:pPr>
        <w:keepNext/>
        <w:rPr>
          <w:b/>
          <w:bCs/>
        </w:rPr>
      </w:pPr>
      <w:r>
        <w:rPr>
          <w:b/>
          <w:bCs/>
        </w:rPr>
        <w:t xml:space="preserve">Device related adverse </w:t>
      </w:r>
      <w:proofErr w:type="gramStart"/>
      <w:r>
        <w:rPr>
          <w:b/>
          <w:bCs/>
        </w:rPr>
        <w:t>events</w:t>
      </w:r>
      <w:proofErr w:type="gramEnd"/>
    </w:p>
    <w:p w14:paraId="1D1977D3" w14:textId="00C08AAA" w:rsidR="004E4AE5" w:rsidRDefault="004E4AE5" w:rsidP="000E24CD">
      <w:pPr>
        <w:keepNext/>
      </w:pPr>
      <w:r>
        <w:t>Device related adverse events were reported in seven studies (total n</w:t>
      </w:r>
      <w:r w:rsidR="00E47BE6">
        <w:t xml:space="preserve"> </w:t>
      </w:r>
      <w:r>
        <w:t xml:space="preserve">= 151). Breaking of the electrode or extension wire was reported in two studies and observed in 5/25 (25%) in </w:t>
      </w:r>
      <w:r w:rsidR="007F7DD7">
        <w:fldChar w:fldCharType="begin"/>
      </w:r>
      <w:r w:rsidR="007F7DD7">
        <w:instrText xml:space="preserve"> ADDIN EN.CITE &lt;EndNote&gt;&lt;Cite AuthorYear="1"&gt;&lt;Author&gt;Mar-Barrutia&lt;/Author&gt;&lt;Year&gt;2022&lt;/Year&gt;&lt;RecNum&gt;9&lt;/RecNum&gt;&lt;DisplayText&gt;Mar-Barrutia et al. (2022)&lt;/DisplayText&gt;&lt;record&gt;&lt;rec-number&gt;9&lt;/rec-number&gt;&lt;foreign-keys&gt;&lt;key app="EN" db-id="tdxf2002ma5txae92atp5z2wttp5rzxaweap" timestamp="1688347787"&gt;9&lt;/key&gt;&lt;/foreign-keys&gt;&lt;ref-type name="Journal Article"&gt;17&lt;/ref-type&gt;&lt;contributors&gt;&lt;authors&gt;&lt;author&gt;Mar-Barrutia, Lorea&lt;/author&gt;&lt;author&gt;Ibarrondo, Oliver&lt;/author&gt;&lt;author&gt;Mar, Javier&lt;/author&gt;&lt;author&gt;Real, Eva&lt;/author&gt;&lt;author&gt;Segalas, Cinto&lt;/author&gt;&lt;author&gt;Bertolin, Sara&lt;/author&gt;&lt;author&gt;Aparicio, Marco Alberto&lt;/author&gt;&lt;author&gt;Plans, Gerard&lt;/author&gt;&lt;author&gt;Menchon, Jose Manuel&lt;/author&gt;&lt;author&gt;Alonso, Pino&lt;/author&gt;&lt;/authors&gt;&lt;/contributors&gt;&lt;titles&gt;&lt;title&gt;Long-term comparative effectiveness of deep brain stimulation in severe obsessive-compulsive disorder&lt;/title&gt;&lt;secondary-title&gt;Brain stimulation&lt;/secondary-title&gt;&lt;/titles&gt;&lt;periodical&gt;&lt;full-title&gt;Brain stimulation&lt;/full-title&gt;&lt;/periodical&gt;&lt;pages&gt;1128-1138&lt;/pages&gt;&lt;volume&gt;15&lt;/volume&gt;&lt;number&gt;5&lt;/number&gt;&lt;dates&gt;&lt;year&gt;2022&lt;/year&gt;&lt;/dates&gt;&lt;pub-location&gt;United States&lt;/pub-location&gt;&lt;urls&gt;&lt;related-urls&gt;&lt;url&gt;https://www.brainstimjrnl.com/article/S1935-861X(22)00170-X/pdf&lt;/url&gt;&lt;/related-urls&gt;&lt;/urls&gt;&lt;electronic-resource-num&gt;https://dx.doi.org/10.1016/j.brs.2022.07.050&lt;/electronic-resource-num&gt;&lt;/record&gt;&lt;/Cite&gt;&lt;/EndNote&gt;</w:instrText>
      </w:r>
      <w:r w:rsidR="007F7DD7">
        <w:fldChar w:fldCharType="separate"/>
      </w:r>
      <w:r w:rsidR="007F7DD7">
        <w:rPr>
          <w:noProof/>
        </w:rPr>
        <w:t>Mar-Barrutia et al. (2022)</w:t>
      </w:r>
      <w:r w:rsidR="007F7DD7">
        <w:fldChar w:fldCharType="end"/>
      </w:r>
      <w:r>
        <w:t xml:space="preserve"> and 2/13 (15.4%) in </w:t>
      </w:r>
      <w:r w:rsidR="007F7DD7">
        <w:fldChar w:fldCharType="begin">
          <w:fldData xml:space="preserve">PEVuZE5vdGU+PENpdGUgQXV0aG9yWWVhcj0iMSI+PEF1dGhvcj5HcmVlbmJlcmc8L0F1dGhvcj48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</w:fldData>
        </w:fldChar>
      </w:r>
      <w:r w:rsidR="007F7DD7">
        <w:instrText xml:space="preserve"> ADDIN EN.CITE </w:instrText>
      </w:r>
      <w:r w:rsidR="007F7DD7">
        <w:fldChar w:fldCharType="begin">
          <w:fldData xml:space="preserve">PEVuZE5vdGU+PENpdGUgQXV0aG9yWWVhcj0iMSI+PEF1dGhvcj5HcmVlbmJlcmc8L0F1dGhvcj48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</w:fldData>
        </w:fldChar>
      </w:r>
      <w:r w:rsidR="007F7DD7">
        <w:instrText xml:space="preserve"> ADDIN EN.CITE.DATA </w:instrText>
      </w:r>
      <w:r w:rsidR="007F7DD7">
        <w:fldChar w:fldCharType="end"/>
      </w:r>
      <w:r w:rsidR="007F7DD7">
        <w:fldChar w:fldCharType="separate"/>
      </w:r>
      <w:r w:rsidR="007F7DD7">
        <w:rPr>
          <w:noProof/>
        </w:rPr>
        <w:t>Greenberg et al. (2010)</w:t>
      </w:r>
      <w:r w:rsidR="007F7DD7">
        <w:fldChar w:fldCharType="end"/>
      </w:r>
      <w:r>
        <w:t>. Other adverse events observed include feeling the pulse generator on the chest, infection of the pulse generator, as well as pulling or tightening of extension leads.</w:t>
      </w:r>
    </w:p>
    <w:p w14:paraId="304012E9" w14:textId="00DEE60F" w:rsidR="00D54F49" w:rsidRDefault="004E4AE5" w:rsidP="00297341">
      <w:pPr>
        <w:keepNext/>
        <w:keepLines/>
        <w:rPr>
          <w:b/>
          <w:bCs/>
        </w:rPr>
      </w:pPr>
      <w:r>
        <w:rPr>
          <w:b/>
          <w:bCs/>
        </w:rPr>
        <w:t xml:space="preserve">Stimulation related adverse </w:t>
      </w:r>
      <w:proofErr w:type="gramStart"/>
      <w:r>
        <w:rPr>
          <w:b/>
          <w:bCs/>
        </w:rPr>
        <w:t>events</w:t>
      </w:r>
      <w:proofErr w:type="gramEnd"/>
    </w:p>
    <w:p w14:paraId="3717AA01" w14:textId="1298568E" w:rsidR="00772829" w:rsidRPr="00CE28E3" w:rsidRDefault="004E4AE5" w:rsidP="00F733E5">
      <w:r>
        <w:t xml:space="preserve">Stimulation related adverse events were reported in 12 studies (n = 214). </w:t>
      </w:r>
      <w:r w:rsidR="0007698E" w:rsidRPr="00D719EA">
        <w:t>Adverse events associated with DBS stimulation were the most frequently reported</w:t>
      </w:r>
      <w:r w:rsidR="0007698E">
        <w:t xml:space="preserve"> adverse events</w:t>
      </w:r>
      <w:r w:rsidR="0007698E" w:rsidRPr="00D719EA">
        <w:t xml:space="preserve"> but also most likely to be reversed through adjusting of the stimulation parameters. </w:t>
      </w:r>
      <w:r w:rsidRPr="00D719EA">
        <w:t>Frequently reported serious adverse events related to stimulation included hypomania, increased depression, suicide attempts or suicidal thought</w:t>
      </w:r>
      <w:r>
        <w:t>s/</w:t>
      </w:r>
      <w:r w:rsidRPr="00D719EA">
        <w:t xml:space="preserve">ideations. </w:t>
      </w:r>
      <w:r w:rsidR="007F7DD7">
        <w:fldChar w:fldCharType="begin">
          <w:fldData xml:space="preserve">PEVuZE5vdGU+PENpdGUgQXV0aG9yWWVhcj0iMSI+PEF1dGhvcj5NYWxsZXQ8L0F1dGhvcj48WWVh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</w:fldData>
        </w:fldChar>
      </w:r>
      <w:r w:rsidR="007F7DD7">
        <w:instrText xml:space="preserve"> ADDIN EN.CITE </w:instrText>
      </w:r>
      <w:r w:rsidR="007F7DD7">
        <w:fldChar w:fldCharType="begin">
          <w:fldData xml:space="preserve">PEVuZE5vdGU+PENpdGUgQXV0aG9yWWVhcj0iMSI+PEF1dGhvcj5NYWxsZXQ8L0F1dGhvcj48WWVh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</w:fldData>
        </w:fldChar>
      </w:r>
      <w:r w:rsidR="007F7DD7">
        <w:instrText xml:space="preserve"> ADDIN EN.CITE.DATA </w:instrText>
      </w:r>
      <w:r w:rsidR="007F7DD7">
        <w:fldChar w:fldCharType="end"/>
      </w:r>
      <w:r w:rsidR="007F7DD7">
        <w:fldChar w:fldCharType="separate"/>
      </w:r>
      <w:r w:rsidR="007F7DD7">
        <w:rPr>
          <w:noProof/>
        </w:rPr>
        <w:t>Mallet et al. (2008)</w:t>
      </w:r>
      <w:r w:rsidR="007F7DD7">
        <w:fldChar w:fldCharType="end"/>
      </w:r>
      <w:r w:rsidRPr="00D719EA">
        <w:t xml:space="preserve"> and </w:t>
      </w:r>
      <w:r w:rsidR="007F7DD7">
        <w:fldChar w:fldCharType="begin">
          <w:fldData xml:space="preserve">PEVuZE5vdGU+PENpdGUgQXV0aG9yWWVhcj0iMSI+PEF1dGhvcj5HcmVlbmJlcmc8L0F1dGhvcj48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</w:fldData>
        </w:fldChar>
      </w:r>
      <w:r w:rsidR="007F7DD7">
        <w:instrText xml:space="preserve"> ADDIN EN.CITE </w:instrText>
      </w:r>
      <w:r w:rsidR="007F7DD7">
        <w:fldChar w:fldCharType="begin">
          <w:fldData xml:space="preserve">PEVuZE5vdGU+PENpdGUgQXV0aG9yWWVhcj0iMSI+PEF1dGhvcj5HcmVlbmJlcmc8L0F1dGhvcj48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</w:fldData>
        </w:fldChar>
      </w:r>
      <w:r w:rsidR="007F7DD7">
        <w:instrText xml:space="preserve"> ADDIN EN.CITE.DATA </w:instrText>
      </w:r>
      <w:r w:rsidR="007F7DD7">
        <w:fldChar w:fldCharType="end"/>
      </w:r>
      <w:r w:rsidR="007F7DD7">
        <w:fldChar w:fldCharType="separate"/>
      </w:r>
      <w:r w:rsidR="007F7DD7">
        <w:rPr>
          <w:noProof/>
        </w:rPr>
        <w:t>Greenberg et al. (2010)</w:t>
      </w:r>
      <w:r w:rsidR="007F7DD7">
        <w:fldChar w:fldCharType="end"/>
      </w:r>
      <w:r w:rsidRPr="00D719EA">
        <w:t xml:space="preserve"> reported severe hypomania in 3/13 (23%) and 1/26 (3.8%) patients, respectively. Hypomania was also a commonly reported non-serious stimulation associated adverse event </w:t>
      </w:r>
      <w:r>
        <w:t>observed</w:t>
      </w:r>
      <w:r w:rsidRPr="00D719EA">
        <w:t xml:space="preserve"> in </w:t>
      </w:r>
      <w:r>
        <w:t>nine</w:t>
      </w:r>
      <w:r w:rsidRPr="00D719EA">
        <w:t xml:space="preserve"> separate studies with rate ranging from 1/13 (7.7%) in </w:t>
      </w:r>
      <w:r w:rsidR="007F7DD7">
        <w:fldChar w:fldCharType="begin">
          <w:fldData xml:space="preserve">PEVuZE5vdGU+PENpdGUgQXV0aG9yWWVhcj0iMSI+PEF1dGhvcj5NYWxsZXQ8L0F1dGhvcj48WWVh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</w:fldData>
        </w:fldChar>
      </w:r>
      <w:r w:rsidR="007F7DD7">
        <w:instrText xml:space="preserve"> ADDIN EN.CITE </w:instrText>
      </w:r>
      <w:r w:rsidR="007F7DD7">
        <w:fldChar w:fldCharType="begin">
          <w:fldData xml:space="preserve">PEVuZE5vdGU+PENpdGUgQXV0aG9yWWVhcj0iMSI+PEF1dGhvcj5NYWxsZXQ8L0F1dGhvcj48WWVh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</w:fldData>
        </w:fldChar>
      </w:r>
      <w:r w:rsidR="007F7DD7">
        <w:instrText xml:space="preserve"> ADDIN EN.CITE.DATA </w:instrText>
      </w:r>
      <w:r w:rsidR="007F7DD7">
        <w:fldChar w:fldCharType="end"/>
      </w:r>
      <w:r w:rsidR="007F7DD7">
        <w:fldChar w:fldCharType="separate"/>
      </w:r>
      <w:r w:rsidR="007F7DD7">
        <w:rPr>
          <w:noProof/>
        </w:rPr>
        <w:t>Mallet et al. (2008)</w:t>
      </w:r>
      <w:r w:rsidR="007F7DD7">
        <w:fldChar w:fldCharType="end"/>
      </w:r>
      <w:r w:rsidRPr="00D719EA">
        <w:t xml:space="preserve"> to </w:t>
      </w:r>
      <w:r>
        <w:t>11/25</w:t>
      </w:r>
      <w:r w:rsidRPr="00D719EA">
        <w:t xml:space="preserve"> (</w:t>
      </w:r>
      <w:r>
        <w:t>44.0</w:t>
      </w:r>
      <w:r w:rsidRPr="00D719EA">
        <w:t>%) in</w:t>
      </w:r>
      <w:r>
        <w:t xml:space="preserve"> </w:t>
      </w:r>
      <w:r w:rsidR="007F7DD7">
        <w:fldChar w:fldCharType="begin"/>
      </w:r>
      <w:r w:rsidR="007F7DD7">
        <w:instrText xml:space="preserve"> ADDIN EN.CITE &lt;EndNote&gt;&lt;Cite AuthorYear="1"&gt;&lt;Author&gt;Mar-Barrutia&lt;/Author&gt;&lt;Year&gt;2022&lt;/Year&gt;&lt;RecNum&gt;9&lt;/RecNum&gt;&lt;DisplayText&gt;Mar-Barrutia et al. (2022)&lt;/DisplayText&gt;&lt;record&gt;&lt;rec-number&gt;9&lt;/rec-number&gt;&lt;foreign-keys&gt;&lt;key app="EN" db-id="tdxf2002ma5txae92atp5z2wttp5rzxaweap" timestamp="1688347787"&gt;9&lt;/key&gt;&lt;/foreign-keys&gt;&lt;ref-type name="Journal Article"&gt;17&lt;/ref-type&gt;&lt;contributors&gt;&lt;authors&gt;&lt;author&gt;Mar-Barrutia, Lorea&lt;/author&gt;&lt;author&gt;Ibarrondo, Oliver&lt;/author&gt;&lt;author&gt;Mar, Javier&lt;/author&gt;&lt;author&gt;Real, Eva&lt;/author&gt;&lt;author&gt;Segalas, Cinto&lt;/author&gt;&lt;author&gt;Bertolin, Sara&lt;/author&gt;&lt;author&gt;Aparicio, Marco Alberto&lt;/author&gt;&lt;author&gt;Plans, Gerard&lt;/author&gt;&lt;author&gt;Menchon, Jose Manuel&lt;/author&gt;&lt;author&gt;Alonso, Pino&lt;/author&gt;&lt;/authors&gt;&lt;/contributors&gt;&lt;titles&gt;&lt;title&gt;Long-term comparative effectiveness of deep brain stimulation in severe obsessive-compulsive disorder&lt;/title&gt;&lt;secondary-title&gt;Brain stimulation&lt;/secondary-title&gt;&lt;/titles&gt;&lt;periodical&gt;&lt;full-title&gt;Brain stimulation&lt;/full-title&gt;&lt;/periodical&gt;&lt;pages&gt;1128-1138&lt;/pages&gt;&lt;volume&gt;15&lt;/volume&gt;&lt;number&gt;5&lt;/number&gt;&lt;dates&gt;&lt;year&gt;2022&lt;/year&gt;&lt;/dates&gt;&lt;pub-location&gt;United States&lt;/pub-location&gt;&lt;urls&gt;&lt;related-urls&gt;&lt;url&gt;https://www.brainstimjrnl.com/article/S1935-861X(22)00170-X/pdf&lt;/url&gt;&lt;/related-urls&gt;&lt;/urls&gt;&lt;electronic-resource-num&gt;https://dx.doi.org/10.1016/j.brs.2022.07.050&lt;/electronic-resource-num&gt;&lt;/record&gt;&lt;/Cite&gt;&lt;/EndNote&gt;</w:instrText>
      </w:r>
      <w:r w:rsidR="007F7DD7">
        <w:fldChar w:fldCharType="separate"/>
      </w:r>
      <w:r w:rsidR="007F7DD7">
        <w:rPr>
          <w:noProof/>
        </w:rPr>
        <w:t>Mar-Barrutia et al. (2022)</w:t>
      </w:r>
      <w:r w:rsidR="007F7DD7">
        <w:fldChar w:fldCharType="end"/>
      </w:r>
      <w:r>
        <w:t xml:space="preserve"> and 4/8 (50%) in </w:t>
      </w:r>
      <w:r w:rsidR="007F7DD7">
        <w:fldChar w:fldCharType="begin"/>
      </w:r>
      <w:r w:rsidR="007F7DD7">
        <w:instrText xml:space="preserve"> ADDIN EN.CITE &lt;EndNote&gt;&lt;Cite AuthorYear="1"&gt;&lt;Author&gt;van der Vlis&lt;/Author&gt;&lt;Year&gt;2021&lt;/Year&gt;&lt;RecNum&gt;83&lt;/RecNum&gt;&lt;DisplayText&gt;van der Vlis et al. (2021)&lt;/DisplayText&gt;&lt;record&gt;&lt;rec-number&gt;83&lt;/rec-number&gt;&lt;foreign-keys&gt;&lt;key app="EN" db-id="tdxf2002ma5txae92atp5z2wttp5rzxaweap" timestamp="1691386701"&gt;83&lt;/key&gt;&lt;/foreign-keys&gt;&lt;ref-type name="Journal Article"&gt;17&lt;/ref-type&gt;&lt;contributors&gt;&lt;authors&gt;&lt;author&gt;van der Vlis, Tim A. M. Bouwens&lt;/author&gt;&lt;author&gt;Ackermans, Linda&lt;/author&gt;&lt;author&gt;Mulders, Anne E. P.&lt;/author&gt;&lt;author&gt;Vrij, Casper A.&lt;/author&gt;&lt;author&gt;Schruers, Koen&lt;/author&gt;&lt;author&gt;Temel, Yasin&lt;/author&gt;&lt;author&gt;Duits, Annelien&lt;/author&gt;&lt;author&gt;Leentjens, Albert F. G.&lt;/author&gt;&lt;/authors&gt;&lt;/contributors&gt;&lt;titles&gt;&lt;title&gt;Ventral Capsule/Ventral Striatum Stimulation in Obsessive-Compulsive Disorder: Toward a Unified Connectomic Target for Deep Brain Stimulation?&lt;/title&gt;&lt;secondary-title&gt;Neuromodulation : journal of the International Neuromodulation Society&lt;/secondary-title&gt;&lt;/titles&gt;&lt;periodical&gt;&lt;full-title&gt;Neuromodulation : journal of the International Neuromodulation Society&lt;/full-title&gt;&lt;/periodical&gt;&lt;pages&gt;316-323&lt;/pages&gt;&lt;volume&gt;24&lt;/volume&gt;&lt;number&gt;2&lt;/number&gt;&lt;dates&gt;&lt;year&gt;2021&lt;/year&gt;&lt;/dates&gt;&lt;pub-location&gt;United States&lt;/pub-location&gt;&lt;urls&gt;&lt;related-urls&gt;&lt;url&gt;https://www.neuromodulationjournal.org/article/S1094-7159(21)00089-1/pdf&lt;/url&gt;&lt;/related-urls&gt;&lt;/urls&gt;&lt;electronic-resource-num&gt;https://dx.doi.org/10.1111/ner.13339&lt;/electronic-resource-num&gt;&lt;/record&gt;&lt;/Cite&gt;&lt;/EndNote&gt;</w:instrText>
      </w:r>
      <w:r w:rsidR="007F7DD7">
        <w:fldChar w:fldCharType="separate"/>
      </w:r>
      <w:r w:rsidR="007F7DD7">
        <w:rPr>
          <w:noProof/>
        </w:rPr>
        <w:t>van der Vlis et al. (2021)</w:t>
      </w:r>
      <w:r w:rsidR="007F7DD7">
        <w:fldChar w:fldCharType="end"/>
      </w:r>
      <w:r w:rsidRPr="00D719EA">
        <w:t xml:space="preserve">. </w:t>
      </w:r>
      <w:r w:rsidR="007F7DD7">
        <w:fldChar w:fldCharType="begin">
          <w:fldData xml:space="preserve">PEVuZE5vdGU+PENpdGUgQXV0aG9yWWVhcj0iMSI+PEF1dGhvcj5BYmVsc29uPC9BdXRob3I+PFll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</w:fldData>
        </w:fldChar>
      </w:r>
      <w:r w:rsidR="007F15AB">
        <w:instrText xml:space="preserve"> ADDIN EN.CITE </w:instrText>
      </w:r>
      <w:r w:rsidR="007F15AB">
        <w:fldChar w:fldCharType="begin">
          <w:fldData xml:space="preserve">PEVuZE5vdGU+PENpdGUgQXV0aG9yWWVhcj0iMSI+PEF1dGhvcj5BYmVsc29uPC9BdXRob3I+PFll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</w:fldData>
        </w:fldChar>
      </w:r>
      <w:r w:rsidR="007F15AB">
        <w:instrText xml:space="preserve"> ADDIN EN.CITE.DATA </w:instrText>
      </w:r>
      <w:r w:rsidR="007F15AB">
        <w:fldChar w:fldCharType="end"/>
      </w:r>
      <w:r w:rsidR="007F7DD7">
        <w:fldChar w:fldCharType="separate"/>
      </w:r>
      <w:r w:rsidR="007F15AB">
        <w:rPr>
          <w:noProof/>
        </w:rPr>
        <w:t>Abelson et al. (2005); Goodman et al. (2010); Islam et al. (2015); Mar-Barrutia et al. (2022)</w:t>
      </w:r>
      <w:r w:rsidR="007F7DD7">
        <w:fldChar w:fldCharType="end"/>
      </w:r>
    </w:p>
    <w:p w14:paraId="02E5EEC7" w14:textId="40E83FA0" w:rsidR="00571700" w:rsidRPr="00CE28E3" w:rsidRDefault="00571700" w:rsidP="000E24CD">
      <w:pPr>
        <w:pStyle w:val="Heading2"/>
        <w:numPr>
          <w:ilvl w:val="0"/>
          <w:numId w:val="185"/>
        </w:numPr>
        <w:ind w:hanging="720"/>
      </w:pPr>
      <w:bookmarkStart w:id="24" w:name="_Toc143098840"/>
      <w:r>
        <w:t>Comparative effectiveness</w:t>
      </w:r>
      <w:bookmarkEnd w:id="24"/>
    </w:p>
    <w:p w14:paraId="5BD949BB" w14:textId="19D496DD" w:rsidR="00096207" w:rsidRDefault="009A0D9F" w:rsidP="00096207">
      <w:bookmarkStart w:id="25" w:name="_Ref140078948"/>
      <w:r>
        <w:t>Fifteen</w:t>
      </w:r>
      <w:r w:rsidR="00096207">
        <w:t xml:space="preserve"> studies reported changes in symptoms of OCD as assessed by the Yale-Brown Obsessive-Compulsive Scale (Y-BOCS). </w:t>
      </w:r>
      <w:r>
        <w:t>Overall, t</w:t>
      </w:r>
      <w:r w:rsidR="00096207" w:rsidRPr="00573AF8">
        <w:t xml:space="preserve">here appeared </w:t>
      </w:r>
      <w:r w:rsidR="001835EE">
        <w:t>some</w:t>
      </w:r>
      <w:r w:rsidR="00096207" w:rsidRPr="00573AF8">
        <w:t xml:space="preserve"> improvement in </w:t>
      </w:r>
      <w:r w:rsidR="001835EE">
        <w:t>Y-BOCS scores</w:t>
      </w:r>
      <w:r w:rsidR="00096207" w:rsidRPr="00573AF8">
        <w:t xml:space="preserve"> in patients who receive</w:t>
      </w:r>
      <w:r w:rsidR="00096207">
        <w:t>d</w:t>
      </w:r>
      <w:r w:rsidR="00096207" w:rsidRPr="00573AF8">
        <w:t xml:space="preserve"> DBS, compared to patients who receive</w:t>
      </w:r>
      <w:r w:rsidR="00096207">
        <w:t>d</w:t>
      </w:r>
      <w:r w:rsidR="00096207" w:rsidRPr="00573AF8">
        <w:t xml:space="preserve"> </w:t>
      </w:r>
      <w:r w:rsidR="00096207">
        <w:t>sham</w:t>
      </w:r>
      <w:r w:rsidR="00096207" w:rsidRPr="00573AF8">
        <w:t xml:space="preserve"> or no treatment</w:t>
      </w:r>
      <w:r w:rsidR="00096207">
        <w:t xml:space="preserve"> (</w:t>
      </w:r>
      <w:r w:rsidR="000629F0">
        <w:fldChar w:fldCharType="begin"/>
      </w:r>
      <w:r w:rsidR="000629F0">
        <w:instrText xml:space="preserve"> REF _Ref143078687 \h </w:instrText>
      </w:r>
      <w:r w:rsidR="000629F0">
        <w:fldChar w:fldCharType="separate"/>
      </w:r>
      <w:r w:rsidR="007F15AB">
        <w:t xml:space="preserve">Table </w:t>
      </w:r>
      <w:r w:rsidR="007F15AB">
        <w:rPr>
          <w:noProof/>
        </w:rPr>
        <w:t>4</w:t>
      </w:r>
      <w:r w:rsidR="000629F0">
        <w:fldChar w:fldCharType="end"/>
      </w:r>
      <w:r w:rsidR="00096207">
        <w:t>).</w:t>
      </w:r>
      <w:r w:rsidR="002E7695">
        <w:t xml:space="preserve"> An improvement in Y-BOCs scores was also </w:t>
      </w:r>
      <w:r w:rsidR="001E74E3">
        <w:t>observed over baseline scores when DBS was administer</w:t>
      </w:r>
      <w:r w:rsidR="000E6296">
        <w:t>ed</w:t>
      </w:r>
      <w:r w:rsidR="001E74E3">
        <w:t xml:space="preserve"> long-term.</w:t>
      </w:r>
    </w:p>
    <w:p w14:paraId="39EE7D5A" w14:textId="447AD727" w:rsidR="00096207" w:rsidRDefault="00096207" w:rsidP="00096207">
      <w:r>
        <w:t>In the RCTs, active DBS stimulation was not more effective in achieving a ≥ 35% reduction in Y-BOCS scores, compared to sham stimulation (RR 1.36 (95% CI 0.66, 2.08); p = 0.41; I</w:t>
      </w:r>
      <w:r>
        <w:rPr>
          <w:vertAlign w:val="superscript"/>
        </w:rPr>
        <w:t>2</w:t>
      </w:r>
      <w:r>
        <w:t xml:space="preserve"> = 0%;</w:t>
      </w:r>
      <w:r w:rsidR="00851AD2">
        <w:br/>
      </w:r>
      <w:r>
        <w:t xml:space="preserve">46 participants; 4 RCTs; very low certainty evidence). </w:t>
      </w:r>
      <w:r w:rsidR="00473687">
        <w:t xml:space="preserve">This finding may be limited by the short treatment duration (range 2 weeks to 3 months). </w:t>
      </w:r>
      <w:r>
        <w:t>Active DBS stimulation however, showed a difference in mean change in Y-BOCS scores at last follow-up, compared to sham stimulation</w:t>
      </w:r>
      <w:r w:rsidR="00851AD2">
        <w:br/>
      </w:r>
      <w:r w:rsidR="00D97FCC">
        <w:lastRenderedPageBreak/>
        <w:t>(</w:t>
      </w:r>
      <w:r>
        <w:t>MD -6.01 (95% CI -8.79, -3.22); p &lt; 0.0001; I</w:t>
      </w:r>
      <w:r>
        <w:rPr>
          <w:vertAlign w:val="superscript"/>
        </w:rPr>
        <w:t>2</w:t>
      </w:r>
      <w:r>
        <w:t xml:space="preserve"> = 27%; 103 participants; 6 RCTs; very low certainty evidence).</w:t>
      </w:r>
    </w:p>
    <w:p w14:paraId="0D4BA730" w14:textId="4559A596" w:rsidR="00096207" w:rsidRPr="008A48F5" w:rsidRDefault="00473687" w:rsidP="00096207">
      <w:r>
        <w:t xml:space="preserve">Data from studies </w:t>
      </w:r>
      <w:r w:rsidR="001835EE">
        <w:t xml:space="preserve">with </w:t>
      </w:r>
      <w:r>
        <w:t xml:space="preserve">long-term DBS </w:t>
      </w:r>
      <w:r w:rsidR="001835EE">
        <w:t>including the</w:t>
      </w:r>
      <w:r w:rsidR="00096207">
        <w:t xml:space="preserve"> open phases of the RCTs (k = 4), cohort studies (k = 3) and case series (k = 5) all indicated that </w:t>
      </w:r>
      <w:r w:rsidR="001835EE">
        <w:t xml:space="preserve">Y-BOCS scores </w:t>
      </w:r>
      <w:r w:rsidR="00096207">
        <w:t>decreased after DBS stimulation compared to baseline. Number of responders (≥ 35% Y-BOCS reduction) varied across studies, range: 7% to 78%.</w:t>
      </w:r>
    </w:p>
    <w:p w14:paraId="48872BA4" w14:textId="74F92443" w:rsidR="00DF7FC6" w:rsidRDefault="00096207" w:rsidP="002B18A5">
      <w:r w:rsidRPr="008A48F5">
        <w:t xml:space="preserve">The GRADE certainty of the evidence is </w:t>
      </w:r>
      <w:r w:rsidRPr="008A48F5">
        <w:rPr>
          <w:i/>
        </w:rPr>
        <w:t>very low</w:t>
      </w:r>
      <w:r w:rsidRPr="008A48F5">
        <w:t>, due to low-quality of the studies (</w:t>
      </w:r>
      <w:r>
        <w:t xml:space="preserve">high risk of bias, heterogeneity, </w:t>
      </w:r>
      <w:r w:rsidRPr="008A48F5">
        <w:t xml:space="preserve">too few events, very small sample sizes). </w:t>
      </w:r>
    </w:p>
    <w:p w14:paraId="2A598679" w14:textId="790DD6EC" w:rsidR="00096207" w:rsidRDefault="00096207" w:rsidP="00096207">
      <w:r w:rsidRPr="008A48F5">
        <w:t xml:space="preserve">Summary of evidence </w:t>
      </w:r>
      <w:r w:rsidR="00DF7FC6">
        <w:t>for all outcomes</w:t>
      </w:r>
      <w:r w:rsidRPr="008A48F5">
        <w:t xml:space="preserve"> is presented in </w:t>
      </w:r>
      <w:r w:rsidR="000629F0">
        <w:fldChar w:fldCharType="begin"/>
      </w:r>
      <w:r w:rsidR="000629F0">
        <w:instrText xml:space="preserve"> REF _Ref143078687 \h </w:instrText>
      </w:r>
      <w:r w:rsidR="000629F0">
        <w:fldChar w:fldCharType="separate"/>
      </w:r>
      <w:r w:rsidR="007F15AB">
        <w:t xml:space="preserve">Table </w:t>
      </w:r>
      <w:r w:rsidR="007F15AB">
        <w:rPr>
          <w:noProof/>
        </w:rPr>
        <w:t>4</w:t>
      </w:r>
      <w:r w:rsidR="000629F0">
        <w:fldChar w:fldCharType="end"/>
      </w:r>
      <w:r w:rsidR="000629F0">
        <w:t>.</w:t>
      </w:r>
    </w:p>
    <w:p w14:paraId="3B6A124E" w14:textId="32DC6FF6" w:rsidR="00E8391B" w:rsidRDefault="00E8391B" w:rsidP="000E24CD">
      <w:pPr>
        <w:pStyle w:val="Caption"/>
        <w:ind w:left="709" w:hanging="709"/>
      </w:pPr>
      <w:bookmarkStart w:id="26" w:name="_Ref143078687"/>
      <w:bookmarkStart w:id="27" w:name="_Toc143098941"/>
      <w:r>
        <w:t xml:space="preserve">Table </w:t>
      </w:r>
      <w:r>
        <w:fldChar w:fldCharType="begin"/>
      </w:r>
      <w:r>
        <w:instrText>SEQ Table \* ARABIC</w:instrText>
      </w:r>
      <w:r>
        <w:fldChar w:fldCharType="separate"/>
      </w:r>
      <w:r w:rsidR="007F15AB">
        <w:rPr>
          <w:noProof/>
        </w:rPr>
        <w:t>4</w:t>
      </w:r>
      <w:r>
        <w:fldChar w:fldCharType="end"/>
      </w:r>
      <w:bookmarkEnd w:id="25"/>
      <w:bookmarkEnd w:id="26"/>
      <w:r w:rsidR="001A7A1E">
        <w:t>:</w:t>
      </w:r>
      <w:r w:rsidR="000E24CD">
        <w:t xml:space="preserve"> </w:t>
      </w:r>
      <w:r>
        <w:t>Summary of findings of DBS compared to standard of care or sham treatment</w:t>
      </w:r>
      <w:r w:rsidRPr="00A57E37">
        <w:t xml:space="preserve"> </w:t>
      </w:r>
      <w:r>
        <w:t>in</w:t>
      </w:r>
      <w:r w:rsidRPr="00CE28E3">
        <w:t xml:space="preserve"> </w:t>
      </w:r>
      <w:r>
        <w:t xml:space="preserve">severe treatment-refractory </w:t>
      </w:r>
      <w:proofErr w:type="gramStart"/>
      <w:r>
        <w:t>OCD</w:t>
      </w:r>
      <w:bookmarkEnd w:id="27"/>
      <w:proofErr w:type="gramEnd"/>
    </w:p>
    <w:tbl>
      <w:tblPr>
        <w:tblStyle w:val="TableGrid"/>
        <w:tblW w:w="9322" w:type="dxa"/>
        <w:tblLook w:val="04A0" w:firstRow="1" w:lastRow="0" w:firstColumn="1" w:lastColumn="0" w:noHBand="0" w:noVBand="1"/>
      </w:tblPr>
      <w:tblGrid>
        <w:gridCol w:w="1951"/>
        <w:gridCol w:w="1559"/>
        <w:gridCol w:w="1305"/>
        <w:gridCol w:w="1559"/>
        <w:gridCol w:w="2948"/>
      </w:tblGrid>
      <w:tr w:rsidR="00062F2C" w:rsidRPr="00CE28E3" w14:paraId="527ED086" w14:textId="77777777" w:rsidTr="00851AD2">
        <w:trPr>
          <w:cantSplit/>
          <w:trHeight w:val="624"/>
          <w:tblHeader/>
        </w:trPr>
        <w:tc>
          <w:tcPr>
            <w:tcW w:w="1951" w:type="dxa"/>
          </w:tcPr>
          <w:p w14:paraId="56C160BA" w14:textId="77777777" w:rsidR="00062F2C" w:rsidRPr="00CE28E3" w:rsidRDefault="00062F2C">
            <w:pPr>
              <w:pStyle w:val="TableHeadingCA"/>
            </w:pPr>
            <w:r>
              <w:t>Outcome</w:t>
            </w:r>
          </w:p>
        </w:tc>
        <w:tc>
          <w:tcPr>
            <w:tcW w:w="1559" w:type="dxa"/>
          </w:tcPr>
          <w:p w14:paraId="53A8B1FC" w14:textId="77777777" w:rsidR="00062F2C" w:rsidRDefault="00062F2C">
            <w:pPr>
              <w:pStyle w:val="TableHeadingCA"/>
            </w:pPr>
            <w:r w:rsidRPr="00CE28E3">
              <w:t>Participant</w:t>
            </w:r>
            <w:r>
              <w:t>s</w:t>
            </w:r>
          </w:p>
          <w:p w14:paraId="09C0F867" w14:textId="77777777" w:rsidR="00062F2C" w:rsidRPr="00CE28E3" w:rsidRDefault="00062F2C">
            <w:pPr>
              <w:pStyle w:val="TableHeadingCA"/>
            </w:pPr>
            <w:r>
              <w:t>S</w:t>
            </w:r>
            <w:r w:rsidRPr="00CE28E3">
              <w:t>tudies</w:t>
            </w:r>
          </w:p>
        </w:tc>
        <w:tc>
          <w:tcPr>
            <w:tcW w:w="1305" w:type="dxa"/>
          </w:tcPr>
          <w:p w14:paraId="4B063174" w14:textId="77777777" w:rsidR="00062F2C" w:rsidRDefault="00062F2C">
            <w:pPr>
              <w:pStyle w:val="TableHeadingCA"/>
            </w:pPr>
            <w:r>
              <w:t>Overall certainty of evidence</w:t>
            </w:r>
          </w:p>
        </w:tc>
        <w:tc>
          <w:tcPr>
            <w:tcW w:w="1559" w:type="dxa"/>
          </w:tcPr>
          <w:p w14:paraId="47A40528" w14:textId="77777777" w:rsidR="00062F2C" w:rsidRDefault="00062F2C">
            <w:pPr>
              <w:pStyle w:val="TableHeadingCA"/>
            </w:pPr>
            <w:r>
              <w:t>Risk of bias</w:t>
            </w:r>
          </w:p>
        </w:tc>
        <w:tc>
          <w:tcPr>
            <w:tcW w:w="2948" w:type="dxa"/>
          </w:tcPr>
          <w:p w14:paraId="7A66BD73" w14:textId="77777777" w:rsidR="00062F2C" w:rsidRDefault="00062F2C">
            <w:pPr>
              <w:pStyle w:val="TableHeadingCA"/>
            </w:pPr>
            <w:r>
              <w:t xml:space="preserve">Summary </w:t>
            </w:r>
          </w:p>
        </w:tc>
      </w:tr>
      <w:tr w:rsidR="00062F2C" w:rsidRPr="00CE28E3" w14:paraId="2D4A041B" w14:textId="77777777" w:rsidTr="00851AD2">
        <w:trPr>
          <w:cantSplit/>
          <w:trHeight w:val="973"/>
        </w:trPr>
        <w:tc>
          <w:tcPr>
            <w:tcW w:w="1951" w:type="dxa"/>
          </w:tcPr>
          <w:p w14:paraId="6612864F" w14:textId="77777777" w:rsidR="00062F2C" w:rsidRPr="00F24441" w:rsidRDefault="00062F2C">
            <w:pPr>
              <w:pStyle w:val="Tabletext0"/>
              <w:jc w:val="left"/>
            </w:pPr>
            <w:r w:rsidRPr="00F24441">
              <w:t>Adverse events</w:t>
            </w:r>
          </w:p>
        </w:tc>
        <w:tc>
          <w:tcPr>
            <w:tcW w:w="1559" w:type="dxa"/>
          </w:tcPr>
          <w:p w14:paraId="6FB77889" w14:textId="77777777" w:rsidR="00062F2C" w:rsidRPr="00731D62" w:rsidRDefault="00062F2C">
            <w:pPr>
              <w:pStyle w:val="Tabletext0"/>
              <w:jc w:val="left"/>
              <w:rPr>
                <w:b/>
                <w:color w:val="000000" w:themeColor="text1"/>
              </w:rPr>
            </w:pPr>
            <w:r w:rsidRPr="005341FA">
              <w:t>N</w:t>
            </w:r>
            <w:r>
              <w:t xml:space="preserve"> </w:t>
            </w:r>
            <w:r w:rsidRPr="00731D62">
              <w:rPr>
                <w:color w:val="000000" w:themeColor="text1"/>
              </w:rPr>
              <w:t xml:space="preserve">= </w:t>
            </w:r>
            <w:r>
              <w:rPr>
                <w:color w:val="000000" w:themeColor="text1"/>
              </w:rPr>
              <w:t>286</w:t>
            </w:r>
          </w:p>
          <w:p w14:paraId="6C9818ED" w14:textId="77777777" w:rsidR="00062F2C" w:rsidRPr="00F24441" w:rsidRDefault="00062F2C">
            <w:pPr>
              <w:pStyle w:val="Tabletext0"/>
              <w:jc w:val="left"/>
              <w:rPr>
                <w:color w:val="000000" w:themeColor="text1"/>
              </w:rPr>
            </w:pPr>
            <w:r w:rsidRPr="005341FA">
              <w:rPr>
                <w:bCs/>
                <w:color w:val="000000" w:themeColor="text1"/>
              </w:rPr>
              <w:t>(</w:t>
            </w:r>
            <w:r>
              <w:rPr>
                <w:bCs/>
                <w:color w:val="000000" w:themeColor="text1"/>
              </w:rPr>
              <w:t>7</w:t>
            </w:r>
            <w:r w:rsidRPr="005341FA">
              <w:rPr>
                <w:bCs/>
                <w:color w:val="000000" w:themeColor="text1"/>
              </w:rPr>
              <w:t xml:space="preserve"> RCTs, </w:t>
            </w:r>
            <w:r>
              <w:rPr>
                <w:bCs/>
                <w:color w:val="000000" w:themeColor="text1"/>
              </w:rPr>
              <w:t>3</w:t>
            </w:r>
            <w:r w:rsidRPr="005341FA">
              <w:rPr>
                <w:bCs/>
                <w:color w:val="000000" w:themeColor="text1"/>
              </w:rPr>
              <w:t xml:space="preserve"> cohort, </w:t>
            </w:r>
            <w:r>
              <w:rPr>
                <w:bCs/>
                <w:color w:val="000000" w:themeColor="text1"/>
              </w:rPr>
              <w:t>5</w:t>
            </w:r>
            <w:r w:rsidRPr="005341FA">
              <w:rPr>
                <w:bCs/>
                <w:color w:val="000000" w:themeColor="text1"/>
              </w:rPr>
              <w:t xml:space="preserve"> case series)</w:t>
            </w:r>
          </w:p>
        </w:tc>
        <w:tc>
          <w:tcPr>
            <w:tcW w:w="1305" w:type="dxa"/>
          </w:tcPr>
          <w:p w14:paraId="2201315D" w14:textId="77777777" w:rsidR="00062F2C" w:rsidRPr="00F24441" w:rsidRDefault="00062F2C">
            <w:pPr>
              <w:pStyle w:val="Tabletext0"/>
              <w:jc w:val="left"/>
              <w:rPr>
                <w:rFonts w:cs="Cambria Math"/>
                <w:color w:val="C00000"/>
              </w:rPr>
            </w:pPr>
            <w:r w:rsidRPr="00F24441">
              <w:rPr>
                <w:rFonts w:ascii="Cambria Math" w:hAnsi="Cambria Math" w:cs="Cambria Math"/>
                <w:color w:val="00B050"/>
              </w:rPr>
              <w:t>⨁</w:t>
            </w:r>
            <w:r w:rsidRPr="00F24441">
              <w:rPr>
                <w:rFonts w:ascii="Cambria Math" w:hAnsi="Cambria Math" w:cs="Cambria Math"/>
                <w:color w:val="C00000"/>
              </w:rPr>
              <w:t>⨀⨀⨀</w:t>
            </w:r>
            <w:r w:rsidRPr="00F24441">
              <w:rPr>
                <w:rFonts w:cs="Cambria Math"/>
                <w:color w:val="C00000"/>
              </w:rPr>
              <w:t xml:space="preserve"> </w:t>
            </w:r>
          </w:p>
          <w:p w14:paraId="22CF7A9A" w14:textId="77777777" w:rsidR="00062F2C" w:rsidRPr="00F24441" w:rsidRDefault="00062F2C">
            <w:pPr>
              <w:pStyle w:val="Tabletext0"/>
              <w:jc w:val="left"/>
            </w:pPr>
            <w:r w:rsidRPr="00F24441">
              <w:rPr>
                <w:rFonts w:cs="Arial"/>
              </w:rPr>
              <w:t xml:space="preserve">Very low </w:t>
            </w:r>
          </w:p>
        </w:tc>
        <w:tc>
          <w:tcPr>
            <w:tcW w:w="1559" w:type="dxa"/>
          </w:tcPr>
          <w:p w14:paraId="0C9F3A2B" w14:textId="77777777" w:rsidR="00062F2C" w:rsidRDefault="00062F2C">
            <w:pPr>
              <w:pStyle w:val="Tabletext0"/>
              <w:jc w:val="left"/>
              <w:rPr>
                <w:bCs/>
                <w:i/>
                <w:iCs/>
                <w:vertAlign w:val="superscript"/>
              </w:rPr>
            </w:pPr>
            <w:proofErr w:type="spellStart"/>
            <w:r w:rsidRPr="006D07B0">
              <w:rPr>
                <w:i/>
                <w:iCs/>
              </w:rPr>
              <w:t>High</w:t>
            </w:r>
            <w:r w:rsidRPr="006D07B0">
              <w:rPr>
                <w:bCs/>
                <w:i/>
                <w:iCs/>
                <w:vertAlign w:val="superscript"/>
              </w:rPr>
              <w:t>a</w:t>
            </w:r>
            <w:proofErr w:type="spellEnd"/>
          </w:p>
          <w:p w14:paraId="53873D64" w14:textId="77777777" w:rsidR="00062F2C" w:rsidRDefault="00062F2C">
            <w:pPr>
              <w:pStyle w:val="Tabletext0"/>
              <w:jc w:val="left"/>
              <w:rPr>
                <w:i/>
              </w:rPr>
            </w:pPr>
            <w:proofErr w:type="spellStart"/>
            <w:r>
              <w:rPr>
                <w:i/>
              </w:rPr>
              <w:t>Serious</w:t>
            </w:r>
            <w:r>
              <w:rPr>
                <w:i/>
                <w:vertAlign w:val="superscript"/>
              </w:rPr>
              <w:t>b</w:t>
            </w:r>
            <w:proofErr w:type="spellEnd"/>
          </w:p>
          <w:p w14:paraId="064B00E5" w14:textId="77777777" w:rsidR="00062F2C" w:rsidRDefault="00062F2C">
            <w:pPr>
              <w:pStyle w:val="Tabletext0"/>
              <w:jc w:val="left"/>
              <w:rPr>
                <w:i/>
              </w:rPr>
            </w:pPr>
            <w:r>
              <w:rPr>
                <w:i/>
              </w:rPr>
              <w:t>Poor</w:t>
            </w:r>
            <w:r>
              <w:rPr>
                <w:i/>
                <w:vertAlign w:val="superscript"/>
              </w:rPr>
              <w:t>c</w:t>
            </w:r>
          </w:p>
          <w:p w14:paraId="066E0353" w14:textId="77777777" w:rsidR="00062F2C" w:rsidRPr="00F24441" w:rsidRDefault="00062F2C">
            <w:pPr>
              <w:pStyle w:val="Tabletext0"/>
              <w:jc w:val="left"/>
              <w:rPr>
                <w:i/>
              </w:rPr>
            </w:pPr>
            <w:proofErr w:type="spellStart"/>
            <w:r>
              <w:rPr>
                <w:i/>
              </w:rPr>
              <w:t>Acceptable</w:t>
            </w:r>
            <w:r>
              <w:rPr>
                <w:i/>
                <w:vertAlign w:val="superscript"/>
              </w:rPr>
              <w:t>d</w:t>
            </w:r>
            <w:proofErr w:type="spellEnd"/>
          </w:p>
        </w:tc>
        <w:tc>
          <w:tcPr>
            <w:tcW w:w="2948" w:type="dxa"/>
          </w:tcPr>
          <w:p w14:paraId="4582281F" w14:textId="51A6DE3B" w:rsidR="00062F2C" w:rsidRPr="00F24441" w:rsidRDefault="0056796F">
            <w:pPr>
              <w:pStyle w:val="Tabletext0"/>
              <w:jc w:val="left"/>
            </w:pPr>
            <w:r w:rsidRPr="00D719EA">
              <w:t xml:space="preserve">Surgery related </w:t>
            </w:r>
            <w:r>
              <w:t>S</w:t>
            </w:r>
            <w:r w:rsidRPr="00D719EA">
              <w:t xml:space="preserve">AEs </w:t>
            </w:r>
            <w:r>
              <w:t>included haemorrhages (7.7% in two studies), seizure (3.8% in one study), malposition of electrode or pulse generator (range from 2 studies: 1.1% to 8.6%). Common device related AE were breaking of electrode or extension wire, feeling pulse generator on the chest, infection of the pulse generator and tightening of leads. SAEs during</w:t>
            </w:r>
            <w:r w:rsidRPr="00D719EA">
              <w:t xml:space="preserve"> stimulation included hypomania</w:t>
            </w:r>
            <w:r>
              <w:t xml:space="preserve"> (3.8% and 23%, two studies)</w:t>
            </w:r>
            <w:r w:rsidRPr="00D719EA">
              <w:t>, increased depression, suicide attempts or suicidal thought or ideations.</w:t>
            </w:r>
          </w:p>
        </w:tc>
      </w:tr>
      <w:tr w:rsidR="00062F2C" w:rsidRPr="00CE28E3" w14:paraId="7D7F87F3" w14:textId="77777777" w:rsidTr="00851AD2">
        <w:trPr>
          <w:cantSplit/>
          <w:trHeight w:val="60"/>
        </w:trPr>
        <w:tc>
          <w:tcPr>
            <w:tcW w:w="1951" w:type="dxa"/>
          </w:tcPr>
          <w:p w14:paraId="0B8C474B" w14:textId="77777777" w:rsidR="00062F2C" w:rsidRPr="00F24441" w:rsidRDefault="00062F2C">
            <w:pPr>
              <w:pStyle w:val="Tabletext0"/>
              <w:jc w:val="left"/>
            </w:pPr>
            <w:r w:rsidRPr="00F24441">
              <w:t>OCD severity (Y-BCOS)</w:t>
            </w:r>
          </w:p>
        </w:tc>
        <w:tc>
          <w:tcPr>
            <w:tcW w:w="1559" w:type="dxa"/>
          </w:tcPr>
          <w:p w14:paraId="1F97C6AA" w14:textId="77777777" w:rsidR="00062F2C" w:rsidRPr="005341FA" w:rsidRDefault="00062F2C">
            <w:pPr>
              <w:pStyle w:val="Tabletext0"/>
              <w:jc w:val="left"/>
              <w:rPr>
                <w:b/>
                <w:color w:val="000000" w:themeColor="text1"/>
              </w:rPr>
            </w:pPr>
            <w:r w:rsidRPr="005341FA">
              <w:rPr>
                <w:bCs/>
              </w:rPr>
              <w:t>N</w:t>
            </w:r>
            <w:r>
              <w:rPr>
                <w:bCs/>
              </w:rPr>
              <w:t xml:space="preserve"> </w:t>
            </w:r>
            <w:r w:rsidRPr="005341FA">
              <w:rPr>
                <w:bCs/>
                <w:color w:val="000000" w:themeColor="text1"/>
              </w:rPr>
              <w:t xml:space="preserve">= </w:t>
            </w:r>
            <w:r>
              <w:rPr>
                <w:bCs/>
                <w:color w:val="000000" w:themeColor="text1"/>
              </w:rPr>
              <w:t>286</w:t>
            </w:r>
          </w:p>
          <w:p w14:paraId="1CAD2700" w14:textId="77777777" w:rsidR="00062F2C" w:rsidRPr="00F24441" w:rsidRDefault="00062F2C">
            <w:pPr>
              <w:pStyle w:val="Tabletext0"/>
              <w:jc w:val="left"/>
              <w:rPr>
                <w:color w:val="000000" w:themeColor="text1"/>
              </w:rPr>
            </w:pPr>
            <w:r w:rsidRPr="005341FA">
              <w:rPr>
                <w:bCs/>
                <w:color w:val="000000" w:themeColor="text1"/>
              </w:rPr>
              <w:t>(</w:t>
            </w:r>
            <w:r>
              <w:rPr>
                <w:bCs/>
                <w:color w:val="000000" w:themeColor="text1"/>
              </w:rPr>
              <w:t>7</w:t>
            </w:r>
            <w:r w:rsidRPr="005341FA">
              <w:rPr>
                <w:bCs/>
                <w:color w:val="000000" w:themeColor="text1"/>
              </w:rPr>
              <w:t xml:space="preserve"> RCTs, </w:t>
            </w:r>
            <w:r>
              <w:rPr>
                <w:bCs/>
                <w:color w:val="000000" w:themeColor="text1"/>
              </w:rPr>
              <w:t>3</w:t>
            </w:r>
            <w:r w:rsidRPr="005341FA">
              <w:rPr>
                <w:bCs/>
                <w:color w:val="000000" w:themeColor="text1"/>
              </w:rPr>
              <w:t xml:space="preserve"> cohort, </w:t>
            </w:r>
            <w:r>
              <w:rPr>
                <w:bCs/>
                <w:color w:val="000000" w:themeColor="text1"/>
              </w:rPr>
              <w:t>5</w:t>
            </w:r>
            <w:r w:rsidRPr="005341FA">
              <w:rPr>
                <w:bCs/>
                <w:color w:val="000000" w:themeColor="text1"/>
              </w:rPr>
              <w:t xml:space="preserve"> case series)</w:t>
            </w:r>
          </w:p>
        </w:tc>
        <w:tc>
          <w:tcPr>
            <w:tcW w:w="1305" w:type="dxa"/>
          </w:tcPr>
          <w:p w14:paraId="39BDEA2A" w14:textId="77777777" w:rsidR="00062F2C" w:rsidRPr="00F24441" w:rsidRDefault="00062F2C">
            <w:pPr>
              <w:pStyle w:val="Tabletext0"/>
              <w:jc w:val="left"/>
              <w:rPr>
                <w:rFonts w:cs="Cambria Math"/>
                <w:color w:val="C00000"/>
              </w:rPr>
            </w:pPr>
            <w:r w:rsidRPr="00F24441">
              <w:rPr>
                <w:rFonts w:ascii="Cambria Math" w:hAnsi="Cambria Math" w:cs="Cambria Math"/>
                <w:color w:val="00B050"/>
              </w:rPr>
              <w:t>⨁</w:t>
            </w:r>
            <w:r w:rsidRPr="00F24441">
              <w:rPr>
                <w:rFonts w:ascii="Cambria Math" w:hAnsi="Cambria Math" w:cs="Cambria Math"/>
                <w:color w:val="C00000"/>
              </w:rPr>
              <w:t>⨀⨀⨀</w:t>
            </w:r>
            <w:r w:rsidRPr="00F24441">
              <w:rPr>
                <w:rFonts w:cs="Cambria Math"/>
                <w:color w:val="C00000"/>
              </w:rPr>
              <w:t xml:space="preserve"> </w:t>
            </w:r>
          </w:p>
          <w:p w14:paraId="45CD2BD1" w14:textId="77777777" w:rsidR="00062F2C" w:rsidRPr="00F24441" w:rsidRDefault="00062F2C">
            <w:pPr>
              <w:pStyle w:val="Tabletext0"/>
              <w:jc w:val="left"/>
              <w:rPr>
                <w:color w:val="00B050"/>
              </w:rPr>
            </w:pPr>
            <w:r w:rsidRPr="00F24441">
              <w:rPr>
                <w:rFonts w:cs="Arial"/>
              </w:rPr>
              <w:t xml:space="preserve">Very low </w:t>
            </w:r>
          </w:p>
        </w:tc>
        <w:tc>
          <w:tcPr>
            <w:tcW w:w="1559" w:type="dxa"/>
          </w:tcPr>
          <w:p w14:paraId="6B16D39B" w14:textId="77777777" w:rsidR="00062F2C" w:rsidRPr="00F24441" w:rsidRDefault="00062F2C">
            <w:pPr>
              <w:pStyle w:val="Tabletext0"/>
              <w:jc w:val="left"/>
              <w:rPr>
                <w:i/>
                <w:vertAlign w:val="superscript"/>
              </w:rPr>
            </w:pPr>
            <w:proofErr w:type="spellStart"/>
            <w:r w:rsidRPr="00F24441">
              <w:rPr>
                <w:i/>
              </w:rPr>
              <w:t>High</w:t>
            </w:r>
            <w:r w:rsidRPr="00F24441">
              <w:rPr>
                <w:i/>
                <w:vertAlign w:val="superscript"/>
              </w:rPr>
              <w:t>a</w:t>
            </w:r>
            <w:proofErr w:type="spellEnd"/>
          </w:p>
          <w:p w14:paraId="65C0C39D" w14:textId="77777777" w:rsidR="00062F2C" w:rsidRDefault="00062F2C">
            <w:pPr>
              <w:pStyle w:val="Tabletext0"/>
              <w:jc w:val="left"/>
              <w:rPr>
                <w:i/>
              </w:rPr>
            </w:pPr>
            <w:proofErr w:type="spellStart"/>
            <w:r>
              <w:rPr>
                <w:i/>
              </w:rPr>
              <w:t>Serious</w:t>
            </w:r>
            <w:r>
              <w:rPr>
                <w:i/>
                <w:vertAlign w:val="superscript"/>
              </w:rPr>
              <w:t>b</w:t>
            </w:r>
            <w:proofErr w:type="spellEnd"/>
          </w:p>
          <w:p w14:paraId="2F1D43DD" w14:textId="77777777" w:rsidR="00062F2C" w:rsidRPr="00F24441" w:rsidRDefault="00062F2C">
            <w:pPr>
              <w:pStyle w:val="Tabletext0"/>
              <w:jc w:val="left"/>
              <w:rPr>
                <w:i/>
                <w:vertAlign w:val="superscript"/>
              </w:rPr>
            </w:pPr>
            <w:r>
              <w:rPr>
                <w:i/>
              </w:rPr>
              <w:t>P</w:t>
            </w:r>
            <w:r w:rsidRPr="00F24441">
              <w:rPr>
                <w:i/>
              </w:rPr>
              <w:t>oo</w:t>
            </w:r>
            <w:r>
              <w:rPr>
                <w:i/>
              </w:rPr>
              <w:t>r</w:t>
            </w:r>
            <w:r w:rsidRPr="00F24441">
              <w:rPr>
                <w:i/>
                <w:vertAlign w:val="superscript"/>
              </w:rPr>
              <w:t>c</w:t>
            </w:r>
          </w:p>
          <w:p w14:paraId="10C1495C" w14:textId="77777777" w:rsidR="00062F2C" w:rsidRPr="00F24441" w:rsidRDefault="00062F2C">
            <w:pPr>
              <w:pStyle w:val="Tabletext0"/>
              <w:jc w:val="left"/>
              <w:rPr>
                <w:i/>
              </w:rPr>
            </w:pPr>
            <w:proofErr w:type="spellStart"/>
            <w:r w:rsidRPr="00F24441">
              <w:rPr>
                <w:i/>
              </w:rPr>
              <w:t>Acceptable</w:t>
            </w:r>
            <w:r w:rsidRPr="00F24441">
              <w:rPr>
                <w:i/>
                <w:vertAlign w:val="superscript"/>
              </w:rPr>
              <w:t>d</w:t>
            </w:r>
            <w:proofErr w:type="spellEnd"/>
          </w:p>
        </w:tc>
        <w:tc>
          <w:tcPr>
            <w:tcW w:w="2948" w:type="dxa"/>
          </w:tcPr>
          <w:p w14:paraId="6227FA41" w14:textId="77777777" w:rsidR="00062F2C" w:rsidRPr="006E742E" w:rsidRDefault="00062F2C">
            <w:pPr>
              <w:pStyle w:val="Tabletext0"/>
              <w:jc w:val="left"/>
              <w:rPr>
                <w:b/>
                <w:bCs/>
              </w:rPr>
            </w:pPr>
            <w:r w:rsidRPr="006E742E">
              <w:rPr>
                <w:b/>
                <w:bCs/>
              </w:rPr>
              <w:t xml:space="preserve">6 trials from RCT phases: </w:t>
            </w:r>
          </w:p>
          <w:p w14:paraId="32B8736B" w14:textId="59D0A463" w:rsidR="00062F2C" w:rsidRPr="006E742E" w:rsidRDefault="00062F2C">
            <w:pPr>
              <w:pStyle w:val="Tabletext0"/>
              <w:numPr>
                <w:ilvl w:val="0"/>
                <w:numId w:val="57"/>
              </w:numPr>
              <w:ind w:left="170" w:hanging="113"/>
              <w:jc w:val="left"/>
            </w:pPr>
            <w:r>
              <w:t>≥ 35% reduction:</w:t>
            </w:r>
            <w:r w:rsidR="002022B3">
              <w:t xml:space="preserve"> </w:t>
            </w:r>
            <w:r w:rsidR="00853CFD">
              <w:t xml:space="preserve">little, non-significant difference </w:t>
            </w:r>
            <w:r w:rsidR="002022B3">
              <w:t>favouring active DBS,</w:t>
            </w:r>
            <w:r>
              <w:t xml:space="preserve"> RR 1.36 (95% C</w:t>
            </w:r>
            <w:r w:rsidR="00474D61">
              <w:t>I</w:t>
            </w:r>
            <w:r>
              <w:t xml:space="preserve"> 0.66, 2.08); p = 0.41; I</w:t>
            </w:r>
            <w:r>
              <w:rPr>
                <w:vertAlign w:val="superscript"/>
              </w:rPr>
              <w:t>2</w:t>
            </w:r>
            <w:r>
              <w:t xml:space="preserve"> = 0%</w:t>
            </w:r>
            <w:r w:rsidR="003E5DE5">
              <w:t xml:space="preserve">; </w:t>
            </w:r>
            <w:r w:rsidR="00C11BE2">
              <w:t>46</w:t>
            </w:r>
            <w:r w:rsidR="003E5DE5">
              <w:t xml:space="preserve"> participants; </w:t>
            </w:r>
            <w:r w:rsidR="00C11BE2">
              <w:t>4</w:t>
            </w:r>
            <w:r w:rsidR="003E5DE5">
              <w:t xml:space="preserve"> RCT)</w:t>
            </w:r>
          </w:p>
          <w:p w14:paraId="6930A79C" w14:textId="722A602E" w:rsidR="00062F2C" w:rsidRPr="00BC62C1" w:rsidRDefault="00062F2C">
            <w:pPr>
              <w:pStyle w:val="Tabletext0"/>
              <w:numPr>
                <w:ilvl w:val="0"/>
                <w:numId w:val="57"/>
              </w:numPr>
              <w:ind w:left="170" w:hanging="113"/>
              <w:jc w:val="left"/>
            </w:pPr>
            <w:r>
              <w:t xml:space="preserve">Mean change at last follow-up: </w:t>
            </w:r>
            <w:r w:rsidR="006C6C58">
              <w:t xml:space="preserve">a difference </w:t>
            </w:r>
            <w:r w:rsidR="002022B3">
              <w:t xml:space="preserve">favouring active DBS, </w:t>
            </w:r>
            <w:r>
              <w:t>MD -6.01 (95% CI -8.79, -3.22); p &lt; 0.0001; I</w:t>
            </w:r>
            <w:r>
              <w:rPr>
                <w:vertAlign w:val="superscript"/>
              </w:rPr>
              <w:t>2</w:t>
            </w:r>
            <w:r>
              <w:t xml:space="preserve"> = 27%</w:t>
            </w:r>
            <w:r w:rsidR="003E5DE5">
              <w:t xml:space="preserve">; </w:t>
            </w:r>
            <w:r w:rsidR="0033477D">
              <w:t>103</w:t>
            </w:r>
            <w:r w:rsidR="003E5DE5">
              <w:t xml:space="preserve"> participants; </w:t>
            </w:r>
            <w:r w:rsidR="0033477D">
              <w:t>6</w:t>
            </w:r>
            <w:r w:rsidR="003E5DE5">
              <w:t xml:space="preserve"> RCT)</w:t>
            </w:r>
          </w:p>
          <w:p w14:paraId="0A9B006A" w14:textId="77777777" w:rsidR="00062F2C" w:rsidRDefault="00062F2C">
            <w:pPr>
              <w:pStyle w:val="Tabletext0"/>
              <w:jc w:val="left"/>
            </w:pPr>
          </w:p>
          <w:p w14:paraId="776B95D5" w14:textId="77777777" w:rsidR="00062F2C" w:rsidRPr="006E742E" w:rsidRDefault="00062F2C">
            <w:pPr>
              <w:pStyle w:val="Tabletext0"/>
              <w:jc w:val="left"/>
              <w:rPr>
                <w:b/>
                <w:bCs/>
              </w:rPr>
            </w:pPr>
            <w:r w:rsidRPr="006E742E">
              <w:rPr>
                <w:b/>
                <w:bCs/>
              </w:rPr>
              <w:t xml:space="preserve">Remaining studies: </w:t>
            </w:r>
          </w:p>
          <w:p w14:paraId="755FF679" w14:textId="227A3025" w:rsidR="00062F2C" w:rsidRPr="00F24441" w:rsidRDefault="00062F2C">
            <w:pPr>
              <w:pStyle w:val="Tabletext0"/>
              <w:jc w:val="left"/>
            </w:pPr>
            <w:r>
              <w:t>All studies indicated that OCD severity decreased after DBS stimulation compared to baseline. Number of responders (≥</w:t>
            </w:r>
            <w:r w:rsidR="00F2404D">
              <w:t xml:space="preserve"> </w:t>
            </w:r>
            <w:r>
              <w:t>35% Y-BOCS reduction) varied across studies, range: 7% to 78%.</w:t>
            </w:r>
          </w:p>
        </w:tc>
      </w:tr>
      <w:tr w:rsidR="00062F2C" w:rsidRPr="00CE28E3" w14:paraId="18FD02C2" w14:textId="77777777" w:rsidTr="00851AD2">
        <w:trPr>
          <w:cantSplit/>
          <w:trHeight w:val="70"/>
        </w:trPr>
        <w:tc>
          <w:tcPr>
            <w:tcW w:w="1951" w:type="dxa"/>
          </w:tcPr>
          <w:p w14:paraId="208F6932" w14:textId="77777777" w:rsidR="00062F2C" w:rsidRPr="00F24441" w:rsidRDefault="00062F2C">
            <w:pPr>
              <w:pStyle w:val="Tabletext0"/>
              <w:jc w:val="left"/>
            </w:pPr>
            <w:r w:rsidRPr="00F24441">
              <w:lastRenderedPageBreak/>
              <w:t xml:space="preserve">Depression </w:t>
            </w:r>
          </w:p>
        </w:tc>
        <w:tc>
          <w:tcPr>
            <w:tcW w:w="1559" w:type="dxa"/>
          </w:tcPr>
          <w:p w14:paraId="38C356A4" w14:textId="77777777" w:rsidR="00062F2C" w:rsidRPr="005341FA" w:rsidRDefault="00062F2C">
            <w:pPr>
              <w:pStyle w:val="Tabletext0"/>
              <w:jc w:val="left"/>
              <w:rPr>
                <w:bCs/>
                <w:color w:val="000000" w:themeColor="text1"/>
              </w:rPr>
            </w:pPr>
            <w:r w:rsidRPr="005341FA">
              <w:rPr>
                <w:bCs/>
              </w:rPr>
              <w:t>N</w:t>
            </w:r>
            <w:r>
              <w:rPr>
                <w:bCs/>
              </w:rPr>
              <w:t xml:space="preserve"> </w:t>
            </w:r>
            <w:r w:rsidRPr="005341FA">
              <w:rPr>
                <w:bCs/>
                <w:color w:val="000000" w:themeColor="text1"/>
              </w:rPr>
              <w:t xml:space="preserve">= </w:t>
            </w:r>
            <w:r>
              <w:rPr>
                <w:bCs/>
                <w:color w:val="000000" w:themeColor="text1"/>
              </w:rPr>
              <w:t>162</w:t>
            </w:r>
          </w:p>
          <w:p w14:paraId="38DFA340" w14:textId="0AC82169" w:rsidR="00062F2C" w:rsidRPr="00F24441" w:rsidRDefault="00062F2C">
            <w:pPr>
              <w:pStyle w:val="Tabletext0"/>
              <w:jc w:val="left"/>
            </w:pPr>
            <w:r w:rsidRPr="005341FA">
              <w:rPr>
                <w:bCs/>
                <w:color w:val="000000" w:themeColor="text1"/>
              </w:rPr>
              <w:t>(</w:t>
            </w:r>
            <w:r>
              <w:rPr>
                <w:bCs/>
                <w:color w:val="000000" w:themeColor="text1"/>
              </w:rPr>
              <w:t>4</w:t>
            </w:r>
            <w:r w:rsidRPr="005341FA">
              <w:rPr>
                <w:bCs/>
                <w:color w:val="000000" w:themeColor="text1"/>
              </w:rPr>
              <w:t xml:space="preserve"> RCTs, </w:t>
            </w:r>
            <w:r>
              <w:rPr>
                <w:bCs/>
                <w:color w:val="000000" w:themeColor="text1"/>
              </w:rPr>
              <w:t>2</w:t>
            </w:r>
            <w:r w:rsidRPr="005341FA">
              <w:rPr>
                <w:bCs/>
                <w:color w:val="000000" w:themeColor="text1"/>
              </w:rPr>
              <w:t xml:space="preserve"> cohort</w:t>
            </w:r>
            <w:r w:rsidR="009637FB">
              <w:rPr>
                <w:bCs/>
                <w:color w:val="000000" w:themeColor="text1"/>
              </w:rPr>
              <w:t>,</w:t>
            </w:r>
            <w:r>
              <w:rPr>
                <w:bCs/>
                <w:color w:val="000000" w:themeColor="text1"/>
              </w:rPr>
              <w:t xml:space="preserve"> 4 case series</w:t>
            </w:r>
            <w:r w:rsidRPr="005341FA">
              <w:rPr>
                <w:bCs/>
                <w:color w:val="000000" w:themeColor="text1"/>
              </w:rPr>
              <w:t>)</w:t>
            </w:r>
          </w:p>
        </w:tc>
        <w:tc>
          <w:tcPr>
            <w:tcW w:w="1305" w:type="dxa"/>
          </w:tcPr>
          <w:p w14:paraId="7686A7A3" w14:textId="77777777" w:rsidR="00062F2C" w:rsidRPr="00F24441" w:rsidRDefault="00062F2C">
            <w:pPr>
              <w:pStyle w:val="Tabletext0"/>
              <w:jc w:val="left"/>
              <w:rPr>
                <w:rFonts w:cs="Cambria Math"/>
                <w:color w:val="C00000"/>
              </w:rPr>
            </w:pPr>
            <w:r w:rsidRPr="00F24441">
              <w:rPr>
                <w:rFonts w:ascii="Cambria Math" w:hAnsi="Cambria Math" w:cs="Cambria Math"/>
                <w:color w:val="00B050"/>
              </w:rPr>
              <w:t>⨁</w:t>
            </w:r>
            <w:r w:rsidRPr="00F24441">
              <w:rPr>
                <w:rFonts w:ascii="Cambria Math" w:hAnsi="Cambria Math" w:cs="Cambria Math"/>
                <w:color w:val="C00000"/>
              </w:rPr>
              <w:t>⨀⨀⨀</w:t>
            </w:r>
            <w:r w:rsidRPr="00F24441">
              <w:rPr>
                <w:rFonts w:cs="Cambria Math"/>
                <w:color w:val="C00000"/>
              </w:rPr>
              <w:t xml:space="preserve"> </w:t>
            </w:r>
          </w:p>
          <w:p w14:paraId="26DA0CCE" w14:textId="77777777" w:rsidR="00062F2C" w:rsidRPr="00F24441" w:rsidRDefault="00062F2C">
            <w:pPr>
              <w:pStyle w:val="Tabletext0"/>
              <w:jc w:val="left"/>
            </w:pPr>
            <w:r w:rsidRPr="00F24441">
              <w:rPr>
                <w:rFonts w:cs="Arial"/>
              </w:rPr>
              <w:t xml:space="preserve">Very low </w:t>
            </w:r>
          </w:p>
        </w:tc>
        <w:tc>
          <w:tcPr>
            <w:tcW w:w="1559" w:type="dxa"/>
          </w:tcPr>
          <w:p w14:paraId="162A0697" w14:textId="77777777" w:rsidR="00062F2C" w:rsidRPr="006D07B0" w:rsidRDefault="00062F2C">
            <w:pPr>
              <w:pStyle w:val="Tabletext0"/>
              <w:jc w:val="left"/>
              <w:rPr>
                <w:i/>
                <w:vertAlign w:val="superscript"/>
              </w:rPr>
            </w:pPr>
            <w:proofErr w:type="spellStart"/>
            <w:r w:rsidRPr="006D07B0">
              <w:rPr>
                <w:i/>
              </w:rPr>
              <w:t>High</w:t>
            </w:r>
            <w:r w:rsidRPr="006D07B0">
              <w:rPr>
                <w:i/>
                <w:vertAlign w:val="superscript"/>
              </w:rPr>
              <w:t>a</w:t>
            </w:r>
            <w:proofErr w:type="spellEnd"/>
          </w:p>
          <w:p w14:paraId="654B9AD5" w14:textId="77777777" w:rsidR="00062F2C" w:rsidRPr="006D07B0" w:rsidRDefault="00062F2C">
            <w:pPr>
              <w:pStyle w:val="Tabletext0"/>
              <w:jc w:val="left"/>
              <w:rPr>
                <w:i/>
                <w:vertAlign w:val="superscript"/>
              </w:rPr>
            </w:pPr>
            <w:proofErr w:type="spellStart"/>
            <w:r>
              <w:rPr>
                <w:i/>
              </w:rPr>
              <w:t>Serious</w:t>
            </w:r>
            <w:r w:rsidRPr="006D07B0">
              <w:rPr>
                <w:i/>
                <w:vertAlign w:val="superscript"/>
              </w:rPr>
              <w:t>b</w:t>
            </w:r>
            <w:proofErr w:type="spellEnd"/>
          </w:p>
          <w:p w14:paraId="207FBE43" w14:textId="77777777" w:rsidR="00062F2C" w:rsidRPr="006D07B0" w:rsidRDefault="00062F2C">
            <w:pPr>
              <w:pStyle w:val="Tabletext0"/>
              <w:jc w:val="left"/>
              <w:rPr>
                <w:i/>
                <w:vertAlign w:val="superscript"/>
              </w:rPr>
            </w:pPr>
            <w:r>
              <w:rPr>
                <w:i/>
              </w:rPr>
              <w:t>Poor</w:t>
            </w:r>
            <w:r w:rsidRPr="006D07B0">
              <w:rPr>
                <w:i/>
                <w:vertAlign w:val="superscript"/>
              </w:rPr>
              <w:t>c</w:t>
            </w:r>
          </w:p>
          <w:p w14:paraId="5FB2E4DB" w14:textId="77777777" w:rsidR="00062F2C" w:rsidRPr="00F24441" w:rsidRDefault="00062F2C">
            <w:pPr>
              <w:pStyle w:val="Tabletext0"/>
              <w:jc w:val="left"/>
              <w:rPr>
                <w:i/>
              </w:rPr>
            </w:pPr>
            <w:proofErr w:type="spellStart"/>
            <w:r w:rsidRPr="006D07B0">
              <w:rPr>
                <w:i/>
              </w:rPr>
              <w:t>Acceptable</w:t>
            </w:r>
            <w:r w:rsidRPr="006D07B0">
              <w:rPr>
                <w:i/>
                <w:vertAlign w:val="superscript"/>
              </w:rPr>
              <w:t>d</w:t>
            </w:r>
            <w:proofErr w:type="spellEnd"/>
            <w:r w:rsidRPr="006D07B0" w:rsidDel="00555815">
              <w:rPr>
                <w:i/>
              </w:rPr>
              <w:t xml:space="preserve"> </w:t>
            </w:r>
          </w:p>
        </w:tc>
        <w:tc>
          <w:tcPr>
            <w:tcW w:w="2948" w:type="dxa"/>
          </w:tcPr>
          <w:p w14:paraId="6D02A190" w14:textId="77777777" w:rsidR="00062F2C" w:rsidRPr="00F24441" w:rsidRDefault="00062F2C">
            <w:pPr>
              <w:pStyle w:val="Tabletext0"/>
              <w:jc w:val="left"/>
            </w:pPr>
            <w:r>
              <w:t>All studies noted an improvement in the HAM-D, DASS-S, MADRS, and BDI scores for patients treated with active DBS compared to baseline.</w:t>
            </w:r>
          </w:p>
        </w:tc>
      </w:tr>
      <w:tr w:rsidR="00062F2C" w:rsidRPr="00CE28E3" w14:paraId="30F0C5F1" w14:textId="77777777" w:rsidTr="00851AD2">
        <w:trPr>
          <w:cantSplit/>
          <w:trHeight w:val="70"/>
        </w:trPr>
        <w:tc>
          <w:tcPr>
            <w:tcW w:w="1951" w:type="dxa"/>
          </w:tcPr>
          <w:p w14:paraId="3D5F8041" w14:textId="77777777" w:rsidR="00062F2C" w:rsidRPr="00F24441" w:rsidRDefault="00062F2C">
            <w:pPr>
              <w:pStyle w:val="Tabletext0"/>
              <w:jc w:val="left"/>
            </w:pPr>
            <w:r w:rsidRPr="00F24441">
              <w:t>Anxiety</w:t>
            </w:r>
          </w:p>
        </w:tc>
        <w:tc>
          <w:tcPr>
            <w:tcW w:w="1559" w:type="dxa"/>
          </w:tcPr>
          <w:p w14:paraId="13C804CC" w14:textId="77777777" w:rsidR="00062F2C" w:rsidRPr="00B75CA6" w:rsidRDefault="00062F2C">
            <w:pPr>
              <w:pStyle w:val="TableHeading"/>
              <w:keepNext w:val="0"/>
              <w:ind w:left="4"/>
              <w:rPr>
                <w:b w:val="0"/>
                <w:color w:val="000000" w:themeColor="text1"/>
              </w:rPr>
            </w:pPr>
            <w:r w:rsidRPr="00B75CA6">
              <w:rPr>
                <w:b w:val="0"/>
              </w:rPr>
              <w:t>N</w:t>
            </w:r>
            <w:r>
              <w:rPr>
                <w:b w:val="0"/>
              </w:rPr>
              <w:t xml:space="preserve"> </w:t>
            </w:r>
            <w:r w:rsidRPr="00B75CA6">
              <w:rPr>
                <w:b w:val="0"/>
                <w:color w:val="000000" w:themeColor="text1"/>
              </w:rPr>
              <w:t xml:space="preserve">= </w:t>
            </w:r>
            <w:r>
              <w:rPr>
                <w:b w:val="0"/>
                <w:color w:val="000000" w:themeColor="text1"/>
              </w:rPr>
              <w:t>96</w:t>
            </w:r>
          </w:p>
          <w:p w14:paraId="7B6CCF03" w14:textId="77777777" w:rsidR="00062F2C" w:rsidRPr="0000064A" w:rsidRDefault="00062F2C">
            <w:pPr>
              <w:pStyle w:val="Tabletext0"/>
              <w:jc w:val="left"/>
              <w:rPr>
                <w:bCs/>
                <w:color w:val="000000" w:themeColor="text1"/>
              </w:rPr>
            </w:pPr>
            <w:r w:rsidRPr="0000064A">
              <w:rPr>
                <w:bCs/>
                <w:color w:val="000000" w:themeColor="text1"/>
              </w:rPr>
              <w:t>(2 RCTs, 1 cohort, 4 case series)</w:t>
            </w:r>
          </w:p>
        </w:tc>
        <w:tc>
          <w:tcPr>
            <w:tcW w:w="1305" w:type="dxa"/>
          </w:tcPr>
          <w:p w14:paraId="184E9C2E" w14:textId="77777777" w:rsidR="00062F2C" w:rsidRPr="00F24441" w:rsidRDefault="00062F2C">
            <w:pPr>
              <w:pStyle w:val="Tabletext0"/>
              <w:jc w:val="left"/>
              <w:rPr>
                <w:rFonts w:cs="Cambria Math"/>
                <w:color w:val="C00000"/>
              </w:rPr>
            </w:pPr>
            <w:r w:rsidRPr="00F24441">
              <w:rPr>
                <w:rFonts w:ascii="Cambria Math" w:hAnsi="Cambria Math" w:cs="Cambria Math"/>
                <w:color w:val="00B050"/>
              </w:rPr>
              <w:t>⨁</w:t>
            </w:r>
            <w:r w:rsidRPr="00B75CA6">
              <w:rPr>
                <w:rFonts w:ascii="Cambria Math" w:hAnsi="Cambria Math" w:cs="Cambria Math"/>
                <w:color w:val="C00000"/>
              </w:rPr>
              <w:t>⨀⨀⨀</w:t>
            </w:r>
            <w:r w:rsidRPr="00F24441">
              <w:rPr>
                <w:rFonts w:cs="Cambria Math"/>
                <w:color w:val="C00000"/>
              </w:rPr>
              <w:t xml:space="preserve"> </w:t>
            </w:r>
          </w:p>
          <w:p w14:paraId="1ACA4E61" w14:textId="77777777" w:rsidR="00062F2C" w:rsidRPr="00F24441" w:rsidRDefault="00062F2C">
            <w:pPr>
              <w:pStyle w:val="Tabletext0"/>
              <w:jc w:val="left"/>
            </w:pPr>
            <w:r w:rsidRPr="00F24441">
              <w:rPr>
                <w:rFonts w:cs="Arial"/>
              </w:rPr>
              <w:t xml:space="preserve">Very low </w:t>
            </w:r>
          </w:p>
        </w:tc>
        <w:tc>
          <w:tcPr>
            <w:tcW w:w="1559" w:type="dxa"/>
          </w:tcPr>
          <w:p w14:paraId="5E2DA585" w14:textId="77777777" w:rsidR="00062F2C" w:rsidRPr="006D07B0" w:rsidRDefault="00062F2C">
            <w:pPr>
              <w:pStyle w:val="Tabletext0"/>
              <w:jc w:val="left"/>
              <w:rPr>
                <w:i/>
                <w:vertAlign w:val="superscript"/>
              </w:rPr>
            </w:pPr>
            <w:proofErr w:type="spellStart"/>
            <w:r w:rsidRPr="006D07B0">
              <w:rPr>
                <w:i/>
              </w:rPr>
              <w:t>High</w:t>
            </w:r>
            <w:r w:rsidRPr="006D07B0">
              <w:rPr>
                <w:i/>
                <w:vertAlign w:val="superscript"/>
              </w:rPr>
              <w:t>a</w:t>
            </w:r>
            <w:proofErr w:type="spellEnd"/>
          </w:p>
          <w:p w14:paraId="1833C7B2" w14:textId="77777777" w:rsidR="00062F2C" w:rsidRPr="006D07B0" w:rsidRDefault="00062F2C">
            <w:pPr>
              <w:pStyle w:val="Tabletext0"/>
              <w:jc w:val="left"/>
              <w:rPr>
                <w:i/>
                <w:vertAlign w:val="superscript"/>
              </w:rPr>
            </w:pPr>
            <w:proofErr w:type="spellStart"/>
            <w:r>
              <w:rPr>
                <w:i/>
              </w:rPr>
              <w:t>Serious</w:t>
            </w:r>
            <w:r w:rsidRPr="006D07B0">
              <w:rPr>
                <w:i/>
                <w:vertAlign w:val="superscript"/>
              </w:rPr>
              <w:t>b</w:t>
            </w:r>
            <w:proofErr w:type="spellEnd"/>
          </w:p>
          <w:p w14:paraId="1580AC1E" w14:textId="77777777" w:rsidR="00062F2C" w:rsidRPr="006D07B0" w:rsidRDefault="00062F2C">
            <w:pPr>
              <w:pStyle w:val="Tabletext0"/>
              <w:jc w:val="left"/>
              <w:rPr>
                <w:i/>
                <w:vertAlign w:val="superscript"/>
              </w:rPr>
            </w:pPr>
            <w:r>
              <w:rPr>
                <w:i/>
              </w:rPr>
              <w:t>Poor</w:t>
            </w:r>
            <w:r w:rsidRPr="006D07B0">
              <w:rPr>
                <w:i/>
                <w:vertAlign w:val="superscript"/>
              </w:rPr>
              <w:t>c</w:t>
            </w:r>
          </w:p>
          <w:p w14:paraId="0457B413" w14:textId="77777777" w:rsidR="00062F2C" w:rsidRPr="00F24441" w:rsidRDefault="00062F2C">
            <w:pPr>
              <w:pStyle w:val="Tabletext0"/>
              <w:jc w:val="left"/>
              <w:rPr>
                <w:i/>
              </w:rPr>
            </w:pPr>
            <w:proofErr w:type="spellStart"/>
            <w:r w:rsidRPr="006D07B0">
              <w:rPr>
                <w:i/>
              </w:rPr>
              <w:t>Acceptable</w:t>
            </w:r>
            <w:r w:rsidRPr="006D07B0">
              <w:rPr>
                <w:i/>
                <w:vertAlign w:val="superscript"/>
              </w:rPr>
              <w:t>d</w:t>
            </w:r>
            <w:proofErr w:type="spellEnd"/>
            <w:r w:rsidRPr="006D07B0" w:rsidDel="00555815">
              <w:rPr>
                <w:i/>
              </w:rPr>
              <w:t xml:space="preserve"> </w:t>
            </w:r>
          </w:p>
        </w:tc>
        <w:tc>
          <w:tcPr>
            <w:tcW w:w="2948" w:type="dxa"/>
          </w:tcPr>
          <w:p w14:paraId="33A3E0B8" w14:textId="09A84BE3" w:rsidR="00062F2C" w:rsidRPr="00F24441" w:rsidRDefault="00062F2C">
            <w:pPr>
              <w:pStyle w:val="Tabletext0"/>
              <w:jc w:val="left"/>
            </w:pPr>
            <w:r>
              <w:t>Small improvements in HAM-A.</w:t>
            </w:r>
            <w:r w:rsidR="00744EDA">
              <w:t xml:space="preserve"> </w:t>
            </w:r>
            <w:r>
              <w:t>DASS-A, and STAI scores compared to baseline scores.</w:t>
            </w:r>
          </w:p>
        </w:tc>
      </w:tr>
      <w:tr w:rsidR="00062F2C" w:rsidRPr="00CE28E3" w14:paraId="4A775F17" w14:textId="77777777" w:rsidTr="00851AD2">
        <w:trPr>
          <w:cantSplit/>
          <w:trHeight w:val="70"/>
        </w:trPr>
        <w:tc>
          <w:tcPr>
            <w:tcW w:w="1951" w:type="dxa"/>
          </w:tcPr>
          <w:p w14:paraId="1FE672E3" w14:textId="77777777" w:rsidR="00062F2C" w:rsidRPr="00F24441" w:rsidRDefault="00062F2C">
            <w:pPr>
              <w:pStyle w:val="Tabletext0"/>
              <w:jc w:val="left"/>
            </w:pPr>
            <w:r w:rsidRPr="00F24441">
              <w:t>Suicide</w:t>
            </w:r>
          </w:p>
        </w:tc>
        <w:tc>
          <w:tcPr>
            <w:tcW w:w="1559" w:type="dxa"/>
          </w:tcPr>
          <w:p w14:paraId="66D23B1D" w14:textId="77777777" w:rsidR="00062F2C" w:rsidRPr="005341FA" w:rsidRDefault="00062F2C">
            <w:pPr>
              <w:pStyle w:val="Tabletext0"/>
              <w:jc w:val="left"/>
              <w:rPr>
                <w:b/>
                <w:color w:val="000000" w:themeColor="text1"/>
              </w:rPr>
            </w:pPr>
            <w:r w:rsidRPr="005341FA">
              <w:rPr>
                <w:bCs/>
              </w:rPr>
              <w:t>N</w:t>
            </w:r>
            <w:r>
              <w:rPr>
                <w:bCs/>
              </w:rPr>
              <w:t xml:space="preserve"> </w:t>
            </w:r>
            <w:r w:rsidRPr="005341FA">
              <w:rPr>
                <w:bCs/>
                <w:color w:val="000000" w:themeColor="text1"/>
              </w:rPr>
              <w:t xml:space="preserve">= </w:t>
            </w:r>
            <w:r>
              <w:rPr>
                <w:bCs/>
                <w:color w:val="000000" w:themeColor="text1"/>
              </w:rPr>
              <w:t>227</w:t>
            </w:r>
          </w:p>
          <w:p w14:paraId="2A32C0C5" w14:textId="77777777" w:rsidR="00062F2C" w:rsidRPr="00F24441" w:rsidRDefault="00062F2C">
            <w:pPr>
              <w:pStyle w:val="Tabletext0"/>
              <w:jc w:val="left"/>
              <w:rPr>
                <w:color w:val="000000" w:themeColor="text1"/>
              </w:rPr>
            </w:pPr>
            <w:r w:rsidRPr="005341FA">
              <w:rPr>
                <w:bCs/>
                <w:color w:val="000000" w:themeColor="text1"/>
              </w:rPr>
              <w:t>(</w:t>
            </w:r>
            <w:r>
              <w:rPr>
                <w:bCs/>
                <w:color w:val="000000" w:themeColor="text1"/>
              </w:rPr>
              <w:t>5 RCTs, 2</w:t>
            </w:r>
            <w:r w:rsidRPr="005341FA">
              <w:rPr>
                <w:bCs/>
                <w:color w:val="000000" w:themeColor="text1"/>
              </w:rPr>
              <w:t xml:space="preserve"> </w:t>
            </w:r>
            <w:r>
              <w:rPr>
                <w:bCs/>
                <w:color w:val="000000" w:themeColor="text1"/>
              </w:rPr>
              <w:t xml:space="preserve">cohort, 4 </w:t>
            </w:r>
            <w:r w:rsidRPr="005341FA">
              <w:rPr>
                <w:bCs/>
                <w:color w:val="000000" w:themeColor="text1"/>
              </w:rPr>
              <w:t>case series)</w:t>
            </w:r>
          </w:p>
        </w:tc>
        <w:tc>
          <w:tcPr>
            <w:tcW w:w="1305" w:type="dxa"/>
          </w:tcPr>
          <w:p w14:paraId="781A1B5B" w14:textId="77777777" w:rsidR="00062F2C" w:rsidRPr="00F24441" w:rsidRDefault="00062F2C">
            <w:pPr>
              <w:pStyle w:val="Tabletext0"/>
              <w:jc w:val="left"/>
              <w:rPr>
                <w:rFonts w:cs="Cambria Math"/>
                <w:color w:val="C00000"/>
              </w:rPr>
            </w:pPr>
            <w:r w:rsidRPr="00F24441">
              <w:rPr>
                <w:rFonts w:ascii="Cambria Math" w:hAnsi="Cambria Math" w:cs="Cambria Math"/>
                <w:color w:val="00B050"/>
              </w:rPr>
              <w:t>⨁</w:t>
            </w:r>
            <w:r w:rsidRPr="00EA5D78">
              <w:rPr>
                <w:rFonts w:ascii="Cambria Math" w:hAnsi="Cambria Math" w:cs="Cambria Math"/>
                <w:bCs/>
                <w:color w:val="C00000"/>
              </w:rPr>
              <w:t>⨀⨀⨀</w:t>
            </w:r>
            <w:r w:rsidRPr="00F24441">
              <w:rPr>
                <w:rFonts w:cs="Cambria Math"/>
                <w:color w:val="C00000"/>
              </w:rPr>
              <w:t xml:space="preserve"> </w:t>
            </w:r>
          </w:p>
          <w:p w14:paraId="1C987170" w14:textId="77777777" w:rsidR="00062F2C" w:rsidRPr="00F24441" w:rsidRDefault="00062F2C">
            <w:pPr>
              <w:pStyle w:val="Tabletext0"/>
              <w:jc w:val="left"/>
            </w:pPr>
            <w:r w:rsidRPr="00F24441">
              <w:rPr>
                <w:rFonts w:cs="Arial"/>
              </w:rPr>
              <w:t xml:space="preserve">Very low </w:t>
            </w:r>
          </w:p>
        </w:tc>
        <w:tc>
          <w:tcPr>
            <w:tcW w:w="1559" w:type="dxa"/>
          </w:tcPr>
          <w:p w14:paraId="1F44A770" w14:textId="77777777" w:rsidR="00062F2C" w:rsidRPr="006D07B0" w:rsidRDefault="00062F2C">
            <w:pPr>
              <w:pStyle w:val="Tabletext0"/>
              <w:jc w:val="left"/>
              <w:rPr>
                <w:i/>
                <w:vertAlign w:val="superscript"/>
              </w:rPr>
            </w:pPr>
            <w:proofErr w:type="spellStart"/>
            <w:r w:rsidRPr="006D07B0">
              <w:rPr>
                <w:i/>
              </w:rPr>
              <w:t>High</w:t>
            </w:r>
            <w:r w:rsidRPr="006D07B0">
              <w:rPr>
                <w:i/>
                <w:vertAlign w:val="superscript"/>
              </w:rPr>
              <w:t>a</w:t>
            </w:r>
            <w:proofErr w:type="spellEnd"/>
          </w:p>
          <w:p w14:paraId="27D82DAF" w14:textId="77777777" w:rsidR="00062F2C" w:rsidRPr="006D07B0" w:rsidRDefault="00062F2C">
            <w:pPr>
              <w:pStyle w:val="Tabletext0"/>
              <w:jc w:val="left"/>
              <w:rPr>
                <w:i/>
                <w:vertAlign w:val="superscript"/>
              </w:rPr>
            </w:pPr>
            <w:proofErr w:type="spellStart"/>
            <w:r>
              <w:rPr>
                <w:i/>
              </w:rPr>
              <w:t>Serious</w:t>
            </w:r>
            <w:r w:rsidRPr="006D07B0">
              <w:rPr>
                <w:i/>
                <w:vertAlign w:val="superscript"/>
              </w:rPr>
              <w:t>b</w:t>
            </w:r>
            <w:proofErr w:type="spellEnd"/>
          </w:p>
          <w:p w14:paraId="2B5D5CAE" w14:textId="77777777" w:rsidR="00062F2C" w:rsidRPr="006D07B0" w:rsidRDefault="00062F2C">
            <w:pPr>
              <w:pStyle w:val="Tabletext0"/>
              <w:jc w:val="left"/>
              <w:rPr>
                <w:i/>
                <w:vertAlign w:val="superscript"/>
              </w:rPr>
            </w:pPr>
            <w:r>
              <w:rPr>
                <w:i/>
              </w:rPr>
              <w:t>Poor</w:t>
            </w:r>
            <w:r w:rsidRPr="006D07B0">
              <w:rPr>
                <w:i/>
                <w:vertAlign w:val="superscript"/>
              </w:rPr>
              <w:t>c</w:t>
            </w:r>
          </w:p>
          <w:p w14:paraId="37B94B57" w14:textId="77777777" w:rsidR="00062F2C" w:rsidRPr="00F24441" w:rsidRDefault="00062F2C">
            <w:pPr>
              <w:pStyle w:val="Tabletext0"/>
              <w:jc w:val="left"/>
              <w:rPr>
                <w:i/>
              </w:rPr>
            </w:pPr>
            <w:proofErr w:type="spellStart"/>
            <w:r w:rsidRPr="006D07B0">
              <w:rPr>
                <w:i/>
              </w:rPr>
              <w:t>Acceptable</w:t>
            </w:r>
            <w:r w:rsidRPr="006D07B0">
              <w:rPr>
                <w:i/>
                <w:vertAlign w:val="superscript"/>
              </w:rPr>
              <w:t>d</w:t>
            </w:r>
            <w:proofErr w:type="spellEnd"/>
          </w:p>
        </w:tc>
        <w:tc>
          <w:tcPr>
            <w:tcW w:w="2948" w:type="dxa"/>
          </w:tcPr>
          <w:p w14:paraId="5A8C110F" w14:textId="77777777" w:rsidR="00062F2C" w:rsidRPr="00F24441" w:rsidRDefault="00062F2C">
            <w:pPr>
              <w:pStyle w:val="Tabletext0"/>
              <w:jc w:val="left"/>
            </w:pPr>
            <w:r>
              <w:t>No obvious increase in suicide, suicidal thoughts and/or ideations because of DBS treatment.</w:t>
            </w:r>
          </w:p>
        </w:tc>
      </w:tr>
      <w:tr w:rsidR="00062F2C" w:rsidRPr="00CE28E3" w14:paraId="5E20F639" w14:textId="77777777" w:rsidTr="00851AD2">
        <w:trPr>
          <w:cantSplit/>
          <w:trHeight w:val="70"/>
        </w:trPr>
        <w:tc>
          <w:tcPr>
            <w:tcW w:w="1951" w:type="dxa"/>
          </w:tcPr>
          <w:p w14:paraId="6087CBBF" w14:textId="77777777" w:rsidR="00062F2C" w:rsidRPr="00F24441" w:rsidRDefault="00062F2C">
            <w:pPr>
              <w:pStyle w:val="Tabletext0"/>
              <w:jc w:val="left"/>
            </w:pPr>
            <w:r w:rsidRPr="00F24441">
              <w:t>Quality of life</w:t>
            </w:r>
          </w:p>
          <w:p w14:paraId="54A048C9" w14:textId="77777777" w:rsidR="00062F2C" w:rsidRPr="00F24441" w:rsidRDefault="00062F2C">
            <w:pPr>
              <w:pStyle w:val="Tabletext0"/>
              <w:jc w:val="left"/>
            </w:pPr>
          </w:p>
        </w:tc>
        <w:tc>
          <w:tcPr>
            <w:tcW w:w="1559" w:type="dxa"/>
          </w:tcPr>
          <w:p w14:paraId="24151E2A" w14:textId="77777777" w:rsidR="00062F2C" w:rsidRDefault="00062F2C">
            <w:pPr>
              <w:pStyle w:val="Tabletext0"/>
              <w:jc w:val="left"/>
              <w:rPr>
                <w:bCs/>
              </w:rPr>
            </w:pPr>
            <w:r>
              <w:rPr>
                <w:bCs/>
              </w:rPr>
              <w:t>N = 80</w:t>
            </w:r>
          </w:p>
          <w:p w14:paraId="5932EE40" w14:textId="77777777" w:rsidR="00062F2C" w:rsidRPr="00F24441" w:rsidRDefault="00062F2C">
            <w:pPr>
              <w:pStyle w:val="Tabletext0"/>
              <w:jc w:val="left"/>
            </w:pPr>
            <w:r>
              <w:rPr>
                <w:bCs/>
              </w:rPr>
              <w:t>(2 RCTs, 2 cohort)</w:t>
            </w:r>
          </w:p>
        </w:tc>
        <w:tc>
          <w:tcPr>
            <w:tcW w:w="1305" w:type="dxa"/>
          </w:tcPr>
          <w:p w14:paraId="11EAE18C" w14:textId="77777777" w:rsidR="00062F2C" w:rsidRPr="00F24441" w:rsidRDefault="00062F2C">
            <w:pPr>
              <w:pStyle w:val="Tabletext0"/>
              <w:jc w:val="left"/>
              <w:rPr>
                <w:rFonts w:cs="Cambria Math"/>
                <w:color w:val="C00000"/>
              </w:rPr>
            </w:pPr>
            <w:r w:rsidRPr="00F24441">
              <w:rPr>
                <w:rFonts w:ascii="Cambria Math" w:hAnsi="Cambria Math" w:cs="Cambria Math"/>
                <w:color w:val="00B050"/>
              </w:rPr>
              <w:t>⨁</w:t>
            </w:r>
            <w:r w:rsidRPr="00F24441">
              <w:rPr>
                <w:rFonts w:ascii="Cambria Math" w:hAnsi="Cambria Math" w:cs="Cambria Math"/>
                <w:color w:val="C00000"/>
              </w:rPr>
              <w:t>⨀⨀⨀</w:t>
            </w:r>
            <w:r w:rsidRPr="00F24441">
              <w:rPr>
                <w:rFonts w:cs="Cambria Math"/>
                <w:color w:val="C00000"/>
              </w:rPr>
              <w:t xml:space="preserve"> </w:t>
            </w:r>
          </w:p>
          <w:p w14:paraId="7ADB7898" w14:textId="77777777" w:rsidR="00062F2C" w:rsidRPr="00F24441" w:rsidRDefault="00062F2C">
            <w:pPr>
              <w:pStyle w:val="Tabletext0"/>
              <w:jc w:val="left"/>
              <w:rPr>
                <w:color w:val="00B050"/>
              </w:rPr>
            </w:pPr>
            <w:r w:rsidRPr="00F24441">
              <w:rPr>
                <w:rFonts w:cs="Arial"/>
              </w:rPr>
              <w:t xml:space="preserve">Very low </w:t>
            </w:r>
          </w:p>
        </w:tc>
        <w:tc>
          <w:tcPr>
            <w:tcW w:w="1559" w:type="dxa"/>
          </w:tcPr>
          <w:p w14:paraId="50AE5D06" w14:textId="77777777" w:rsidR="00062F2C" w:rsidRPr="006D07B0" w:rsidRDefault="00062F2C">
            <w:pPr>
              <w:pStyle w:val="Tabletext0"/>
              <w:jc w:val="left"/>
              <w:rPr>
                <w:i/>
                <w:vertAlign w:val="superscript"/>
              </w:rPr>
            </w:pPr>
            <w:proofErr w:type="spellStart"/>
            <w:r w:rsidRPr="006D07B0">
              <w:rPr>
                <w:i/>
              </w:rPr>
              <w:t>High</w:t>
            </w:r>
            <w:r w:rsidRPr="006D07B0">
              <w:rPr>
                <w:i/>
                <w:vertAlign w:val="superscript"/>
              </w:rPr>
              <w:t>a</w:t>
            </w:r>
            <w:proofErr w:type="spellEnd"/>
          </w:p>
          <w:p w14:paraId="4C33881F" w14:textId="77777777" w:rsidR="00062F2C" w:rsidRPr="006D07B0" w:rsidRDefault="00062F2C">
            <w:pPr>
              <w:pStyle w:val="Tabletext0"/>
              <w:jc w:val="left"/>
              <w:rPr>
                <w:i/>
                <w:vertAlign w:val="superscript"/>
              </w:rPr>
            </w:pPr>
            <w:proofErr w:type="spellStart"/>
            <w:r>
              <w:rPr>
                <w:i/>
              </w:rPr>
              <w:t>Serious</w:t>
            </w:r>
            <w:r w:rsidRPr="006D07B0">
              <w:rPr>
                <w:i/>
                <w:vertAlign w:val="superscript"/>
              </w:rPr>
              <w:t>b</w:t>
            </w:r>
            <w:proofErr w:type="spellEnd"/>
          </w:p>
          <w:p w14:paraId="6FF9D80A" w14:textId="77777777" w:rsidR="00062F2C" w:rsidRPr="006D07B0" w:rsidRDefault="00062F2C">
            <w:pPr>
              <w:pStyle w:val="Tabletext0"/>
              <w:jc w:val="left"/>
              <w:rPr>
                <w:i/>
                <w:vertAlign w:val="superscript"/>
              </w:rPr>
            </w:pPr>
            <w:r>
              <w:rPr>
                <w:i/>
              </w:rPr>
              <w:t>Poor</w:t>
            </w:r>
            <w:r w:rsidRPr="006D07B0">
              <w:rPr>
                <w:i/>
                <w:vertAlign w:val="superscript"/>
              </w:rPr>
              <w:t>c</w:t>
            </w:r>
          </w:p>
          <w:p w14:paraId="5EE1DC1C" w14:textId="77777777" w:rsidR="00062F2C" w:rsidRPr="00F24441" w:rsidRDefault="00062F2C">
            <w:pPr>
              <w:pStyle w:val="Tabletext0"/>
              <w:jc w:val="left"/>
              <w:rPr>
                <w:i/>
              </w:rPr>
            </w:pPr>
          </w:p>
        </w:tc>
        <w:tc>
          <w:tcPr>
            <w:tcW w:w="2948" w:type="dxa"/>
          </w:tcPr>
          <w:p w14:paraId="19C60E58" w14:textId="409B2C12" w:rsidR="00062F2C" w:rsidRPr="00F24441" w:rsidRDefault="00062F2C">
            <w:pPr>
              <w:pStyle w:val="Tabletext0"/>
              <w:jc w:val="left"/>
            </w:pPr>
            <w:r w:rsidRPr="00930FE9">
              <w:rPr>
                <w:bCs/>
              </w:rPr>
              <w:t>DBS showed a significant improvement in ‘vitality’ domain of SF-</w:t>
            </w:r>
            <w:proofErr w:type="gramStart"/>
            <w:r w:rsidRPr="00930FE9">
              <w:rPr>
                <w:bCs/>
              </w:rPr>
              <w:t>36</w:t>
            </w:r>
            <w:r>
              <w:rPr>
                <w:bCs/>
              </w:rPr>
              <w:t>, and</w:t>
            </w:r>
            <w:proofErr w:type="gramEnd"/>
            <w:r>
              <w:rPr>
                <w:bCs/>
              </w:rPr>
              <w:t xml:space="preserve"> showed some improvements in WHOQOL BREF and EQ-5D scales</w:t>
            </w:r>
            <w:r w:rsidR="00466F86">
              <w:rPr>
                <w:bCs/>
              </w:rPr>
              <w:t>.</w:t>
            </w:r>
          </w:p>
        </w:tc>
      </w:tr>
      <w:tr w:rsidR="00062F2C" w:rsidRPr="00CE28E3" w14:paraId="61D158C4" w14:textId="77777777" w:rsidTr="00851AD2">
        <w:trPr>
          <w:cantSplit/>
          <w:trHeight w:val="70"/>
        </w:trPr>
        <w:tc>
          <w:tcPr>
            <w:tcW w:w="1951" w:type="dxa"/>
          </w:tcPr>
          <w:p w14:paraId="3192C1A6" w14:textId="77777777" w:rsidR="00062F2C" w:rsidRPr="00F24441" w:rsidRDefault="00062F2C">
            <w:pPr>
              <w:pStyle w:val="Tabletext0"/>
              <w:jc w:val="left"/>
            </w:pPr>
            <w:r w:rsidRPr="00F24441">
              <w:t>Medication and psychotherapy requirements</w:t>
            </w:r>
          </w:p>
        </w:tc>
        <w:tc>
          <w:tcPr>
            <w:tcW w:w="1559" w:type="dxa"/>
          </w:tcPr>
          <w:p w14:paraId="661BC815" w14:textId="77777777" w:rsidR="00062F2C" w:rsidRDefault="00062F2C">
            <w:pPr>
              <w:pStyle w:val="Tabletext0"/>
              <w:jc w:val="left"/>
              <w:rPr>
                <w:bCs/>
              </w:rPr>
            </w:pPr>
            <w:r>
              <w:rPr>
                <w:bCs/>
              </w:rPr>
              <w:t>N = 120</w:t>
            </w:r>
          </w:p>
          <w:p w14:paraId="52D7B21B" w14:textId="77777777" w:rsidR="00062F2C" w:rsidRPr="00F24441" w:rsidRDefault="00062F2C">
            <w:pPr>
              <w:pStyle w:val="Tabletext0"/>
              <w:jc w:val="left"/>
            </w:pPr>
            <w:r>
              <w:rPr>
                <w:bCs/>
              </w:rPr>
              <w:t>(1 cohort, 1 case series)</w:t>
            </w:r>
          </w:p>
        </w:tc>
        <w:tc>
          <w:tcPr>
            <w:tcW w:w="1305" w:type="dxa"/>
          </w:tcPr>
          <w:p w14:paraId="37D8A5E7" w14:textId="77777777" w:rsidR="00062F2C" w:rsidRPr="00F24441" w:rsidRDefault="00062F2C">
            <w:pPr>
              <w:pStyle w:val="Tabletext0"/>
              <w:jc w:val="left"/>
              <w:rPr>
                <w:rFonts w:cs="Cambria Math"/>
                <w:color w:val="C00000"/>
              </w:rPr>
            </w:pPr>
            <w:r w:rsidRPr="00F24441">
              <w:rPr>
                <w:rFonts w:ascii="Cambria Math" w:hAnsi="Cambria Math" w:cs="Cambria Math"/>
                <w:color w:val="00B050"/>
              </w:rPr>
              <w:t>⨁</w:t>
            </w:r>
            <w:r w:rsidRPr="00F24441">
              <w:rPr>
                <w:rFonts w:ascii="Cambria Math" w:hAnsi="Cambria Math" w:cs="Cambria Math"/>
                <w:color w:val="C00000"/>
              </w:rPr>
              <w:t>⨀⨀⨀</w:t>
            </w:r>
            <w:r w:rsidRPr="00F24441">
              <w:rPr>
                <w:rFonts w:cs="Cambria Math"/>
                <w:color w:val="C00000"/>
              </w:rPr>
              <w:t xml:space="preserve"> </w:t>
            </w:r>
          </w:p>
          <w:p w14:paraId="0D615E92" w14:textId="77777777" w:rsidR="00062F2C" w:rsidRPr="00F24441" w:rsidRDefault="00062F2C">
            <w:pPr>
              <w:pStyle w:val="Tabletext0"/>
              <w:jc w:val="left"/>
              <w:rPr>
                <w:color w:val="00B050"/>
              </w:rPr>
            </w:pPr>
            <w:r w:rsidRPr="00F24441">
              <w:rPr>
                <w:rFonts w:cs="Arial"/>
              </w:rPr>
              <w:t xml:space="preserve">Very low </w:t>
            </w:r>
          </w:p>
        </w:tc>
        <w:tc>
          <w:tcPr>
            <w:tcW w:w="1559" w:type="dxa"/>
          </w:tcPr>
          <w:p w14:paraId="6B75BDBC" w14:textId="77777777" w:rsidR="00062F2C" w:rsidRPr="006D07B0" w:rsidRDefault="00062F2C">
            <w:pPr>
              <w:pStyle w:val="Tabletext0"/>
              <w:jc w:val="left"/>
              <w:rPr>
                <w:i/>
                <w:vertAlign w:val="superscript"/>
              </w:rPr>
            </w:pPr>
            <w:r>
              <w:rPr>
                <w:i/>
              </w:rPr>
              <w:t>Poor</w:t>
            </w:r>
            <w:r w:rsidRPr="006D07B0">
              <w:rPr>
                <w:i/>
                <w:vertAlign w:val="superscript"/>
              </w:rPr>
              <w:t>c</w:t>
            </w:r>
          </w:p>
          <w:p w14:paraId="1EFCC611" w14:textId="77777777" w:rsidR="00062F2C" w:rsidRPr="00F24441" w:rsidRDefault="00062F2C">
            <w:pPr>
              <w:pStyle w:val="Tabletext0"/>
              <w:jc w:val="left"/>
              <w:rPr>
                <w:i/>
              </w:rPr>
            </w:pPr>
            <w:proofErr w:type="spellStart"/>
            <w:r w:rsidRPr="006D07B0">
              <w:rPr>
                <w:i/>
              </w:rPr>
              <w:t>Acceptable</w:t>
            </w:r>
            <w:r w:rsidRPr="006D07B0">
              <w:rPr>
                <w:i/>
                <w:vertAlign w:val="superscript"/>
              </w:rPr>
              <w:t>d</w:t>
            </w:r>
            <w:proofErr w:type="spellEnd"/>
            <w:r w:rsidDel="0000064A">
              <w:rPr>
                <w:i/>
              </w:rPr>
              <w:t xml:space="preserve"> </w:t>
            </w:r>
          </w:p>
        </w:tc>
        <w:tc>
          <w:tcPr>
            <w:tcW w:w="2948" w:type="dxa"/>
          </w:tcPr>
          <w:p w14:paraId="62473BE3" w14:textId="77777777" w:rsidR="00062F2C" w:rsidRPr="00F24441" w:rsidRDefault="00062F2C">
            <w:pPr>
              <w:pStyle w:val="Tabletext0"/>
              <w:jc w:val="left"/>
            </w:pPr>
            <w:r w:rsidRPr="00F24441">
              <w:t>No obvious difference</w:t>
            </w:r>
            <w:r>
              <w:t>s</w:t>
            </w:r>
            <w:r w:rsidRPr="00F24441">
              <w:t xml:space="preserve"> between </w:t>
            </w:r>
            <w:r>
              <w:t>DBS and no DBS reported.</w:t>
            </w:r>
          </w:p>
        </w:tc>
      </w:tr>
      <w:tr w:rsidR="00062F2C" w:rsidRPr="00CE28E3" w14:paraId="7854F009" w14:textId="77777777" w:rsidTr="00851AD2">
        <w:trPr>
          <w:cantSplit/>
          <w:trHeight w:val="70"/>
        </w:trPr>
        <w:tc>
          <w:tcPr>
            <w:tcW w:w="1951" w:type="dxa"/>
          </w:tcPr>
          <w:p w14:paraId="37474739" w14:textId="77777777" w:rsidR="00062F2C" w:rsidRPr="00F24441" w:rsidRDefault="00062F2C">
            <w:pPr>
              <w:pStyle w:val="Tabletext0"/>
              <w:jc w:val="left"/>
            </w:pPr>
            <w:r w:rsidRPr="00F24441">
              <w:t>Employment</w:t>
            </w:r>
          </w:p>
        </w:tc>
        <w:tc>
          <w:tcPr>
            <w:tcW w:w="1559" w:type="dxa"/>
          </w:tcPr>
          <w:p w14:paraId="44841E63" w14:textId="77777777" w:rsidR="00062F2C" w:rsidRDefault="00062F2C">
            <w:pPr>
              <w:pStyle w:val="Tabletext0"/>
              <w:jc w:val="left"/>
              <w:rPr>
                <w:bCs/>
              </w:rPr>
            </w:pPr>
            <w:r>
              <w:rPr>
                <w:bCs/>
              </w:rPr>
              <w:t>N = 26</w:t>
            </w:r>
          </w:p>
          <w:p w14:paraId="1B8E9D26" w14:textId="77777777" w:rsidR="00062F2C" w:rsidRPr="00F24441" w:rsidRDefault="00062F2C">
            <w:pPr>
              <w:pStyle w:val="Tabletext0"/>
              <w:jc w:val="left"/>
            </w:pPr>
            <w:r>
              <w:rPr>
                <w:bCs/>
              </w:rPr>
              <w:t>(1 case series)</w:t>
            </w:r>
          </w:p>
        </w:tc>
        <w:tc>
          <w:tcPr>
            <w:tcW w:w="1305" w:type="dxa"/>
          </w:tcPr>
          <w:p w14:paraId="492F84D5" w14:textId="77777777" w:rsidR="00062F2C" w:rsidRPr="00F24441" w:rsidRDefault="00062F2C">
            <w:pPr>
              <w:pStyle w:val="Tabletext0"/>
              <w:jc w:val="left"/>
            </w:pPr>
            <w:r w:rsidRPr="00F24441">
              <w:t>No judgement</w:t>
            </w:r>
          </w:p>
        </w:tc>
        <w:tc>
          <w:tcPr>
            <w:tcW w:w="1559" w:type="dxa"/>
          </w:tcPr>
          <w:p w14:paraId="3F07CAE7" w14:textId="77777777" w:rsidR="00062F2C" w:rsidRPr="00F24441" w:rsidRDefault="00062F2C">
            <w:pPr>
              <w:pStyle w:val="Tabletext0"/>
              <w:jc w:val="left"/>
            </w:pPr>
            <w:proofErr w:type="spellStart"/>
            <w:r w:rsidRPr="006D07B0">
              <w:rPr>
                <w:i/>
              </w:rPr>
              <w:t>Acceptable</w:t>
            </w:r>
            <w:r w:rsidRPr="006D07B0">
              <w:rPr>
                <w:i/>
                <w:vertAlign w:val="superscript"/>
              </w:rPr>
              <w:t>d</w:t>
            </w:r>
            <w:proofErr w:type="spellEnd"/>
            <w:r w:rsidRPr="00F24441" w:rsidDel="0000064A">
              <w:t xml:space="preserve"> </w:t>
            </w:r>
          </w:p>
        </w:tc>
        <w:tc>
          <w:tcPr>
            <w:tcW w:w="2948" w:type="dxa"/>
          </w:tcPr>
          <w:p w14:paraId="28FFCC7F" w14:textId="77777777" w:rsidR="00062F2C" w:rsidRPr="0076502B" w:rsidRDefault="00062F2C">
            <w:pPr>
              <w:pStyle w:val="Tabletext0"/>
              <w:jc w:val="left"/>
            </w:pPr>
            <w:r>
              <w:rPr>
                <w:bCs/>
              </w:rPr>
              <w:t>One study reported 60% had a positive change in school or work participation by 36 months.</w:t>
            </w:r>
          </w:p>
        </w:tc>
      </w:tr>
    </w:tbl>
    <w:p w14:paraId="6D89898B" w14:textId="0CA75A88" w:rsidR="00062F2C" w:rsidRDefault="00062F2C" w:rsidP="00062F2C">
      <w:pPr>
        <w:pStyle w:val="Tablenotes0"/>
        <w:spacing w:before="0" w:after="0" w:line="240" w:lineRule="auto"/>
      </w:pPr>
      <w:r>
        <w:t xml:space="preserve">Abbreviations: </w:t>
      </w:r>
      <w:r w:rsidR="0065045B">
        <w:t xml:space="preserve">AE= adverse event; </w:t>
      </w:r>
      <w:r>
        <w:t xml:space="preserve">BDI= Beck Depression Inventory; </w:t>
      </w:r>
      <w:r w:rsidR="005A5623">
        <w:t xml:space="preserve">CI= confidence interval; </w:t>
      </w:r>
      <w:r>
        <w:t>DASS-A/D= Depression/Anxiety Severity Scale; DBS= deep brain stimulation; EQ-5D= EuroQol-5Dimension Index; HAM-A/D= Hamilton Anxiety/Depression Scale; MADRS= Montgomery-</w:t>
      </w:r>
      <w:proofErr w:type="spellStart"/>
      <w:r>
        <w:t>Asberg</w:t>
      </w:r>
      <w:proofErr w:type="spellEnd"/>
      <w:r>
        <w:t xml:space="preserve"> Depression Rating Scale; </w:t>
      </w:r>
      <w:r w:rsidR="005A5623">
        <w:t>MD= mean difference</w:t>
      </w:r>
      <w:r w:rsidR="0065045B">
        <w:t>;</w:t>
      </w:r>
      <w:r w:rsidR="005A5623">
        <w:t xml:space="preserve"> </w:t>
      </w:r>
      <w:r>
        <w:t xml:space="preserve">N/n= number of participants; OCD= obsessive-compulsive disorder; RCT= randomised controlled trial; </w:t>
      </w:r>
      <w:r w:rsidR="005A5623">
        <w:t>RR= risk ratio</w:t>
      </w:r>
      <w:r w:rsidR="0065045B">
        <w:t xml:space="preserve">; SAE= serious adverse event; </w:t>
      </w:r>
      <w:r>
        <w:t>SF-36= short form survey for quality of life; STAI= State-Trait Anxiety Inventory; Y-BOCS= Yale-Brown Obsessive-Compulsive Scale</w:t>
      </w:r>
      <w:r>
        <w:rPr>
          <w:szCs w:val="18"/>
        </w:rPr>
        <w:t>; WHOWOL-BREF= World Health Organization</w:t>
      </w:r>
      <w:r w:rsidR="00F54789">
        <w:rPr>
          <w:szCs w:val="18"/>
        </w:rPr>
        <w:t>;</w:t>
      </w:r>
      <w:r>
        <w:rPr>
          <w:szCs w:val="18"/>
        </w:rPr>
        <w:t xml:space="preserve"> Quality of Life Scale.</w:t>
      </w:r>
    </w:p>
    <w:p w14:paraId="193751D2" w14:textId="79140AEA" w:rsidR="00E8391B" w:rsidRPr="005D0ACD" w:rsidRDefault="00E8391B" w:rsidP="009E1D0B">
      <w:pPr>
        <w:spacing w:after="120" w:line="240" w:lineRule="auto"/>
        <w:rPr>
          <w:rFonts w:ascii="Arial Narrow" w:hAnsi="Arial Narrow" w:cs="Arial"/>
          <w:sz w:val="18"/>
          <w:szCs w:val="18"/>
        </w:rPr>
      </w:pPr>
      <w:r w:rsidRPr="005D0ACD">
        <w:rPr>
          <w:rFonts w:ascii="Cambria Math" w:hAnsi="Cambria Math" w:cs="Cambria Math"/>
          <w:color w:val="00B050"/>
          <w:sz w:val="18"/>
          <w:szCs w:val="18"/>
        </w:rPr>
        <w:t>⨁⨁⨁⨁</w:t>
      </w:r>
      <w:r w:rsidRPr="005D0ACD">
        <w:rPr>
          <w:rFonts w:ascii="Arial Narrow" w:hAnsi="Arial Narrow"/>
          <w:color w:val="00B050"/>
          <w:sz w:val="18"/>
          <w:szCs w:val="18"/>
        </w:rPr>
        <w:t xml:space="preserve"> </w:t>
      </w:r>
      <w:r w:rsidRPr="00CE28E3">
        <w:rPr>
          <w:rFonts w:ascii="Arial Narrow" w:hAnsi="Arial Narrow" w:cs="Arial"/>
          <w:b/>
          <w:bCs/>
          <w:sz w:val="18"/>
          <w:szCs w:val="18"/>
        </w:rPr>
        <w:t>High quality:</w:t>
      </w:r>
      <w:r w:rsidRPr="00CE28E3">
        <w:rPr>
          <w:rFonts w:ascii="Arial Narrow" w:hAnsi="Arial Narrow" w:cs="Arial"/>
          <w:sz w:val="18"/>
          <w:szCs w:val="18"/>
        </w:rPr>
        <w:t xml:space="preserve"> We are very confident that the true effect lies close to that of the estimate of effect. </w:t>
      </w:r>
      <w:r w:rsidRPr="00CE28E3">
        <w:rPr>
          <w:rFonts w:ascii="Arial Narrow" w:hAnsi="Arial Narrow" w:cs="Arial"/>
          <w:sz w:val="18"/>
          <w:szCs w:val="18"/>
        </w:rPr>
        <w:br/>
      </w:r>
      <w:r w:rsidRPr="005D0ACD">
        <w:rPr>
          <w:rFonts w:ascii="Cambria Math" w:hAnsi="Cambria Math" w:cs="Cambria Math"/>
          <w:color w:val="00B050"/>
          <w:sz w:val="18"/>
          <w:szCs w:val="18"/>
        </w:rPr>
        <w:t>⨁⨁⨁</w:t>
      </w:r>
      <w:r w:rsidRPr="005D0ACD">
        <w:rPr>
          <w:rFonts w:ascii="Cambria Math" w:hAnsi="Cambria Math" w:cs="Cambria Math"/>
          <w:color w:val="C00000"/>
          <w:sz w:val="18"/>
          <w:szCs w:val="18"/>
        </w:rPr>
        <w:t>⨀</w:t>
      </w:r>
      <w:r w:rsidRPr="005D0ACD">
        <w:rPr>
          <w:rFonts w:ascii="Arial Narrow" w:hAnsi="Arial Narrow" w:cs="Cambria Math"/>
          <w:color w:val="C00000"/>
          <w:sz w:val="18"/>
          <w:szCs w:val="18"/>
        </w:rPr>
        <w:t xml:space="preserve"> </w:t>
      </w:r>
      <w:r w:rsidRPr="00CE28E3">
        <w:rPr>
          <w:rFonts w:ascii="Arial Narrow" w:hAnsi="Arial Narrow" w:cs="Arial"/>
          <w:b/>
          <w:bCs/>
          <w:sz w:val="18"/>
          <w:szCs w:val="18"/>
        </w:rPr>
        <w:t>Moderate quality:</w:t>
      </w:r>
      <w:r w:rsidRPr="00CE28E3">
        <w:rPr>
          <w:rFonts w:ascii="Arial Narrow" w:hAnsi="Arial Narrow" w:cs="Arial"/>
          <w:sz w:val="18"/>
          <w:szCs w:val="18"/>
        </w:rPr>
        <w:t xml:space="preserve"> We are moderately confident in the effect estimate: The true effect is likely to be close to the estimate of the effect, but there is a possibility that it is substantially different. </w:t>
      </w:r>
      <w:r w:rsidRPr="00CE28E3">
        <w:rPr>
          <w:rFonts w:ascii="Arial Narrow" w:hAnsi="Arial Narrow" w:cs="Arial"/>
          <w:sz w:val="18"/>
          <w:szCs w:val="18"/>
        </w:rPr>
        <w:br/>
      </w:r>
      <w:r w:rsidRPr="005D0ACD">
        <w:rPr>
          <w:rFonts w:ascii="Cambria Math" w:hAnsi="Cambria Math" w:cs="Cambria Math"/>
          <w:color w:val="00B050"/>
          <w:sz w:val="18"/>
          <w:szCs w:val="18"/>
        </w:rPr>
        <w:t>⨁⨁</w:t>
      </w:r>
      <w:r w:rsidRPr="005D0ACD">
        <w:rPr>
          <w:rFonts w:ascii="Cambria Math" w:hAnsi="Cambria Math" w:cs="Cambria Math"/>
          <w:color w:val="C00000"/>
          <w:sz w:val="18"/>
          <w:szCs w:val="18"/>
        </w:rPr>
        <w:t>⨀⨀</w:t>
      </w:r>
      <w:r w:rsidRPr="005D0ACD">
        <w:rPr>
          <w:rFonts w:ascii="Arial Narrow" w:hAnsi="Arial Narrow" w:cs="Cambria Math"/>
          <w:color w:val="C00000"/>
          <w:sz w:val="18"/>
          <w:szCs w:val="18"/>
        </w:rPr>
        <w:t xml:space="preserve"> </w:t>
      </w:r>
      <w:r w:rsidRPr="00CE28E3">
        <w:rPr>
          <w:rFonts w:ascii="Arial Narrow" w:hAnsi="Arial Narrow" w:cs="Arial"/>
          <w:b/>
          <w:bCs/>
          <w:sz w:val="18"/>
          <w:szCs w:val="18"/>
        </w:rPr>
        <w:t>Low quality:</w:t>
      </w:r>
      <w:r w:rsidRPr="00CE28E3">
        <w:rPr>
          <w:rFonts w:ascii="Arial Narrow" w:hAnsi="Arial Narrow" w:cs="Arial"/>
          <w:sz w:val="18"/>
          <w:szCs w:val="18"/>
        </w:rPr>
        <w:t xml:space="preserve"> Our confidence in the effect estimate is limited: The true effect may be substantially different from the estimate of the effect.</w:t>
      </w:r>
      <w:r w:rsidRPr="00CE28E3">
        <w:rPr>
          <w:rFonts w:ascii="Arial Narrow" w:hAnsi="Arial Narrow" w:cs="Arial"/>
          <w:sz w:val="18"/>
          <w:szCs w:val="18"/>
        </w:rPr>
        <w:br/>
      </w:r>
      <w:r w:rsidRPr="005D0ACD">
        <w:rPr>
          <w:rFonts w:ascii="Cambria Math" w:hAnsi="Cambria Math" w:cs="Cambria Math"/>
          <w:color w:val="00B050"/>
          <w:sz w:val="18"/>
          <w:szCs w:val="18"/>
        </w:rPr>
        <w:t>⨁</w:t>
      </w:r>
      <w:r w:rsidRPr="005D0ACD">
        <w:rPr>
          <w:rFonts w:ascii="Cambria Math" w:hAnsi="Cambria Math" w:cs="Cambria Math"/>
          <w:color w:val="C00000"/>
          <w:sz w:val="18"/>
          <w:szCs w:val="18"/>
        </w:rPr>
        <w:t>⨀⨀⨀</w:t>
      </w:r>
      <w:r w:rsidRPr="005D0ACD">
        <w:rPr>
          <w:rFonts w:ascii="Arial Narrow" w:hAnsi="Arial Narrow" w:cs="Cambria Math"/>
          <w:color w:val="C00000"/>
          <w:sz w:val="18"/>
          <w:szCs w:val="18"/>
        </w:rPr>
        <w:t xml:space="preserve"> </w:t>
      </w:r>
      <w:r w:rsidRPr="00CE28E3">
        <w:rPr>
          <w:rFonts w:ascii="Arial Narrow" w:hAnsi="Arial Narrow" w:cs="Arial"/>
          <w:b/>
          <w:bCs/>
          <w:sz w:val="18"/>
          <w:szCs w:val="18"/>
        </w:rPr>
        <w:t>Very low quality:</w:t>
      </w:r>
      <w:r w:rsidRPr="00CE28E3">
        <w:rPr>
          <w:rFonts w:ascii="Arial Narrow" w:hAnsi="Arial Narrow" w:cs="Arial"/>
          <w:sz w:val="18"/>
          <w:szCs w:val="18"/>
        </w:rPr>
        <w:t xml:space="preserve"> We have very little confidence in the effect estimate: The true effect is likely to be substantially different from the estimate of effect.</w:t>
      </w:r>
    </w:p>
    <w:p w14:paraId="1E17E33E" w14:textId="77777777" w:rsidR="00E8391B" w:rsidRDefault="00E8391B" w:rsidP="00E8391B">
      <w:pPr>
        <w:pStyle w:val="TableFigureFooter"/>
        <w:spacing w:before="0" w:after="0"/>
      </w:pPr>
      <w:r w:rsidRPr="6C3C32C4">
        <w:rPr>
          <w:vertAlign w:val="superscript"/>
        </w:rPr>
        <w:t>a</w:t>
      </w:r>
      <w:r>
        <w:t xml:space="preserve"> ROB 1.0 Cochrane risk of bias tool is rated per domain: low, unclear, high.</w:t>
      </w:r>
      <w:r>
        <w:br/>
      </w:r>
      <w:r w:rsidRPr="72A89F86">
        <w:rPr>
          <w:vertAlign w:val="superscript"/>
        </w:rPr>
        <w:t>b</w:t>
      </w:r>
      <w:r>
        <w:t xml:space="preserve"> ROBINS-I Tool assessment is out of: low, moderate, serious, critical, no information.</w:t>
      </w:r>
    </w:p>
    <w:p w14:paraId="15759106" w14:textId="77777777" w:rsidR="00E8391B" w:rsidRPr="00DB27F5" w:rsidRDefault="00E8391B" w:rsidP="00E8391B">
      <w:pPr>
        <w:pStyle w:val="TableFigureFooter"/>
        <w:spacing w:before="0" w:after="0"/>
      </w:pPr>
      <w:r w:rsidRPr="72A89F86">
        <w:rPr>
          <w:vertAlign w:val="superscript"/>
        </w:rPr>
        <w:t>c</w:t>
      </w:r>
      <w:r>
        <w:t xml:space="preserve"> Newcastle-Ottawa Scale (NOS) assessment is out </w:t>
      </w:r>
      <w:proofErr w:type="gramStart"/>
      <w:r>
        <w:t>of:</w:t>
      </w:r>
      <w:proofErr w:type="gramEnd"/>
      <w:r>
        <w:t xml:space="preserve"> good, fair, poor.</w:t>
      </w:r>
    </w:p>
    <w:p w14:paraId="29A8914D" w14:textId="6A20D8C2" w:rsidR="00062F2C" w:rsidRDefault="00E8391B" w:rsidP="00157174">
      <w:pPr>
        <w:pStyle w:val="TableFigureFooter"/>
        <w:spacing w:before="0" w:after="0"/>
      </w:pPr>
      <w:r w:rsidRPr="72A89F86">
        <w:rPr>
          <w:vertAlign w:val="superscript"/>
        </w:rPr>
        <w:t>d</w:t>
      </w:r>
      <w:r w:rsidRPr="00501D09">
        <w:t xml:space="preserve"> The Canada Institute of Health Economics (IHE) Quality Appraisal Tool for Case Seri</w:t>
      </w:r>
      <w:r>
        <w:t>es</w:t>
      </w:r>
      <w:r w:rsidRPr="00501D09">
        <w:t xml:space="preserve"> </w:t>
      </w:r>
      <w:r>
        <w:t xml:space="preserve">(Interventional) assessment if out </w:t>
      </w:r>
      <w:proofErr w:type="gramStart"/>
      <w:r>
        <w:t>of:</w:t>
      </w:r>
      <w:proofErr w:type="gramEnd"/>
      <w:r>
        <w:t xml:space="preserve"> acceptable or high risk.</w:t>
      </w:r>
    </w:p>
    <w:p w14:paraId="213924C6" w14:textId="11D5654C" w:rsidR="00772829" w:rsidRPr="00223664" w:rsidRDefault="00772829" w:rsidP="00223664">
      <w:pPr>
        <w:tabs>
          <w:tab w:val="left" w:pos="720"/>
          <w:tab w:val="left" w:pos="1140"/>
        </w:tabs>
        <w:spacing w:before="240" w:after="120"/>
        <w:rPr>
          <w:b/>
          <w:bCs/>
        </w:rPr>
      </w:pPr>
      <w:r w:rsidRPr="00CD46D0">
        <w:rPr>
          <w:b/>
        </w:rPr>
        <w:t>Clinical claim</w:t>
      </w:r>
    </w:p>
    <w:p w14:paraId="5C0F3030" w14:textId="77777777" w:rsidR="00250ED7" w:rsidRPr="00CE28E3" w:rsidRDefault="00250ED7" w:rsidP="00250ED7">
      <w:r w:rsidRPr="00CE28E3">
        <w:t xml:space="preserve">The use of </w:t>
      </w:r>
      <w:r>
        <w:t>DBS to the subcortex</w:t>
      </w:r>
      <w:r w:rsidRPr="00CE28E3">
        <w:t xml:space="preserve"> results in </w:t>
      </w:r>
      <w:r>
        <w:t>superior</w:t>
      </w:r>
      <w:r w:rsidRPr="00CE28E3">
        <w:t xml:space="preserve"> effectiveness compared wit</w:t>
      </w:r>
      <w:r w:rsidRPr="00FA6C26">
        <w:t xml:space="preserve">h </w:t>
      </w:r>
      <w:r w:rsidRPr="00833DC8">
        <w:t xml:space="preserve">continued standard of </w:t>
      </w:r>
      <w:r>
        <w:t>care in patients with severe treatment-refractor</w:t>
      </w:r>
      <w:r w:rsidRPr="00FA6C26">
        <w:t>y OCD</w:t>
      </w:r>
      <w:r w:rsidRPr="00833DC8">
        <w:t>.</w:t>
      </w:r>
    </w:p>
    <w:p w14:paraId="58C8AD26" w14:textId="4DB8962D" w:rsidR="00FC41D2" w:rsidRDefault="00250ED7" w:rsidP="00250ED7">
      <w:r w:rsidRPr="00CE28E3">
        <w:t xml:space="preserve">The use of </w:t>
      </w:r>
      <w:r>
        <w:t>DBS to the subcortex</w:t>
      </w:r>
      <w:r w:rsidRPr="00CE28E3">
        <w:t xml:space="preserve"> results in </w:t>
      </w:r>
      <w:r>
        <w:t>inferior</w:t>
      </w:r>
      <w:r w:rsidRPr="00CE28E3">
        <w:t xml:space="preserve"> </w:t>
      </w:r>
      <w:r>
        <w:t>safety</w:t>
      </w:r>
      <w:r w:rsidRPr="00CE28E3">
        <w:t xml:space="preserve"> compared wit</w:t>
      </w:r>
      <w:r w:rsidRPr="00FA6C26">
        <w:t xml:space="preserve">h </w:t>
      </w:r>
      <w:r w:rsidRPr="00833DC8">
        <w:t xml:space="preserve">continued standard of </w:t>
      </w:r>
      <w:r>
        <w:t>care in patients with severe treatment-refractor</w:t>
      </w:r>
      <w:r w:rsidRPr="00FA6C26">
        <w:t>y OCD</w:t>
      </w:r>
      <w:r w:rsidRPr="00833DC8">
        <w:t>.</w:t>
      </w:r>
    </w:p>
    <w:p w14:paraId="12125C77" w14:textId="2E41F069" w:rsidR="00250ED7" w:rsidRDefault="00250ED7" w:rsidP="00250ED7">
      <w:r>
        <w:t>The confidence of this conclusion is low</w:t>
      </w:r>
      <w:r w:rsidR="009C6B3E">
        <w:t>. H</w:t>
      </w:r>
      <w:r>
        <w:t xml:space="preserve">owever due to the invasive nature of the DBS treatment and the limited prospects of future high quality RCTs or comparative non-RCTs for </w:t>
      </w:r>
      <w:r w:rsidRPr="00C87689">
        <w:t xml:space="preserve">a </w:t>
      </w:r>
      <w:r w:rsidRPr="00C87689">
        <w:lastRenderedPageBreak/>
        <w:t>highly invasive surgical therapy (such as DBS)</w:t>
      </w:r>
      <w:r>
        <w:t xml:space="preserve">, the evidence from lower certainty evidence may need to be viewed as the highest level </w:t>
      </w:r>
      <w:r w:rsidR="00253D4F">
        <w:t xml:space="preserve">of </w:t>
      </w:r>
      <w:r>
        <w:t xml:space="preserve">evidence that will be available for the assessment. </w:t>
      </w:r>
    </w:p>
    <w:p w14:paraId="0D09C9E4" w14:textId="06A8D0EB" w:rsidR="00772829" w:rsidRPr="00CE28E3" w:rsidRDefault="00C36633" w:rsidP="002A18BE">
      <w:pPr>
        <w:pStyle w:val="Heading2"/>
        <w:numPr>
          <w:ilvl w:val="0"/>
          <w:numId w:val="0"/>
        </w:numPr>
      </w:pPr>
      <w:bookmarkStart w:id="28" w:name="_Toc143098841"/>
      <w:r>
        <w:t>1</w:t>
      </w:r>
      <w:r w:rsidR="000E24CD">
        <w:t>3</w:t>
      </w:r>
      <w:r>
        <w:t>.</w:t>
      </w:r>
      <w:r>
        <w:tab/>
      </w:r>
      <w:r w:rsidR="00772829" w:rsidRPr="00CE28E3">
        <w:t>Economic evaluation</w:t>
      </w:r>
      <w:bookmarkEnd w:id="28"/>
    </w:p>
    <w:p w14:paraId="1CF4E2C1" w14:textId="4CF2FA3E" w:rsidR="007B57F4" w:rsidDel="00F6468E" w:rsidRDefault="00697689" w:rsidP="00175137">
      <w:r>
        <w:t xml:space="preserve">A clinical claim of superior effectiveness and inferior safety for DBS in combination with continued pharmacotherapy and psychotherapy compared to </w:t>
      </w:r>
      <w:r>
        <w:rPr>
          <w:noProof/>
        </w:rPr>
        <w:t>the standard of care</w:t>
      </w:r>
      <w:r>
        <w:t xml:space="preserve"> for patients with treatment-refractory OCD was determined in Section 2, albeit on a weak evidence base. As one economic study identified in the literature search reported utilities for the target population  related to the DBS procedure </w:t>
      </w:r>
      <w:r w:rsidR="007F7DD7">
        <w:fldChar w:fldCharType="begin"/>
      </w:r>
      <w:r w:rsidR="007F7DD7">
        <w:instrText xml:space="preserve"> ADDIN EN.CITE &lt;EndNote&gt;&lt;Cite&gt;&lt;Author&gt;Moon&lt;/Author&gt;&lt;Year&gt;2017&lt;/Year&gt;&lt;RecNum&gt;37&lt;/RecNum&gt;&lt;DisplayText&gt;(Moon et al., 2017)&lt;/DisplayText&gt;&lt;record&gt;&lt;rec-number&gt;37&lt;/rec-number&gt;&lt;foreign-keys&gt;&lt;key app="EN" db-id="tdxf2002ma5txae92atp5z2wttp5rzxaweap" timestamp="1688871095"&gt;37&lt;/key&gt;&lt;/foreign-keys&gt;&lt;ref-type name="Journal Article"&gt;17&lt;/ref-type&gt;&lt;contributors&gt;&lt;authors&gt;&lt;author&gt;Moon, W.&lt;/author&gt;&lt;author&gt;Kim, S. N.&lt;/author&gt;&lt;author&gt;Park, S.&lt;/author&gt;&lt;author&gt;Paek, S. H.&lt;/author&gt;&lt;author&gt;Kwon, J. S.&lt;/author&gt;&lt;/authors&gt;&lt;/contributors&gt;&lt;titles&gt;&lt;title&gt;The cost-effectiveness of deep brain stimulation for patients with treatment-resistant obsessive-compulsive disorder&lt;/title&gt;&lt;/titles&gt;&lt;pages&gt;e7397&lt;/pages&gt;&lt;volume&gt;1&lt;/volume&gt;&lt;number&gt;27&lt;/number&gt;&lt;keywords&gt;&lt;keyword&gt;Adult&lt;/keyword&gt;&lt;keyword&gt;Chronic Disease&lt;/keyword&gt;&lt;keyword&gt;*Cost-Benefit Analysis&lt;/keyword&gt;&lt;keyword&gt;*Deep Brain Stimulation/ec [Economics]&lt;/keyword&gt;&lt;keyword&gt;Drug Resistance&lt;/keyword&gt;&lt;keyword&gt;Female&lt;/keyword&gt;&lt;keyword&gt;Health Care Costs&lt;/keyword&gt;&lt;keyword&gt;Humans&lt;/keyword&gt;&lt;keyword&gt;Male&lt;/keyword&gt;&lt;keyword&gt;Markov Chains&lt;/keyword&gt;&lt;keyword&gt;Models, Economic&lt;/keyword&gt;&lt;keyword&gt;National Health Programs/ec [Economics]&lt;/keyword&gt;&lt;keyword&gt;*Obsessive-Compulsive Disorder/ec [Economics]&lt;/keyword&gt;&lt;keyword&gt;*Obsessive-Compulsive Disorder/th [Therapy]&lt;/keyword&gt;&lt;keyword&gt;Psychotropic Drugs/ec [Economics]&lt;/keyword&gt;&lt;keyword&gt;Psychotropic Drugs/tu [Therapeutic Use]&lt;/keyword&gt;&lt;keyword&gt;Quality of Life&lt;/keyword&gt;&lt;keyword&gt;Quality-Adjusted Life Years&lt;/keyword&gt;&lt;keyword&gt;Republic of Korea&lt;/keyword&gt;&lt;keyword&gt;Treatment Outcome&lt;/keyword&gt;&lt;keyword&gt;United Kingdom&lt;/keyword&gt;&lt;/keywords&gt;&lt;dates&gt;&lt;year&gt;2017&lt;/year&gt;&lt;pub-dates&gt;&lt;date&gt;Jul&lt;/date&gt;&lt;/pub-dates&gt;&lt;/dates&gt;&lt;urls&gt;&lt;/urls&gt;&lt;/record&gt;&lt;/Cite&gt;&lt;/EndNote&gt;</w:instrText>
      </w:r>
      <w:r w:rsidR="007F7DD7">
        <w:fldChar w:fldCharType="separate"/>
      </w:r>
      <w:r w:rsidR="007F7DD7">
        <w:rPr>
          <w:noProof/>
        </w:rPr>
        <w:t>(Moon et al., 2017)</w:t>
      </w:r>
      <w:r w:rsidR="007F7DD7">
        <w:fldChar w:fldCharType="end"/>
      </w:r>
      <w:r>
        <w:t xml:space="preserve">, a cost-utility analysis was conducted which was in line with the suggested economic evaluation in the PICO (1727 Final PICO, page 12). However, the clinical claim deviates from the PICO where a </w:t>
      </w:r>
      <w:r>
        <w:rPr>
          <w:noProof/>
        </w:rPr>
        <w:t xml:space="preserve">clinical claim of superior effectiveness and non-inferior safety was determined. It is noted that </w:t>
      </w:r>
      <w:r>
        <w:t xml:space="preserve">PASC considered a clinical claim of inferior safety to be more appropriate given the </w:t>
      </w:r>
      <w:r w:rsidRPr="00A10CF1">
        <w:t>inherent risks of infection, device complications, and invasive nature of the surgery, compared to continued clinical management</w:t>
      </w:r>
      <w:r>
        <w:t xml:space="preserve"> (1727 Final PICO, page 13)</w:t>
      </w:r>
      <w:r w:rsidRPr="00A10CF1">
        <w:t>.</w:t>
      </w:r>
    </w:p>
    <w:p w14:paraId="6D0F8464" w14:textId="25D7DA52" w:rsidR="00175137" w:rsidRDefault="00175137" w:rsidP="00175137">
      <w:r>
        <w:t xml:space="preserve">The economic evaluation was developed using a Markov model with four health states including DBS with a rechargeable IPG, DBS with a non-rechargeable IPG, survive and background mortality. </w:t>
      </w:r>
      <w:r w:rsidR="008E244E">
        <w:t>The primary outcome calculated in the model was cost per QALY which</w:t>
      </w:r>
      <w:r>
        <w:t xml:space="preserve">, based on </w:t>
      </w:r>
      <w:r w:rsidR="00697689">
        <w:t xml:space="preserve">Departmental </w:t>
      </w:r>
      <w:r>
        <w:t>clinical advice and time to realise all health outcomes,</w:t>
      </w:r>
      <w:r w:rsidR="008E244E">
        <w:t xml:space="preserve"> was estimated over a ten-year time horizon</w:t>
      </w:r>
      <w:r w:rsidR="00505FE2">
        <w:t>,</w:t>
      </w:r>
      <w:r>
        <w:t xml:space="preserve"> and sourced from the main economic study </w:t>
      </w:r>
      <w:r w:rsidR="007F7DD7">
        <w:fldChar w:fldCharType="begin"/>
      </w:r>
      <w:r w:rsidR="007F7DD7">
        <w:instrText xml:space="preserve"> ADDIN EN.CITE &lt;EndNote&gt;&lt;Cite&gt;&lt;Author&gt;Moon&lt;/Author&gt;&lt;Year&gt;2017&lt;/Year&gt;&lt;RecNum&gt;37&lt;/RecNum&gt;&lt;DisplayText&gt;(Moon et al., 2017)&lt;/DisplayText&gt;&lt;record&gt;&lt;rec-number&gt;37&lt;/rec-number&gt;&lt;foreign-keys&gt;&lt;key app="EN" db-id="tdxf2002ma5txae92atp5z2wttp5rzxaweap" timestamp="1688871095"&gt;37&lt;/key&gt;&lt;/foreign-keys&gt;&lt;ref-type name="Journal Article"&gt;17&lt;/ref-type&gt;&lt;contributors&gt;&lt;authors&gt;&lt;author&gt;Moon, W.&lt;/author&gt;&lt;author&gt;Kim, S. N.&lt;/author&gt;&lt;author&gt;Park, S.&lt;/author&gt;&lt;author&gt;Paek, S. H.&lt;/author&gt;&lt;author&gt;Kwon, J. S.&lt;/author&gt;&lt;/authors&gt;&lt;/contributors&gt;&lt;titles&gt;&lt;title&gt;The cost-effectiveness of deep brain stimulation for patients with treatment-resistant obsessive-compulsive disorder&lt;/title&gt;&lt;/titles&gt;&lt;pages&gt;e7397&lt;/pages&gt;&lt;volume&gt;1&lt;/volume&gt;&lt;number&gt;27&lt;/number&gt;&lt;keywords&gt;&lt;keyword&gt;Adult&lt;/keyword&gt;&lt;keyword&gt;Chronic Disease&lt;/keyword&gt;&lt;keyword&gt;*Cost-Benefit Analysis&lt;/keyword&gt;&lt;keyword&gt;*Deep Brain Stimulation/ec [Economics]&lt;/keyword&gt;&lt;keyword&gt;Drug Resistance&lt;/keyword&gt;&lt;keyword&gt;Female&lt;/keyword&gt;&lt;keyword&gt;Health Care Costs&lt;/keyword&gt;&lt;keyword&gt;Humans&lt;/keyword&gt;&lt;keyword&gt;Male&lt;/keyword&gt;&lt;keyword&gt;Markov Chains&lt;/keyword&gt;&lt;keyword&gt;Models, Economic&lt;/keyword&gt;&lt;keyword&gt;National Health Programs/ec [Economics]&lt;/keyword&gt;&lt;keyword&gt;*Obsessive-Compulsive Disorder/ec [Economics]&lt;/keyword&gt;&lt;keyword&gt;*Obsessive-Compulsive Disorder/th [Therapy]&lt;/keyword&gt;&lt;keyword&gt;Psychotropic Drugs/ec [Economics]&lt;/keyword&gt;&lt;keyword&gt;Psychotropic Drugs/tu [Therapeutic Use]&lt;/keyword&gt;&lt;keyword&gt;Quality of Life&lt;/keyword&gt;&lt;keyword&gt;Quality-Adjusted Life Years&lt;/keyword&gt;&lt;keyword&gt;Republic of Korea&lt;/keyword&gt;&lt;keyword&gt;Treatment Outcome&lt;/keyword&gt;&lt;keyword&gt;United Kingdom&lt;/keyword&gt;&lt;/keywords&gt;&lt;dates&gt;&lt;year&gt;2017&lt;/year&gt;&lt;pub-dates&gt;&lt;date&gt;Jul&lt;/date&gt;&lt;/pub-dates&gt;&lt;/dates&gt;&lt;urls&gt;&lt;/urls&gt;&lt;/record&gt;&lt;/Cite&gt;&lt;/EndNote&gt;</w:instrText>
      </w:r>
      <w:r w:rsidR="007F7DD7">
        <w:fldChar w:fldCharType="separate"/>
      </w:r>
      <w:r w:rsidR="007F7DD7">
        <w:rPr>
          <w:noProof/>
        </w:rPr>
        <w:t>(Moon et al., 2017)</w:t>
      </w:r>
      <w:r w:rsidR="007F7DD7">
        <w:fldChar w:fldCharType="end"/>
      </w:r>
      <w:r>
        <w:t>.</w:t>
      </w:r>
      <w:r w:rsidR="008E244E">
        <w:t xml:space="preserve"> The costs </w:t>
      </w:r>
      <w:r>
        <w:t>of</w:t>
      </w:r>
      <w:r w:rsidR="008E244E">
        <w:t xml:space="preserve"> standard of care (pharmacotherapy and psychotherapy) are not considered in the model as </w:t>
      </w:r>
      <w:r>
        <w:t>these</w:t>
      </w:r>
      <w:r w:rsidR="008E244E">
        <w:t xml:space="preserve"> costs are </w:t>
      </w:r>
      <w:r>
        <w:t>realised in both</w:t>
      </w:r>
      <w:r w:rsidR="008E244E">
        <w:t xml:space="preserve"> the intervention </w:t>
      </w:r>
      <w:r>
        <w:t>and comparator arms and therefore are offset.</w:t>
      </w:r>
      <w:r w:rsidR="008E244E">
        <w:t xml:space="preserve"> Instead, the standard of care arm considered only </w:t>
      </w:r>
      <w:r w:rsidR="00505FE2">
        <w:t>QALY</w:t>
      </w:r>
      <w:r>
        <w:t xml:space="preserve"> gains.</w:t>
      </w:r>
    </w:p>
    <w:p w14:paraId="56F9D68A" w14:textId="049A8786" w:rsidR="000A65F0" w:rsidRDefault="000A65F0" w:rsidP="00175137">
      <w:r w:rsidRPr="00A555F4">
        <w:rPr>
          <w:rFonts w:cs="Calibri"/>
          <w:color w:val="000000"/>
        </w:rPr>
        <w:t xml:space="preserve">It is noted that utility improvement calculation in </w:t>
      </w:r>
      <w:r w:rsidRPr="003B4DC0">
        <w:rPr>
          <w:noProof/>
        </w:rPr>
        <w:t>Moon et al., 2017</w:t>
      </w:r>
      <w:r>
        <w:rPr>
          <w:noProof/>
        </w:rPr>
        <w:t xml:space="preserve"> </w:t>
      </w:r>
      <w:r w:rsidRPr="00A555F4">
        <w:rPr>
          <w:rFonts w:cs="Calibri"/>
          <w:color w:val="000000"/>
        </w:rPr>
        <w:t xml:space="preserve">relies on the assumption that there is an approximate 45% reduction in the mean YBOCS score as defined by a meta-analysis. As such, it is implicitly assumed in the model that this assumption upholds. This is in line with the literature, such as </w:t>
      </w:r>
      <w:r w:rsidRPr="003B4DC0">
        <w:rPr>
          <w:rFonts w:cs="Calibri"/>
          <w:noProof/>
          <w:color w:val="000000"/>
        </w:rPr>
        <w:t>Gadot et al., 2022</w:t>
      </w:r>
      <w:r>
        <w:rPr>
          <w:rFonts w:cs="Calibri"/>
          <w:noProof/>
          <w:color w:val="000000"/>
        </w:rPr>
        <w:t xml:space="preserve"> </w:t>
      </w:r>
      <w:r w:rsidRPr="00A555F4">
        <w:rPr>
          <w:rFonts w:cs="Calibri"/>
          <w:color w:val="000000"/>
        </w:rPr>
        <w:t>that reported a 47% reduction in YBOCS score post DBS at last follow up across 249 patients. Additionally, a meta-analysis of reduction in YBOCS scores from baseline to follow up post DBS from studies identified in the clinical evaluation reported an estimated overall 42% reduction in YBOCS score</w:t>
      </w:r>
      <w:r>
        <w:rPr>
          <w:rFonts w:cs="Calibri"/>
          <w:color w:val="000000"/>
        </w:rPr>
        <w:t xml:space="preserve"> (</w:t>
      </w:r>
      <w:r>
        <w:rPr>
          <w:rFonts w:cs="Calibri"/>
          <w:color w:val="000000"/>
        </w:rPr>
        <w:fldChar w:fldCharType="begin"/>
      </w:r>
      <w:r>
        <w:rPr>
          <w:rFonts w:cs="Calibri"/>
          <w:color w:val="000000"/>
        </w:rPr>
        <w:instrText xml:space="preserve"> REF _Ref141956301 \h </w:instrText>
      </w:r>
      <w:r>
        <w:rPr>
          <w:rFonts w:cs="Calibri"/>
          <w:color w:val="000000"/>
        </w:rPr>
      </w:r>
      <w:r>
        <w:rPr>
          <w:rFonts w:cs="Calibri"/>
          <w:color w:val="000000"/>
        </w:rPr>
        <w:fldChar w:fldCharType="separate"/>
      </w:r>
      <w:r w:rsidR="007F15AB">
        <w:t xml:space="preserve">Figure </w:t>
      </w:r>
      <w:r w:rsidR="007F15AB">
        <w:rPr>
          <w:noProof/>
        </w:rPr>
        <w:t>11</w:t>
      </w:r>
      <w:r>
        <w:rPr>
          <w:rFonts w:cs="Calibri"/>
          <w:color w:val="000000"/>
        </w:rPr>
        <w:fldChar w:fldCharType="end"/>
      </w:r>
      <w:r>
        <w:rPr>
          <w:rFonts w:cs="Calibri"/>
          <w:color w:val="000000"/>
        </w:rPr>
        <w:t xml:space="preserve">), which is approximately in line with the assumption in </w:t>
      </w:r>
      <w:r w:rsidRPr="003B4DC0">
        <w:rPr>
          <w:noProof/>
        </w:rPr>
        <w:t>Moon et al., 2017</w:t>
      </w:r>
      <w:r w:rsidRPr="00A555F4">
        <w:rPr>
          <w:rFonts w:cs="Calibri"/>
          <w:color w:val="000000"/>
        </w:rPr>
        <w:t>.</w:t>
      </w:r>
      <w:r w:rsidR="00E80309">
        <w:rPr>
          <w:rFonts w:cs="Calibri"/>
          <w:color w:val="000000"/>
        </w:rPr>
        <w:t xml:space="preserve"> </w:t>
      </w:r>
      <w:r>
        <w:rPr>
          <w:rFonts w:cs="Calibri"/>
          <w:color w:val="000000"/>
        </w:rPr>
        <w:t>Additionally</w:t>
      </w:r>
      <w:r w:rsidR="004A48C3">
        <w:rPr>
          <w:rFonts w:cs="Calibri"/>
          <w:color w:val="000000"/>
        </w:rPr>
        <w:t>, the model assumed a 58% response to treatment</w:t>
      </w:r>
      <w:r w:rsidR="0076170B">
        <w:rPr>
          <w:rFonts w:cs="Calibri"/>
          <w:color w:val="000000"/>
        </w:rPr>
        <w:t xml:space="preserve"> ba</w:t>
      </w:r>
      <w:r w:rsidR="008C4300">
        <w:rPr>
          <w:rFonts w:cs="Calibri"/>
          <w:color w:val="000000"/>
        </w:rPr>
        <w:t xml:space="preserve">sed on pooled clinical results which is consistent with </w:t>
      </w:r>
      <w:r w:rsidR="008C4300" w:rsidRPr="003B4DC0">
        <w:rPr>
          <w:noProof/>
        </w:rPr>
        <w:t>Moon et al., 2017</w:t>
      </w:r>
      <w:r w:rsidR="008C4300">
        <w:rPr>
          <w:noProof/>
        </w:rPr>
        <w:t xml:space="preserve">. </w:t>
      </w:r>
      <w:r w:rsidR="00347C32">
        <w:rPr>
          <w:noProof/>
        </w:rPr>
        <w:t xml:space="preserve">Therefore the assumptions </w:t>
      </w:r>
      <w:r w:rsidR="004F5C67">
        <w:rPr>
          <w:noProof/>
        </w:rPr>
        <w:t>behind</w:t>
      </w:r>
      <w:r w:rsidR="00347C32">
        <w:rPr>
          <w:noProof/>
        </w:rPr>
        <w:t xml:space="preserve"> the utility improvement calculation in Moon et al. 2017</w:t>
      </w:r>
      <w:r w:rsidR="00CF132A">
        <w:rPr>
          <w:noProof/>
        </w:rPr>
        <w:t xml:space="preserve"> (regarding response rate to treatment and reduction in YBOCS scores </w:t>
      </w:r>
      <w:r w:rsidR="004F5C67">
        <w:rPr>
          <w:noProof/>
        </w:rPr>
        <w:t>)</w:t>
      </w:r>
      <w:r w:rsidR="00CF132A">
        <w:rPr>
          <w:noProof/>
        </w:rPr>
        <w:t xml:space="preserve"> used in the economic model </w:t>
      </w:r>
      <w:r w:rsidR="00C615E0">
        <w:rPr>
          <w:noProof/>
        </w:rPr>
        <w:t>can be regarded as</w:t>
      </w:r>
      <w:r w:rsidR="00347C32">
        <w:rPr>
          <w:noProof/>
        </w:rPr>
        <w:t xml:space="preserve"> </w:t>
      </w:r>
      <w:r w:rsidR="004B6160">
        <w:rPr>
          <w:noProof/>
        </w:rPr>
        <w:t xml:space="preserve">in line with </w:t>
      </w:r>
      <w:r w:rsidR="00B43A7B">
        <w:rPr>
          <w:noProof/>
        </w:rPr>
        <w:t xml:space="preserve">the avaliable </w:t>
      </w:r>
      <w:r w:rsidR="004B6160">
        <w:rPr>
          <w:noProof/>
        </w:rPr>
        <w:t xml:space="preserve">literature </w:t>
      </w:r>
      <w:r w:rsidR="00C615E0">
        <w:rPr>
          <w:noProof/>
        </w:rPr>
        <w:t xml:space="preserve"> on </w:t>
      </w:r>
      <w:r w:rsidR="007414F8">
        <w:rPr>
          <w:noProof/>
        </w:rPr>
        <w:t>effectiveness of DBS for the treatment of OCD</w:t>
      </w:r>
      <w:r w:rsidR="00B43A7B">
        <w:rPr>
          <w:noProof/>
        </w:rPr>
        <w:t>.</w:t>
      </w:r>
    </w:p>
    <w:p w14:paraId="58D73974" w14:textId="78642930" w:rsidR="008E244E" w:rsidRDefault="00175137" w:rsidP="008E244E">
      <w:r>
        <w:t>Due to a lack of available data for the Australian severe treatment-refractory OCD population who under</w:t>
      </w:r>
      <w:r w:rsidR="331A9A27">
        <w:t>go</w:t>
      </w:r>
      <w:r>
        <w:t xml:space="preserve"> DBS, transition probabilities and resource use was determined using a range of literature sources, </w:t>
      </w:r>
      <w:r w:rsidR="00505FE2">
        <w:t xml:space="preserve">Departmental </w:t>
      </w:r>
      <w:r>
        <w:t xml:space="preserve">clinical advice and past MSAC submissions with DBS as the intervention. Cost components considered in the model include MBS, prothesis and hospital costs which were sourced from MBS online, the </w:t>
      </w:r>
      <w:r w:rsidR="000904B0">
        <w:t>P</w:t>
      </w:r>
      <w:r>
        <w:t xml:space="preserve">rothesis </w:t>
      </w:r>
      <w:r w:rsidR="000904B0">
        <w:t>L</w:t>
      </w:r>
      <w:r>
        <w:t xml:space="preserve">ist and AR-DRG hospital data. </w:t>
      </w:r>
    </w:p>
    <w:p w14:paraId="53C3F9BF" w14:textId="2FF1892C" w:rsidR="008E244E" w:rsidRDefault="00D4724C" w:rsidP="008E244E">
      <w:pPr>
        <w:pStyle w:val="Instructionaltext"/>
        <w:rPr>
          <w:noProof/>
          <w:color w:val="auto"/>
        </w:rPr>
      </w:pPr>
      <w:r>
        <w:rPr>
          <w:noProof/>
          <w:color w:val="auto"/>
        </w:rPr>
        <w:t xml:space="preserve">It is noted that the applicant plans to </w:t>
      </w:r>
      <w:r w:rsidRPr="00F330D3">
        <w:rPr>
          <w:noProof/>
          <w:color w:val="auto"/>
        </w:rPr>
        <w:t>construct a data registry to collate all previous and prospective cases of DBS for OCD</w:t>
      </w:r>
      <w:r>
        <w:rPr>
          <w:noProof/>
          <w:color w:val="auto"/>
        </w:rPr>
        <w:t xml:space="preserve"> in Australia</w:t>
      </w:r>
      <w:r w:rsidRPr="00F330D3">
        <w:rPr>
          <w:noProof/>
          <w:color w:val="auto"/>
        </w:rPr>
        <w:t>.</w:t>
      </w:r>
      <w:r w:rsidR="00612FB4">
        <w:rPr>
          <w:noProof/>
          <w:color w:val="auto"/>
        </w:rPr>
        <w:t xml:space="preserve"> </w:t>
      </w:r>
      <w:r w:rsidR="008E244E">
        <w:rPr>
          <w:noProof/>
          <w:color w:val="auto"/>
        </w:rPr>
        <w:t>D</w:t>
      </w:r>
      <w:r w:rsidR="008E244E" w:rsidRPr="00F330D3">
        <w:rPr>
          <w:noProof/>
          <w:color w:val="auto"/>
        </w:rPr>
        <w:t>ata</w:t>
      </w:r>
      <w:r w:rsidR="008E244E">
        <w:rPr>
          <w:noProof/>
          <w:color w:val="auto"/>
        </w:rPr>
        <w:t xml:space="preserve"> will be collected</w:t>
      </w:r>
      <w:r w:rsidR="008E244E" w:rsidRPr="00F330D3">
        <w:rPr>
          <w:noProof/>
          <w:color w:val="auto"/>
        </w:rPr>
        <w:t xml:space="preserve"> on electrode placement, psychiatric outcomes and adverse events, in order to refine the efficacy and safety profile of this therapy.</w:t>
      </w:r>
      <w:r w:rsidR="008E244E">
        <w:rPr>
          <w:noProof/>
          <w:color w:val="auto"/>
        </w:rPr>
        <w:t xml:space="preserve"> However, as this registry will be conducted post the completion of the assessment, the planned registry is not considered as a component of the economic evaluation.</w:t>
      </w:r>
    </w:p>
    <w:p w14:paraId="35AF2700" w14:textId="145543A5" w:rsidR="00505FE2" w:rsidRDefault="00505FE2" w:rsidP="008E244E">
      <w:pPr>
        <w:pStyle w:val="Instructionaltext"/>
        <w:rPr>
          <w:noProof/>
          <w:color w:val="auto"/>
        </w:rPr>
      </w:pPr>
      <w:r>
        <w:rPr>
          <w:noProof/>
          <w:color w:val="auto"/>
        </w:rPr>
        <w:t>A summary of the key com</w:t>
      </w:r>
      <w:r w:rsidR="00812190">
        <w:rPr>
          <w:noProof/>
          <w:color w:val="auto"/>
        </w:rPr>
        <w:t>p</w:t>
      </w:r>
      <w:r>
        <w:rPr>
          <w:noProof/>
          <w:color w:val="auto"/>
        </w:rPr>
        <w:t>onents of the economic model is detailed in the table below.</w:t>
      </w:r>
    </w:p>
    <w:p w14:paraId="7832FEBA" w14:textId="4D777948" w:rsidR="00C107C3" w:rsidRPr="00CE28E3" w:rsidRDefault="00C107C3" w:rsidP="00BF6554">
      <w:pPr>
        <w:pStyle w:val="Caption"/>
        <w:tabs>
          <w:tab w:val="left" w:pos="709"/>
        </w:tabs>
      </w:pPr>
      <w:bookmarkStart w:id="29" w:name="_Ref69725820"/>
      <w:bookmarkStart w:id="30" w:name="_Toc143098942"/>
      <w:r w:rsidRPr="00CE28E3">
        <w:lastRenderedPageBreak/>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7F15AB">
        <w:rPr>
          <w:noProof/>
        </w:rPr>
        <w:t>5</w:t>
      </w:r>
      <w:r w:rsidRPr="00CE28E3">
        <w:rPr>
          <w:noProof/>
        </w:rPr>
        <w:fldChar w:fldCharType="end"/>
      </w:r>
      <w:bookmarkEnd w:id="29"/>
      <w:r w:rsidR="001A7A1E">
        <w:rPr>
          <w:noProof/>
        </w:rPr>
        <w:t>:</w:t>
      </w:r>
      <w:r w:rsidR="00BF6554">
        <w:tab/>
      </w:r>
      <w:r w:rsidRPr="00CE28E3">
        <w:t>Summary of the economic evaluation</w:t>
      </w:r>
      <w:bookmarkEnd w:id="30"/>
      <w:r w:rsidRPr="00CE28E3">
        <w:t xml:space="preserve"> </w:t>
      </w:r>
    </w:p>
    <w:tbl>
      <w:tblPr>
        <w:tblStyle w:val="TableGrid1"/>
        <w:tblW w:w="0" w:type="auto"/>
        <w:tblInd w:w="-5" w:type="dxa"/>
        <w:tblLook w:val="04A0" w:firstRow="1" w:lastRow="0" w:firstColumn="1" w:lastColumn="0" w:noHBand="0" w:noVBand="1"/>
      </w:tblPr>
      <w:tblGrid>
        <w:gridCol w:w="2324"/>
        <w:gridCol w:w="6697"/>
      </w:tblGrid>
      <w:tr w:rsidR="00D77781" w:rsidRPr="00CE28E3" w14:paraId="72544BDD" w14:textId="77777777" w:rsidTr="002C752A">
        <w:trPr>
          <w:cnfStyle w:val="100000000000" w:firstRow="1" w:lastRow="0" w:firstColumn="0" w:lastColumn="0" w:oddVBand="0" w:evenVBand="0" w:oddHBand="0" w:evenHBand="0" w:firstRowFirstColumn="0" w:firstRowLastColumn="0" w:lastRowFirstColumn="0" w:lastRowLastColumn="0"/>
          <w:trHeight w:val="405"/>
          <w:tblHeader/>
        </w:trPr>
        <w:tc>
          <w:tcPr>
            <w:tcW w:w="2324" w:type="dxa"/>
          </w:tcPr>
          <w:p w14:paraId="3DF8AC18" w14:textId="77777777" w:rsidR="00A03CD8" w:rsidRPr="000449D1" w:rsidRDefault="00A03CD8">
            <w:pPr>
              <w:pStyle w:val="TableHeading"/>
              <w:rPr>
                <w:rFonts w:cs="Courier New"/>
              </w:rPr>
            </w:pPr>
            <w:bookmarkStart w:id="31" w:name="Title_Table5"/>
            <w:bookmarkEnd w:id="31"/>
            <w:r w:rsidRPr="000449D1">
              <w:rPr>
                <w:rFonts w:cs="Courier New"/>
              </w:rPr>
              <w:t>Component</w:t>
            </w:r>
          </w:p>
        </w:tc>
        <w:tc>
          <w:tcPr>
            <w:tcW w:w="6697" w:type="dxa"/>
          </w:tcPr>
          <w:p w14:paraId="07EEE1AD" w14:textId="77777777" w:rsidR="00A03CD8" w:rsidRPr="000449D1" w:rsidRDefault="00A03CD8">
            <w:pPr>
              <w:pStyle w:val="TableHeading"/>
              <w:rPr>
                <w:rFonts w:cs="Courier New"/>
              </w:rPr>
            </w:pPr>
            <w:r w:rsidRPr="000449D1">
              <w:rPr>
                <w:rFonts w:cs="Courier New"/>
              </w:rPr>
              <w:t>Description</w:t>
            </w:r>
          </w:p>
        </w:tc>
      </w:tr>
      <w:tr w:rsidR="00D77781" w:rsidRPr="000449D1" w14:paraId="49B2C6D9" w14:textId="77777777" w:rsidTr="002C752A">
        <w:trPr>
          <w:cnfStyle w:val="100000000000" w:firstRow="1" w:lastRow="0" w:firstColumn="0" w:lastColumn="0" w:oddVBand="0" w:evenVBand="0" w:oddHBand="0" w:evenHBand="0" w:firstRowFirstColumn="0" w:firstRowLastColumn="0" w:lastRowFirstColumn="0" w:lastRowLastColumn="0"/>
          <w:trHeight w:val="300"/>
          <w:tblHeader/>
        </w:trPr>
        <w:tc>
          <w:tcPr>
            <w:tcW w:w="2324" w:type="dxa"/>
          </w:tcPr>
          <w:p w14:paraId="26EF48F5" w14:textId="77777777" w:rsidR="00A03CD8" w:rsidRPr="000449D1" w:rsidRDefault="00A03CD8">
            <w:pPr>
              <w:pStyle w:val="TableText"/>
              <w:keepNext/>
              <w:rPr>
                <w:rFonts w:cs="Courier New"/>
              </w:rPr>
            </w:pPr>
            <w:r w:rsidRPr="000449D1">
              <w:rPr>
                <w:rFonts w:cs="Courier New"/>
              </w:rPr>
              <w:t>Perspective</w:t>
            </w:r>
          </w:p>
        </w:tc>
        <w:tc>
          <w:tcPr>
            <w:tcW w:w="6697" w:type="dxa"/>
          </w:tcPr>
          <w:p w14:paraId="44CEB998" w14:textId="77777777" w:rsidR="00A03CD8" w:rsidRPr="000449D1" w:rsidRDefault="00A03CD8">
            <w:pPr>
              <w:pStyle w:val="TableText"/>
              <w:keepNext/>
              <w:rPr>
                <w:rFonts w:cs="Courier New"/>
              </w:rPr>
            </w:pPr>
            <w:r w:rsidRPr="000449D1">
              <w:rPr>
                <w:rFonts w:cs="Courier New"/>
              </w:rPr>
              <w:t>Health care system perspective</w:t>
            </w:r>
          </w:p>
        </w:tc>
      </w:tr>
      <w:tr w:rsidR="00D77781" w:rsidRPr="000449D1" w14:paraId="02C088BC" w14:textId="77777777" w:rsidTr="002C752A">
        <w:trPr>
          <w:cnfStyle w:val="100000000000" w:firstRow="1" w:lastRow="0" w:firstColumn="0" w:lastColumn="0" w:oddVBand="0" w:evenVBand="0" w:oddHBand="0" w:evenHBand="0" w:firstRowFirstColumn="0" w:firstRowLastColumn="0" w:lastRowFirstColumn="0" w:lastRowLastColumn="0"/>
          <w:trHeight w:val="601"/>
          <w:tblHeader/>
        </w:trPr>
        <w:tc>
          <w:tcPr>
            <w:tcW w:w="2324" w:type="dxa"/>
          </w:tcPr>
          <w:p w14:paraId="6A83495F" w14:textId="77777777" w:rsidR="00A03CD8" w:rsidRPr="000449D1" w:rsidRDefault="00A03CD8">
            <w:pPr>
              <w:pStyle w:val="TableText"/>
              <w:keepNext/>
              <w:rPr>
                <w:rFonts w:cs="Courier New"/>
              </w:rPr>
            </w:pPr>
            <w:r w:rsidRPr="000449D1">
              <w:rPr>
                <w:rFonts w:cs="Courier New"/>
              </w:rPr>
              <w:t>Population</w:t>
            </w:r>
          </w:p>
        </w:tc>
        <w:tc>
          <w:tcPr>
            <w:tcW w:w="6697" w:type="dxa"/>
          </w:tcPr>
          <w:p w14:paraId="49A2B9D9" w14:textId="28EBA616" w:rsidR="00A03CD8" w:rsidRPr="00D56DFA" w:rsidRDefault="00A03CD8">
            <w:pPr>
              <w:pStyle w:val="TableText"/>
              <w:keepNext/>
              <w:rPr>
                <w:rFonts w:cs="Courier New"/>
                <w:color w:val="258221"/>
              </w:rPr>
            </w:pPr>
            <w:r>
              <w:t>Persons with severe, treatment-refractory obsessive-compulsive disorder (OCD), i.e</w:t>
            </w:r>
            <w:r w:rsidR="00175137">
              <w:t>.,</w:t>
            </w:r>
            <w:r>
              <w:t xml:space="preserve"> OCD that has not been adequately controlled despite treatment for at least 12 weeks with maximum tolerated doses of at least three </w:t>
            </w:r>
            <w:r w:rsidRPr="00B0521E">
              <w:t>selective serotonin reuptake inhibitors</w:t>
            </w:r>
            <w:r>
              <w:t xml:space="preserve"> (SSRI), </w:t>
            </w:r>
            <w:r w:rsidRPr="009F56DF">
              <w:t>clomipramine</w:t>
            </w:r>
            <w:r w:rsidRPr="00B0521E">
              <w:t>,</w:t>
            </w:r>
            <w:r>
              <w:t xml:space="preserve"> </w:t>
            </w:r>
            <w:r w:rsidRPr="00B0521E">
              <w:t>and at least one attempt at</w:t>
            </w:r>
            <w:r w:rsidRPr="00992917">
              <w:rPr>
                <w:i/>
              </w:rPr>
              <w:t xml:space="preserve"> </w:t>
            </w:r>
            <w:r>
              <w:t>OCD specific psychotherapy</w:t>
            </w:r>
          </w:p>
        </w:tc>
      </w:tr>
      <w:tr w:rsidR="00D77781" w:rsidRPr="000449D1" w14:paraId="3C8CD75C" w14:textId="77777777" w:rsidTr="002C752A">
        <w:trPr>
          <w:cnfStyle w:val="100000000000" w:firstRow="1" w:lastRow="0" w:firstColumn="0" w:lastColumn="0" w:oddVBand="0" w:evenVBand="0" w:oddHBand="0" w:evenHBand="0" w:firstRowFirstColumn="0" w:firstRowLastColumn="0" w:lastRowFirstColumn="0" w:lastRowLastColumn="0"/>
          <w:trHeight w:val="300"/>
          <w:tblHeader/>
        </w:trPr>
        <w:tc>
          <w:tcPr>
            <w:tcW w:w="2324" w:type="dxa"/>
          </w:tcPr>
          <w:p w14:paraId="2F4A520A" w14:textId="77777777" w:rsidR="00A03CD8" w:rsidRPr="000449D1" w:rsidRDefault="00A03CD8">
            <w:pPr>
              <w:pStyle w:val="TableText"/>
              <w:keepNext/>
              <w:rPr>
                <w:rFonts w:cs="Courier New"/>
              </w:rPr>
            </w:pPr>
            <w:r w:rsidRPr="000449D1">
              <w:rPr>
                <w:rFonts w:cs="Courier New"/>
              </w:rPr>
              <w:t>Prior testing</w:t>
            </w:r>
          </w:p>
        </w:tc>
        <w:tc>
          <w:tcPr>
            <w:tcW w:w="6697" w:type="dxa"/>
          </w:tcPr>
          <w:p w14:paraId="513A16E3" w14:textId="328FA5F0" w:rsidR="00A03CD8" w:rsidRPr="000449D1" w:rsidRDefault="00A03CD8">
            <w:pPr>
              <w:pStyle w:val="TableText"/>
              <w:keepNext/>
              <w:tabs>
                <w:tab w:val="left" w:pos="2220"/>
              </w:tabs>
              <w:rPr>
                <w:rFonts w:cs="Courier New"/>
              </w:rPr>
            </w:pPr>
            <w:proofErr w:type="spellStart"/>
            <w:r>
              <w:rPr>
                <w:rFonts w:cs="Courier New"/>
              </w:rPr>
              <w:t>NA</w:t>
            </w:r>
            <w:r w:rsidRPr="00DA488C">
              <w:rPr>
                <w:rFonts w:cs="Courier New"/>
                <w:vertAlign w:val="superscript"/>
              </w:rPr>
              <w:t>a</w:t>
            </w:r>
            <w:proofErr w:type="spellEnd"/>
            <w:r>
              <w:rPr>
                <w:rFonts w:cs="Courier New"/>
              </w:rPr>
              <w:tab/>
            </w:r>
          </w:p>
        </w:tc>
      </w:tr>
      <w:tr w:rsidR="00D77781" w:rsidRPr="000449D1" w14:paraId="73A7CBBE" w14:textId="77777777" w:rsidTr="002C752A">
        <w:trPr>
          <w:cnfStyle w:val="100000000000" w:firstRow="1" w:lastRow="0" w:firstColumn="0" w:lastColumn="0" w:oddVBand="0" w:evenVBand="0" w:oddHBand="0" w:evenHBand="0" w:firstRowFirstColumn="0" w:firstRowLastColumn="0" w:lastRowFirstColumn="0" w:lastRowLastColumn="0"/>
          <w:trHeight w:val="540"/>
          <w:tblHeader/>
        </w:trPr>
        <w:tc>
          <w:tcPr>
            <w:tcW w:w="2324" w:type="dxa"/>
          </w:tcPr>
          <w:p w14:paraId="022EB68C" w14:textId="77777777" w:rsidR="00A03CD8" w:rsidRPr="000449D1" w:rsidRDefault="00A03CD8">
            <w:pPr>
              <w:pStyle w:val="TableText"/>
              <w:keepNext/>
              <w:rPr>
                <w:rFonts w:cs="Courier New"/>
              </w:rPr>
            </w:pPr>
            <w:r w:rsidRPr="000449D1">
              <w:rPr>
                <w:rFonts w:cs="Courier New"/>
              </w:rPr>
              <w:t>Comparator</w:t>
            </w:r>
          </w:p>
        </w:tc>
        <w:tc>
          <w:tcPr>
            <w:tcW w:w="6697" w:type="dxa"/>
          </w:tcPr>
          <w:p w14:paraId="551DCF55" w14:textId="77777777" w:rsidR="00A03CD8" w:rsidRPr="000449D1" w:rsidRDefault="00A03CD8">
            <w:pPr>
              <w:pStyle w:val="TableText"/>
              <w:keepNext/>
              <w:rPr>
                <w:rFonts w:cs="Courier New"/>
              </w:rPr>
            </w:pPr>
            <w:r>
              <w:t>Continued high</w:t>
            </w:r>
            <w:r w:rsidRPr="00046645">
              <w:t xml:space="preserve"> dose pharmacotherapy combined with repeated courses of psychotherapy</w:t>
            </w:r>
            <w:r>
              <w:t xml:space="preserve"> (Standard of Care)</w:t>
            </w:r>
          </w:p>
        </w:tc>
      </w:tr>
      <w:tr w:rsidR="00D77781" w:rsidRPr="000449D1" w14:paraId="28315E1B" w14:textId="77777777" w:rsidTr="002C752A">
        <w:trPr>
          <w:cnfStyle w:val="100000000000" w:firstRow="1" w:lastRow="0" w:firstColumn="0" w:lastColumn="0" w:oddVBand="0" w:evenVBand="0" w:oddHBand="0" w:evenHBand="0" w:firstRowFirstColumn="0" w:firstRowLastColumn="0" w:lastRowFirstColumn="0" w:lastRowLastColumn="0"/>
          <w:trHeight w:val="300"/>
          <w:tblHeader/>
        </w:trPr>
        <w:tc>
          <w:tcPr>
            <w:tcW w:w="2324" w:type="dxa"/>
          </w:tcPr>
          <w:p w14:paraId="07401D08" w14:textId="77777777" w:rsidR="00A03CD8" w:rsidRPr="000449D1" w:rsidRDefault="00A03CD8">
            <w:pPr>
              <w:pStyle w:val="TableText"/>
              <w:keepNext/>
              <w:rPr>
                <w:rFonts w:cs="Courier New"/>
              </w:rPr>
            </w:pPr>
            <w:r w:rsidRPr="000449D1">
              <w:rPr>
                <w:rFonts w:cs="Courier New"/>
              </w:rPr>
              <w:t>Type(s) of analysis</w:t>
            </w:r>
          </w:p>
        </w:tc>
        <w:tc>
          <w:tcPr>
            <w:tcW w:w="6697" w:type="dxa"/>
          </w:tcPr>
          <w:p w14:paraId="41A669B0" w14:textId="77777777" w:rsidR="00A03CD8" w:rsidRPr="000449D1" w:rsidRDefault="00A03CD8">
            <w:pPr>
              <w:pStyle w:val="TableText"/>
              <w:keepNext/>
              <w:rPr>
                <w:rFonts w:cs="Courier New"/>
              </w:rPr>
            </w:pPr>
            <w:r>
              <w:rPr>
                <w:rFonts w:cs="Courier New"/>
              </w:rPr>
              <w:t>Cost-utility analysis (CUA)</w:t>
            </w:r>
          </w:p>
        </w:tc>
      </w:tr>
      <w:tr w:rsidR="00D77781" w:rsidRPr="000449D1" w14:paraId="3B547D14" w14:textId="77777777" w:rsidTr="002C752A">
        <w:trPr>
          <w:cnfStyle w:val="100000000000" w:firstRow="1" w:lastRow="0" w:firstColumn="0" w:lastColumn="0" w:oddVBand="0" w:evenVBand="0" w:oddHBand="0" w:evenHBand="0" w:firstRowFirstColumn="0" w:firstRowLastColumn="0" w:lastRowFirstColumn="0" w:lastRowLastColumn="0"/>
          <w:trHeight w:val="391"/>
          <w:tblHeader/>
        </w:trPr>
        <w:tc>
          <w:tcPr>
            <w:tcW w:w="2324" w:type="dxa"/>
          </w:tcPr>
          <w:p w14:paraId="08F3EB22" w14:textId="77777777" w:rsidR="00A03CD8" w:rsidRPr="000449D1" w:rsidRDefault="00A03CD8">
            <w:pPr>
              <w:pStyle w:val="TableText"/>
              <w:keepNext/>
              <w:rPr>
                <w:rFonts w:cs="Courier New"/>
              </w:rPr>
            </w:pPr>
            <w:r w:rsidRPr="000449D1">
              <w:rPr>
                <w:rFonts w:cs="Courier New"/>
              </w:rPr>
              <w:t>Outcomes</w:t>
            </w:r>
          </w:p>
        </w:tc>
        <w:tc>
          <w:tcPr>
            <w:tcW w:w="6697" w:type="dxa"/>
          </w:tcPr>
          <w:p w14:paraId="1090291B" w14:textId="77777777" w:rsidR="00A03CD8" w:rsidRDefault="00A03CD8">
            <w:pPr>
              <w:pStyle w:val="TableText"/>
              <w:keepNext/>
              <w:rPr>
                <w:rFonts w:cs="Courier New"/>
              </w:rPr>
            </w:pPr>
            <w:r>
              <w:rPr>
                <w:rFonts w:cs="Courier New"/>
              </w:rPr>
              <w:t>Outcomes:</w:t>
            </w:r>
          </w:p>
          <w:p w14:paraId="767D2DD7" w14:textId="371A8364" w:rsidR="00A03CD8" w:rsidRPr="00F22CB0" w:rsidRDefault="00A03CD8" w:rsidP="00F22CB0">
            <w:pPr>
              <w:pStyle w:val="TableText"/>
              <w:keepNext/>
              <w:numPr>
                <w:ilvl w:val="0"/>
                <w:numId w:val="23"/>
              </w:numPr>
              <w:rPr>
                <w:rFonts w:cs="Courier New"/>
              </w:rPr>
            </w:pPr>
            <w:r>
              <w:rPr>
                <w:rFonts w:cs="Courier New"/>
              </w:rPr>
              <w:t>Q</w:t>
            </w:r>
            <w:r w:rsidRPr="000449D1">
              <w:rPr>
                <w:rFonts w:cs="Courier New"/>
              </w:rPr>
              <w:t>uality-adjusted life years</w:t>
            </w:r>
            <w:r>
              <w:rPr>
                <w:rFonts w:cs="Courier New"/>
              </w:rPr>
              <w:t xml:space="preserve"> (QALYs)</w:t>
            </w:r>
          </w:p>
        </w:tc>
      </w:tr>
      <w:tr w:rsidR="00D77781" w:rsidRPr="000449D1" w14:paraId="7C409D49" w14:textId="77777777" w:rsidTr="002C752A">
        <w:trPr>
          <w:cnfStyle w:val="100000000000" w:firstRow="1" w:lastRow="0" w:firstColumn="0" w:lastColumn="0" w:oddVBand="0" w:evenVBand="0" w:oddHBand="0" w:evenHBand="0" w:firstRowFirstColumn="0" w:firstRowLastColumn="0" w:lastRowFirstColumn="0" w:lastRowLastColumn="0"/>
          <w:trHeight w:val="300"/>
          <w:tblHeader/>
        </w:trPr>
        <w:tc>
          <w:tcPr>
            <w:tcW w:w="2324" w:type="dxa"/>
          </w:tcPr>
          <w:p w14:paraId="334F385D" w14:textId="77777777" w:rsidR="00A03CD8" w:rsidRPr="000449D1" w:rsidRDefault="00A03CD8">
            <w:pPr>
              <w:pStyle w:val="TableText"/>
              <w:keepNext/>
              <w:rPr>
                <w:rFonts w:cs="Courier New"/>
              </w:rPr>
            </w:pPr>
            <w:r w:rsidRPr="000449D1">
              <w:rPr>
                <w:rFonts w:cs="Courier New"/>
              </w:rPr>
              <w:t>Time horizon</w:t>
            </w:r>
          </w:p>
        </w:tc>
        <w:tc>
          <w:tcPr>
            <w:tcW w:w="6697" w:type="dxa"/>
          </w:tcPr>
          <w:p w14:paraId="0132284C" w14:textId="77777777" w:rsidR="00A03CD8" w:rsidRPr="000449D1" w:rsidRDefault="00A03CD8">
            <w:pPr>
              <w:pStyle w:val="TableText"/>
              <w:keepNext/>
              <w:rPr>
                <w:rFonts w:cs="Courier New"/>
              </w:rPr>
            </w:pPr>
            <w:r>
              <w:rPr>
                <w:rFonts w:cs="Courier New"/>
              </w:rPr>
              <w:t>10 years</w:t>
            </w:r>
          </w:p>
        </w:tc>
      </w:tr>
      <w:tr w:rsidR="00D77781" w:rsidRPr="000449D1" w14:paraId="196EAE40" w14:textId="77777777" w:rsidTr="002C752A">
        <w:trPr>
          <w:cnfStyle w:val="100000000000" w:firstRow="1" w:lastRow="0" w:firstColumn="0" w:lastColumn="0" w:oddVBand="0" w:evenVBand="0" w:oddHBand="0" w:evenHBand="0" w:firstRowFirstColumn="0" w:firstRowLastColumn="0" w:lastRowFirstColumn="0" w:lastRowLastColumn="0"/>
          <w:trHeight w:val="315"/>
          <w:tblHeader/>
        </w:trPr>
        <w:tc>
          <w:tcPr>
            <w:tcW w:w="2324" w:type="dxa"/>
          </w:tcPr>
          <w:p w14:paraId="55DEE3C5" w14:textId="77777777" w:rsidR="00A03CD8" w:rsidRPr="000449D1" w:rsidRDefault="00A03CD8">
            <w:pPr>
              <w:pStyle w:val="TableText"/>
              <w:keepNext/>
              <w:rPr>
                <w:rFonts w:cs="Courier New"/>
              </w:rPr>
            </w:pPr>
            <w:r w:rsidRPr="000449D1">
              <w:rPr>
                <w:rFonts w:cs="Courier New"/>
              </w:rPr>
              <w:t>Computational method</w:t>
            </w:r>
          </w:p>
        </w:tc>
        <w:tc>
          <w:tcPr>
            <w:tcW w:w="6697" w:type="dxa"/>
          </w:tcPr>
          <w:p w14:paraId="62D4D14F" w14:textId="77777777" w:rsidR="00A03CD8" w:rsidRPr="000449D1" w:rsidRDefault="00A03CD8">
            <w:pPr>
              <w:pStyle w:val="TableText"/>
              <w:keepNext/>
              <w:rPr>
                <w:rFonts w:cs="Courier New"/>
              </w:rPr>
            </w:pPr>
            <w:r>
              <w:rPr>
                <w:rFonts w:cs="Courier New"/>
              </w:rPr>
              <w:t>Markov model</w:t>
            </w:r>
          </w:p>
        </w:tc>
      </w:tr>
      <w:tr w:rsidR="00D77781" w:rsidRPr="000449D1" w14:paraId="7C071588" w14:textId="77777777" w:rsidTr="002C752A">
        <w:trPr>
          <w:cnfStyle w:val="100000000000" w:firstRow="1" w:lastRow="0" w:firstColumn="0" w:lastColumn="0" w:oddVBand="0" w:evenVBand="0" w:oddHBand="0" w:evenHBand="0" w:firstRowFirstColumn="0" w:firstRowLastColumn="0" w:lastRowFirstColumn="0" w:lastRowLastColumn="0"/>
          <w:trHeight w:val="1111"/>
          <w:tblHeader/>
        </w:trPr>
        <w:tc>
          <w:tcPr>
            <w:tcW w:w="2324" w:type="dxa"/>
          </w:tcPr>
          <w:p w14:paraId="461F8BF7" w14:textId="77777777" w:rsidR="00A03CD8" w:rsidRPr="000449D1" w:rsidRDefault="00A03CD8">
            <w:pPr>
              <w:pStyle w:val="TableText"/>
              <w:keepNext/>
              <w:rPr>
                <w:rFonts w:cs="Courier New"/>
              </w:rPr>
            </w:pPr>
            <w:r w:rsidRPr="000449D1">
              <w:rPr>
                <w:rFonts w:cs="Courier New"/>
              </w:rPr>
              <w:t>Generation of the base case</w:t>
            </w:r>
          </w:p>
        </w:tc>
        <w:tc>
          <w:tcPr>
            <w:tcW w:w="6697" w:type="dxa"/>
          </w:tcPr>
          <w:p w14:paraId="43495DD8" w14:textId="77777777" w:rsidR="00A03CD8" w:rsidRDefault="00A03CD8">
            <w:pPr>
              <w:pStyle w:val="TableText"/>
              <w:keepNext/>
              <w:rPr>
                <w:rFonts w:cs="Courier New"/>
              </w:rPr>
            </w:pPr>
            <w:r>
              <w:rPr>
                <w:rFonts w:cs="Courier New"/>
              </w:rPr>
              <w:t>Modelled:</w:t>
            </w:r>
          </w:p>
          <w:p w14:paraId="70A1FC82" w14:textId="77777777" w:rsidR="00A03CD8" w:rsidRDefault="00A03CD8" w:rsidP="00A15B4C">
            <w:pPr>
              <w:pStyle w:val="TableText"/>
              <w:keepNext/>
              <w:numPr>
                <w:ilvl w:val="0"/>
                <w:numId w:val="23"/>
              </w:numPr>
              <w:rPr>
                <w:rFonts w:cs="Courier New"/>
              </w:rPr>
            </w:pPr>
            <w:r>
              <w:rPr>
                <w:rFonts w:cs="Courier New"/>
              </w:rPr>
              <w:t>Identify clinical pathway from clinical evidence.</w:t>
            </w:r>
          </w:p>
          <w:p w14:paraId="11610DA7" w14:textId="77777777" w:rsidR="00A03CD8" w:rsidRDefault="00A03CD8" w:rsidP="00A15B4C">
            <w:pPr>
              <w:pStyle w:val="TableText"/>
              <w:keepNext/>
              <w:numPr>
                <w:ilvl w:val="0"/>
                <w:numId w:val="23"/>
              </w:numPr>
              <w:rPr>
                <w:rFonts w:cs="Courier New"/>
              </w:rPr>
            </w:pPr>
            <w:r>
              <w:rPr>
                <w:rFonts w:cs="Courier New"/>
              </w:rPr>
              <w:t>Conduct a systematic review of other economic evaluations.</w:t>
            </w:r>
          </w:p>
          <w:p w14:paraId="53556E0C" w14:textId="77777777" w:rsidR="00A03CD8" w:rsidRDefault="00A03CD8" w:rsidP="00A15B4C">
            <w:pPr>
              <w:pStyle w:val="TableText"/>
              <w:keepNext/>
              <w:numPr>
                <w:ilvl w:val="0"/>
                <w:numId w:val="23"/>
              </w:numPr>
              <w:rPr>
                <w:rFonts w:cs="Courier New"/>
              </w:rPr>
            </w:pPr>
            <w:r>
              <w:rPr>
                <w:rFonts w:cs="Courier New"/>
              </w:rPr>
              <w:t>Identify inputs including costs, transition probabilities and utilities.</w:t>
            </w:r>
          </w:p>
          <w:p w14:paraId="0F6BACE9" w14:textId="77777777" w:rsidR="00A03CD8" w:rsidRDefault="00A03CD8" w:rsidP="00A15B4C">
            <w:pPr>
              <w:pStyle w:val="TableText"/>
              <w:keepNext/>
              <w:numPr>
                <w:ilvl w:val="0"/>
                <w:numId w:val="23"/>
              </w:numPr>
              <w:rPr>
                <w:rFonts w:cs="Courier New"/>
              </w:rPr>
            </w:pPr>
            <w:r>
              <w:rPr>
                <w:rFonts w:cs="Courier New"/>
              </w:rPr>
              <w:t>Verify inputs with clinical experts.</w:t>
            </w:r>
          </w:p>
          <w:p w14:paraId="30D5255C" w14:textId="176BB605" w:rsidR="00A03CD8" w:rsidRPr="000449D1" w:rsidRDefault="00A03CD8" w:rsidP="00A15B4C">
            <w:pPr>
              <w:pStyle w:val="TableText"/>
              <w:keepNext/>
              <w:numPr>
                <w:ilvl w:val="0"/>
                <w:numId w:val="23"/>
              </w:numPr>
              <w:rPr>
                <w:rFonts w:cs="Courier New"/>
              </w:rPr>
            </w:pPr>
            <w:r>
              <w:rPr>
                <w:rFonts w:cs="Courier New"/>
              </w:rPr>
              <w:t>Develop</w:t>
            </w:r>
            <w:r w:rsidR="00F22CB0">
              <w:rPr>
                <w:rFonts w:cs="Courier New"/>
              </w:rPr>
              <w:t xml:space="preserve">, </w:t>
            </w:r>
            <w:r>
              <w:rPr>
                <w:rFonts w:cs="Courier New"/>
              </w:rPr>
              <w:t>run</w:t>
            </w:r>
            <w:r w:rsidR="00F22CB0">
              <w:rPr>
                <w:rFonts w:cs="Courier New"/>
              </w:rPr>
              <w:t xml:space="preserve"> and review</w:t>
            </w:r>
            <w:r>
              <w:rPr>
                <w:rFonts w:cs="Courier New"/>
              </w:rPr>
              <w:t xml:space="preserve"> TreeAge model.</w:t>
            </w:r>
          </w:p>
        </w:tc>
      </w:tr>
      <w:tr w:rsidR="00D77781" w:rsidRPr="000449D1" w14:paraId="56B64293" w14:textId="77777777" w:rsidTr="002C752A">
        <w:trPr>
          <w:cnfStyle w:val="100000000000" w:firstRow="1" w:lastRow="0" w:firstColumn="0" w:lastColumn="0" w:oddVBand="0" w:evenVBand="0" w:oddHBand="0" w:evenHBand="0" w:firstRowFirstColumn="0" w:firstRowLastColumn="0" w:lastRowFirstColumn="0" w:lastRowLastColumn="0"/>
          <w:trHeight w:val="1170"/>
          <w:tblHeader/>
        </w:trPr>
        <w:tc>
          <w:tcPr>
            <w:tcW w:w="2324" w:type="dxa"/>
          </w:tcPr>
          <w:p w14:paraId="36D1FDD0" w14:textId="77777777" w:rsidR="00A03CD8" w:rsidRPr="000449D1" w:rsidRDefault="00A03CD8">
            <w:pPr>
              <w:pStyle w:val="TableText"/>
              <w:keepNext/>
              <w:rPr>
                <w:rFonts w:cs="Courier New"/>
              </w:rPr>
            </w:pPr>
            <w:r w:rsidRPr="000449D1">
              <w:rPr>
                <w:rFonts w:cs="Courier New"/>
              </w:rPr>
              <w:t>Health states</w:t>
            </w:r>
          </w:p>
        </w:tc>
        <w:tc>
          <w:tcPr>
            <w:tcW w:w="6697" w:type="dxa"/>
          </w:tcPr>
          <w:p w14:paraId="3102F4B2" w14:textId="77777777" w:rsidR="00A03CD8" w:rsidRPr="003E6780" w:rsidRDefault="00A03CD8">
            <w:pPr>
              <w:pStyle w:val="TableText"/>
              <w:keepNext/>
              <w:rPr>
                <w:rFonts w:cs="Courier New"/>
              </w:rPr>
            </w:pPr>
            <w:r w:rsidRPr="003E6780">
              <w:rPr>
                <w:rFonts w:cs="Courier New"/>
              </w:rPr>
              <w:t>Health states:</w:t>
            </w:r>
          </w:p>
          <w:p w14:paraId="59722C3A" w14:textId="77777777" w:rsidR="00A03CD8" w:rsidRDefault="00A03CD8" w:rsidP="00A15B4C">
            <w:pPr>
              <w:pStyle w:val="TableText"/>
              <w:keepNext/>
              <w:numPr>
                <w:ilvl w:val="0"/>
                <w:numId w:val="23"/>
              </w:numPr>
              <w:rPr>
                <w:rFonts w:cs="Courier New"/>
              </w:rPr>
            </w:pPr>
            <w:r>
              <w:rPr>
                <w:rFonts w:cs="Courier New"/>
              </w:rPr>
              <w:t>DBS surgery (non-rechargeable)</w:t>
            </w:r>
          </w:p>
          <w:p w14:paraId="0C178590" w14:textId="77777777" w:rsidR="00A03CD8" w:rsidRDefault="00A03CD8" w:rsidP="00A15B4C">
            <w:pPr>
              <w:pStyle w:val="TableText"/>
              <w:keepNext/>
              <w:numPr>
                <w:ilvl w:val="0"/>
                <w:numId w:val="23"/>
              </w:numPr>
              <w:rPr>
                <w:rFonts w:cs="Courier New"/>
              </w:rPr>
            </w:pPr>
            <w:r>
              <w:rPr>
                <w:rFonts w:cs="Courier New"/>
              </w:rPr>
              <w:t>DBS surgery (rechargeable)</w:t>
            </w:r>
          </w:p>
          <w:p w14:paraId="7D6BACA4" w14:textId="77777777" w:rsidR="00A03CD8" w:rsidRDefault="00A03CD8" w:rsidP="00A15B4C">
            <w:pPr>
              <w:pStyle w:val="TableText"/>
              <w:keepNext/>
              <w:numPr>
                <w:ilvl w:val="0"/>
                <w:numId w:val="23"/>
              </w:numPr>
              <w:rPr>
                <w:rFonts w:cs="Courier New"/>
              </w:rPr>
            </w:pPr>
            <w:r>
              <w:rPr>
                <w:rFonts w:cs="Courier New"/>
              </w:rPr>
              <w:t>Survive</w:t>
            </w:r>
          </w:p>
          <w:p w14:paraId="26CB0CC9" w14:textId="77777777" w:rsidR="00A03CD8" w:rsidRPr="000449D1" w:rsidRDefault="00A03CD8" w:rsidP="00A15B4C">
            <w:pPr>
              <w:pStyle w:val="TableText"/>
              <w:keepNext/>
              <w:numPr>
                <w:ilvl w:val="0"/>
                <w:numId w:val="23"/>
              </w:numPr>
              <w:rPr>
                <w:rFonts w:cs="Courier New"/>
              </w:rPr>
            </w:pPr>
            <w:r>
              <w:rPr>
                <w:rFonts w:cs="Courier New"/>
              </w:rPr>
              <w:t>Background mortality</w:t>
            </w:r>
          </w:p>
        </w:tc>
      </w:tr>
      <w:tr w:rsidR="00D77781" w:rsidRPr="000449D1" w14:paraId="16A0526D" w14:textId="77777777" w:rsidTr="002C752A">
        <w:trPr>
          <w:cnfStyle w:val="100000000000" w:firstRow="1" w:lastRow="0" w:firstColumn="0" w:lastColumn="0" w:oddVBand="0" w:evenVBand="0" w:oddHBand="0" w:evenHBand="0" w:firstRowFirstColumn="0" w:firstRowLastColumn="0" w:lastRowFirstColumn="0" w:lastRowLastColumn="0"/>
          <w:trHeight w:val="300"/>
          <w:tblHeader/>
        </w:trPr>
        <w:tc>
          <w:tcPr>
            <w:tcW w:w="2324" w:type="dxa"/>
          </w:tcPr>
          <w:p w14:paraId="2924ED27" w14:textId="77777777" w:rsidR="00A03CD8" w:rsidRPr="000449D1" w:rsidRDefault="00A03CD8">
            <w:pPr>
              <w:pStyle w:val="TableText"/>
              <w:keepNext/>
              <w:rPr>
                <w:rFonts w:cs="Courier New"/>
              </w:rPr>
            </w:pPr>
            <w:r w:rsidRPr="000449D1">
              <w:rPr>
                <w:rFonts w:cs="Courier New"/>
              </w:rPr>
              <w:t>Cycle length</w:t>
            </w:r>
          </w:p>
        </w:tc>
        <w:tc>
          <w:tcPr>
            <w:tcW w:w="6697" w:type="dxa"/>
          </w:tcPr>
          <w:p w14:paraId="08AAAC4A" w14:textId="77777777" w:rsidR="00A03CD8" w:rsidRPr="000449D1" w:rsidRDefault="00A03CD8">
            <w:pPr>
              <w:pStyle w:val="TableText"/>
              <w:keepNext/>
              <w:rPr>
                <w:rFonts w:cs="Courier New"/>
              </w:rPr>
            </w:pPr>
            <w:r>
              <w:rPr>
                <w:rFonts w:cs="Courier New"/>
              </w:rPr>
              <w:t>Annual</w:t>
            </w:r>
          </w:p>
        </w:tc>
      </w:tr>
      <w:tr w:rsidR="00D77781" w:rsidRPr="000449D1" w14:paraId="5A243637" w14:textId="77777777" w:rsidTr="002C752A">
        <w:trPr>
          <w:cnfStyle w:val="100000000000" w:firstRow="1" w:lastRow="0" w:firstColumn="0" w:lastColumn="0" w:oddVBand="0" w:evenVBand="0" w:oddHBand="0" w:evenHBand="0" w:firstRowFirstColumn="0" w:firstRowLastColumn="0" w:lastRowFirstColumn="0" w:lastRowLastColumn="0"/>
          <w:trHeight w:val="443"/>
          <w:tblHeader/>
        </w:trPr>
        <w:tc>
          <w:tcPr>
            <w:tcW w:w="2324" w:type="dxa"/>
          </w:tcPr>
          <w:p w14:paraId="1F86D446" w14:textId="77777777" w:rsidR="00A03CD8" w:rsidRPr="000449D1" w:rsidRDefault="00A03CD8">
            <w:pPr>
              <w:pStyle w:val="TableText"/>
              <w:keepNext/>
              <w:rPr>
                <w:rFonts w:cs="Courier New"/>
              </w:rPr>
            </w:pPr>
            <w:r w:rsidRPr="000449D1">
              <w:rPr>
                <w:rFonts w:cs="Courier New"/>
              </w:rPr>
              <w:t>Transition probabilities</w:t>
            </w:r>
          </w:p>
        </w:tc>
        <w:tc>
          <w:tcPr>
            <w:tcW w:w="6697" w:type="dxa"/>
          </w:tcPr>
          <w:p w14:paraId="335581EB" w14:textId="3898FAED" w:rsidR="00175137" w:rsidRDefault="00175137" w:rsidP="00175137">
            <w:pPr>
              <w:pStyle w:val="TableText"/>
              <w:keepNext/>
              <w:rPr>
                <w:rFonts w:cs="Courier New"/>
              </w:rPr>
            </w:pPr>
            <w:r>
              <w:rPr>
                <w:rFonts w:cs="Courier New"/>
              </w:rPr>
              <w:t xml:space="preserve">A range of sources were used to inform the transition probabilities in the model, with the majority being sourced from the main economic model </w:t>
            </w:r>
            <w:r w:rsidR="007F7DD7">
              <w:rPr>
                <w:rFonts w:cs="Courier New"/>
              </w:rPr>
              <w:fldChar w:fldCharType="begin"/>
            </w:r>
            <w:r w:rsidR="007F7DD7">
              <w:rPr>
                <w:rFonts w:cs="Courier New"/>
              </w:rPr>
              <w:instrText xml:space="preserve"> ADDIN EN.CITE &lt;EndNote&gt;&lt;Cite&gt;&lt;Author&gt;Moon&lt;/Author&gt;&lt;Year&gt;2017&lt;/Year&gt;&lt;RecNum&gt;37&lt;/RecNum&gt;&lt;DisplayText&gt;(Moon et al., 2017)&lt;/DisplayText&gt;&lt;record&gt;&lt;rec-number&gt;37&lt;/rec-number&gt;&lt;foreign-keys&gt;&lt;key app="EN" db-id="tdxf2002ma5txae92atp5z2wttp5rzxaweap" timestamp="1688871095"&gt;37&lt;/key&gt;&lt;/foreign-keys&gt;&lt;ref-type name="Journal Article"&gt;17&lt;/ref-type&gt;&lt;contributors&gt;&lt;authors&gt;&lt;author&gt;Moon, W.&lt;/author&gt;&lt;author&gt;Kim, S. N.&lt;/author&gt;&lt;author&gt;Park, S.&lt;/author&gt;&lt;author&gt;Paek, S. H.&lt;/author&gt;&lt;author&gt;Kwon, J. S.&lt;/author&gt;&lt;/authors&gt;&lt;/contributors&gt;&lt;titles&gt;&lt;title&gt;The cost-effectiveness of deep brain stimulation for patients with treatment-resistant obsessive-compulsive disorder&lt;/title&gt;&lt;/titles&gt;&lt;pages&gt;e7397&lt;/pages&gt;&lt;volume&gt;1&lt;/volume&gt;&lt;number&gt;27&lt;/number&gt;&lt;keywords&gt;&lt;keyword&gt;Adult&lt;/keyword&gt;&lt;keyword&gt;Chronic Disease&lt;/keyword&gt;&lt;keyword&gt;*Cost-Benefit Analysis&lt;/keyword&gt;&lt;keyword&gt;*Deep Brain Stimulation/ec [Economics]&lt;/keyword&gt;&lt;keyword&gt;Drug Resistance&lt;/keyword&gt;&lt;keyword&gt;Female&lt;/keyword&gt;&lt;keyword&gt;Health Care Costs&lt;/keyword&gt;&lt;keyword&gt;Humans&lt;/keyword&gt;&lt;keyword&gt;Male&lt;/keyword&gt;&lt;keyword&gt;Markov Chains&lt;/keyword&gt;&lt;keyword&gt;Models, Economic&lt;/keyword&gt;&lt;keyword&gt;National Health Programs/ec [Economics]&lt;/keyword&gt;&lt;keyword&gt;*Obsessive-Compulsive Disorder/ec [Economics]&lt;/keyword&gt;&lt;keyword&gt;*Obsessive-Compulsive Disorder/th [Therapy]&lt;/keyword&gt;&lt;keyword&gt;Psychotropic Drugs/ec [Economics]&lt;/keyword&gt;&lt;keyword&gt;Psychotropic Drugs/tu [Therapeutic Use]&lt;/keyword&gt;&lt;keyword&gt;Quality of Life&lt;/keyword&gt;&lt;keyword&gt;Quality-Adjusted Life Years&lt;/keyword&gt;&lt;keyword&gt;Republic of Korea&lt;/keyword&gt;&lt;keyword&gt;Treatment Outcome&lt;/keyword&gt;&lt;keyword&gt;United Kingdom&lt;/keyword&gt;&lt;/keywords&gt;&lt;dates&gt;&lt;year&gt;2017&lt;/year&gt;&lt;pub-dates&gt;&lt;date&gt;Jul&lt;/date&gt;&lt;/pub-dates&gt;&lt;/dates&gt;&lt;urls&gt;&lt;/urls&gt;&lt;/record&gt;&lt;/Cite&gt;&lt;/EndNote&gt;</w:instrText>
            </w:r>
            <w:r w:rsidR="007F7DD7">
              <w:rPr>
                <w:rFonts w:cs="Courier New"/>
              </w:rPr>
              <w:fldChar w:fldCharType="separate"/>
            </w:r>
            <w:r w:rsidR="007F7DD7">
              <w:rPr>
                <w:rFonts w:cs="Courier New"/>
                <w:noProof/>
              </w:rPr>
              <w:t>(Moon et al., 2017)</w:t>
            </w:r>
            <w:r w:rsidR="007F7DD7">
              <w:rPr>
                <w:rFonts w:cs="Courier New"/>
              </w:rPr>
              <w:fldChar w:fldCharType="end"/>
            </w:r>
            <w:r>
              <w:rPr>
                <w:rFonts w:cs="Courier New"/>
              </w:rPr>
              <w:t>.</w:t>
            </w:r>
          </w:p>
          <w:p w14:paraId="5F18EC0A" w14:textId="4F49CB7D" w:rsidR="00A03CD8" w:rsidRPr="000449D1" w:rsidRDefault="00A03CD8">
            <w:pPr>
              <w:pStyle w:val="TableText"/>
              <w:keepNext/>
              <w:rPr>
                <w:rFonts w:cs="Courier New"/>
              </w:rPr>
            </w:pPr>
            <w:r>
              <w:rPr>
                <w:rFonts w:cs="Courier New"/>
              </w:rPr>
              <w:t xml:space="preserve">All sources are outlined in </w:t>
            </w:r>
            <w:r w:rsidR="00175137">
              <w:rPr>
                <w:rFonts w:cs="Courier New"/>
              </w:rPr>
              <w:fldChar w:fldCharType="begin"/>
            </w:r>
            <w:r w:rsidR="00175137">
              <w:rPr>
                <w:rFonts w:cs="Courier New"/>
              </w:rPr>
              <w:instrText xml:space="preserve"> REF _Ref140040788 \h </w:instrText>
            </w:r>
            <w:r w:rsidR="001D7957">
              <w:rPr>
                <w:rFonts w:cs="Courier New"/>
              </w:rPr>
              <w:instrText xml:space="preserve"> \* MERGEFORMAT </w:instrText>
            </w:r>
            <w:r w:rsidR="00175137">
              <w:rPr>
                <w:rFonts w:cs="Courier New"/>
              </w:rPr>
            </w:r>
            <w:r w:rsidR="00175137">
              <w:rPr>
                <w:rFonts w:cs="Courier New"/>
              </w:rPr>
              <w:fldChar w:fldCharType="separate"/>
            </w:r>
            <w:r w:rsidR="007F15AB">
              <w:t xml:space="preserve">Table </w:t>
            </w:r>
            <w:r w:rsidR="007F15AB">
              <w:rPr>
                <w:noProof/>
              </w:rPr>
              <w:t>36</w:t>
            </w:r>
            <w:r w:rsidR="00175137">
              <w:rPr>
                <w:rFonts w:cs="Courier New"/>
              </w:rPr>
              <w:fldChar w:fldCharType="end"/>
            </w:r>
            <w:r>
              <w:rPr>
                <w:rFonts w:cs="Courier New"/>
              </w:rPr>
              <w:t>.</w:t>
            </w:r>
          </w:p>
        </w:tc>
      </w:tr>
      <w:tr w:rsidR="00D77781" w:rsidRPr="000449D1" w14:paraId="49A81792" w14:textId="77777777" w:rsidTr="002C752A">
        <w:trPr>
          <w:cnfStyle w:val="100000000000" w:firstRow="1" w:lastRow="0" w:firstColumn="0" w:lastColumn="0" w:oddVBand="0" w:evenVBand="0" w:oddHBand="0" w:evenHBand="0" w:firstRowFirstColumn="0" w:firstRowLastColumn="0" w:lastRowFirstColumn="0" w:lastRowLastColumn="0"/>
          <w:trHeight w:val="315"/>
          <w:tblHeader/>
        </w:trPr>
        <w:tc>
          <w:tcPr>
            <w:tcW w:w="2324" w:type="dxa"/>
          </w:tcPr>
          <w:p w14:paraId="3A40BC1D" w14:textId="77777777" w:rsidR="00A03CD8" w:rsidRPr="000449D1" w:rsidRDefault="00A03CD8">
            <w:pPr>
              <w:pStyle w:val="TableText"/>
              <w:keepNext/>
              <w:rPr>
                <w:rFonts w:cs="Courier New"/>
              </w:rPr>
            </w:pPr>
            <w:r w:rsidRPr="000449D1">
              <w:rPr>
                <w:rFonts w:cs="Courier New"/>
              </w:rPr>
              <w:t>Discount rate</w:t>
            </w:r>
          </w:p>
        </w:tc>
        <w:tc>
          <w:tcPr>
            <w:tcW w:w="6697" w:type="dxa"/>
          </w:tcPr>
          <w:p w14:paraId="607D8019" w14:textId="132093AF" w:rsidR="00A03CD8" w:rsidRPr="000449D1" w:rsidRDefault="00A03CD8">
            <w:pPr>
              <w:pStyle w:val="TableText"/>
              <w:keepNext/>
              <w:rPr>
                <w:rFonts w:cs="Courier New"/>
              </w:rPr>
            </w:pPr>
            <w:r w:rsidRPr="000449D1">
              <w:rPr>
                <w:rFonts w:cs="Courier New"/>
              </w:rPr>
              <w:t xml:space="preserve">5% for both costs and </w:t>
            </w:r>
            <w:r>
              <w:rPr>
                <w:rFonts w:cs="Courier New"/>
              </w:rPr>
              <w:t xml:space="preserve">utilities </w:t>
            </w:r>
            <w:r w:rsidR="00175137">
              <w:rPr>
                <w:rFonts w:cs="Courier New"/>
              </w:rPr>
              <w:t>as per MSAC Guidelines</w:t>
            </w:r>
          </w:p>
        </w:tc>
      </w:tr>
      <w:tr w:rsidR="00D77781" w:rsidRPr="000449D1" w14:paraId="7914748E" w14:textId="77777777" w:rsidTr="002C752A">
        <w:trPr>
          <w:cnfStyle w:val="100000000000" w:firstRow="1" w:lastRow="0" w:firstColumn="0" w:lastColumn="0" w:oddVBand="0" w:evenVBand="0" w:oddHBand="0" w:evenHBand="0" w:firstRowFirstColumn="0" w:firstRowLastColumn="0" w:lastRowFirstColumn="0" w:lastRowLastColumn="0"/>
          <w:trHeight w:val="300"/>
          <w:tblHeader/>
        </w:trPr>
        <w:tc>
          <w:tcPr>
            <w:tcW w:w="2324" w:type="dxa"/>
          </w:tcPr>
          <w:p w14:paraId="509D29BC" w14:textId="77777777" w:rsidR="00A03CD8" w:rsidRPr="000449D1" w:rsidRDefault="00A03CD8">
            <w:pPr>
              <w:pStyle w:val="TableText"/>
              <w:keepNext/>
              <w:rPr>
                <w:rFonts w:cs="Courier New"/>
              </w:rPr>
            </w:pPr>
            <w:r w:rsidRPr="000449D1">
              <w:rPr>
                <w:rFonts w:cs="Courier New"/>
              </w:rPr>
              <w:t>Software</w:t>
            </w:r>
          </w:p>
        </w:tc>
        <w:tc>
          <w:tcPr>
            <w:tcW w:w="6697" w:type="dxa"/>
          </w:tcPr>
          <w:p w14:paraId="3856E824" w14:textId="77777777" w:rsidR="00A03CD8" w:rsidRPr="000449D1" w:rsidRDefault="00A03CD8">
            <w:pPr>
              <w:pStyle w:val="TableText"/>
              <w:keepNext/>
              <w:rPr>
                <w:rFonts w:cs="Courier New"/>
              </w:rPr>
            </w:pPr>
            <w:r w:rsidRPr="000449D1">
              <w:rPr>
                <w:rFonts w:cs="Courier New"/>
              </w:rPr>
              <w:t xml:space="preserve">TreeAge Pro </w:t>
            </w:r>
            <w:r>
              <w:rPr>
                <w:rFonts w:cs="Courier New"/>
              </w:rPr>
              <w:t xml:space="preserve">and </w:t>
            </w:r>
            <w:r w:rsidRPr="00331240">
              <w:t>Microsoft Excel</w:t>
            </w:r>
            <w:r>
              <w:t xml:space="preserve"> </w:t>
            </w:r>
          </w:p>
        </w:tc>
      </w:tr>
    </w:tbl>
    <w:p w14:paraId="20C876BB" w14:textId="266A44FF" w:rsidR="00A03CD8" w:rsidRDefault="00A03CD8" w:rsidP="002C752A">
      <w:pPr>
        <w:pStyle w:val="TableFigureFooter"/>
        <w:spacing w:before="0" w:after="0"/>
      </w:pPr>
      <w:r w:rsidRPr="00B259D3">
        <w:t xml:space="preserve">Abbreviations: </w:t>
      </w:r>
      <w:r w:rsidR="00C238C5">
        <w:t>CUA= Cost-utility analysis</w:t>
      </w:r>
      <w:r w:rsidRPr="00B259D3">
        <w:t xml:space="preserve"> DBS = Deep Brain Stimulation; OCD = </w:t>
      </w:r>
      <w:proofErr w:type="gramStart"/>
      <w:r w:rsidRPr="00B259D3">
        <w:t>Obsessive Compulsive Disorder</w:t>
      </w:r>
      <w:proofErr w:type="gramEnd"/>
      <w:r w:rsidRPr="00B259D3">
        <w:t xml:space="preserve">; QALY = Quality-adjusted Life Year; SOC = Standard of Care; </w:t>
      </w:r>
      <w:r w:rsidR="007E7DCD">
        <w:t xml:space="preserve">SSRI= </w:t>
      </w:r>
      <w:r w:rsidR="007E7DCD" w:rsidRPr="00B0521E">
        <w:t>selective serotonin reuptake inhibitors</w:t>
      </w:r>
      <w:r w:rsidR="007E7DCD">
        <w:t xml:space="preserve">; </w:t>
      </w:r>
      <w:r w:rsidRPr="00B259D3">
        <w:t>Y-BOCS = Yale-Brown Obsessive Compulsive Scale</w:t>
      </w:r>
    </w:p>
    <w:p w14:paraId="457FA33F" w14:textId="77777777" w:rsidR="00A03CD8" w:rsidRPr="00CE28E3" w:rsidRDefault="00A03CD8" w:rsidP="0082431A">
      <w:pPr>
        <w:pStyle w:val="TableFigureFooter"/>
        <w:spacing w:before="0"/>
      </w:pPr>
      <w:r w:rsidRPr="002E7D8F">
        <w:rPr>
          <w:vertAlign w:val="superscript"/>
        </w:rPr>
        <w:t>a</w:t>
      </w:r>
      <w:r w:rsidRPr="002E7D8F">
        <w:t xml:space="preserve"> Prior testing includes an assessment prepared by the DBS psychiatrist for the </w:t>
      </w:r>
      <w:r w:rsidRPr="0006488F">
        <w:t xml:space="preserve">mental health tribunal. The tribunal reviews the suitability of the candidate for DBS and their capacity to consent voluntarily to DBS. As </w:t>
      </w:r>
      <w:r>
        <w:t xml:space="preserve">clinical experts note that </w:t>
      </w:r>
      <w:r w:rsidRPr="0006488F">
        <w:t>no agreed cost is attached to this assessment, prior testing is not considered as a cost in the intervention arm.</w:t>
      </w:r>
      <w:r w:rsidRPr="002E7D8F">
        <w:t xml:space="preserve"> </w:t>
      </w:r>
    </w:p>
    <w:p w14:paraId="0F1C8DEF" w14:textId="77777777" w:rsidR="0082431A" w:rsidRDefault="0082431A" w:rsidP="0082431A">
      <w:pPr>
        <w:pStyle w:val="Instructionaltext"/>
        <w:spacing w:before="0"/>
        <w:rPr>
          <w:color w:val="auto"/>
        </w:rPr>
      </w:pPr>
      <w:r>
        <w:rPr>
          <w:color w:val="auto"/>
        </w:rPr>
        <w:t>The cost impacts of expanding the current MBS items for DBS to include patients with severe treatment-refractory OCD are presented below as disaggregated and aggregated results by health state and cost component, including MBS, State and Territory (hospital costs) and prothesis item costs.</w:t>
      </w:r>
    </w:p>
    <w:p w14:paraId="3BCFA494" w14:textId="026BDCCB" w:rsidR="00175137" w:rsidRDefault="00175137" w:rsidP="00175137">
      <w:pPr>
        <w:pStyle w:val="Instructionaltext"/>
        <w:rPr>
          <w:color w:val="auto"/>
        </w:rPr>
      </w:pPr>
      <w:r>
        <w:rPr>
          <w:color w:val="auto"/>
        </w:rPr>
        <w:t xml:space="preserve">The results demonstrate that the </w:t>
      </w:r>
      <w:r w:rsidR="0082431A">
        <w:rPr>
          <w:color w:val="auto"/>
        </w:rPr>
        <w:t xml:space="preserve">overall </w:t>
      </w:r>
      <w:r>
        <w:rPr>
          <w:color w:val="auto"/>
        </w:rPr>
        <w:t>cost</w:t>
      </w:r>
      <w:r w:rsidR="0082431A">
        <w:rPr>
          <w:color w:val="auto"/>
        </w:rPr>
        <w:t>s</w:t>
      </w:r>
      <w:r>
        <w:rPr>
          <w:color w:val="auto"/>
        </w:rPr>
        <w:t xml:space="preserve"> </w:t>
      </w:r>
      <w:r w:rsidR="0082431A">
        <w:rPr>
          <w:color w:val="auto"/>
        </w:rPr>
        <w:t>of</w:t>
      </w:r>
      <w:r>
        <w:rPr>
          <w:color w:val="auto"/>
        </w:rPr>
        <w:t xml:space="preserve"> DBS </w:t>
      </w:r>
      <w:r w:rsidR="0082431A">
        <w:rPr>
          <w:color w:val="auto"/>
        </w:rPr>
        <w:t>are</w:t>
      </w:r>
      <w:r>
        <w:rPr>
          <w:color w:val="auto"/>
        </w:rPr>
        <w:t xml:space="preserve"> higher than standard of care, which is evident as procedural, hospital and prothesis costs associated with this procedure are substantial. It is noted that whilst the rechargeable IPG health state absorbs </w:t>
      </w:r>
      <w:proofErr w:type="gramStart"/>
      <w:r>
        <w:rPr>
          <w:color w:val="auto"/>
        </w:rPr>
        <w:t>the majority of</w:t>
      </w:r>
      <w:proofErr w:type="gramEnd"/>
      <w:r>
        <w:rPr>
          <w:color w:val="auto"/>
        </w:rPr>
        <w:t xml:space="preserve"> costs (60%), the long-term benefits from fewer IPG revision or replacement procedures in this health state is likely to result in less complications and long-term costs.</w:t>
      </w:r>
    </w:p>
    <w:p w14:paraId="03D21459" w14:textId="77777777" w:rsidR="00F00B26" w:rsidRDefault="00F00B26" w:rsidP="00F00B26">
      <w:pPr>
        <w:pStyle w:val="Instructionaltext"/>
        <w:rPr>
          <w:color w:val="auto"/>
        </w:rPr>
      </w:pPr>
      <w:r w:rsidRPr="00BC3A77">
        <w:rPr>
          <w:color w:val="auto"/>
        </w:rPr>
        <w:lastRenderedPageBreak/>
        <w:t xml:space="preserve">A summary of disaggregated </w:t>
      </w:r>
      <w:r>
        <w:rPr>
          <w:color w:val="auto"/>
        </w:rPr>
        <w:t>and aggregated cost</w:t>
      </w:r>
      <w:r w:rsidRPr="00BC3A77">
        <w:rPr>
          <w:color w:val="auto"/>
        </w:rPr>
        <w:t xml:space="preserve"> impact</w:t>
      </w:r>
      <w:r>
        <w:rPr>
          <w:color w:val="auto"/>
        </w:rPr>
        <w:t>s</w:t>
      </w:r>
      <w:r w:rsidRPr="00BC3A77">
        <w:rPr>
          <w:color w:val="auto"/>
        </w:rPr>
        <w:t xml:space="preserve"> of DBS </w:t>
      </w:r>
      <w:r>
        <w:rPr>
          <w:color w:val="auto"/>
        </w:rPr>
        <w:t>for severe treatment-refractory</w:t>
      </w:r>
      <w:r w:rsidRPr="00BC3A77">
        <w:rPr>
          <w:color w:val="auto"/>
        </w:rPr>
        <w:t xml:space="preserve"> OCD patients over ten years </w:t>
      </w:r>
      <w:r>
        <w:rPr>
          <w:color w:val="auto"/>
        </w:rPr>
        <w:t>are</w:t>
      </w:r>
      <w:r w:rsidRPr="00BC3A77">
        <w:rPr>
          <w:color w:val="auto"/>
        </w:rPr>
        <w:t xml:space="preserve"> detailed</w:t>
      </w:r>
      <w:r>
        <w:rPr>
          <w:color w:val="auto"/>
        </w:rPr>
        <w:t xml:space="preserve"> the table </w:t>
      </w:r>
      <w:r w:rsidRPr="00BC3A77">
        <w:rPr>
          <w:color w:val="auto"/>
        </w:rPr>
        <w:t>below.</w:t>
      </w:r>
    </w:p>
    <w:p w14:paraId="2D635B99" w14:textId="15638AA9" w:rsidR="00F00B26" w:rsidRDefault="00F00B26" w:rsidP="00F00B26">
      <w:pPr>
        <w:pStyle w:val="Caption"/>
      </w:pPr>
      <w:bookmarkStart w:id="32" w:name="_Toc143098943"/>
      <w:r w:rsidRPr="00CE28E3">
        <w:t>Table</w:t>
      </w:r>
      <w:r>
        <w:t> </w:t>
      </w:r>
      <w:r>
        <w:fldChar w:fldCharType="begin"/>
      </w:r>
      <w:r>
        <w:instrText>SEQ Table \* ARABIC</w:instrText>
      </w:r>
      <w:r>
        <w:fldChar w:fldCharType="separate"/>
      </w:r>
      <w:r w:rsidR="007F15AB">
        <w:rPr>
          <w:noProof/>
        </w:rPr>
        <w:t>6</w:t>
      </w:r>
      <w:r>
        <w:fldChar w:fldCharType="end"/>
      </w:r>
      <w:r w:rsidR="001A7A1E">
        <w:t>:</w:t>
      </w:r>
      <w:r w:rsidRPr="00CE28E3">
        <w:tab/>
        <w:t>Health care resource items: disaggregated summary of cost impacts in the economic evaluation</w:t>
      </w:r>
      <w:bookmarkEnd w:id="32"/>
    </w:p>
    <w:tbl>
      <w:tblPr>
        <w:tblStyle w:val="TableGrid"/>
        <w:tblW w:w="0" w:type="auto"/>
        <w:tblLook w:val="04A0" w:firstRow="1" w:lastRow="0" w:firstColumn="1" w:lastColumn="0" w:noHBand="0" w:noVBand="1"/>
      </w:tblPr>
      <w:tblGrid>
        <w:gridCol w:w="1494"/>
        <w:gridCol w:w="1507"/>
        <w:gridCol w:w="1585"/>
        <w:gridCol w:w="1436"/>
        <w:gridCol w:w="1497"/>
        <w:gridCol w:w="1497"/>
      </w:tblGrid>
      <w:tr w:rsidR="00F00B26" w:rsidRPr="003B23EA" w14:paraId="3D521268" w14:textId="77777777" w:rsidTr="006B412C">
        <w:tc>
          <w:tcPr>
            <w:tcW w:w="1494" w:type="dxa"/>
            <w:vAlign w:val="center"/>
          </w:tcPr>
          <w:p w14:paraId="57BDB813" w14:textId="77777777" w:rsidR="00F00B26" w:rsidRPr="003F0D2C" w:rsidRDefault="00F00B26" w:rsidP="00C529AD">
            <w:pPr>
              <w:pStyle w:val="TableHeading"/>
              <w:spacing w:before="40" w:after="40"/>
              <w:jc w:val="center"/>
              <w:rPr>
                <w:szCs w:val="20"/>
              </w:rPr>
            </w:pPr>
            <w:r w:rsidRPr="003F0D2C">
              <w:rPr>
                <w:rFonts w:cs="Courier New"/>
                <w:szCs w:val="20"/>
              </w:rPr>
              <w:t>Type</w:t>
            </w:r>
            <w:r w:rsidRPr="003F0D2C">
              <w:rPr>
                <w:szCs w:val="20"/>
              </w:rPr>
              <w:t xml:space="preserve"> of resource item</w:t>
            </w:r>
          </w:p>
        </w:tc>
        <w:tc>
          <w:tcPr>
            <w:tcW w:w="1507" w:type="dxa"/>
            <w:vAlign w:val="center"/>
          </w:tcPr>
          <w:p w14:paraId="244B9349" w14:textId="77777777" w:rsidR="00F00B26" w:rsidRPr="003F0D2C" w:rsidRDefault="00F00B26" w:rsidP="00C529AD">
            <w:pPr>
              <w:spacing w:before="40" w:after="40" w:line="276" w:lineRule="auto"/>
              <w:jc w:val="center"/>
              <w:rPr>
                <w:rFonts w:ascii="Arial Narrow" w:hAnsi="Arial Narrow"/>
                <w:b/>
                <w:sz w:val="20"/>
                <w:szCs w:val="20"/>
              </w:rPr>
            </w:pPr>
            <w:r w:rsidRPr="003F0D2C">
              <w:rPr>
                <w:rFonts w:ascii="Arial Narrow" w:hAnsi="Arial Narrow"/>
                <w:b/>
                <w:sz w:val="20"/>
                <w:szCs w:val="20"/>
              </w:rPr>
              <w:t>Subtype of resource item</w:t>
            </w:r>
          </w:p>
        </w:tc>
        <w:tc>
          <w:tcPr>
            <w:tcW w:w="1585" w:type="dxa"/>
            <w:vAlign w:val="center"/>
          </w:tcPr>
          <w:p w14:paraId="025E1DF5" w14:textId="77777777" w:rsidR="00F00B26" w:rsidRPr="003F0D2C" w:rsidRDefault="00F00B26" w:rsidP="00C529AD">
            <w:pPr>
              <w:spacing w:before="40" w:after="40" w:line="276" w:lineRule="auto"/>
              <w:jc w:val="center"/>
              <w:rPr>
                <w:rFonts w:ascii="Arial Narrow" w:hAnsi="Arial Narrow"/>
                <w:b/>
                <w:sz w:val="20"/>
                <w:szCs w:val="20"/>
              </w:rPr>
            </w:pPr>
            <w:r w:rsidRPr="003F0D2C">
              <w:rPr>
                <w:rFonts w:ascii="Arial Narrow" w:hAnsi="Arial Narrow"/>
                <w:b/>
                <w:sz w:val="20"/>
                <w:szCs w:val="20"/>
              </w:rPr>
              <w:t>DBS arm</w:t>
            </w:r>
          </w:p>
        </w:tc>
        <w:tc>
          <w:tcPr>
            <w:tcW w:w="1436" w:type="dxa"/>
            <w:vAlign w:val="center"/>
          </w:tcPr>
          <w:p w14:paraId="6FAFE996" w14:textId="77777777" w:rsidR="00F00B26" w:rsidRPr="003B23EA" w:rsidRDefault="00F00B26" w:rsidP="00C529AD">
            <w:pPr>
              <w:spacing w:before="40" w:after="40" w:line="276" w:lineRule="auto"/>
              <w:jc w:val="center"/>
              <w:rPr>
                <w:rFonts w:ascii="Arial Narrow" w:hAnsi="Arial Narrow"/>
                <w:b/>
                <w:bCs/>
                <w:sz w:val="20"/>
                <w:szCs w:val="20"/>
              </w:rPr>
            </w:pPr>
            <w:r w:rsidRPr="003B23EA">
              <w:rPr>
                <w:rFonts w:ascii="Arial Narrow" w:hAnsi="Arial Narrow"/>
                <w:b/>
                <w:bCs/>
                <w:sz w:val="20"/>
                <w:szCs w:val="20"/>
              </w:rPr>
              <w:t>SOC arm</w:t>
            </w:r>
          </w:p>
        </w:tc>
        <w:tc>
          <w:tcPr>
            <w:tcW w:w="1497" w:type="dxa"/>
            <w:vAlign w:val="center"/>
          </w:tcPr>
          <w:p w14:paraId="4AA1186E" w14:textId="77777777" w:rsidR="00F00B26" w:rsidRPr="003B23EA" w:rsidRDefault="00F00B26" w:rsidP="00C529AD">
            <w:pPr>
              <w:spacing w:before="40" w:after="40" w:line="276" w:lineRule="auto"/>
              <w:jc w:val="center"/>
              <w:rPr>
                <w:rFonts w:ascii="Arial Narrow" w:hAnsi="Arial Narrow"/>
                <w:b/>
                <w:bCs/>
                <w:sz w:val="20"/>
                <w:szCs w:val="20"/>
              </w:rPr>
            </w:pPr>
            <w:r w:rsidRPr="003B23EA">
              <w:rPr>
                <w:rFonts w:ascii="Arial Narrow" w:hAnsi="Arial Narrow"/>
                <w:b/>
                <w:bCs/>
                <w:sz w:val="20"/>
                <w:szCs w:val="20"/>
              </w:rPr>
              <w:t>Incremental cost</w:t>
            </w:r>
          </w:p>
        </w:tc>
        <w:tc>
          <w:tcPr>
            <w:tcW w:w="1497" w:type="dxa"/>
            <w:vAlign w:val="center"/>
          </w:tcPr>
          <w:p w14:paraId="213304F6" w14:textId="77777777" w:rsidR="00F00B26" w:rsidRPr="003B23EA" w:rsidRDefault="00F00B26" w:rsidP="00C529AD">
            <w:pPr>
              <w:spacing w:before="40" w:after="40" w:line="276" w:lineRule="auto"/>
              <w:jc w:val="center"/>
              <w:rPr>
                <w:rFonts w:ascii="Arial Narrow" w:hAnsi="Arial Narrow"/>
                <w:b/>
                <w:bCs/>
                <w:sz w:val="20"/>
                <w:szCs w:val="20"/>
              </w:rPr>
            </w:pPr>
            <w:r w:rsidRPr="003B23EA">
              <w:rPr>
                <w:rFonts w:ascii="Arial Narrow" w:hAnsi="Arial Narrow"/>
                <w:b/>
                <w:bCs/>
                <w:sz w:val="20"/>
                <w:szCs w:val="20"/>
              </w:rPr>
              <w:t>% of total incremental cost</w:t>
            </w:r>
          </w:p>
        </w:tc>
      </w:tr>
      <w:tr w:rsidR="006B412C" w:rsidRPr="003B23EA" w14:paraId="473E7E35" w14:textId="77777777" w:rsidTr="006B412C">
        <w:tc>
          <w:tcPr>
            <w:tcW w:w="1494" w:type="dxa"/>
            <w:vMerge w:val="restart"/>
            <w:vAlign w:val="center"/>
          </w:tcPr>
          <w:p w14:paraId="1098ECBC" w14:textId="77777777" w:rsidR="006B412C" w:rsidRPr="003B23EA" w:rsidRDefault="006B412C" w:rsidP="00C529AD">
            <w:pPr>
              <w:spacing w:before="40" w:after="40" w:line="276" w:lineRule="auto"/>
              <w:jc w:val="center"/>
              <w:rPr>
                <w:rFonts w:ascii="Arial Narrow" w:hAnsi="Arial Narrow"/>
                <w:sz w:val="20"/>
                <w:szCs w:val="20"/>
              </w:rPr>
            </w:pPr>
            <w:r w:rsidRPr="003B23EA">
              <w:rPr>
                <w:rFonts w:ascii="Arial Narrow" w:hAnsi="Arial Narrow"/>
                <w:sz w:val="20"/>
                <w:szCs w:val="20"/>
              </w:rPr>
              <w:t>MBS costs</w:t>
            </w:r>
          </w:p>
        </w:tc>
        <w:tc>
          <w:tcPr>
            <w:tcW w:w="1507" w:type="dxa"/>
            <w:vAlign w:val="center"/>
          </w:tcPr>
          <w:p w14:paraId="55BEB0AD"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Rechargeable</w:t>
            </w:r>
          </w:p>
        </w:tc>
        <w:tc>
          <w:tcPr>
            <w:tcW w:w="1585" w:type="dxa"/>
            <w:vAlign w:val="center"/>
          </w:tcPr>
          <w:p w14:paraId="0F8CC886" w14:textId="4BDDB510"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$18,251</w:t>
            </w:r>
          </w:p>
        </w:tc>
        <w:tc>
          <w:tcPr>
            <w:tcW w:w="1436" w:type="dxa"/>
            <w:vAlign w:val="center"/>
          </w:tcPr>
          <w:p w14:paraId="26F570D5"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$0</w:t>
            </w:r>
          </w:p>
        </w:tc>
        <w:tc>
          <w:tcPr>
            <w:tcW w:w="1497" w:type="dxa"/>
            <w:vAlign w:val="center"/>
          </w:tcPr>
          <w:p w14:paraId="30F65F0A" w14:textId="13780E9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$18,251</w:t>
            </w:r>
          </w:p>
        </w:tc>
        <w:tc>
          <w:tcPr>
            <w:tcW w:w="1497" w:type="dxa"/>
            <w:vAlign w:val="center"/>
          </w:tcPr>
          <w:p w14:paraId="76A8DD4B"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15%</w:t>
            </w:r>
          </w:p>
        </w:tc>
      </w:tr>
      <w:tr w:rsidR="006B412C" w:rsidRPr="003B23EA" w14:paraId="5C6A0452" w14:textId="77777777" w:rsidTr="006B412C">
        <w:tc>
          <w:tcPr>
            <w:tcW w:w="1494" w:type="dxa"/>
            <w:vMerge/>
            <w:vAlign w:val="center"/>
          </w:tcPr>
          <w:p w14:paraId="437C89C0" w14:textId="77777777" w:rsidR="006B412C" w:rsidRPr="003B23EA" w:rsidRDefault="006B412C" w:rsidP="00C529AD">
            <w:pPr>
              <w:spacing w:before="40" w:after="40" w:line="276" w:lineRule="auto"/>
              <w:jc w:val="center"/>
              <w:rPr>
                <w:rFonts w:ascii="Arial Narrow" w:hAnsi="Arial Narrow"/>
                <w:sz w:val="20"/>
                <w:szCs w:val="20"/>
              </w:rPr>
            </w:pPr>
          </w:p>
        </w:tc>
        <w:tc>
          <w:tcPr>
            <w:tcW w:w="1507" w:type="dxa"/>
            <w:vAlign w:val="center"/>
          </w:tcPr>
          <w:p w14:paraId="1BBD6411"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Non-rechargeable</w:t>
            </w:r>
          </w:p>
        </w:tc>
        <w:tc>
          <w:tcPr>
            <w:tcW w:w="1585" w:type="dxa"/>
            <w:vAlign w:val="center"/>
          </w:tcPr>
          <w:p w14:paraId="4BB4A76F" w14:textId="7FD48048"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$11,375</w:t>
            </w:r>
          </w:p>
        </w:tc>
        <w:tc>
          <w:tcPr>
            <w:tcW w:w="1436" w:type="dxa"/>
            <w:vAlign w:val="center"/>
          </w:tcPr>
          <w:p w14:paraId="6C881D32"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$0</w:t>
            </w:r>
          </w:p>
        </w:tc>
        <w:tc>
          <w:tcPr>
            <w:tcW w:w="1497" w:type="dxa"/>
            <w:vAlign w:val="center"/>
          </w:tcPr>
          <w:p w14:paraId="3CD4F921" w14:textId="164A4AA9"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$11,375</w:t>
            </w:r>
          </w:p>
        </w:tc>
        <w:tc>
          <w:tcPr>
            <w:tcW w:w="1497" w:type="dxa"/>
            <w:vAlign w:val="center"/>
          </w:tcPr>
          <w:p w14:paraId="51664B77" w14:textId="56121EDF"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10%</w:t>
            </w:r>
          </w:p>
        </w:tc>
      </w:tr>
      <w:tr w:rsidR="006B412C" w:rsidRPr="003B23EA" w14:paraId="5DB8DD7A" w14:textId="77777777" w:rsidTr="006B412C">
        <w:tc>
          <w:tcPr>
            <w:tcW w:w="1494" w:type="dxa"/>
            <w:vMerge/>
            <w:vAlign w:val="center"/>
          </w:tcPr>
          <w:p w14:paraId="6A34B3CD" w14:textId="77777777" w:rsidR="006B412C" w:rsidRPr="003B23EA" w:rsidRDefault="006B412C" w:rsidP="00C529AD">
            <w:pPr>
              <w:spacing w:before="40" w:after="40" w:line="276" w:lineRule="auto"/>
              <w:jc w:val="center"/>
              <w:rPr>
                <w:rFonts w:ascii="Arial Narrow" w:hAnsi="Arial Narrow"/>
                <w:sz w:val="20"/>
                <w:szCs w:val="20"/>
              </w:rPr>
            </w:pPr>
          </w:p>
        </w:tc>
        <w:tc>
          <w:tcPr>
            <w:tcW w:w="1507" w:type="dxa"/>
            <w:vAlign w:val="center"/>
          </w:tcPr>
          <w:p w14:paraId="02E29C8A" w14:textId="77777777" w:rsidR="006B412C" w:rsidRPr="005C0F13" w:rsidRDefault="006B412C" w:rsidP="00C529AD">
            <w:pPr>
              <w:spacing w:before="40" w:after="40" w:line="276" w:lineRule="auto"/>
              <w:jc w:val="center"/>
              <w:rPr>
                <w:rFonts w:ascii="Arial Narrow" w:hAnsi="Arial Narrow"/>
                <w:b/>
                <w:bCs/>
                <w:sz w:val="20"/>
                <w:szCs w:val="20"/>
              </w:rPr>
            </w:pPr>
            <w:r w:rsidRPr="005C0F13">
              <w:rPr>
                <w:rFonts w:ascii="Arial Narrow" w:hAnsi="Arial Narrow" w:cs="Calibri"/>
                <w:b/>
                <w:bCs/>
                <w:color w:val="000000"/>
                <w:sz w:val="20"/>
                <w:szCs w:val="20"/>
              </w:rPr>
              <w:t>Total cost</w:t>
            </w:r>
          </w:p>
        </w:tc>
        <w:tc>
          <w:tcPr>
            <w:tcW w:w="1585" w:type="dxa"/>
            <w:vAlign w:val="center"/>
          </w:tcPr>
          <w:p w14:paraId="4A9BFE2C" w14:textId="3B1EFCA7" w:rsidR="006B412C" w:rsidRPr="005C0F13" w:rsidRDefault="006B412C" w:rsidP="00C529AD">
            <w:pPr>
              <w:spacing w:before="40" w:after="40" w:line="276" w:lineRule="auto"/>
              <w:jc w:val="center"/>
              <w:rPr>
                <w:rFonts w:ascii="Arial Narrow" w:hAnsi="Arial Narrow"/>
                <w:b/>
                <w:bCs/>
                <w:sz w:val="20"/>
                <w:szCs w:val="20"/>
              </w:rPr>
            </w:pPr>
            <w:r w:rsidRPr="002C752A">
              <w:rPr>
                <w:rFonts w:ascii="Arial Narrow" w:hAnsi="Arial Narrow" w:cs="Calibri"/>
                <w:b/>
                <w:color w:val="000000"/>
                <w:sz w:val="20"/>
                <w:szCs w:val="20"/>
              </w:rPr>
              <w:t>$29,626</w:t>
            </w:r>
          </w:p>
        </w:tc>
        <w:tc>
          <w:tcPr>
            <w:tcW w:w="1436" w:type="dxa"/>
            <w:vAlign w:val="center"/>
          </w:tcPr>
          <w:p w14:paraId="5D72C5FC" w14:textId="77777777" w:rsidR="006B412C" w:rsidRPr="005C0F13" w:rsidRDefault="006B412C" w:rsidP="00C529AD">
            <w:pPr>
              <w:spacing w:before="40" w:after="40" w:line="276" w:lineRule="auto"/>
              <w:jc w:val="center"/>
              <w:rPr>
                <w:rFonts w:ascii="Arial Narrow" w:hAnsi="Arial Narrow"/>
                <w:b/>
                <w:bCs/>
                <w:sz w:val="20"/>
                <w:szCs w:val="20"/>
              </w:rPr>
            </w:pPr>
            <w:r w:rsidRPr="005C0F13">
              <w:rPr>
                <w:rFonts w:ascii="Arial Narrow" w:hAnsi="Arial Narrow" w:cs="Calibri"/>
                <w:b/>
                <w:bCs/>
                <w:color w:val="000000"/>
                <w:sz w:val="20"/>
                <w:szCs w:val="20"/>
              </w:rPr>
              <w:t>$0</w:t>
            </w:r>
          </w:p>
        </w:tc>
        <w:tc>
          <w:tcPr>
            <w:tcW w:w="1497" w:type="dxa"/>
            <w:vAlign w:val="center"/>
          </w:tcPr>
          <w:p w14:paraId="172249E3" w14:textId="2ECF628B" w:rsidR="006B412C" w:rsidRPr="005C0F13" w:rsidRDefault="006B412C" w:rsidP="00C529AD">
            <w:pPr>
              <w:spacing w:before="40" w:after="40" w:line="276" w:lineRule="auto"/>
              <w:jc w:val="center"/>
              <w:rPr>
                <w:rFonts w:ascii="Arial Narrow" w:hAnsi="Arial Narrow"/>
                <w:b/>
                <w:bCs/>
                <w:sz w:val="20"/>
                <w:szCs w:val="20"/>
              </w:rPr>
            </w:pPr>
            <w:r w:rsidRPr="002C752A">
              <w:rPr>
                <w:rFonts w:ascii="Arial Narrow" w:hAnsi="Arial Narrow" w:cs="Calibri"/>
                <w:b/>
                <w:color w:val="000000"/>
                <w:sz w:val="20"/>
                <w:szCs w:val="20"/>
              </w:rPr>
              <w:t>$29,626</w:t>
            </w:r>
          </w:p>
        </w:tc>
        <w:tc>
          <w:tcPr>
            <w:tcW w:w="1497" w:type="dxa"/>
            <w:vAlign w:val="center"/>
          </w:tcPr>
          <w:p w14:paraId="19794E2D" w14:textId="77777777" w:rsidR="006B412C" w:rsidRPr="005C0F13" w:rsidRDefault="006B412C" w:rsidP="00C529AD">
            <w:pPr>
              <w:spacing w:before="40" w:after="40" w:line="276" w:lineRule="auto"/>
              <w:jc w:val="center"/>
              <w:rPr>
                <w:rFonts w:ascii="Arial Narrow" w:hAnsi="Arial Narrow"/>
                <w:b/>
                <w:bCs/>
                <w:sz w:val="20"/>
                <w:szCs w:val="20"/>
              </w:rPr>
            </w:pPr>
            <w:r w:rsidRPr="005C0F13">
              <w:rPr>
                <w:rFonts w:ascii="Arial Narrow" w:hAnsi="Arial Narrow" w:cs="Calibri"/>
                <w:b/>
                <w:bCs/>
                <w:color w:val="000000"/>
                <w:sz w:val="20"/>
                <w:szCs w:val="20"/>
              </w:rPr>
              <w:t>25%</w:t>
            </w:r>
          </w:p>
        </w:tc>
      </w:tr>
      <w:tr w:rsidR="006B412C" w:rsidRPr="003B23EA" w14:paraId="00F4E5A5" w14:textId="77777777" w:rsidTr="006B412C">
        <w:tc>
          <w:tcPr>
            <w:tcW w:w="1494" w:type="dxa"/>
            <w:vMerge w:val="restart"/>
            <w:vAlign w:val="center"/>
          </w:tcPr>
          <w:p w14:paraId="181575F4" w14:textId="77777777" w:rsidR="006B412C" w:rsidRPr="003B23EA" w:rsidRDefault="006B412C" w:rsidP="00C529AD">
            <w:pPr>
              <w:spacing w:before="40" w:after="40" w:line="276" w:lineRule="auto"/>
              <w:jc w:val="center"/>
              <w:rPr>
                <w:rFonts w:ascii="Arial Narrow" w:hAnsi="Arial Narrow"/>
                <w:sz w:val="20"/>
                <w:szCs w:val="20"/>
              </w:rPr>
            </w:pPr>
            <w:r w:rsidRPr="003B23EA">
              <w:rPr>
                <w:rFonts w:ascii="Arial Narrow" w:hAnsi="Arial Narrow"/>
                <w:sz w:val="20"/>
                <w:szCs w:val="20"/>
              </w:rPr>
              <w:t>Hospital costs</w:t>
            </w:r>
          </w:p>
        </w:tc>
        <w:tc>
          <w:tcPr>
            <w:tcW w:w="1507" w:type="dxa"/>
            <w:vAlign w:val="center"/>
          </w:tcPr>
          <w:p w14:paraId="0A5AC2F2"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Rechargeable</w:t>
            </w:r>
          </w:p>
        </w:tc>
        <w:tc>
          <w:tcPr>
            <w:tcW w:w="1585" w:type="dxa"/>
            <w:vAlign w:val="center"/>
          </w:tcPr>
          <w:p w14:paraId="56F58552" w14:textId="65043A19"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$13,258</w:t>
            </w:r>
          </w:p>
        </w:tc>
        <w:tc>
          <w:tcPr>
            <w:tcW w:w="1436" w:type="dxa"/>
            <w:vAlign w:val="center"/>
          </w:tcPr>
          <w:p w14:paraId="2408789A"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$0</w:t>
            </w:r>
          </w:p>
        </w:tc>
        <w:tc>
          <w:tcPr>
            <w:tcW w:w="1497" w:type="dxa"/>
            <w:vAlign w:val="center"/>
          </w:tcPr>
          <w:p w14:paraId="74076F4E" w14:textId="6E35B57C"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$13,258</w:t>
            </w:r>
          </w:p>
        </w:tc>
        <w:tc>
          <w:tcPr>
            <w:tcW w:w="1497" w:type="dxa"/>
            <w:vAlign w:val="center"/>
          </w:tcPr>
          <w:p w14:paraId="5C45E87D"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11%</w:t>
            </w:r>
          </w:p>
        </w:tc>
      </w:tr>
      <w:tr w:rsidR="006B412C" w:rsidRPr="003B23EA" w14:paraId="1CDC2C98" w14:textId="77777777" w:rsidTr="006B412C">
        <w:tc>
          <w:tcPr>
            <w:tcW w:w="1494" w:type="dxa"/>
            <w:vMerge/>
            <w:vAlign w:val="center"/>
          </w:tcPr>
          <w:p w14:paraId="4E1AA370" w14:textId="77777777" w:rsidR="006B412C" w:rsidRPr="003B23EA" w:rsidRDefault="006B412C" w:rsidP="00C529AD">
            <w:pPr>
              <w:spacing w:before="40" w:after="40" w:line="276" w:lineRule="auto"/>
              <w:jc w:val="center"/>
              <w:rPr>
                <w:rFonts w:ascii="Arial Narrow" w:hAnsi="Arial Narrow"/>
                <w:sz w:val="20"/>
                <w:szCs w:val="20"/>
              </w:rPr>
            </w:pPr>
          </w:p>
        </w:tc>
        <w:tc>
          <w:tcPr>
            <w:tcW w:w="1507" w:type="dxa"/>
            <w:vAlign w:val="center"/>
          </w:tcPr>
          <w:p w14:paraId="6EFCD7E0"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Non-rechargeable</w:t>
            </w:r>
          </w:p>
        </w:tc>
        <w:tc>
          <w:tcPr>
            <w:tcW w:w="1585" w:type="dxa"/>
            <w:vAlign w:val="center"/>
          </w:tcPr>
          <w:p w14:paraId="74F2B005" w14:textId="1D803F2C"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$10,348</w:t>
            </w:r>
          </w:p>
        </w:tc>
        <w:tc>
          <w:tcPr>
            <w:tcW w:w="1436" w:type="dxa"/>
            <w:vAlign w:val="center"/>
          </w:tcPr>
          <w:p w14:paraId="1D57B591"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$0</w:t>
            </w:r>
          </w:p>
        </w:tc>
        <w:tc>
          <w:tcPr>
            <w:tcW w:w="1497" w:type="dxa"/>
            <w:vAlign w:val="center"/>
          </w:tcPr>
          <w:p w14:paraId="48DD37FE" w14:textId="5C044ED4"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$10,348</w:t>
            </w:r>
          </w:p>
        </w:tc>
        <w:tc>
          <w:tcPr>
            <w:tcW w:w="1497" w:type="dxa"/>
            <w:vAlign w:val="center"/>
          </w:tcPr>
          <w:p w14:paraId="69B9ED94"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9%</w:t>
            </w:r>
          </w:p>
        </w:tc>
      </w:tr>
      <w:tr w:rsidR="006B412C" w:rsidRPr="003B23EA" w14:paraId="305AC2D2" w14:textId="77777777" w:rsidTr="006B412C">
        <w:tc>
          <w:tcPr>
            <w:tcW w:w="1494" w:type="dxa"/>
            <w:vMerge/>
            <w:vAlign w:val="center"/>
          </w:tcPr>
          <w:p w14:paraId="45A7974A" w14:textId="77777777" w:rsidR="006B412C" w:rsidRPr="003B23EA" w:rsidRDefault="006B412C" w:rsidP="00C529AD">
            <w:pPr>
              <w:spacing w:before="40" w:after="40" w:line="276" w:lineRule="auto"/>
              <w:jc w:val="center"/>
              <w:rPr>
                <w:rFonts w:ascii="Arial Narrow" w:hAnsi="Arial Narrow"/>
                <w:sz w:val="20"/>
                <w:szCs w:val="20"/>
              </w:rPr>
            </w:pPr>
          </w:p>
        </w:tc>
        <w:tc>
          <w:tcPr>
            <w:tcW w:w="1507" w:type="dxa"/>
            <w:vAlign w:val="center"/>
          </w:tcPr>
          <w:p w14:paraId="4963C414" w14:textId="77777777" w:rsidR="006B412C" w:rsidRPr="005C0F13" w:rsidRDefault="006B412C" w:rsidP="00C529AD">
            <w:pPr>
              <w:spacing w:before="40" w:after="40" w:line="276" w:lineRule="auto"/>
              <w:jc w:val="center"/>
              <w:rPr>
                <w:rFonts w:ascii="Arial Narrow" w:hAnsi="Arial Narrow"/>
                <w:b/>
                <w:bCs/>
                <w:sz w:val="20"/>
                <w:szCs w:val="20"/>
              </w:rPr>
            </w:pPr>
            <w:r w:rsidRPr="005C0F13">
              <w:rPr>
                <w:rFonts w:ascii="Arial Narrow" w:hAnsi="Arial Narrow" w:cs="Calibri"/>
                <w:b/>
                <w:bCs/>
                <w:color w:val="000000"/>
                <w:sz w:val="20"/>
                <w:szCs w:val="20"/>
              </w:rPr>
              <w:t>Total cost</w:t>
            </w:r>
          </w:p>
        </w:tc>
        <w:tc>
          <w:tcPr>
            <w:tcW w:w="1585" w:type="dxa"/>
            <w:vAlign w:val="center"/>
          </w:tcPr>
          <w:p w14:paraId="13661713" w14:textId="2C50FEAC" w:rsidR="006B412C" w:rsidRPr="005C0F13" w:rsidRDefault="006B412C" w:rsidP="00C529AD">
            <w:pPr>
              <w:spacing w:before="40" w:after="40" w:line="276" w:lineRule="auto"/>
              <w:jc w:val="center"/>
              <w:rPr>
                <w:rFonts w:ascii="Arial Narrow" w:hAnsi="Arial Narrow"/>
                <w:b/>
                <w:bCs/>
                <w:sz w:val="20"/>
                <w:szCs w:val="20"/>
              </w:rPr>
            </w:pPr>
            <w:r w:rsidRPr="002C752A">
              <w:rPr>
                <w:rFonts w:ascii="Arial Narrow" w:hAnsi="Arial Narrow" w:cs="Calibri"/>
                <w:b/>
                <w:color w:val="000000"/>
                <w:sz w:val="20"/>
                <w:szCs w:val="20"/>
              </w:rPr>
              <w:t>$23,606</w:t>
            </w:r>
          </w:p>
        </w:tc>
        <w:tc>
          <w:tcPr>
            <w:tcW w:w="1436" w:type="dxa"/>
            <w:vAlign w:val="center"/>
          </w:tcPr>
          <w:p w14:paraId="4E8FE548" w14:textId="77777777" w:rsidR="006B412C" w:rsidRPr="005C0F13" w:rsidRDefault="006B412C" w:rsidP="00C529AD">
            <w:pPr>
              <w:spacing w:before="40" w:after="40" w:line="276" w:lineRule="auto"/>
              <w:jc w:val="center"/>
              <w:rPr>
                <w:rFonts w:ascii="Arial Narrow" w:hAnsi="Arial Narrow"/>
                <w:b/>
                <w:bCs/>
                <w:sz w:val="20"/>
                <w:szCs w:val="20"/>
              </w:rPr>
            </w:pPr>
            <w:r w:rsidRPr="005C0F13">
              <w:rPr>
                <w:rFonts w:ascii="Arial Narrow" w:hAnsi="Arial Narrow" w:cs="Calibri"/>
                <w:b/>
                <w:bCs/>
                <w:color w:val="000000"/>
                <w:sz w:val="20"/>
                <w:szCs w:val="20"/>
              </w:rPr>
              <w:t>$0</w:t>
            </w:r>
          </w:p>
        </w:tc>
        <w:tc>
          <w:tcPr>
            <w:tcW w:w="1497" w:type="dxa"/>
            <w:vAlign w:val="center"/>
          </w:tcPr>
          <w:p w14:paraId="015BC989" w14:textId="3A46D64A" w:rsidR="006B412C" w:rsidRPr="005C0F13" w:rsidRDefault="006B412C" w:rsidP="00C529AD">
            <w:pPr>
              <w:spacing w:before="40" w:after="40" w:line="276" w:lineRule="auto"/>
              <w:jc w:val="center"/>
              <w:rPr>
                <w:rFonts w:ascii="Arial Narrow" w:hAnsi="Arial Narrow"/>
                <w:b/>
                <w:bCs/>
                <w:sz w:val="20"/>
                <w:szCs w:val="20"/>
              </w:rPr>
            </w:pPr>
            <w:r w:rsidRPr="002C752A">
              <w:rPr>
                <w:rFonts w:ascii="Arial Narrow" w:hAnsi="Arial Narrow" w:cs="Calibri"/>
                <w:b/>
                <w:color w:val="000000"/>
                <w:sz w:val="20"/>
                <w:szCs w:val="20"/>
              </w:rPr>
              <w:t>$23,606</w:t>
            </w:r>
          </w:p>
        </w:tc>
        <w:tc>
          <w:tcPr>
            <w:tcW w:w="1497" w:type="dxa"/>
            <w:vAlign w:val="center"/>
          </w:tcPr>
          <w:p w14:paraId="394F4019" w14:textId="77777777" w:rsidR="006B412C" w:rsidRPr="005C0F13" w:rsidRDefault="006B412C" w:rsidP="00C529AD">
            <w:pPr>
              <w:spacing w:before="40" w:after="40" w:line="276" w:lineRule="auto"/>
              <w:jc w:val="center"/>
              <w:rPr>
                <w:rFonts w:ascii="Arial Narrow" w:hAnsi="Arial Narrow"/>
                <w:b/>
                <w:bCs/>
                <w:sz w:val="20"/>
                <w:szCs w:val="20"/>
              </w:rPr>
            </w:pPr>
            <w:r w:rsidRPr="005C0F13">
              <w:rPr>
                <w:rFonts w:ascii="Arial Narrow" w:hAnsi="Arial Narrow" w:cs="Calibri"/>
                <w:b/>
                <w:bCs/>
                <w:color w:val="000000"/>
                <w:sz w:val="20"/>
                <w:szCs w:val="20"/>
              </w:rPr>
              <w:t>20%</w:t>
            </w:r>
          </w:p>
        </w:tc>
      </w:tr>
      <w:tr w:rsidR="006B412C" w:rsidRPr="003B23EA" w14:paraId="2CAB6015" w14:textId="77777777" w:rsidTr="006B412C">
        <w:tc>
          <w:tcPr>
            <w:tcW w:w="1494" w:type="dxa"/>
            <w:vMerge w:val="restart"/>
            <w:vAlign w:val="center"/>
          </w:tcPr>
          <w:p w14:paraId="24F0B906" w14:textId="77777777" w:rsidR="006B412C" w:rsidRPr="003B23EA" w:rsidRDefault="006B412C" w:rsidP="00C529AD">
            <w:pPr>
              <w:spacing w:before="40" w:after="40" w:line="276" w:lineRule="auto"/>
              <w:jc w:val="center"/>
              <w:rPr>
                <w:rFonts w:ascii="Arial Narrow" w:hAnsi="Arial Narrow"/>
                <w:sz w:val="20"/>
                <w:szCs w:val="20"/>
              </w:rPr>
            </w:pPr>
            <w:r w:rsidRPr="003B23EA">
              <w:rPr>
                <w:rFonts w:ascii="Arial Narrow" w:hAnsi="Arial Narrow"/>
                <w:sz w:val="20"/>
                <w:szCs w:val="20"/>
              </w:rPr>
              <w:t>Prothesis costs</w:t>
            </w:r>
          </w:p>
        </w:tc>
        <w:tc>
          <w:tcPr>
            <w:tcW w:w="1507" w:type="dxa"/>
            <w:vAlign w:val="center"/>
          </w:tcPr>
          <w:p w14:paraId="41F6E0A3"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Rechargeable</w:t>
            </w:r>
          </w:p>
        </w:tc>
        <w:tc>
          <w:tcPr>
            <w:tcW w:w="1585" w:type="dxa"/>
            <w:vAlign w:val="center"/>
          </w:tcPr>
          <w:p w14:paraId="3714B5AA" w14:textId="4A97AB80"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$40,069</w:t>
            </w:r>
          </w:p>
        </w:tc>
        <w:tc>
          <w:tcPr>
            <w:tcW w:w="1436" w:type="dxa"/>
            <w:vAlign w:val="center"/>
          </w:tcPr>
          <w:p w14:paraId="308A1C8A"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$0</w:t>
            </w:r>
          </w:p>
        </w:tc>
        <w:tc>
          <w:tcPr>
            <w:tcW w:w="1497" w:type="dxa"/>
            <w:vAlign w:val="center"/>
          </w:tcPr>
          <w:p w14:paraId="3D75B58C" w14:textId="379B2671"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$40,069</w:t>
            </w:r>
          </w:p>
        </w:tc>
        <w:tc>
          <w:tcPr>
            <w:tcW w:w="1497" w:type="dxa"/>
            <w:vAlign w:val="center"/>
          </w:tcPr>
          <w:p w14:paraId="67C28669"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34%</w:t>
            </w:r>
          </w:p>
        </w:tc>
      </w:tr>
      <w:tr w:rsidR="006B412C" w:rsidRPr="003B23EA" w14:paraId="2BEDD33E" w14:textId="77777777" w:rsidTr="006B412C">
        <w:tc>
          <w:tcPr>
            <w:tcW w:w="1494" w:type="dxa"/>
            <w:vMerge/>
            <w:vAlign w:val="center"/>
          </w:tcPr>
          <w:p w14:paraId="4591DBB9" w14:textId="77777777" w:rsidR="006B412C" w:rsidRPr="003B23EA" w:rsidRDefault="006B412C" w:rsidP="00C529AD">
            <w:pPr>
              <w:spacing w:before="40" w:after="40" w:line="276" w:lineRule="auto"/>
              <w:jc w:val="center"/>
              <w:rPr>
                <w:rFonts w:ascii="Arial Narrow" w:hAnsi="Arial Narrow"/>
                <w:sz w:val="20"/>
                <w:szCs w:val="20"/>
              </w:rPr>
            </w:pPr>
          </w:p>
        </w:tc>
        <w:tc>
          <w:tcPr>
            <w:tcW w:w="1507" w:type="dxa"/>
            <w:vAlign w:val="center"/>
          </w:tcPr>
          <w:p w14:paraId="07A716BC"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Non-rechargeable</w:t>
            </w:r>
          </w:p>
        </w:tc>
        <w:tc>
          <w:tcPr>
            <w:tcW w:w="1585" w:type="dxa"/>
            <w:vAlign w:val="center"/>
          </w:tcPr>
          <w:p w14:paraId="301FEB90" w14:textId="561E87D4"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$25,340</w:t>
            </w:r>
          </w:p>
        </w:tc>
        <w:tc>
          <w:tcPr>
            <w:tcW w:w="1436" w:type="dxa"/>
            <w:vAlign w:val="center"/>
          </w:tcPr>
          <w:p w14:paraId="539CAECE"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$0</w:t>
            </w:r>
          </w:p>
        </w:tc>
        <w:tc>
          <w:tcPr>
            <w:tcW w:w="1497" w:type="dxa"/>
            <w:vAlign w:val="center"/>
          </w:tcPr>
          <w:p w14:paraId="3CEAF738" w14:textId="6C4DB47E"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$25,340</w:t>
            </w:r>
          </w:p>
        </w:tc>
        <w:tc>
          <w:tcPr>
            <w:tcW w:w="1497" w:type="dxa"/>
            <w:vAlign w:val="center"/>
          </w:tcPr>
          <w:p w14:paraId="1D1AE5C7"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21%</w:t>
            </w:r>
          </w:p>
        </w:tc>
      </w:tr>
      <w:tr w:rsidR="006B412C" w:rsidRPr="003B23EA" w14:paraId="2A9BA559" w14:textId="77777777" w:rsidTr="006B412C">
        <w:tc>
          <w:tcPr>
            <w:tcW w:w="1494" w:type="dxa"/>
            <w:vMerge/>
            <w:vAlign w:val="center"/>
          </w:tcPr>
          <w:p w14:paraId="5DCDC418" w14:textId="77777777" w:rsidR="006B412C" w:rsidRPr="003B23EA" w:rsidRDefault="006B412C" w:rsidP="00C529AD">
            <w:pPr>
              <w:spacing w:before="40" w:after="40" w:line="276" w:lineRule="auto"/>
              <w:jc w:val="center"/>
              <w:rPr>
                <w:rFonts w:ascii="Arial Narrow" w:hAnsi="Arial Narrow"/>
                <w:sz w:val="20"/>
                <w:szCs w:val="20"/>
              </w:rPr>
            </w:pPr>
          </w:p>
        </w:tc>
        <w:tc>
          <w:tcPr>
            <w:tcW w:w="1507" w:type="dxa"/>
            <w:vAlign w:val="center"/>
          </w:tcPr>
          <w:p w14:paraId="39E8AD01" w14:textId="77777777" w:rsidR="006B412C" w:rsidRPr="005C0F13" w:rsidRDefault="006B412C" w:rsidP="00C529AD">
            <w:pPr>
              <w:spacing w:before="40" w:after="40" w:line="276" w:lineRule="auto"/>
              <w:jc w:val="center"/>
              <w:rPr>
                <w:rFonts w:ascii="Arial Narrow" w:hAnsi="Arial Narrow"/>
                <w:b/>
                <w:bCs/>
                <w:sz w:val="20"/>
                <w:szCs w:val="20"/>
              </w:rPr>
            </w:pPr>
            <w:r w:rsidRPr="005C0F13">
              <w:rPr>
                <w:rFonts w:ascii="Arial Narrow" w:hAnsi="Arial Narrow" w:cs="Calibri"/>
                <w:b/>
                <w:bCs/>
                <w:color w:val="000000"/>
                <w:sz w:val="20"/>
                <w:szCs w:val="20"/>
              </w:rPr>
              <w:t>Total cost</w:t>
            </w:r>
          </w:p>
        </w:tc>
        <w:tc>
          <w:tcPr>
            <w:tcW w:w="1585" w:type="dxa"/>
            <w:vAlign w:val="center"/>
          </w:tcPr>
          <w:p w14:paraId="2E41C280" w14:textId="7C1235DD" w:rsidR="006B412C" w:rsidRPr="005C0F13" w:rsidRDefault="006B412C" w:rsidP="00C529AD">
            <w:pPr>
              <w:spacing w:before="40" w:after="40" w:line="276" w:lineRule="auto"/>
              <w:jc w:val="center"/>
              <w:rPr>
                <w:rFonts w:ascii="Arial Narrow" w:hAnsi="Arial Narrow"/>
                <w:b/>
                <w:bCs/>
                <w:sz w:val="20"/>
                <w:szCs w:val="20"/>
              </w:rPr>
            </w:pPr>
            <w:r w:rsidRPr="002C752A">
              <w:rPr>
                <w:rFonts w:ascii="Arial Narrow" w:hAnsi="Arial Narrow" w:cs="Calibri"/>
                <w:b/>
                <w:color w:val="000000"/>
                <w:sz w:val="20"/>
                <w:szCs w:val="20"/>
              </w:rPr>
              <w:t>$65,409</w:t>
            </w:r>
          </w:p>
        </w:tc>
        <w:tc>
          <w:tcPr>
            <w:tcW w:w="1436" w:type="dxa"/>
            <w:vAlign w:val="center"/>
          </w:tcPr>
          <w:p w14:paraId="2BCF78C0" w14:textId="77777777" w:rsidR="006B412C" w:rsidRPr="005C0F13" w:rsidRDefault="006B412C" w:rsidP="00C529AD">
            <w:pPr>
              <w:spacing w:before="40" w:after="40" w:line="276" w:lineRule="auto"/>
              <w:jc w:val="center"/>
              <w:rPr>
                <w:rFonts w:ascii="Arial Narrow" w:hAnsi="Arial Narrow"/>
                <w:b/>
                <w:bCs/>
                <w:sz w:val="20"/>
                <w:szCs w:val="20"/>
              </w:rPr>
            </w:pPr>
            <w:r w:rsidRPr="005C0F13">
              <w:rPr>
                <w:rFonts w:ascii="Arial Narrow" w:hAnsi="Arial Narrow" w:cs="Calibri"/>
                <w:b/>
                <w:bCs/>
                <w:color w:val="000000"/>
                <w:sz w:val="20"/>
                <w:szCs w:val="20"/>
              </w:rPr>
              <w:t>$0</w:t>
            </w:r>
          </w:p>
        </w:tc>
        <w:tc>
          <w:tcPr>
            <w:tcW w:w="1497" w:type="dxa"/>
            <w:vAlign w:val="center"/>
          </w:tcPr>
          <w:p w14:paraId="515825D5" w14:textId="61A9554C" w:rsidR="006B412C" w:rsidRPr="005C0F13" w:rsidRDefault="006B412C" w:rsidP="00C529AD">
            <w:pPr>
              <w:spacing w:before="40" w:after="40" w:line="276" w:lineRule="auto"/>
              <w:jc w:val="center"/>
              <w:rPr>
                <w:rFonts w:ascii="Arial Narrow" w:hAnsi="Arial Narrow"/>
                <w:b/>
                <w:bCs/>
                <w:sz w:val="20"/>
                <w:szCs w:val="20"/>
              </w:rPr>
            </w:pPr>
            <w:r w:rsidRPr="002C752A">
              <w:rPr>
                <w:rFonts w:ascii="Arial Narrow" w:hAnsi="Arial Narrow" w:cs="Calibri"/>
                <w:b/>
                <w:color w:val="000000"/>
                <w:sz w:val="20"/>
                <w:szCs w:val="20"/>
              </w:rPr>
              <w:t>$65,409</w:t>
            </w:r>
          </w:p>
        </w:tc>
        <w:tc>
          <w:tcPr>
            <w:tcW w:w="1497" w:type="dxa"/>
            <w:vAlign w:val="center"/>
          </w:tcPr>
          <w:p w14:paraId="3DB02C2E" w14:textId="77777777" w:rsidR="006B412C" w:rsidRPr="005C0F13" w:rsidRDefault="006B412C" w:rsidP="00C529AD">
            <w:pPr>
              <w:spacing w:before="40" w:after="40" w:line="276" w:lineRule="auto"/>
              <w:jc w:val="center"/>
              <w:rPr>
                <w:rFonts w:ascii="Arial Narrow" w:hAnsi="Arial Narrow"/>
                <w:b/>
                <w:bCs/>
                <w:sz w:val="20"/>
                <w:szCs w:val="20"/>
              </w:rPr>
            </w:pPr>
            <w:r w:rsidRPr="005C0F13">
              <w:rPr>
                <w:rFonts w:ascii="Arial Narrow" w:hAnsi="Arial Narrow" w:cs="Calibri"/>
                <w:b/>
                <w:bCs/>
                <w:color w:val="000000"/>
                <w:sz w:val="20"/>
                <w:szCs w:val="20"/>
              </w:rPr>
              <w:t>55%</w:t>
            </w:r>
          </w:p>
        </w:tc>
      </w:tr>
      <w:tr w:rsidR="006B412C" w:rsidRPr="003B23EA" w14:paraId="4873D4BC" w14:textId="77777777" w:rsidTr="006B412C">
        <w:tc>
          <w:tcPr>
            <w:tcW w:w="1494" w:type="dxa"/>
            <w:vMerge w:val="restart"/>
            <w:vAlign w:val="center"/>
          </w:tcPr>
          <w:p w14:paraId="3023097F" w14:textId="515262BC" w:rsidR="006B412C" w:rsidRPr="003B23EA" w:rsidRDefault="006B412C" w:rsidP="00C529AD">
            <w:pPr>
              <w:spacing w:before="40" w:after="40" w:line="276" w:lineRule="auto"/>
              <w:jc w:val="center"/>
              <w:rPr>
                <w:rFonts w:ascii="Arial Narrow" w:hAnsi="Arial Narrow"/>
                <w:sz w:val="20"/>
                <w:szCs w:val="20"/>
              </w:rPr>
            </w:pPr>
            <w:r w:rsidRPr="003B23EA">
              <w:rPr>
                <w:rFonts w:ascii="Arial Narrow" w:hAnsi="Arial Narrow"/>
                <w:sz w:val="20"/>
                <w:szCs w:val="20"/>
              </w:rPr>
              <w:t>Total costs</w:t>
            </w:r>
          </w:p>
        </w:tc>
        <w:tc>
          <w:tcPr>
            <w:tcW w:w="1507" w:type="dxa"/>
            <w:vAlign w:val="center"/>
          </w:tcPr>
          <w:p w14:paraId="4B300F86"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Rechargeable</w:t>
            </w:r>
          </w:p>
        </w:tc>
        <w:tc>
          <w:tcPr>
            <w:tcW w:w="1585" w:type="dxa"/>
            <w:vAlign w:val="center"/>
          </w:tcPr>
          <w:p w14:paraId="0DD05EF9" w14:textId="383A21BF"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$71,577</w:t>
            </w:r>
          </w:p>
        </w:tc>
        <w:tc>
          <w:tcPr>
            <w:tcW w:w="1436" w:type="dxa"/>
            <w:vAlign w:val="center"/>
          </w:tcPr>
          <w:p w14:paraId="0DD84164"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$0</w:t>
            </w:r>
          </w:p>
        </w:tc>
        <w:tc>
          <w:tcPr>
            <w:tcW w:w="1497" w:type="dxa"/>
            <w:vAlign w:val="center"/>
          </w:tcPr>
          <w:p w14:paraId="3C513F05" w14:textId="292D6DC3"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$71,577</w:t>
            </w:r>
          </w:p>
        </w:tc>
        <w:tc>
          <w:tcPr>
            <w:tcW w:w="1497" w:type="dxa"/>
            <w:vAlign w:val="center"/>
          </w:tcPr>
          <w:p w14:paraId="13EB644F"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60%</w:t>
            </w:r>
          </w:p>
        </w:tc>
      </w:tr>
      <w:tr w:rsidR="006B412C" w:rsidRPr="003B23EA" w14:paraId="66CA2DC9" w14:textId="77777777" w:rsidTr="006B412C">
        <w:tc>
          <w:tcPr>
            <w:tcW w:w="1494" w:type="dxa"/>
            <w:vMerge/>
            <w:vAlign w:val="center"/>
          </w:tcPr>
          <w:p w14:paraId="1EB50651" w14:textId="77777777" w:rsidR="006B412C" w:rsidRPr="003B23EA" w:rsidRDefault="006B412C" w:rsidP="00C529AD">
            <w:pPr>
              <w:spacing w:before="40" w:after="40" w:line="276" w:lineRule="auto"/>
              <w:jc w:val="center"/>
              <w:rPr>
                <w:rFonts w:ascii="Arial Narrow" w:hAnsi="Arial Narrow"/>
                <w:sz w:val="20"/>
                <w:szCs w:val="20"/>
              </w:rPr>
            </w:pPr>
          </w:p>
        </w:tc>
        <w:tc>
          <w:tcPr>
            <w:tcW w:w="1507" w:type="dxa"/>
            <w:vAlign w:val="center"/>
          </w:tcPr>
          <w:p w14:paraId="21C018FC"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Non-rechargeable</w:t>
            </w:r>
          </w:p>
        </w:tc>
        <w:tc>
          <w:tcPr>
            <w:tcW w:w="1585" w:type="dxa"/>
            <w:vAlign w:val="center"/>
          </w:tcPr>
          <w:p w14:paraId="618B40EE" w14:textId="4ED88F5B"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$47,063</w:t>
            </w:r>
          </w:p>
        </w:tc>
        <w:tc>
          <w:tcPr>
            <w:tcW w:w="1436" w:type="dxa"/>
            <w:vAlign w:val="center"/>
          </w:tcPr>
          <w:p w14:paraId="3646CBF2"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$0</w:t>
            </w:r>
          </w:p>
        </w:tc>
        <w:tc>
          <w:tcPr>
            <w:tcW w:w="1497" w:type="dxa"/>
            <w:vAlign w:val="center"/>
          </w:tcPr>
          <w:p w14:paraId="550AC274" w14:textId="650074C4"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$47,063</w:t>
            </w:r>
          </w:p>
        </w:tc>
        <w:tc>
          <w:tcPr>
            <w:tcW w:w="1497" w:type="dxa"/>
            <w:vAlign w:val="center"/>
          </w:tcPr>
          <w:p w14:paraId="18D2B72E" w14:textId="77777777" w:rsidR="006B412C" w:rsidRPr="006B412C" w:rsidRDefault="006B412C" w:rsidP="00C529AD">
            <w:pPr>
              <w:spacing w:before="40" w:after="40" w:line="276" w:lineRule="auto"/>
              <w:jc w:val="center"/>
              <w:rPr>
                <w:rFonts w:ascii="Arial Narrow" w:hAnsi="Arial Narrow"/>
                <w:sz w:val="20"/>
                <w:szCs w:val="20"/>
              </w:rPr>
            </w:pPr>
            <w:r w:rsidRPr="006B412C">
              <w:rPr>
                <w:rFonts w:ascii="Arial Narrow" w:hAnsi="Arial Narrow" w:cs="Calibri"/>
                <w:color w:val="000000"/>
                <w:sz w:val="20"/>
                <w:szCs w:val="20"/>
              </w:rPr>
              <w:t>40%</w:t>
            </w:r>
          </w:p>
        </w:tc>
      </w:tr>
      <w:tr w:rsidR="006B412C" w:rsidRPr="003B23EA" w14:paraId="032C5C0D" w14:textId="77777777" w:rsidTr="006B412C">
        <w:tc>
          <w:tcPr>
            <w:tcW w:w="1494" w:type="dxa"/>
            <w:vMerge/>
            <w:vAlign w:val="center"/>
          </w:tcPr>
          <w:p w14:paraId="754B5C32" w14:textId="77777777" w:rsidR="006B412C" w:rsidRPr="003B23EA" w:rsidRDefault="006B412C" w:rsidP="00C529AD">
            <w:pPr>
              <w:spacing w:before="40" w:after="40" w:line="276" w:lineRule="auto"/>
              <w:jc w:val="center"/>
              <w:rPr>
                <w:rFonts w:ascii="Arial Narrow" w:hAnsi="Arial Narrow"/>
                <w:sz w:val="20"/>
                <w:szCs w:val="20"/>
              </w:rPr>
            </w:pPr>
          </w:p>
        </w:tc>
        <w:tc>
          <w:tcPr>
            <w:tcW w:w="1507" w:type="dxa"/>
            <w:vAlign w:val="center"/>
          </w:tcPr>
          <w:p w14:paraId="671CE4BF" w14:textId="77777777" w:rsidR="006B412C" w:rsidRPr="006B412C" w:rsidRDefault="006B412C" w:rsidP="00C529AD">
            <w:pPr>
              <w:spacing w:before="40" w:after="40" w:line="276" w:lineRule="auto"/>
              <w:jc w:val="center"/>
              <w:rPr>
                <w:rFonts w:ascii="Arial Narrow" w:hAnsi="Arial Narrow"/>
                <w:b/>
                <w:bCs/>
                <w:sz w:val="20"/>
                <w:szCs w:val="20"/>
              </w:rPr>
            </w:pPr>
            <w:r w:rsidRPr="006B412C">
              <w:rPr>
                <w:rFonts w:ascii="Arial Narrow" w:hAnsi="Arial Narrow" w:cs="Calibri"/>
                <w:b/>
                <w:bCs/>
                <w:color w:val="000000"/>
                <w:sz w:val="20"/>
                <w:szCs w:val="20"/>
              </w:rPr>
              <w:t>Total cost</w:t>
            </w:r>
          </w:p>
        </w:tc>
        <w:tc>
          <w:tcPr>
            <w:tcW w:w="1585" w:type="dxa"/>
            <w:vAlign w:val="center"/>
          </w:tcPr>
          <w:p w14:paraId="5A805385" w14:textId="5D8C73D2" w:rsidR="006B412C" w:rsidRPr="006B412C" w:rsidRDefault="006B412C" w:rsidP="00C529AD">
            <w:pPr>
              <w:spacing w:before="40" w:after="40" w:line="276" w:lineRule="auto"/>
              <w:jc w:val="center"/>
              <w:rPr>
                <w:rFonts w:ascii="Arial Narrow" w:hAnsi="Arial Narrow"/>
                <w:b/>
                <w:bCs/>
                <w:sz w:val="20"/>
                <w:szCs w:val="20"/>
              </w:rPr>
            </w:pPr>
            <w:r w:rsidRPr="002C752A">
              <w:rPr>
                <w:rFonts w:ascii="Arial Narrow" w:hAnsi="Arial Narrow" w:cs="Calibri"/>
                <w:b/>
                <w:color w:val="000000"/>
                <w:sz w:val="20"/>
                <w:szCs w:val="20"/>
              </w:rPr>
              <w:t>$118,641</w:t>
            </w:r>
          </w:p>
        </w:tc>
        <w:tc>
          <w:tcPr>
            <w:tcW w:w="1436" w:type="dxa"/>
            <w:vAlign w:val="center"/>
          </w:tcPr>
          <w:p w14:paraId="0810F0E2" w14:textId="77777777" w:rsidR="006B412C" w:rsidRPr="006B412C" w:rsidRDefault="006B412C" w:rsidP="00C529AD">
            <w:pPr>
              <w:spacing w:before="40" w:after="40" w:line="276" w:lineRule="auto"/>
              <w:jc w:val="center"/>
              <w:rPr>
                <w:rFonts w:ascii="Arial Narrow" w:hAnsi="Arial Narrow"/>
                <w:b/>
                <w:bCs/>
                <w:sz w:val="20"/>
                <w:szCs w:val="20"/>
              </w:rPr>
            </w:pPr>
            <w:r w:rsidRPr="006B412C">
              <w:rPr>
                <w:rFonts w:ascii="Arial Narrow" w:hAnsi="Arial Narrow" w:cs="Calibri"/>
                <w:b/>
                <w:bCs/>
                <w:color w:val="000000"/>
                <w:sz w:val="20"/>
                <w:szCs w:val="20"/>
              </w:rPr>
              <w:t>$0</w:t>
            </w:r>
          </w:p>
        </w:tc>
        <w:tc>
          <w:tcPr>
            <w:tcW w:w="1497" w:type="dxa"/>
            <w:vAlign w:val="center"/>
          </w:tcPr>
          <w:p w14:paraId="0CF5C03B" w14:textId="7044195A" w:rsidR="006B412C" w:rsidRPr="006B412C" w:rsidRDefault="006B412C" w:rsidP="00C529AD">
            <w:pPr>
              <w:spacing w:before="40" w:after="40" w:line="276" w:lineRule="auto"/>
              <w:jc w:val="center"/>
              <w:rPr>
                <w:rFonts w:ascii="Arial Narrow" w:hAnsi="Arial Narrow"/>
                <w:b/>
                <w:bCs/>
                <w:sz w:val="20"/>
                <w:szCs w:val="20"/>
              </w:rPr>
            </w:pPr>
            <w:r w:rsidRPr="002C752A">
              <w:rPr>
                <w:rFonts w:ascii="Arial Narrow" w:hAnsi="Arial Narrow" w:cs="Calibri"/>
                <w:b/>
                <w:color w:val="000000"/>
                <w:sz w:val="20"/>
                <w:szCs w:val="20"/>
              </w:rPr>
              <w:t>$118,641</w:t>
            </w:r>
          </w:p>
        </w:tc>
        <w:tc>
          <w:tcPr>
            <w:tcW w:w="1497" w:type="dxa"/>
            <w:vAlign w:val="center"/>
          </w:tcPr>
          <w:p w14:paraId="4ADC5EC4" w14:textId="77777777" w:rsidR="006B412C" w:rsidRPr="006B412C" w:rsidRDefault="006B412C" w:rsidP="00C529AD">
            <w:pPr>
              <w:spacing w:before="40" w:after="40" w:line="276" w:lineRule="auto"/>
              <w:jc w:val="center"/>
              <w:rPr>
                <w:rFonts w:ascii="Arial Narrow" w:hAnsi="Arial Narrow"/>
                <w:b/>
                <w:bCs/>
                <w:sz w:val="20"/>
                <w:szCs w:val="20"/>
              </w:rPr>
            </w:pPr>
            <w:r w:rsidRPr="006B412C">
              <w:rPr>
                <w:rFonts w:ascii="Arial Narrow" w:hAnsi="Arial Narrow" w:cs="Calibri"/>
                <w:b/>
                <w:bCs/>
                <w:color w:val="000000"/>
                <w:sz w:val="20"/>
                <w:szCs w:val="20"/>
              </w:rPr>
              <w:t>100%</w:t>
            </w:r>
          </w:p>
        </w:tc>
      </w:tr>
    </w:tbl>
    <w:p w14:paraId="57D3FFD7" w14:textId="77777777" w:rsidR="00F00B26" w:rsidRPr="00245D8D" w:rsidRDefault="00F00B26" w:rsidP="002C752A">
      <w:pPr>
        <w:pStyle w:val="Tablenotes0"/>
        <w:spacing w:before="0"/>
      </w:pPr>
      <w:r>
        <w:t>Abbreviations</w:t>
      </w:r>
      <w:r w:rsidRPr="00D15C80">
        <w:t xml:space="preserve"> </w:t>
      </w:r>
      <w:r>
        <w:t>DBS= Deep brain stimulation; MBS= Medicare Benefits Schedule; SOC= Standard of care.</w:t>
      </w:r>
    </w:p>
    <w:p w14:paraId="7FBF3B4A" w14:textId="5DD04EC5" w:rsidR="001A49C0" w:rsidRDefault="00093FA2" w:rsidP="001A49C0">
      <w:pPr>
        <w:pStyle w:val="Instructionaltext"/>
        <w:rPr>
          <w:color w:val="auto"/>
        </w:rPr>
      </w:pPr>
      <w:bookmarkStart w:id="33" w:name="_Ref69726284"/>
      <w:r w:rsidRPr="00B0653C">
        <w:rPr>
          <w:color w:val="auto"/>
        </w:rPr>
        <w:t xml:space="preserve">In conclusion DBS </w:t>
      </w:r>
      <w:r w:rsidR="001A49C0">
        <w:rPr>
          <w:color w:val="auto"/>
        </w:rPr>
        <w:t xml:space="preserve">is </w:t>
      </w:r>
      <w:r w:rsidRPr="00B0653C">
        <w:rPr>
          <w:color w:val="auto"/>
        </w:rPr>
        <w:t>a costly, yet effective solution for patients with severe treatment-refractory OCD.</w:t>
      </w:r>
      <w:r w:rsidR="001A49C0">
        <w:rPr>
          <w:color w:val="auto"/>
        </w:rPr>
        <w:t xml:space="preserve"> It is evident that the costs for DBS are significant compared to the standard of care, with an ICER of $</w:t>
      </w:r>
      <w:r w:rsidR="000613EA">
        <w:rPr>
          <w:color w:val="auto"/>
        </w:rPr>
        <w:t>891,509</w:t>
      </w:r>
      <w:r w:rsidR="001A49C0">
        <w:rPr>
          <w:color w:val="auto"/>
        </w:rPr>
        <w:t xml:space="preserve"> per QALY gained. However, as previously stated</w:t>
      </w:r>
      <w:r w:rsidR="00590384">
        <w:rPr>
          <w:color w:val="auto"/>
        </w:rPr>
        <w:t>,</w:t>
      </w:r>
      <w:r w:rsidR="001A49C0">
        <w:rPr>
          <w:color w:val="auto"/>
        </w:rPr>
        <w:t xml:space="preserve"> severe treatment-refractory OCD is associated with significant societal costs such as productivity loss</w:t>
      </w:r>
      <w:r>
        <w:rPr>
          <w:color w:val="auto"/>
        </w:rPr>
        <w:t>, which have not been assessed in the DCAR model</w:t>
      </w:r>
      <w:r w:rsidR="001A49C0">
        <w:rPr>
          <w:color w:val="auto"/>
        </w:rPr>
        <w:t>. Therefore, it is important to consider these costs in decision making (</w:t>
      </w:r>
      <w:r w:rsidR="001A49C0" w:rsidRPr="00581A32">
        <w:rPr>
          <w:color w:val="auto"/>
        </w:rPr>
        <w:t xml:space="preserve">see </w:t>
      </w:r>
      <w:r w:rsidR="001A49C0" w:rsidRPr="00581A32">
        <w:rPr>
          <w:color w:val="auto"/>
        </w:rPr>
        <w:fldChar w:fldCharType="begin"/>
      </w:r>
      <w:r w:rsidR="001A49C0" w:rsidRPr="00581A32">
        <w:rPr>
          <w:color w:val="auto"/>
        </w:rPr>
        <w:instrText xml:space="preserve"> REF _Ref139977513 \h  \* MERGEFORMAT </w:instrText>
      </w:r>
      <w:r w:rsidR="001A49C0" w:rsidRPr="00581A32">
        <w:rPr>
          <w:color w:val="auto"/>
        </w:rPr>
      </w:r>
      <w:r w:rsidR="001A49C0" w:rsidRPr="00581A32">
        <w:rPr>
          <w:color w:val="auto"/>
        </w:rPr>
        <w:fldChar w:fldCharType="separate"/>
      </w:r>
      <w:r w:rsidR="007F15AB" w:rsidRPr="007F15AB">
        <w:rPr>
          <w:color w:val="auto"/>
        </w:rPr>
        <w:t>Other relevant information</w:t>
      </w:r>
      <w:r w:rsidR="001A49C0" w:rsidRPr="00581A32">
        <w:rPr>
          <w:color w:val="auto"/>
        </w:rPr>
        <w:fldChar w:fldCharType="end"/>
      </w:r>
      <w:r w:rsidR="001A49C0">
        <w:rPr>
          <w:color w:val="auto"/>
        </w:rPr>
        <w:t xml:space="preserve"> for further detail).</w:t>
      </w:r>
    </w:p>
    <w:p w14:paraId="4112139C" w14:textId="6D8718D1" w:rsidR="00093FA2" w:rsidRDefault="00093FA2" w:rsidP="001A49C0">
      <w:pPr>
        <w:pStyle w:val="Instructionaltext"/>
        <w:rPr>
          <w:color w:val="auto"/>
        </w:rPr>
      </w:pPr>
      <w:r>
        <w:rPr>
          <w:color w:val="auto"/>
        </w:rPr>
        <w:t>The incremental cost per QALY is presented in the table below.</w:t>
      </w:r>
    </w:p>
    <w:p w14:paraId="1B770181" w14:textId="270D5F2C" w:rsidR="002F32FB" w:rsidRPr="00CE28E3" w:rsidRDefault="002F32FB" w:rsidP="00135FC9">
      <w:pPr>
        <w:pStyle w:val="Caption"/>
      </w:pPr>
      <w:bookmarkStart w:id="34" w:name="_Toc143098944"/>
      <w:r w:rsidRPr="00CE28E3">
        <w:t>Table</w:t>
      </w:r>
      <w:r w:rsidR="003571C2">
        <w:t> </w:t>
      </w:r>
      <w:r>
        <w:fldChar w:fldCharType="begin"/>
      </w:r>
      <w:r>
        <w:instrText>SEQ Table \* ARABIC</w:instrText>
      </w:r>
      <w:r>
        <w:fldChar w:fldCharType="separate"/>
      </w:r>
      <w:r w:rsidR="007F15AB">
        <w:rPr>
          <w:noProof/>
        </w:rPr>
        <w:t>7</w:t>
      </w:r>
      <w:r>
        <w:fldChar w:fldCharType="end"/>
      </w:r>
      <w:bookmarkEnd w:id="33"/>
      <w:r w:rsidR="001A7A1E">
        <w:t>:</w:t>
      </w:r>
      <w:r w:rsidRPr="00CE28E3">
        <w:tab/>
        <w:t>Results of the economic evaluation</w:t>
      </w:r>
      <w:bookmarkEnd w:id="34"/>
    </w:p>
    <w:tbl>
      <w:tblPr>
        <w:tblStyle w:val="TableGrid1"/>
        <w:tblW w:w="5000" w:type="pct"/>
        <w:shd w:val="clear" w:color="auto" w:fill="FFFFFF"/>
        <w:tblLayout w:type="fixed"/>
        <w:tblLook w:val="04A0" w:firstRow="1" w:lastRow="0" w:firstColumn="1" w:lastColumn="0" w:noHBand="0" w:noVBand="1"/>
      </w:tblPr>
      <w:tblGrid>
        <w:gridCol w:w="1699"/>
        <w:gridCol w:w="2440"/>
        <w:gridCol w:w="2378"/>
        <w:gridCol w:w="2499"/>
      </w:tblGrid>
      <w:tr w:rsidR="002F32FB" w:rsidRPr="00CE28E3" w14:paraId="6C9AAE3F" w14:textId="77777777" w:rsidTr="00135FC9">
        <w:trPr>
          <w:cnfStyle w:val="100000000000" w:firstRow="1" w:lastRow="0" w:firstColumn="0" w:lastColumn="0" w:oddVBand="0" w:evenVBand="0" w:oddHBand="0" w:evenHBand="0" w:firstRowFirstColumn="0" w:firstRowLastColumn="0" w:lastRowFirstColumn="0" w:lastRowLastColumn="0"/>
          <w:cantSplit/>
          <w:tblHeader/>
        </w:trPr>
        <w:tc>
          <w:tcPr>
            <w:tcW w:w="942" w:type="pct"/>
            <w:shd w:val="clear" w:color="auto" w:fill="FFFFFF"/>
          </w:tcPr>
          <w:p w14:paraId="3F81650A" w14:textId="250DA9C9" w:rsidR="002F32FB" w:rsidRPr="00CE28E3" w:rsidRDefault="00037302" w:rsidP="00590384">
            <w:pPr>
              <w:pStyle w:val="In-tableHeading"/>
              <w:spacing w:beforeLines="40" w:before="96" w:afterLines="40" w:after="96"/>
            </w:pPr>
            <w:bookmarkStart w:id="35" w:name="Title_Table9" w:colFirst="0" w:colLast="0"/>
            <w:bookmarkStart w:id="36" w:name="_Hlk68276590"/>
            <w:r>
              <w:t>Parameter</w:t>
            </w:r>
            <w:r w:rsidR="00B8535F">
              <w:t xml:space="preserve"> </w:t>
            </w:r>
          </w:p>
        </w:tc>
        <w:tc>
          <w:tcPr>
            <w:tcW w:w="1353" w:type="pct"/>
            <w:shd w:val="clear" w:color="auto" w:fill="FFFFFF"/>
          </w:tcPr>
          <w:p w14:paraId="620E0CCB" w14:textId="7B53ADB1" w:rsidR="002F32FB" w:rsidRPr="00CE28E3" w:rsidRDefault="00A06DC7" w:rsidP="00590384">
            <w:pPr>
              <w:pStyle w:val="In-tableHeading"/>
              <w:spacing w:beforeLines="40" w:before="96" w:afterLines="40" w:after="96"/>
              <w:jc w:val="center"/>
            </w:pPr>
            <w:r>
              <w:t>DBS</w:t>
            </w:r>
          </w:p>
        </w:tc>
        <w:tc>
          <w:tcPr>
            <w:tcW w:w="1319" w:type="pct"/>
            <w:shd w:val="clear" w:color="auto" w:fill="FFFFFF"/>
          </w:tcPr>
          <w:p w14:paraId="500DB19E" w14:textId="51ADC7BB" w:rsidR="002F32FB" w:rsidRPr="00CE28E3" w:rsidRDefault="00A06DC7" w:rsidP="00590384">
            <w:pPr>
              <w:pStyle w:val="In-tableHeading"/>
              <w:spacing w:beforeLines="40" w:before="96" w:afterLines="40" w:after="96"/>
              <w:jc w:val="center"/>
            </w:pPr>
            <w:r>
              <w:t>SOC</w:t>
            </w:r>
          </w:p>
        </w:tc>
        <w:tc>
          <w:tcPr>
            <w:tcW w:w="1386" w:type="pct"/>
            <w:shd w:val="clear" w:color="auto" w:fill="FFFFFF"/>
            <w:vAlign w:val="center"/>
          </w:tcPr>
          <w:p w14:paraId="3863ED7D" w14:textId="77777777" w:rsidR="002F32FB" w:rsidRPr="00CE28E3" w:rsidRDefault="002F32FB" w:rsidP="00590384">
            <w:pPr>
              <w:pStyle w:val="In-tableHeading"/>
              <w:spacing w:beforeLines="40" w:before="96" w:afterLines="40" w:after="96"/>
              <w:jc w:val="center"/>
            </w:pPr>
            <w:r w:rsidRPr="00CE28E3">
              <w:t>Increment</w:t>
            </w:r>
          </w:p>
        </w:tc>
      </w:tr>
      <w:bookmarkEnd w:id="35"/>
      <w:tr w:rsidR="00A06DC7" w:rsidRPr="00CE28E3" w14:paraId="369EE6BC" w14:textId="77777777">
        <w:trPr>
          <w:cantSplit/>
        </w:trPr>
        <w:tc>
          <w:tcPr>
            <w:tcW w:w="942" w:type="pct"/>
            <w:shd w:val="clear" w:color="auto" w:fill="auto"/>
          </w:tcPr>
          <w:p w14:paraId="051B9EED" w14:textId="77777777" w:rsidR="00A06DC7" w:rsidRPr="00CE28E3" w:rsidRDefault="00A06DC7" w:rsidP="00590384">
            <w:pPr>
              <w:pStyle w:val="TableText"/>
              <w:keepNext/>
              <w:spacing w:beforeLines="40" w:before="96" w:afterLines="40" w:after="96"/>
            </w:pPr>
            <w:r w:rsidRPr="00CE28E3">
              <w:t>Costs</w:t>
            </w:r>
          </w:p>
        </w:tc>
        <w:tc>
          <w:tcPr>
            <w:tcW w:w="1353" w:type="pct"/>
            <w:shd w:val="clear" w:color="auto" w:fill="auto"/>
            <w:vAlign w:val="center"/>
          </w:tcPr>
          <w:p w14:paraId="0FAC9D47" w14:textId="631F4A44" w:rsidR="00A06DC7" w:rsidRPr="00CE28E3" w:rsidRDefault="00A06DC7" w:rsidP="00590384">
            <w:pPr>
              <w:pStyle w:val="TableText"/>
              <w:keepNext/>
              <w:spacing w:beforeLines="40" w:before="96" w:afterLines="40" w:after="96"/>
              <w:jc w:val="center"/>
            </w:pPr>
            <w:r>
              <w:rPr>
                <w:rFonts w:cs="Calibri"/>
                <w:color w:val="000000"/>
              </w:rPr>
              <w:t>$118,</w:t>
            </w:r>
            <w:r w:rsidR="008D78B0">
              <w:rPr>
                <w:rFonts w:cs="Calibri"/>
                <w:color w:val="000000"/>
              </w:rPr>
              <w:t>641</w:t>
            </w:r>
          </w:p>
        </w:tc>
        <w:tc>
          <w:tcPr>
            <w:tcW w:w="1319" w:type="pct"/>
            <w:shd w:val="clear" w:color="auto" w:fill="auto"/>
          </w:tcPr>
          <w:p w14:paraId="6C1A6297" w14:textId="7BEC53D6" w:rsidR="00A06DC7" w:rsidRPr="00CE28E3" w:rsidRDefault="00A06DC7" w:rsidP="00590384">
            <w:pPr>
              <w:pStyle w:val="TableText"/>
              <w:keepNext/>
              <w:spacing w:beforeLines="40" w:before="96" w:afterLines="40" w:after="96"/>
              <w:jc w:val="center"/>
            </w:pPr>
            <w:r w:rsidRPr="00CE28E3">
              <w:t>$</w:t>
            </w:r>
            <w:r>
              <w:t>0</w:t>
            </w:r>
          </w:p>
        </w:tc>
        <w:tc>
          <w:tcPr>
            <w:tcW w:w="1386" w:type="pct"/>
            <w:shd w:val="clear" w:color="auto" w:fill="auto"/>
            <w:vAlign w:val="center"/>
          </w:tcPr>
          <w:p w14:paraId="4B4524BB" w14:textId="4270EB45" w:rsidR="00A06DC7" w:rsidRPr="00CE28E3" w:rsidRDefault="00A06DC7" w:rsidP="00590384">
            <w:pPr>
              <w:pStyle w:val="TableText"/>
              <w:keepNext/>
              <w:spacing w:beforeLines="40" w:before="96" w:afterLines="40" w:after="96"/>
              <w:jc w:val="center"/>
            </w:pPr>
            <w:r>
              <w:rPr>
                <w:rFonts w:cs="Calibri"/>
                <w:color w:val="000000"/>
              </w:rPr>
              <w:t>$118,</w:t>
            </w:r>
            <w:r w:rsidR="000613EA">
              <w:rPr>
                <w:rFonts w:cs="Calibri"/>
                <w:color w:val="000000"/>
              </w:rPr>
              <w:t>641</w:t>
            </w:r>
          </w:p>
        </w:tc>
      </w:tr>
      <w:tr w:rsidR="002F32FB" w:rsidRPr="00CE28E3" w14:paraId="24736DA2" w14:textId="77777777" w:rsidTr="00135FC9">
        <w:trPr>
          <w:cantSplit/>
        </w:trPr>
        <w:tc>
          <w:tcPr>
            <w:tcW w:w="942" w:type="pct"/>
            <w:shd w:val="clear" w:color="auto" w:fill="auto"/>
          </w:tcPr>
          <w:p w14:paraId="6D2D1BB4" w14:textId="77777777" w:rsidR="002F32FB" w:rsidRPr="00CE28E3" w:rsidRDefault="002F32FB" w:rsidP="00590384">
            <w:pPr>
              <w:pStyle w:val="TableText"/>
              <w:keepNext/>
              <w:spacing w:beforeLines="40" w:before="96" w:afterLines="40" w:after="96"/>
            </w:pPr>
            <w:r w:rsidRPr="00CE28E3">
              <w:t>QALYS</w:t>
            </w:r>
          </w:p>
        </w:tc>
        <w:tc>
          <w:tcPr>
            <w:tcW w:w="1353" w:type="pct"/>
            <w:shd w:val="clear" w:color="auto" w:fill="auto"/>
          </w:tcPr>
          <w:p w14:paraId="768CBE06" w14:textId="2BB76CA1" w:rsidR="002F32FB" w:rsidRPr="00CE28E3" w:rsidRDefault="00A06DC7" w:rsidP="00590384">
            <w:pPr>
              <w:pStyle w:val="TableText"/>
              <w:keepNext/>
              <w:spacing w:beforeLines="40" w:before="96" w:afterLines="40" w:after="96"/>
              <w:jc w:val="center"/>
            </w:pPr>
            <w:r>
              <w:t>5.85</w:t>
            </w:r>
          </w:p>
        </w:tc>
        <w:tc>
          <w:tcPr>
            <w:tcW w:w="1319" w:type="pct"/>
            <w:shd w:val="clear" w:color="auto" w:fill="auto"/>
          </w:tcPr>
          <w:p w14:paraId="1062F347" w14:textId="1666BCD6" w:rsidR="002F32FB" w:rsidRPr="00CE28E3" w:rsidRDefault="00A06DC7" w:rsidP="00590384">
            <w:pPr>
              <w:pStyle w:val="TableText"/>
              <w:keepNext/>
              <w:spacing w:beforeLines="40" w:before="96" w:afterLines="40" w:after="96"/>
              <w:jc w:val="center"/>
            </w:pPr>
            <w:r>
              <w:t>5.72</w:t>
            </w:r>
          </w:p>
        </w:tc>
        <w:tc>
          <w:tcPr>
            <w:tcW w:w="1386" w:type="pct"/>
            <w:shd w:val="clear" w:color="auto" w:fill="auto"/>
          </w:tcPr>
          <w:p w14:paraId="3F1BB173" w14:textId="076F3F27" w:rsidR="002F32FB" w:rsidRPr="00CE28E3" w:rsidRDefault="00A06DC7" w:rsidP="00590384">
            <w:pPr>
              <w:pStyle w:val="TableText"/>
              <w:keepNext/>
              <w:spacing w:beforeLines="40" w:before="96" w:afterLines="40" w:after="96"/>
              <w:jc w:val="center"/>
            </w:pPr>
            <w:r>
              <w:t>0.13</w:t>
            </w:r>
          </w:p>
        </w:tc>
      </w:tr>
      <w:tr w:rsidR="002F32FB" w:rsidRPr="00CE28E3" w14:paraId="4C386061" w14:textId="77777777" w:rsidTr="00590384">
        <w:trPr>
          <w:cantSplit/>
        </w:trPr>
        <w:tc>
          <w:tcPr>
            <w:tcW w:w="3614" w:type="pct"/>
            <w:gridSpan w:val="3"/>
            <w:tcBorders>
              <w:right w:val="single" w:sz="4" w:space="0" w:color="000000"/>
            </w:tcBorders>
            <w:shd w:val="clear" w:color="auto" w:fill="auto"/>
            <w:vAlign w:val="center"/>
          </w:tcPr>
          <w:p w14:paraId="10510EF0" w14:textId="77777777" w:rsidR="002F32FB" w:rsidRPr="00CE28E3" w:rsidRDefault="002F32FB" w:rsidP="00590384">
            <w:pPr>
              <w:pStyle w:val="In-tableHeading"/>
              <w:spacing w:beforeLines="40" w:before="96" w:afterLines="40" w:after="96"/>
            </w:pPr>
            <w:r w:rsidRPr="00CE28E3">
              <w:t>Incremental cost per QALY gained</w:t>
            </w:r>
          </w:p>
        </w:tc>
        <w:tc>
          <w:tcPr>
            <w:tcW w:w="1386" w:type="pct"/>
            <w:tcBorders>
              <w:left w:val="single" w:sz="4" w:space="0" w:color="000000"/>
            </w:tcBorders>
            <w:shd w:val="clear" w:color="auto" w:fill="auto"/>
          </w:tcPr>
          <w:p w14:paraId="10B6B487" w14:textId="00FE845F" w:rsidR="002F32FB" w:rsidRPr="00CE28E3" w:rsidRDefault="00093FA2" w:rsidP="00590384">
            <w:pPr>
              <w:keepNext/>
              <w:keepLines/>
              <w:spacing w:beforeLines="40" w:before="96" w:afterLines="40" w:after="96"/>
              <w:jc w:val="center"/>
              <w:rPr>
                <w:rFonts w:ascii="Arial Narrow" w:eastAsia="Calibri" w:hAnsi="Arial Narrow"/>
                <w:b/>
              </w:rPr>
            </w:pPr>
            <w:r w:rsidRPr="00093FA2">
              <w:rPr>
                <w:rFonts w:ascii="Arial Narrow" w:hAnsi="Arial Narrow" w:cs="Calibri"/>
                <w:b/>
                <w:bCs/>
                <w:color w:val="000000"/>
              </w:rPr>
              <w:t>$</w:t>
            </w:r>
            <w:r w:rsidR="000613EA">
              <w:rPr>
                <w:rFonts w:ascii="Arial Narrow" w:hAnsi="Arial Narrow" w:cs="Calibri"/>
                <w:b/>
                <w:bCs/>
                <w:color w:val="000000"/>
              </w:rPr>
              <w:t>891,509</w:t>
            </w:r>
          </w:p>
        </w:tc>
      </w:tr>
    </w:tbl>
    <w:p w14:paraId="29D65211" w14:textId="3BE3175F" w:rsidR="002F32FB" w:rsidRPr="00CE28E3" w:rsidRDefault="00B328E0" w:rsidP="002C752A">
      <w:pPr>
        <w:pStyle w:val="TableFigureFooter"/>
        <w:spacing w:before="0" w:after="160"/>
        <w:rPr>
          <w:rFonts w:eastAsia="Calibri"/>
          <w:szCs w:val="20"/>
        </w:rPr>
      </w:pPr>
      <w:bookmarkStart w:id="37" w:name="_Hlk68276600"/>
      <w:bookmarkEnd w:id="36"/>
      <w:r>
        <w:t>Abbreviations</w:t>
      </w:r>
      <w:r w:rsidRPr="00D15C80">
        <w:t xml:space="preserve"> </w:t>
      </w:r>
      <w:r>
        <w:t>DBS= Deep brain stimulation</w:t>
      </w:r>
      <w:r>
        <w:rPr>
          <w:rFonts w:eastAsia="Calibri"/>
          <w:szCs w:val="20"/>
        </w:rPr>
        <w:t xml:space="preserve">; </w:t>
      </w:r>
      <w:r w:rsidR="002F32FB" w:rsidRPr="00CE28E3">
        <w:rPr>
          <w:rFonts w:eastAsia="Calibri"/>
          <w:szCs w:val="20"/>
        </w:rPr>
        <w:t>QALY= quality</w:t>
      </w:r>
      <w:r w:rsidR="0045093D">
        <w:rPr>
          <w:rFonts w:eastAsia="Calibri"/>
          <w:szCs w:val="20"/>
        </w:rPr>
        <w:t>-</w:t>
      </w:r>
      <w:r w:rsidR="002F32FB" w:rsidRPr="00CE28E3">
        <w:rPr>
          <w:rFonts w:eastAsia="Calibri"/>
          <w:szCs w:val="20"/>
        </w:rPr>
        <w:t>adjusted life year</w:t>
      </w:r>
      <w:r>
        <w:rPr>
          <w:rFonts w:eastAsia="Calibri"/>
          <w:szCs w:val="20"/>
        </w:rPr>
        <w:t>; SO</w:t>
      </w:r>
      <w:r w:rsidR="00490669">
        <w:rPr>
          <w:rFonts w:eastAsia="Calibri"/>
          <w:szCs w:val="20"/>
        </w:rPr>
        <w:t>C=</w:t>
      </w:r>
      <w:r>
        <w:rPr>
          <w:rFonts w:eastAsia="Calibri"/>
          <w:szCs w:val="20"/>
        </w:rPr>
        <w:t xml:space="preserve"> standard of care</w:t>
      </w:r>
      <w:r w:rsidR="002F32FB" w:rsidRPr="00CE28E3">
        <w:rPr>
          <w:rFonts w:eastAsia="Calibri"/>
          <w:szCs w:val="20"/>
        </w:rPr>
        <w:t>.</w:t>
      </w:r>
    </w:p>
    <w:bookmarkEnd w:id="37"/>
    <w:p w14:paraId="6EE1CD2D" w14:textId="78E05747" w:rsidR="000B10DF" w:rsidRPr="00B0653C" w:rsidRDefault="000B10DF" w:rsidP="00093FA2">
      <w:pPr>
        <w:pStyle w:val="Instructionaltext"/>
        <w:rPr>
          <w:color w:val="auto"/>
        </w:rPr>
      </w:pPr>
      <w:r>
        <w:rPr>
          <w:color w:val="auto"/>
        </w:rPr>
        <w:t xml:space="preserve">The model </w:t>
      </w:r>
      <w:r w:rsidR="00590384">
        <w:rPr>
          <w:color w:val="auto"/>
        </w:rPr>
        <w:t>was</w:t>
      </w:r>
      <w:r>
        <w:rPr>
          <w:color w:val="auto"/>
        </w:rPr>
        <w:t xml:space="preserve"> most sensitiv</w:t>
      </w:r>
      <w:r w:rsidR="00CE3673">
        <w:rPr>
          <w:color w:val="auto"/>
        </w:rPr>
        <w:t>e</w:t>
      </w:r>
      <w:r>
        <w:rPr>
          <w:color w:val="auto"/>
        </w:rPr>
        <w:t xml:space="preserve"> to changes in </w:t>
      </w:r>
      <w:r w:rsidR="00590384">
        <w:rPr>
          <w:color w:val="auto"/>
        </w:rPr>
        <w:t xml:space="preserve">the </w:t>
      </w:r>
      <w:r>
        <w:rPr>
          <w:color w:val="auto"/>
        </w:rPr>
        <w:t xml:space="preserve">proportion of </w:t>
      </w:r>
      <w:r w:rsidR="00093FA2">
        <w:rPr>
          <w:color w:val="auto"/>
        </w:rPr>
        <w:t>patients that respond</w:t>
      </w:r>
      <w:r>
        <w:rPr>
          <w:color w:val="auto"/>
        </w:rPr>
        <w:t xml:space="preserve"> to DBS, complication rates, years to battery replacement and utilit</w:t>
      </w:r>
      <w:r w:rsidR="00590384">
        <w:rPr>
          <w:color w:val="auto"/>
        </w:rPr>
        <w:t>y</w:t>
      </w:r>
      <w:r>
        <w:rPr>
          <w:color w:val="auto"/>
        </w:rPr>
        <w:t xml:space="preserve"> </w:t>
      </w:r>
      <w:r w:rsidR="00093FA2">
        <w:rPr>
          <w:color w:val="auto"/>
        </w:rPr>
        <w:t xml:space="preserve">improvements </w:t>
      </w:r>
      <w:r>
        <w:rPr>
          <w:color w:val="auto"/>
        </w:rPr>
        <w:t>post DBS response. A summary of the key drivers of the economic are detailed below.</w:t>
      </w:r>
    </w:p>
    <w:p w14:paraId="67893A8C" w14:textId="26CB2D38" w:rsidR="000B10DF" w:rsidRPr="00CE28E3" w:rsidRDefault="000B10DF" w:rsidP="000B10DF">
      <w:pPr>
        <w:pStyle w:val="Caption"/>
      </w:pPr>
      <w:bookmarkStart w:id="38" w:name="_Toc143098945"/>
      <w:r w:rsidRPr="00CE28E3">
        <w:lastRenderedPageBreak/>
        <w:t>Table</w:t>
      </w:r>
      <w:r>
        <w:t> </w:t>
      </w:r>
      <w:r>
        <w:fldChar w:fldCharType="begin"/>
      </w:r>
      <w:r>
        <w:instrText>SEQ Table \* ARABIC</w:instrText>
      </w:r>
      <w:r>
        <w:fldChar w:fldCharType="separate"/>
      </w:r>
      <w:r w:rsidR="007F15AB">
        <w:rPr>
          <w:noProof/>
        </w:rPr>
        <w:t>8</w:t>
      </w:r>
      <w:r>
        <w:fldChar w:fldCharType="end"/>
      </w:r>
      <w:r w:rsidR="001A7A1E">
        <w:t>:</w:t>
      </w:r>
      <w:r w:rsidRPr="00CE28E3">
        <w:tab/>
        <w:t>Key drivers of the model</w:t>
      </w:r>
      <w:bookmarkEnd w:id="38"/>
    </w:p>
    <w:tbl>
      <w:tblPr>
        <w:tblStyle w:val="TableGrid1"/>
        <w:tblW w:w="5000" w:type="pct"/>
        <w:tblLayout w:type="fixed"/>
        <w:tblCellMar>
          <w:left w:w="28" w:type="dxa"/>
          <w:right w:w="28" w:type="dxa"/>
        </w:tblCellMar>
        <w:tblLook w:val="04A0" w:firstRow="1" w:lastRow="0" w:firstColumn="1" w:lastColumn="0" w:noHBand="0" w:noVBand="1"/>
      </w:tblPr>
      <w:tblGrid>
        <w:gridCol w:w="1129"/>
        <w:gridCol w:w="5103"/>
        <w:gridCol w:w="2784"/>
      </w:tblGrid>
      <w:tr w:rsidR="006900F9" w:rsidRPr="00CE28E3" w14:paraId="61A13A2A" w14:textId="77777777">
        <w:trPr>
          <w:cnfStyle w:val="100000000000" w:firstRow="1" w:lastRow="0" w:firstColumn="0" w:lastColumn="0" w:oddVBand="0" w:evenVBand="0" w:oddHBand="0" w:evenHBand="0" w:firstRowFirstColumn="0" w:firstRowLastColumn="0" w:lastRowFirstColumn="0" w:lastRowLastColumn="0"/>
          <w:tblHeader/>
        </w:trPr>
        <w:tc>
          <w:tcPr>
            <w:tcW w:w="626" w:type="pct"/>
            <w:shd w:val="clear" w:color="auto" w:fill="auto"/>
            <w:vAlign w:val="center"/>
          </w:tcPr>
          <w:p w14:paraId="1697E8CD" w14:textId="51814417" w:rsidR="006900F9" w:rsidRPr="00CE28E3" w:rsidRDefault="006900F9" w:rsidP="006900F9">
            <w:pPr>
              <w:pStyle w:val="In-tableHeading"/>
              <w:spacing w:beforeLines="40" w:before="96" w:afterLines="40" w:after="96"/>
              <w:jc w:val="center"/>
            </w:pPr>
            <w:r w:rsidRPr="00CE28E3">
              <w:t>Description</w:t>
            </w:r>
          </w:p>
        </w:tc>
        <w:tc>
          <w:tcPr>
            <w:tcW w:w="2830" w:type="pct"/>
            <w:shd w:val="clear" w:color="auto" w:fill="auto"/>
            <w:vAlign w:val="center"/>
          </w:tcPr>
          <w:p w14:paraId="5CCAAF14" w14:textId="671E0596" w:rsidR="006900F9" w:rsidRPr="00CE28E3" w:rsidRDefault="006900F9" w:rsidP="006900F9">
            <w:pPr>
              <w:pStyle w:val="In-tableHeading"/>
              <w:spacing w:beforeLines="40" w:before="96" w:afterLines="40" w:after="96"/>
              <w:jc w:val="center"/>
            </w:pPr>
            <w:r w:rsidRPr="00CE28E3">
              <w:t>Method/Value</w:t>
            </w:r>
          </w:p>
        </w:tc>
        <w:tc>
          <w:tcPr>
            <w:tcW w:w="1544" w:type="pct"/>
            <w:shd w:val="clear" w:color="auto" w:fill="auto"/>
            <w:vAlign w:val="center"/>
          </w:tcPr>
          <w:p w14:paraId="0CA9162A" w14:textId="77777777" w:rsidR="006900F9" w:rsidRPr="00CE28E3" w:rsidRDefault="006900F9" w:rsidP="006900F9">
            <w:pPr>
              <w:pStyle w:val="In-tableHeading"/>
              <w:jc w:val="center"/>
            </w:pPr>
            <w:r w:rsidRPr="00CE28E3">
              <w:t>Impact</w:t>
            </w:r>
          </w:p>
          <w:p w14:paraId="59425AC6" w14:textId="2DB9B840" w:rsidR="006900F9" w:rsidRPr="00CE28E3" w:rsidRDefault="006900F9" w:rsidP="006900F9">
            <w:pPr>
              <w:pStyle w:val="In-tableHeading"/>
              <w:spacing w:beforeLines="40" w:before="96" w:afterLines="40" w:after="96"/>
              <w:jc w:val="center"/>
            </w:pPr>
            <w:r w:rsidRPr="00CE28E3">
              <w:rPr>
                <w:rFonts w:cs="Arial"/>
                <w:szCs w:val="20"/>
              </w:rPr>
              <w:t>Base case: $</w:t>
            </w:r>
            <w:r>
              <w:rPr>
                <w:rFonts w:cs="Arial"/>
                <w:szCs w:val="20"/>
              </w:rPr>
              <w:t>891,509</w:t>
            </w:r>
            <w:r w:rsidDel="00AA0676">
              <w:rPr>
                <w:rFonts w:cs="Arial"/>
                <w:szCs w:val="20"/>
              </w:rPr>
              <w:t xml:space="preserve"> </w:t>
            </w:r>
            <w:r w:rsidRPr="00CE28E3">
              <w:rPr>
                <w:rFonts w:cs="Arial"/>
                <w:szCs w:val="20"/>
              </w:rPr>
              <w:t>/QALY gained</w:t>
            </w:r>
          </w:p>
        </w:tc>
      </w:tr>
      <w:tr w:rsidR="006900F9" w:rsidRPr="00CE28E3" w14:paraId="69C4F3A2" w14:textId="77777777">
        <w:tc>
          <w:tcPr>
            <w:tcW w:w="626" w:type="pct"/>
            <w:shd w:val="clear" w:color="auto" w:fill="auto"/>
            <w:vAlign w:val="center"/>
          </w:tcPr>
          <w:p w14:paraId="01414E1B" w14:textId="48DE41F8" w:rsidR="006900F9" w:rsidRPr="00CE28E3" w:rsidRDefault="006900F9" w:rsidP="006900F9">
            <w:pPr>
              <w:pStyle w:val="TableText"/>
              <w:spacing w:beforeLines="40" w:before="96" w:afterLines="40" w:after="96"/>
              <w:jc w:val="center"/>
              <w:rPr>
                <w:lang w:val="en-US"/>
              </w:rPr>
            </w:pPr>
            <w:r>
              <w:rPr>
                <w:lang w:val="en-US"/>
              </w:rPr>
              <w:t>Proportion of responders to DBS</w:t>
            </w:r>
          </w:p>
        </w:tc>
        <w:tc>
          <w:tcPr>
            <w:tcW w:w="2830" w:type="pct"/>
            <w:shd w:val="clear" w:color="auto" w:fill="auto"/>
            <w:vAlign w:val="center"/>
          </w:tcPr>
          <w:p w14:paraId="47F6BF5F" w14:textId="5B418385" w:rsidR="006900F9" w:rsidRDefault="006900F9" w:rsidP="006900F9">
            <w:pPr>
              <w:pStyle w:val="TableText"/>
              <w:rPr>
                <w:lang w:val="en-US"/>
              </w:rPr>
            </w:pPr>
            <w:r>
              <w:rPr>
                <w:lang w:val="en-US"/>
              </w:rPr>
              <w:t>The proportion of responders was identified through a pooled analysis of literature conducted in the clinical evaluation section of the submission. This input relied on study data with high degree of bias and therefore was tested in a sensitivity analysis. The base case input (58%) was varied by ±</w:t>
            </w:r>
            <w:r w:rsidR="00995DD3">
              <w:rPr>
                <w:lang w:val="en-US"/>
              </w:rPr>
              <w:t>12</w:t>
            </w:r>
            <w:r>
              <w:rPr>
                <w:lang w:val="en-US"/>
              </w:rPr>
              <w:t>%.</w:t>
            </w:r>
          </w:p>
          <w:p w14:paraId="6018850A" w14:textId="77777777" w:rsidR="006900F9" w:rsidRDefault="006900F9" w:rsidP="006900F9">
            <w:pPr>
              <w:pStyle w:val="TableText"/>
              <w:rPr>
                <w:lang w:val="en-US"/>
              </w:rPr>
            </w:pPr>
          </w:p>
          <w:p w14:paraId="27B4AF32" w14:textId="68F92BE0" w:rsidR="006900F9" w:rsidRDefault="006900F9" w:rsidP="006900F9">
            <w:pPr>
              <w:pStyle w:val="TableText"/>
              <w:rPr>
                <w:lang w:val="en-US"/>
              </w:rPr>
            </w:pPr>
            <w:r>
              <w:rPr>
                <w:lang w:val="en-US"/>
              </w:rPr>
              <w:t xml:space="preserve">The lower limit tested (46%) had the largest impact on the incremental utilities gained from DBS, with a reduction of incremental 0.03 QALYs, resulting in an overall increase in the ICER by 30%. </w:t>
            </w:r>
          </w:p>
          <w:p w14:paraId="59B1CD7B" w14:textId="77777777" w:rsidR="006900F9" w:rsidRDefault="006900F9" w:rsidP="006900F9">
            <w:pPr>
              <w:pStyle w:val="TableText"/>
              <w:rPr>
                <w:lang w:val="en-US"/>
              </w:rPr>
            </w:pPr>
          </w:p>
          <w:p w14:paraId="71E7D8B2" w14:textId="654E46FC" w:rsidR="006900F9" w:rsidRPr="00CE28E3" w:rsidRDefault="006900F9" w:rsidP="006900F9">
            <w:pPr>
              <w:pStyle w:val="TableText"/>
              <w:spacing w:beforeLines="40" w:before="96" w:afterLines="40" w:after="96"/>
              <w:rPr>
                <w:lang w:val="en-US"/>
              </w:rPr>
            </w:pPr>
            <w:r>
              <w:rPr>
                <w:lang w:val="en-US"/>
              </w:rPr>
              <w:t xml:space="preserve">It is noted that as only the responder arm in the DBS patient pathway gains utilities post DBS surgery, it is expected that the higher proportion of people who respond to DBS is associated with greater QALYs gained. </w:t>
            </w:r>
          </w:p>
        </w:tc>
        <w:tc>
          <w:tcPr>
            <w:tcW w:w="1544" w:type="pct"/>
            <w:shd w:val="clear" w:color="auto" w:fill="auto"/>
            <w:vAlign w:val="center"/>
          </w:tcPr>
          <w:p w14:paraId="0D5D9838" w14:textId="77777777" w:rsidR="006900F9" w:rsidRPr="00CE28E3" w:rsidRDefault="006900F9" w:rsidP="006900F9">
            <w:pPr>
              <w:pStyle w:val="TableText"/>
              <w:rPr>
                <w:i/>
                <w:lang w:val="en-US"/>
              </w:rPr>
            </w:pPr>
            <w:r>
              <w:rPr>
                <w:i/>
                <w:lang w:val="en-US"/>
              </w:rPr>
              <w:t>Medium</w:t>
            </w:r>
            <w:r w:rsidRPr="00CE28E3">
              <w:rPr>
                <w:i/>
                <w:lang w:val="en-US"/>
              </w:rPr>
              <w:t xml:space="preserve">, </w:t>
            </w:r>
            <w:proofErr w:type="spellStart"/>
            <w:r w:rsidRPr="00CE28E3">
              <w:rPr>
                <w:i/>
                <w:lang w:val="en-US"/>
              </w:rPr>
              <w:t>favours</w:t>
            </w:r>
            <w:proofErr w:type="spellEnd"/>
            <w:r>
              <w:rPr>
                <w:i/>
                <w:lang w:val="en-US"/>
              </w:rPr>
              <w:t xml:space="preserve"> the comparator (SOC)</w:t>
            </w:r>
          </w:p>
          <w:p w14:paraId="1BB78062" w14:textId="73B1AE5F" w:rsidR="006900F9" w:rsidRPr="00CE28E3" w:rsidRDefault="006900F9" w:rsidP="006900F9">
            <w:pPr>
              <w:pStyle w:val="TableText"/>
              <w:spacing w:beforeLines="40" w:before="96" w:afterLines="40" w:after="96"/>
              <w:rPr>
                <w:i/>
                <w:lang w:val="en-US"/>
              </w:rPr>
            </w:pPr>
            <w:r>
              <w:rPr>
                <w:i/>
                <w:lang w:val="en-US"/>
              </w:rPr>
              <w:t xml:space="preserve">Decreasing the proportion of responders </w:t>
            </w:r>
            <w:r w:rsidRPr="00CE28E3">
              <w:rPr>
                <w:i/>
                <w:lang w:val="en-US"/>
              </w:rPr>
              <w:t>increased the ICER to $</w:t>
            </w:r>
            <w:r>
              <w:rPr>
                <w:i/>
                <w:lang w:val="en-US"/>
              </w:rPr>
              <w:t>1,182,469</w:t>
            </w:r>
            <w:r w:rsidRPr="00CE28E3">
              <w:rPr>
                <w:i/>
                <w:lang w:val="en-US"/>
              </w:rPr>
              <w:t xml:space="preserve">/QALY gained. </w:t>
            </w:r>
            <w:r>
              <w:rPr>
                <w:i/>
                <w:lang w:val="en-US"/>
              </w:rPr>
              <w:br/>
            </w:r>
          </w:p>
        </w:tc>
      </w:tr>
      <w:tr w:rsidR="006900F9" w:rsidRPr="00CE28E3" w14:paraId="33B09A82" w14:textId="77777777">
        <w:tc>
          <w:tcPr>
            <w:tcW w:w="626" w:type="pct"/>
            <w:shd w:val="clear" w:color="auto" w:fill="auto"/>
            <w:vAlign w:val="center"/>
          </w:tcPr>
          <w:p w14:paraId="43C38B5B" w14:textId="027B73FE" w:rsidR="006900F9" w:rsidRPr="00CE28E3" w:rsidRDefault="006900F9" w:rsidP="006900F9">
            <w:pPr>
              <w:pStyle w:val="TableText"/>
              <w:spacing w:beforeLines="40" w:before="96" w:afterLines="40" w:after="96"/>
              <w:jc w:val="center"/>
              <w:rPr>
                <w:lang w:val="en-US"/>
              </w:rPr>
            </w:pPr>
            <w:r>
              <w:rPr>
                <w:lang w:val="en-US"/>
              </w:rPr>
              <w:t>Complication rates</w:t>
            </w:r>
          </w:p>
        </w:tc>
        <w:tc>
          <w:tcPr>
            <w:tcW w:w="2830" w:type="pct"/>
            <w:shd w:val="clear" w:color="auto" w:fill="auto"/>
            <w:vAlign w:val="center"/>
          </w:tcPr>
          <w:p w14:paraId="153B6034" w14:textId="77777777" w:rsidR="006900F9" w:rsidRDefault="006900F9" w:rsidP="006900F9">
            <w:pPr>
              <w:pStyle w:val="TableText"/>
              <w:rPr>
                <w:lang w:val="en-US"/>
              </w:rPr>
            </w:pPr>
            <w:r>
              <w:rPr>
                <w:lang w:val="en-US"/>
              </w:rPr>
              <w:t>Complication rates post DBS implantation and battery replacement were tested as these inputs were sourced from the main economic study which was based on Korean and UK populations. Both inputs were varied by ±20% from the base case.</w:t>
            </w:r>
          </w:p>
          <w:p w14:paraId="21E670F3" w14:textId="77777777" w:rsidR="006900F9" w:rsidRDefault="006900F9" w:rsidP="006900F9">
            <w:pPr>
              <w:pStyle w:val="TableText"/>
              <w:rPr>
                <w:lang w:val="en-US"/>
              </w:rPr>
            </w:pPr>
          </w:p>
          <w:p w14:paraId="36C8AA93" w14:textId="4E80FA44" w:rsidR="006900F9" w:rsidRPr="00CE28E3" w:rsidRDefault="006900F9" w:rsidP="006900F9">
            <w:pPr>
              <w:pStyle w:val="TableText"/>
              <w:spacing w:beforeLines="40" w:before="96" w:afterLines="40" w:after="96"/>
              <w:rPr>
                <w:lang w:val="en-US"/>
              </w:rPr>
            </w:pPr>
            <w:r>
              <w:rPr>
                <w:lang w:val="en-US"/>
              </w:rPr>
              <w:t>The upper limit for complication</w:t>
            </w:r>
            <w:r w:rsidR="00C32E2F">
              <w:rPr>
                <w:lang w:val="en-US"/>
              </w:rPr>
              <w:t>s</w:t>
            </w:r>
            <w:r>
              <w:rPr>
                <w:lang w:val="en-US"/>
              </w:rPr>
              <w:t xml:space="preserve"> post DBS implantation and lower limit for complications post battery change resulted in the largest amendments from the base case results in terms of cost and QALYs gained, however the maximum change to the results </w:t>
            </w:r>
            <w:r w:rsidR="002266C5">
              <w:rPr>
                <w:lang w:val="en-US"/>
              </w:rPr>
              <w:t>was</w:t>
            </w:r>
            <w:r>
              <w:rPr>
                <w:lang w:val="en-US"/>
              </w:rPr>
              <w:t xml:space="preserve"> only 11%</w:t>
            </w:r>
          </w:p>
        </w:tc>
        <w:tc>
          <w:tcPr>
            <w:tcW w:w="1544" w:type="pct"/>
            <w:shd w:val="clear" w:color="auto" w:fill="auto"/>
            <w:vAlign w:val="center"/>
          </w:tcPr>
          <w:p w14:paraId="4FC00DEA" w14:textId="77BCA416" w:rsidR="006900F9" w:rsidRPr="00CE28E3" w:rsidRDefault="006900F9" w:rsidP="006900F9">
            <w:pPr>
              <w:pStyle w:val="TableText"/>
              <w:rPr>
                <w:i/>
                <w:lang w:val="en-US"/>
              </w:rPr>
            </w:pPr>
            <w:r>
              <w:rPr>
                <w:i/>
                <w:lang w:val="en-US"/>
              </w:rPr>
              <w:t>Minor</w:t>
            </w:r>
            <w:r w:rsidRPr="00CE28E3">
              <w:rPr>
                <w:i/>
                <w:lang w:val="en-US"/>
              </w:rPr>
              <w:t xml:space="preserve">, </w:t>
            </w:r>
            <w:proofErr w:type="spellStart"/>
            <w:r w:rsidRPr="00CE28E3">
              <w:rPr>
                <w:i/>
                <w:lang w:val="en-US"/>
              </w:rPr>
              <w:t>favo</w:t>
            </w:r>
            <w:r>
              <w:rPr>
                <w:i/>
                <w:lang w:val="en-US"/>
              </w:rPr>
              <w:t>u</w:t>
            </w:r>
            <w:r w:rsidRPr="00CE28E3">
              <w:rPr>
                <w:i/>
                <w:lang w:val="en-US"/>
              </w:rPr>
              <w:t>rs</w:t>
            </w:r>
            <w:proofErr w:type="spellEnd"/>
            <w:r>
              <w:rPr>
                <w:i/>
                <w:lang w:val="en-US"/>
              </w:rPr>
              <w:t xml:space="preserve"> the </w:t>
            </w:r>
            <w:r w:rsidR="002266C5">
              <w:rPr>
                <w:i/>
                <w:lang w:val="en-US"/>
              </w:rPr>
              <w:t>comparator</w:t>
            </w:r>
            <w:r>
              <w:rPr>
                <w:i/>
                <w:lang w:val="en-US"/>
              </w:rPr>
              <w:t xml:space="preserve"> (</w:t>
            </w:r>
            <w:r w:rsidR="002266C5">
              <w:rPr>
                <w:i/>
                <w:lang w:val="en-US"/>
              </w:rPr>
              <w:t>SOC</w:t>
            </w:r>
            <w:r>
              <w:rPr>
                <w:i/>
                <w:lang w:val="en-US"/>
              </w:rPr>
              <w:t>)</w:t>
            </w:r>
          </w:p>
          <w:p w14:paraId="15E2BB61" w14:textId="77777777" w:rsidR="006900F9" w:rsidRDefault="006900F9" w:rsidP="006900F9">
            <w:pPr>
              <w:pStyle w:val="TableText"/>
              <w:rPr>
                <w:i/>
                <w:lang w:val="en-US"/>
              </w:rPr>
            </w:pPr>
            <w:r>
              <w:rPr>
                <w:i/>
                <w:lang w:val="en-US"/>
              </w:rPr>
              <w:t>Increasing the complication rate post initial DBS implantation increased</w:t>
            </w:r>
            <w:r w:rsidRPr="00CE28E3">
              <w:rPr>
                <w:i/>
                <w:lang w:val="en-US"/>
              </w:rPr>
              <w:t xml:space="preserve"> the ICER to $</w:t>
            </w:r>
            <w:r>
              <w:rPr>
                <w:i/>
                <w:lang w:val="en-US"/>
              </w:rPr>
              <w:t>979,619</w:t>
            </w:r>
            <w:r w:rsidRPr="00CE28E3">
              <w:rPr>
                <w:i/>
                <w:lang w:val="en-US"/>
              </w:rPr>
              <w:t>/QALY gained.</w:t>
            </w:r>
          </w:p>
          <w:p w14:paraId="363B24E5" w14:textId="77777777" w:rsidR="006900F9" w:rsidRPr="00CE28E3" w:rsidRDefault="006900F9" w:rsidP="002C752A">
            <w:pPr>
              <w:pStyle w:val="TableText"/>
              <w:spacing w:before="0" w:after="0"/>
              <w:rPr>
                <w:i/>
                <w:lang w:val="en-US"/>
              </w:rPr>
            </w:pPr>
            <w:r>
              <w:rPr>
                <w:i/>
                <w:lang w:val="en-US"/>
              </w:rPr>
              <w:t>Minor</w:t>
            </w:r>
            <w:r w:rsidRPr="00CE28E3">
              <w:rPr>
                <w:i/>
                <w:lang w:val="en-US"/>
              </w:rPr>
              <w:t xml:space="preserve">, </w:t>
            </w:r>
            <w:proofErr w:type="spellStart"/>
            <w:r w:rsidRPr="00CE28E3">
              <w:rPr>
                <w:i/>
                <w:lang w:val="en-US"/>
              </w:rPr>
              <w:t>favo</w:t>
            </w:r>
            <w:r>
              <w:rPr>
                <w:i/>
                <w:lang w:val="en-US"/>
              </w:rPr>
              <w:t>u</w:t>
            </w:r>
            <w:r w:rsidRPr="00CE28E3">
              <w:rPr>
                <w:i/>
                <w:lang w:val="en-US"/>
              </w:rPr>
              <w:t>rs</w:t>
            </w:r>
            <w:proofErr w:type="spellEnd"/>
            <w:r>
              <w:rPr>
                <w:i/>
                <w:lang w:val="en-US"/>
              </w:rPr>
              <w:t xml:space="preserve"> the intervention (DBS)</w:t>
            </w:r>
          </w:p>
          <w:p w14:paraId="789CD552" w14:textId="5C0A2CA5" w:rsidR="006900F9" w:rsidRPr="00CE28E3" w:rsidRDefault="006900F9" w:rsidP="006900F9">
            <w:pPr>
              <w:pStyle w:val="TableText"/>
              <w:spacing w:beforeLines="40" w:before="96" w:afterLines="40" w:after="96"/>
              <w:rPr>
                <w:i/>
                <w:lang w:val="en-US"/>
              </w:rPr>
            </w:pPr>
            <w:r>
              <w:rPr>
                <w:i/>
                <w:lang w:val="en-US"/>
              </w:rPr>
              <w:t>Decreasing the complication rate post battery change decreased</w:t>
            </w:r>
            <w:r w:rsidRPr="00CE28E3">
              <w:rPr>
                <w:i/>
                <w:lang w:val="en-US"/>
              </w:rPr>
              <w:t xml:space="preserve"> the ICER to $</w:t>
            </w:r>
            <w:r>
              <w:rPr>
                <w:i/>
                <w:lang w:val="en-US"/>
              </w:rPr>
              <w:t>839,732</w:t>
            </w:r>
            <w:r w:rsidRPr="00CE28E3">
              <w:rPr>
                <w:i/>
                <w:lang w:val="en-US"/>
              </w:rPr>
              <w:t>/QALY ga</w:t>
            </w:r>
            <w:r>
              <w:rPr>
                <w:i/>
                <w:lang w:val="en-US"/>
              </w:rPr>
              <w:t>ined.</w:t>
            </w:r>
          </w:p>
        </w:tc>
      </w:tr>
      <w:tr w:rsidR="006900F9" w:rsidRPr="00CE28E3" w14:paraId="03893BFB" w14:textId="77777777">
        <w:tc>
          <w:tcPr>
            <w:tcW w:w="626" w:type="pct"/>
            <w:shd w:val="clear" w:color="auto" w:fill="auto"/>
            <w:vAlign w:val="center"/>
          </w:tcPr>
          <w:p w14:paraId="19244079" w14:textId="0D5FAAC2" w:rsidR="006900F9" w:rsidRPr="00CE28E3" w:rsidRDefault="006900F9" w:rsidP="006900F9">
            <w:pPr>
              <w:pStyle w:val="TableText"/>
              <w:spacing w:beforeLines="40" w:before="96" w:afterLines="40" w:after="96"/>
              <w:jc w:val="center"/>
              <w:rPr>
                <w:lang w:val="en-US"/>
              </w:rPr>
            </w:pPr>
            <w:r>
              <w:rPr>
                <w:lang w:val="en-US"/>
              </w:rPr>
              <w:t>Years to battery replacement</w:t>
            </w:r>
          </w:p>
        </w:tc>
        <w:tc>
          <w:tcPr>
            <w:tcW w:w="2830" w:type="pct"/>
            <w:shd w:val="clear" w:color="auto" w:fill="auto"/>
            <w:vAlign w:val="center"/>
          </w:tcPr>
          <w:p w14:paraId="007C2ED9" w14:textId="77777777" w:rsidR="006900F9" w:rsidRDefault="006900F9" w:rsidP="006900F9">
            <w:pPr>
              <w:pStyle w:val="TableText"/>
              <w:rPr>
                <w:lang w:val="en-US"/>
              </w:rPr>
            </w:pPr>
            <w:r>
              <w:rPr>
                <w:lang w:val="en-US"/>
              </w:rPr>
              <w:t xml:space="preserve">Multiple reports for years to battery change for non-rechargeable IPGs were identified through literature and clinical opinion. As such two inputs were tested in scenario analyses; the first using the average time to replacement identified by the literature (2 years), and the second identified in the PICO (5 years). </w:t>
            </w:r>
          </w:p>
          <w:p w14:paraId="4E427FD8" w14:textId="3E29077B" w:rsidR="006900F9" w:rsidRPr="00CE28E3" w:rsidRDefault="006900F9" w:rsidP="006900F9">
            <w:pPr>
              <w:pStyle w:val="TableText"/>
              <w:spacing w:beforeLines="40" w:before="96" w:afterLines="40" w:after="96"/>
              <w:rPr>
                <w:lang w:val="en-US"/>
              </w:rPr>
            </w:pPr>
            <w:r>
              <w:rPr>
                <w:lang w:val="en-US"/>
              </w:rPr>
              <w:t>Overall, there was a maximum change to base case results of 10% where replacement occurs after two years. This is because battery replacement is associated with high costs, including additional prothesis costs, and additional complications.</w:t>
            </w:r>
          </w:p>
        </w:tc>
        <w:tc>
          <w:tcPr>
            <w:tcW w:w="1544" w:type="pct"/>
            <w:shd w:val="clear" w:color="auto" w:fill="auto"/>
            <w:vAlign w:val="center"/>
          </w:tcPr>
          <w:p w14:paraId="7330513F" w14:textId="77777777" w:rsidR="006900F9" w:rsidRPr="00CE28E3" w:rsidRDefault="006900F9" w:rsidP="006900F9">
            <w:pPr>
              <w:pStyle w:val="TableText"/>
              <w:rPr>
                <w:i/>
                <w:lang w:val="en-US"/>
              </w:rPr>
            </w:pPr>
            <w:r>
              <w:rPr>
                <w:i/>
                <w:lang w:val="en-US"/>
              </w:rPr>
              <w:t>Medium</w:t>
            </w:r>
            <w:r w:rsidRPr="00CE28E3">
              <w:rPr>
                <w:i/>
                <w:lang w:val="en-US"/>
              </w:rPr>
              <w:t xml:space="preserve">, </w:t>
            </w:r>
            <w:proofErr w:type="spellStart"/>
            <w:r w:rsidRPr="00CE28E3">
              <w:rPr>
                <w:i/>
                <w:lang w:val="en-US"/>
              </w:rPr>
              <w:t>favo</w:t>
            </w:r>
            <w:r>
              <w:rPr>
                <w:i/>
                <w:lang w:val="en-US"/>
              </w:rPr>
              <w:t>u</w:t>
            </w:r>
            <w:r w:rsidRPr="00CE28E3">
              <w:rPr>
                <w:i/>
                <w:lang w:val="en-US"/>
              </w:rPr>
              <w:t>rs</w:t>
            </w:r>
            <w:proofErr w:type="spellEnd"/>
            <w:r>
              <w:rPr>
                <w:i/>
                <w:lang w:val="en-US"/>
              </w:rPr>
              <w:t xml:space="preserve"> the comparator (SOC)</w:t>
            </w:r>
          </w:p>
          <w:p w14:paraId="7AE0221A" w14:textId="2D6F742A" w:rsidR="006900F9" w:rsidRPr="00CE28E3" w:rsidRDefault="006900F9" w:rsidP="006900F9">
            <w:pPr>
              <w:pStyle w:val="TableText"/>
              <w:spacing w:beforeLines="40" w:before="96" w:afterLines="40" w:after="96"/>
              <w:rPr>
                <w:i/>
                <w:lang w:val="en-US"/>
              </w:rPr>
            </w:pPr>
            <w:r>
              <w:rPr>
                <w:i/>
                <w:lang w:val="en-US"/>
              </w:rPr>
              <w:t>Decreasing the average years to battery replacement for non-rechargeable IPGs increased</w:t>
            </w:r>
            <w:r w:rsidRPr="00CE28E3">
              <w:rPr>
                <w:i/>
                <w:lang w:val="en-US"/>
              </w:rPr>
              <w:t xml:space="preserve"> the ICER to $</w:t>
            </w:r>
            <w:r>
              <w:rPr>
                <w:i/>
                <w:lang w:val="en-US"/>
              </w:rPr>
              <w:t>982,650</w:t>
            </w:r>
            <w:r w:rsidRPr="00CE28E3">
              <w:rPr>
                <w:i/>
                <w:lang w:val="en-US"/>
              </w:rPr>
              <w:t>/QALY ga</w:t>
            </w:r>
            <w:r>
              <w:rPr>
                <w:i/>
                <w:lang w:val="en-US"/>
              </w:rPr>
              <w:t>ined.</w:t>
            </w:r>
          </w:p>
        </w:tc>
      </w:tr>
      <w:tr w:rsidR="006900F9" w:rsidRPr="00CE28E3" w14:paraId="2836A109" w14:textId="77777777">
        <w:tc>
          <w:tcPr>
            <w:tcW w:w="626" w:type="pct"/>
            <w:shd w:val="clear" w:color="auto" w:fill="auto"/>
            <w:vAlign w:val="center"/>
          </w:tcPr>
          <w:p w14:paraId="42CEBB77" w14:textId="27C82B6D" w:rsidR="006900F9" w:rsidRPr="00CE28E3" w:rsidRDefault="006900F9" w:rsidP="006900F9">
            <w:pPr>
              <w:pStyle w:val="TableText"/>
              <w:spacing w:beforeLines="40" w:before="96" w:afterLines="40" w:after="96"/>
              <w:jc w:val="center"/>
              <w:rPr>
                <w:lang w:val="en-US"/>
              </w:rPr>
            </w:pPr>
            <w:r w:rsidRPr="00CE28E3">
              <w:rPr>
                <w:lang w:val="en-US"/>
              </w:rPr>
              <w:t>Utilities</w:t>
            </w:r>
          </w:p>
        </w:tc>
        <w:tc>
          <w:tcPr>
            <w:tcW w:w="2830" w:type="pct"/>
            <w:shd w:val="clear" w:color="auto" w:fill="auto"/>
            <w:vAlign w:val="center"/>
          </w:tcPr>
          <w:p w14:paraId="1A190300" w14:textId="77777777" w:rsidR="006900F9" w:rsidRDefault="006900F9" w:rsidP="006900F9">
            <w:pPr>
              <w:pStyle w:val="TableText"/>
              <w:rPr>
                <w:lang w:val="en-US"/>
              </w:rPr>
            </w:pPr>
            <w:r>
              <w:rPr>
                <w:lang w:val="en-US"/>
              </w:rPr>
              <w:t xml:space="preserve">The utility values sourced from the main economic study are highly uncertain as they apply to a Korean-based population. Additionally, the utilities calculated were based on YBOCS scores reported in a 2015 meta-analysis. As the calculations used to estimate the base case and post DBS utilities were not provided, it is difficult to validate this method. </w:t>
            </w:r>
          </w:p>
          <w:p w14:paraId="4C94C801" w14:textId="77777777" w:rsidR="006900F9" w:rsidRDefault="006900F9" w:rsidP="006900F9">
            <w:pPr>
              <w:pStyle w:val="TableText"/>
              <w:rPr>
                <w:lang w:val="en-US"/>
              </w:rPr>
            </w:pPr>
          </w:p>
          <w:p w14:paraId="02C9A044" w14:textId="77777777" w:rsidR="006900F9" w:rsidRDefault="006900F9" w:rsidP="006900F9">
            <w:pPr>
              <w:pStyle w:val="TableText"/>
              <w:rPr>
                <w:lang w:val="en-US"/>
              </w:rPr>
            </w:pPr>
            <w:r>
              <w:rPr>
                <w:lang w:val="en-US"/>
              </w:rPr>
              <w:t xml:space="preserve">As such a range of utility values were tested based on updated meta-analysis and a pooled analysis from studies identified in the clinical evaluation. Three out of four scenarios used the base case utility and all scenarios had varied post DBS response utilities as per the literature. </w:t>
            </w:r>
          </w:p>
          <w:p w14:paraId="6302DDB3" w14:textId="0E3830FE" w:rsidR="006900F9" w:rsidRPr="00CE28E3" w:rsidRDefault="006900F9" w:rsidP="006900F9">
            <w:pPr>
              <w:pStyle w:val="TableText"/>
              <w:spacing w:beforeLines="40" w:before="96" w:afterLines="40" w:after="96"/>
              <w:rPr>
                <w:lang w:val="en-US"/>
              </w:rPr>
            </w:pPr>
            <w:r>
              <w:rPr>
                <w:lang w:val="en-US"/>
              </w:rPr>
              <w:t>The maximum change to base case results was identified where there was an increase in the utility</w:t>
            </w:r>
            <w:r w:rsidR="006B562C">
              <w:rPr>
                <w:lang w:val="en-US"/>
              </w:rPr>
              <w:t xml:space="preserve"> improvements</w:t>
            </w:r>
            <w:r>
              <w:rPr>
                <w:lang w:val="en-US"/>
              </w:rPr>
              <w:t xml:space="preserve"> of responders and non-responders post DBS by 0.22 and 0.06 QALYs. </w:t>
            </w:r>
          </w:p>
        </w:tc>
        <w:tc>
          <w:tcPr>
            <w:tcW w:w="1544" w:type="pct"/>
            <w:shd w:val="clear" w:color="auto" w:fill="auto"/>
            <w:vAlign w:val="center"/>
          </w:tcPr>
          <w:p w14:paraId="2438A99A" w14:textId="77777777" w:rsidR="006900F9" w:rsidRPr="00CE28E3" w:rsidRDefault="006900F9" w:rsidP="006900F9">
            <w:pPr>
              <w:pStyle w:val="TableText"/>
              <w:rPr>
                <w:i/>
                <w:lang w:val="en-US"/>
              </w:rPr>
            </w:pPr>
            <w:r w:rsidRPr="00CE28E3">
              <w:rPr>
                <w:i/>
                <w:lang w:val="en-US"/>
              </w:rPr>
              <w:t xml:space="preserve">High, </w:t>
            </w:r>
            <w:proofErr w:type="spellStart"/>
            <w:r w:rsidRPr="00CE28E3">
              <w:rPr>
                <w:i/>
                <w:lang w:val="en-US"/>
              </w:rPr>
              <w:t>favours</w:t>
            </w:r>
            <w:proofErr w:type="spellEnd"/>
            <w:r w:rsidRPr="00CE28E3">
              <w:rPr>
                <w:i/>
                <w:lang w:val="en-US"/>
              </w:rPr>
              <w:t xml:space="preserve"> </w:t>
            </w:r>
            <w:r>
              <w:rPr>
                <w:i/>
                <w:lang w:val="en-US"/>
              </w:rPr>
              <w:t>the intervention (DBS)</w:t>
            </w:r>
          </w:p>
          <w:p w14:paraId="1C1D3994" w14:textId="3831D1AA" w:rsidR="006900F9" w:rsidRPr="00CE28E3" w:rsidRDefault="006900F9" w:rsidP="006900F9">
            <w:pPr>
              <w:pStyle w:val="TableText"/>
              <w:spacing w:beforeLines="40" w:before="96" w:afterLines="40" w:after="96"/>
              <w:rPr>
                <w:i/>
                <w:lang w:val="en-US"/>
              </w:rPr>
            </w:pPr>
            <w:r>
              <w:rPr>
                <w:i/>
                <w:lang w:val="en-US"/>
              </w:rPr>
              <w:t xml:space="preserve">Increasing the utility gained post DBS procedure for responders and non-responders by 0.22 and 0.06 utilities, respectively, decreased </w:t>
            </w:r>
            <w:r w:rsidRPr="00CE28E3">
              <w:rPr>
                <w:i/>
                <w:lang w:val="en-US"/>
              </w:rPr>
              <w:t>the ICER to $</w:t>
            </w:r>
            <w:r>
              <w:rPr>
                <w:i/>
                <w:lang w:val="en-US"/>
              </w:rPr>
              <w:t>483,716</w:t>
            </w:r>
            <w:r w:rsidRPr="00CE28E3">
              <w:rPr>
                <w:i/>
                <w:lang w:val="en-US"/>
              </w:rPr>
              <w:t>/QALY gained.</w:t>
            </w:r>
          </w:p>
        </w:tc>
      </w:tr>
    </w:tbl>
    <w:p w14:paraId="52CC955C" w14:textId="26A8BD1C" w:rsidR="000B10DF" w:rsidRPr="003251C2" w:rsidRDefault="000B10DF" w:rsidP="002C752A">
      <w:pPr>
        <w:pStyle w:val="TableFigureFooter"/>
        <w:spacing w:before="0"/>
      </w:pPr>
      <w:r>
        <w:t xml:space="preserve">Abbreviations: DBS= Deep brain stimulation; </w:t>
      </w:r>
      <w:r w:rsidR="008F6CE9">
        <w:t xml:space="preserve">IPG= implantable pulse generator; </w:t>
      </w:r>
      <w:r w:rsidRPr="00CE28E3">
        <w:t xml:space="preserve">ICER = incremental cost-effectiveness ratio; </w:t>
      </w:r>
      <w:r>
        <w:t xml:space="preserve">PICO= population, intervention, </w:t>
      </w:r>
      <w:proofErr w:type="gramStart"/>
      <w:r>
        <w:t>comparator</w:t>
      </w:r>
      <w:proofErr w:type="gramEnd"/>
      <w:r>
        <w:t xml:space="preserve"> and outcome; </w:t>
      </w:r>
      <w:r w:rsidRPr="00CE28E3">
        <w:t>QALY = quality-adjusted life year</w:t>
      </w:r>
      <w:r>
        <w:t>; SOC= standard of care.</w:t>
      </w:r>
    </w:p>
    <w:p w14:paraId="56EB7C23" w14:textId="1FB4A8EE" w:rsidR="00610ABA" w:rsidRDefault="009B39FA" w:rsidP="00330A0A">
      <w:r>
        <w:lastRenderedPageBreak/>
        <w:t xml:space="preserve">The </w:t>
      </w:r>
      <w:r w:rsidR="00372440">
        <w:t>results of the</w:t>
      </w:r>
      <w:r>
        <w:t xml:space="preserve"> </w:t>
      </w:r>
      <w:r w:rsidR="008B5B67">
        <w:t xml:space="preserve">univariate </w:t>
      </w:r>
      <w:r w:rsidR="008B5B67" w:rsidRPr="00CE28E3">
        <w:t xml:space="preserve">sensitivity analyses </w:t>
      </w:r>
      <w:r w:rsidR="00054450">
        <w:t xml:space="preserve">for </w:t>
      </w:r>
      <w:r w:rsidR="00327C94">
        <w:t xml:space="preserve">inputs that had a greater than 10% impact on the ICER </w:t>
      </w:r>
      <w:r w:rsidR="00054450">
        <w:t>are</w:t>
      </w:r>
      <w:r w:rsidR="008B5B67" w:rsidRPr="00CE28E3">
        <w:t xml:space="preserve"> summarised below. </w:t>
      </w:r>
      <w:r w:rsidR="00FD5F88">
        <w:t>These include response rates</w:t>
      </w:r>
      <w:r w:rsidR="00054450">
        <w:t xml:space="preserve">, base case utility for DBS </w:t>
      </w:r>
      <w:r w:rsidR="00A86503">
        <w:t>patients</w:t>
      </w:r>
      <w:r w:rsidR="00FD5F88">
        <w:t xml:space="preserve"> and QALYs improvements after DBS. </w:t>
      </w:r>
      <w:r w:rsidR="000E3A12" w:rsidRPr="000E3A12">
        <w:t xml:space="preserve">An additional analysis was conducted </w:t>
      </w:r>
      <w:r w:rsidR="00884078">
        <w:t xml:space="preserve">following </w:t>
      </w:r>
      <w:r w:rsidR="00283701">
        <w:t>expert clinical advice regarding</w:t>
      </w:r>
      <w:r w:rsidR="000E3A12" w:rsidRPr="000E3A12">
        <w:t xml:space="preserve"> whether MBS item</w:t>
      </w:r>
      <w:r w:rsidR="006A49D8">
        <w:t>s</w:t>
      </w:r>
      <w:r w:rsidR="000E3A12" w:rsidRPr="000E3A12">
        <w:t xml:space="preserve"> 40858 and MBS item 40860 </w:t>
      </w:r>
      <w:r w:rsidR="00086EE7">
        <w:t xml:space="preserve">should be </w:t>
      </w:r>
      <w:r w:rsidR="000E3A12" w:rsidRPr="000E3A12">
        <w:t xml:space="preserve">applied once or twice during initial DBS surgery. </w:t>
      </w:r>
      <w:r w:rsidR="006C47D8">
        <w:t xml:space="preserve">The applicant </w:t>
      </w:r>
      <w:r w:rsidR="002118EE">
        <w:t xml:space="preserve">confirmed </w:t>
      </w:r>
      <w:r w:rsidR="006C47D8">
        <w:t xml:space="preserve">that </w:t>
      </w:r>
      <w:r w:rsidR="00D73498">
        <w:t xml:space="preserve">billing each of these items twice is more consistent with clinical practice. </w:t>
      </w:r>
      <w:r w:rsidR="000E3A12" w:rsidRPr="000E3A12">
        <w:t xml:space="preserve">MBS item 40858 is the unilateral placement, removal or replacement of the extension lead, and MBS item 40860 is the unilateral DBS target localisation for the insertion of a single neurostimulation wire. When including these items twice during </w:t>
      </w:r>
      <w:r w:rsidR="009C5E42">
        <w:t xml:space="preserve">the </w:t>
      </w:r>
      <w:r w:rsidR="000E3A12" w:rsidRPr="000E3A12">
        <w:t>initial DBS surgery, the ICER increases by 2.4%.</w:t>
      </w:r>
    </w:p>
    <w:p w14:paraId="2C785A4C" w14:textId="5B927D2E" w:rsidR="008B5B67" w:rsidRPr="00CE28E3" w:rsidRDefault="008B5B67" w:rsidP="00135FC9">
      <w:pPr>
        <w:pStyle w:val="Caption"/>
      </w:pPr>
      <w:bookmarkStart w:id="39" w:name="_Ref69726347"/>
      <w:bookmarkStart w:id="40" w:name="_Toc143098946"/>
      <w:r w:rsidRPr="00CE28E3">
        <w:t>Table</w:t>
      </w:r>
      <w:r w:rsidR="003571C2">
        <w:t> </w:t>
      </w:r>
      <w:r>
        <w:fldChar w:fldCharType="begin"/>
      </w:r>
      <w:r>
        <w:instrText>SEQ Table \* ARABIC</w:instrText>
      </w:r>
      <w:r>
        <w:fldChar w:fldCharType="separate"/>
      </w:r>
      <w:r w:rsidR="007F15AB">
        <w:rPr>
          <w:noProof/>
        </w:rPr>
        <w:t>9</w:t>
      </w:r>
      <w:r>
        <w:fldChar w:fldCharType="end"/>
      </w:r>
      <w:bookmarkEnd w:id="39"/>
      <w:r w:rsidR="001A7A1E">
        <w:t>:</w:t>
      </w:r>
      <w:r w:rsidRPr="00CE28E3">
        <w:tab/>
        <w:t>Sensitivity analyses</w:t>
      </w:r>
      <w:bookmarkEnd w:id="40"/>
    </w:p>
    <w:tbl>
      <w:tblPr>
        <w:tblStyle w:val="TableGrid1"/>
        <w:tblW w:w="5000" w:type="pct"/>
        <w:tblLayout w:type="fixed"/>
        <w:tblLook w:val="04A0" w:firstRow="1" w:lastRow="0" w:firstColumn="1" w:lastColumn="0" w:noHBand="0" w:noVBand="1"/>
      </w:tblPr>
      <w:tblGrid>
        <w:gridCol w:w="3410"/>
        <w:gridCol w:w="1401"/>
        <w:gridCol w:w="1401"/>
        <w:gridCol w:w="1403"/>
        <w:gridCol w:w="1401"/>
      </w:tblGrid>
      <w:tr w:rsidR="008B5B67" w:rsidRPr="00CE28E3" w14:paraId="69171B90" w14:textId="1BED63CB" w:rsidTr="00A86503">
        <w:trPr>
          <w:cnfStyle w:val="100000000000" w:firstRow="1" w:lastRow="0" w:firstColumn="0" w:lastColumn="0" w:oddVBand="0" w:evenVBand="0" w:oddHBand="0" w:evenHBand="0" w:firstRowFirstColumn="0" w:firstRowLastColumn="0" w:lastRowFirstColumn="0" w:lastRowLastColumn="0"/>
          <w:cantSplit/>
          <w:trHeight w:val="420"/>
          <w:tblHeader/>
        </w:trPr>
        <w:tc>
          <w:tcPr>
            <w:tcW w:w="1891" w:type="pct"/>
            <w:vAlign w:val="center"/>
          </w:tcPr>
          <w:p w14:paraId="202CD84C" w14:textId="77777777" w:rsidR="008B5B67" w:rsidRPr="00CE28E3" w:rsidRDefault="008B5B67" w:rsidP="0023174E">
            <w:pPr>
              <w:pStyle w:val="In-tableHeading"/>
              <w:spacing w:after="40"/>
            </w:pPr>
            <w:bookmarkStart w:id="41" w:name="Title_Table11" w:colFirst="0" w:colLast="0"/>
            <w:bookmarkStart w:id="42" w:name="_Hlk68276702"/>
            <w:r w:rsidRPr="00CE28E3">
              <w:t>Analyses</w:t>
            </w:r>
          </w:p>
        </w:tc>
        <w:tc>
          <w:tcPr>
            <w:tcW w:w="777" w:type="pct"/>
            <w:vAlign w:val="center"/>
          </w:tcPr>
          <w:p w14:paraId="7372A868" w14:textId="77777777" w:rsidR="008B5B67" w:rsidRPr="00CE28E3" w:rsidRDefault="008B5B67" w:rsidP="0023174E">
            <w:pPr>
              <w:pStyle w:val="In-tableHeading"/>
              <w:spacing w:after="40"/>
              <w:jc w:val="center"/>
            </w:pPr>
            <w:r w:rsidRPr="00CE28E3">
              <w:t>Incremental cost</w:t>
            </w:r>
          </w:p>
        </w:tc>
        <w:tc>
          <w:tcPr>
            <w:tcW w:w="777" w:type="pct"/>
            <w:vAlign w:val="center"/>
          </w:tcPr>
          <w:p w14:paraId="10B3A4F5" w14:textId="77777777" w:rsidR="008B5B67" w:rsidRPr="00CE28E3" w:rsidRDefault="008B5B67" w:rsidP="0023174E">
            <w:pPr>
              <w:pStyle w:val="In-tableHeading"/>
              <w:spacing w:after="40"/>
              <w:jc w:val="center"/>
            </w:pPr>
            <w:r w:rsidRPr="00CE28E3">
              <w:t>Incremental QALY</w:t>
            </w:r>
          </w:p>
        </w:tc>
        <w:tc>
          <w:tcPr>
            <w:tcW w:w="778" w:type="pct"/>
            <w:vAlign w:val="center"/>
          </w:tcPr>
          <w:p w14:paraId="56CBF231" w14:textId="77777777" w:rsidR="008B5B67" w:rsidRPr="00CE28E3" w:rsidRDefault="008B5B67" w:rsidP="0023174E">
            <w:pPr>
              <w:pStyle w:val="In-tableHeading"/>
              <w:spacing w:after="40"/>
              <w:jc w:val="center"/>
            </w:pPr>
            <w:r w:rsidRPr="00CE28E3">
              <w:t>ICER</w:t>
            </w:r>
          </w:p>
        </w:tc>
        <w:tc>
          <w:tcPr>
            <w:tcW w:w="777" w:type="pct"/>
            <w:vAlign w:val="center"/>
          </w:tcPr>
          <w:p w14:paraId="46A49923" w14:textId="4CB3A550" w:rsidR="00054450" w:rsidRDefault="00054450" w:rsidP="0023174E">
            <w:pPr>
              <w:pStyle w:val="In-tableHeading"/>
              <w:spacing w:after="40"/>
              <w:jc w:val="center"/>
            </w:pPr>
            <w:r>
              <w:t>Source</w:t>
            </w:r>
          </w:p>
        </w:tc>
      </w:tr>
      <w:bookmarkEnd w:id="41"/>
      <w:tr w:rsidR="008B5B67" w:rsidRPr="00CE28E3" w14:paraId="654D60EF" w14:textId="135288BA" w:rsidTr="00A86503">
        <w:trPr>
          <w:cantSplit/>
        </w:trPr>
        <w:tc>
          <w:tcPr>
            <w:tcW w:w="4223" w:type="pct"/>
            <w:gridSpan w:val="4"/>
            <w:vAlign w:val="center"/>
          </w:tcPr>
          <w:p w14:paraId="46A93B1B" w14:textId="7A4E2BAB" w:rsidR="008B5B67" w:rsidRPr="00CE28E3" w:rsidRDefault="00FD5F88" w:rsidP="0023174E">
            <w:pPr>
              <w:pStyle w:val="TableText"/>
              <w:keepNext/>
            </w:pPr>
            <w:r>
              <w:t xml:space="preserve">Proportion of patients that respond to DBS </w:t>
            </w:r>
            <w:r w:rsidR="00652E55">
              <w:t xml:space="preserve">(base case value </w:t>
            </w:r>
            <w:r w:rsidR="00832F3A">
              <w:t>58%)</w:t>
            </w:r>
          </w:p>
        </w:tc>
        <w:tc>
          <w:tcPr>
            <w:tcW w:w="777" w:type="pct"/>
            <w:vAlign w:val="center"/>
          </w:tcPr>
          <w:p w14:paraId="1F5D79F9" w14:textId="77777777" w:rsidR="00054450" w:rsidRDefault="00054450" w:rsidP="0023174E">
            <w:pPr>
              <w:pStyle w:val="TableText"/>
              <w:keepNext/>
              <w:jc w:val="center"/>
            </w:pPr>
          </w:p>
        </w:tc>
      </w:tr>
      <w:tr w:rsidR="007E354D" w:rsidRPr="00CE28E3" w14:paraId="00742E59" w14:textId="6C5A1BFE" w:rsidTr="00A86503">
        <w:trPr>
          <w:cantSplit/>
        </w:trPr>
        <w:tc>
          <w:tcPr>
            <w:tcW w:w="1891" w:type="pct"/>
            <w:vAlign w:val="center"/>
          </w:tcPr>
          <w:p w14:paraId="648CA0C4" w14:textId="6A4530A3" w:rsidR="007E354D" w:rsidRPr="00CE28E3" w:rsidRDefault="007E354D" w:rsidP="0023174E">
            <w:pPr>
              <w:pStyle w:val="TableText"/>
              <w:keepNext/>
            </w:pPr>
            <w:r>
              <w:rPr>
                <w:rFonts w:cs="Calibri"/>
                <w:color w:val="000000"/>
              </w:rPr>
              <w:t>Lower limit: 46%</w:t>
            </w:r>
          </w:p>
        </w:tc>
        <w:tc>
          <w:tcPr>
            <w:tcW w:w="777" w:type="pct"/>
            <w:vAlign w:val="center"/>
          </w:tcPr>
          <w:p w14:paraId="02006748" w14:textId="7B67BACC" w:rsidR="007E354D" w:rsidRPr="00CE28E3" w:rsidRDefault="007E354D" w:rsidP="0023174E">
            <w:pPr>
              <w:pStyle w:val="TableText"/>
              <w:keepNext/>
              <w:jc w:val="center"/>
              <w:rPr>
                <w:highlight w:val="black"/>
              </w:rPr>
            </w:pPr>
            <w:r>
              <w:rPr>
                <w:rFonts w:cs="Calibri"/>
                <w:color w:val="000000"/>
              </w:rPr>
              <w:t>$118,641</w:t>
            </w:r>
          </w:p>
        </w:tc>
        <w:tc>
          <w:tcPr>
            <w:tcW w:w="777" w:type="pct"/>
            <w:vAlign w:val="center"/>
          </w:tcPr>
          <w:p w14:paraId="6486F418" w14:textId="55761F4A" w:rsidR="007E354D" w:rsidRPr="00CE28E3" w:rsidRDefault="007E354D" w:rsidP="0023174E">
            <w:pPr>
              <w:pStyle w:val="TableText"/>
              <w:keepNext/>
              <w:jc w:val="center"/>
            </w:pPr>
            <w:r>
              <w:rPr>
                <w:rFonts w:cs="Calibri"/>
                <w:color w:val="000000"/>
              </w:rPr>
              <w:t>0.10</w:t>
            </w:r>
          </w:p>
        </w:tc>
        <w:tc>
          <w:tcPr>
            <w:tcW w:w="778" w:type="pct"/>
            <w:vAlign w:val="center"/>
          </w:tcPr>
          <w:p w14:paraId="284F2CBE" w14:textId="2F9B4B67" w:rsidR="007E354D" w:rsidRPr="00CE28E3" w:rsidRDefault="007E354D" w:rsidP="0023174E">
            <w:pPr>
              <w:pStyle w:val="TableText"/>
              <w:keepNext/>
              <w:jc w:val="center"/>
              <w:rPr>
                <w:highlight w:val="black"/>
              </w:rPr>
            </w:pPr>
            <w:r>
              <w:rPr>
                <w:rFonts w:cs="Calibri"/>
                <w:color w:val="000000"/>
              </w:rPr>
              <w:t>$1,182,469</w:t>
            </w:r>
          </w:p>
        </w:tc>
        <w:tc>
          <w:tcPr>
            <w:tcW w:w="777" w:type="pct"/>
            <w:vAlign w:val="center"/>
          </w:tcPr>
          <w:p w14:paraId="32D1BF4B" w14:textId="5C5DB91E" w:rsidR="007E354D" w:rsidRDefault="007E354D" w:rsidP="0023174E">
            <w:pPr>
              <w:pStyle w:val="TableText"/>
              <w:keepNext/>
              <w:jc w:val="center"/>
              <w:rPr>
                <w:rFonts w:cs="Calibri"/>
                <w:color w:val="000000"/>
              </w:rPr>
            </w:pPr>
            <w:r>
              <w:rPr>
                <w:rFonts w:cs="Calibri"/>
                <w:color w:val="000000"/>
              </w:rPr>
              <w:t>Calculated</w:t>
            </w:r>
          </w:p>
        </w:tc>
      </w:tr>
      <w:tr w:rsidR="007E354D" w:rsidRPr="00CE28E3" w14:paraId="4520D3D7" w14:textId="144D52E0" w:rsidTr="00A86503">
        <w:trPr>
          <w:cantSplit/>
          <w:trHeight w:val="283"/>
        </w:trPr>
        <w:tc>
          <w:tcPr>
            <w:tcW w:w="1891" w:type="pct"/>
            <w:vAlign w:val="center"/>
          </w:tcPr>
          <w:p w14:paraId="0422BE17" w14:textId="73A86902" w:rsidR="007E354D" w:rsidRPr="00CE28E3" w:rsidRDefault="007E354D" w:rsidP="0023174E">
            <w:pPr>
              <w:pStyle w:val="TableText"/>
              <w:keepNext/>
            </w:pPr>
            <w:r>
              <w:rPr>
                <w:rFonts w:cs="Calibri"/>
                <w:color w:val="000000"/>
              </w:rPr>
              <w:t>Upper limit: 70%</w:t>
            </w:r>
          </w:p>
        </w:tc>
        <w:tc>
          <w:tcPr>
            <w:tcW w:w="777" w:type="pct"/>
            <w:vAlign w:val="center"/>
          </w:tcPr>
          <w:p w14:paraId="43E31CD9" w14:textId="1ED17394" w:rsidR="007E354D" w:rsidRPr="00CE28E3" w:rsidRDefault="007E354D" w:rsidP="0023174E">
            <w:pPr>
              <w:pStyle w:val="TableText"/>
              <w:keepNext/>
              <w:jc w:val="center"/>
              <w:rPr>
                <w:highlight w:val="black"/>
              </w:rPr>
            </w:pPr>
            <w:r>
              <w:rPr>
                <w:rFonts w:cs="Calibri"/>
                <w:color w:val="000000"/>
              </w:rPr>
              <w:t>$118,641</w:t>
            </w:r>
          </w:p>
        </w:tc>
        <w:tc>
          <w:tcPr>
            <w:tcW w:w="777" w:type="pct"/>
            <w:vAlign w:val="center"/>
          </w:tcPr>
          <w:p w14:paraId="7AD68169" w14:textId="644BC65C" w:rsidR="007E354D" w:rsidRPr="00CE28E3" w:rsidRDefault="007E354D" w:rsidP="0023174E">
            <w:pPr>
              <w:pStyle w:val="TableText"/>
              <w:keepNext/>
              <w:jc w:val="center"/>
            </w:pPr>
            <w:r>
              <w:rPr>
                <w:rFonts w:cs="Calibri"/>
                <w:color w:val="000000"/>
              </w:rPr>
              <w:t>0.17</w:t>
            </w:r>
          </w:p>
        </w:tc>
        <w:tc>
          <w:tcPr>
            <w:tcW w:w="778" w:type="pct"/>
            <w:vAlign w:val="center"/>
          </w:tcPr>
          <w:p w14:paraId="122F8C2A" w14:textId="4A05B035" w:rsidR="007E354D" w:rsidRPr="00CE28E3" w:rsidRDefault="007E354D" w:rsidP="0023174E">
            <w:pPr>
              <w:pStyle w:val="TableText"/>
              <w:keepNext/>
              <w:jc w:val="center"/>
              <w:rPr>
                <w:highlight w:val="black"/>
              </w:rPr>
            </w:pPr>
            <w:r>
              <w:rPr>
                <w:rFonts w:cs="Calibri"/>
                <w:color w:val="000000"/>
              </w:rPr>
              <w:t>$715,462</w:t>
            </w:r>
          </w:p>
        </w:tc>
        <w:tc>
          <w:tcPr>
            <w:tcW w:w="777" w:type="pct"/>
            <w:vAlign w:val="center"/>
          </w:tcPr>
          <w:p w14:paraId="4B4D0373" w14:textId="2A11B7C9" w:rsidR="007E354D" w:rsidRDefault="007E354D" w:rsidP="0023174E">
            <w:pPr>
              <w:pStyle w:val="TableText"/>
              <w:keepNext/>
              <w:jc w:val="center"/>
              <w:rPr>
                <w:rFonts w:cs="Calibri"/>
                <w:color w:val="000000"/>
              </w:rPr>
            </w:pPr>
            <w:r>
              <w:rPr>
                <w:rFonts w:cs="Calibri"/>
                <w:color w:val="000000"/>
              </w:rPr>
              <w:t>Calculated</w:t>
            </w:r>
          </w:p>
        </w:tc>
      </w:tr>
      <w:tr w:rsidR="008B5B67" w:rsidRPr="00CE28E3" w14:paraId="607079A8" w14:textId="27C0C871" w:rsidTr="00A86503">
        <w:trPr>
          <w:cantSplit/>
          <w:trHeight w:val="283"/>
        </w:trPr>
        <w:tc>
          <w:tcPr>
            <w:tcW w:w="4223" w:type="pct"/>
            <w:gridSpan w:val="4"/>
            <w:vAlign w:val="center"/>
          </w:tcPr>
          <w:p w14:paraId="3BDB203C" w14:textId="63C0E641" w:rsidR="008B5B67" w:rsidRPr="00CE28E3" w:rsidRDefault="000816A4" w:rsidP="0023174E">
            <w:pPr>
              <w:pStyle w:val="TableText"/>
              <w:keepNext/>
              <w:rPr>
                <w:rFonts w:eastAsia="Calibri"/>
              </w:rPr>
            </w:pPr>
            <w:r>
              <w:t>Utility improvements post-DBS response</w:t>
            </w:r>
            <w:r w:rsidR="0093220D">
              <w:t xml:space="preserve"> (base case value 0.16)</w:t>
            </w:r>
          </w:p>
        </w:tc>
        <w:tc>
          <w:tcPr>
            <w:tcW w:w="777" w:type="pct"/>
            <w:vAlign w:val="center"/>
          </w:tcPr>
          <w:p w14:paraId="563F215C" w14:textId="77777777" w:rsidR="00054450" w:rsidRDefault="00054450" w:rsidP="0023174E">
            <w:pPr>
              <w:pStyle w:val="TableText"/>
              <w:keepNext/>
              <w:jc w:val="center"/>
            </w:pPr>
          </w:p>
        </w:tc>
      </w:tr>
      <w:tr w:rsidR="00E12154" w:rsidRPr="00CE28E3" w14:paraId="34CF1783" w14:textId="08EF1F2B" w:rsidTr="00DB7131">
        <w:trPr>
          <w:cantSplit/>
          <w:trHeight w:val="283"/>
        </w:trPr>
        <w:tc>
          <w:tcPr>
            <w:tcW w:w="1891" w:type="pct"/>
            <w:vAlign w:val="center"/>
          </w:tcPr>
          <w:p w14:paraId="0057C004" w14:textId="00D37B73" w:rsidR="00E12154" w:rsidRDefault="00E12154" w:rsidP="0023174E">
            <w:pPr>
              <w:pStyle w:val="TableText"/>
              <w:keepNext/>
            </w:pPr>
            <w:r>
              <w:t>Utility improvements after response (0.21)</w:t>
            </w:r>
          </w:p>
        </w:tc>
        <w:tc>
          <w:tcPr>
            <w:tcW w:w="777" w:type="pct"/>
            <w:vAlign w:val="center"/>
          </w:tcPr>
          <w:p w14:paraId="416E1A44" w14:textId="5745B399" w:rsidR="00E12154" w:rsidRPr="00CE28E3" w:rsidRDefault="00E12154" w:rsidP="0023174E">
            <w:pPr>
              <w:pStyle w:val="TableText"/>
              <w:keepNext/>
              <w:jc w:val="center"/>
              <w:rPr>
                <w:rFonts w:eastAsia="Calibri"/>
              </w:rPr>
            </w:pPr>
            <w:r>
              <w:rPr>
                <w:rFonts w:cs="Calibri"/>
                <w:color w:val="000000"/>
              </w:rPr>
              <w:t>$118,641</w:t>
            </w:r>
          </w:p>
        </w:tc>
        <w:tc>
          <w:tcPr>
            <w:tcW w:w="777" w:type="pct"/>
            <w:vAlign w:val="center"/>
          </w:tcPr>
          <w:p w14:paraId="37F2811D" w14:textId="23400DC3" w:rsidR="00E12154" w:rsidRPr="00CE28E3" w:rsidRDefault="00E12154" w:rsidP="0023174E">
            <w:pPr>
              <w:pStyle w:val="TableText"/>
              <w:keepNext/>
              <w:jc w:val="center"/>
              <w:rPr>
                <w:rFonts w:eastAsia="Calibri"/>
              </w:rPr>
            </w:pPr>
            <w:r>
              <w:rPr>
                <w:rFonts w:cs="Calibri"/>
                <w:color w:val="000000"/>
              </w:rPr>
              <w:t>0.18</w:t>
            </w:r>
          </w:p>
        </w:tc>
        <w:tc>
          <w:tcPr>
            <w:tcW w:w="778" w:type="pct"/>
            <w:vAlign w:val="center"/>
          </w:tcPr>
          <w:p w14:paraId="6D5018AA" w14:textId="2807E653" w:rsidR="00E12154" w:rsidRPr="002C752A" w:rsidRDefault="00EF6353" w:rsidP="0023174E">
            <w:pPr>
              <w:spacing w:before="40"/>
              <w:jc w:val="center"/>
              <w:rPr>
                <w:rFonts w:cs="Calibri"/>
                <w:color w:val="000000"/>
              </w:rPr>
            </w:pPr>
            <w:r>
              <w:rPr>
                <w:rFonts w:ascii="Arial Narrow" w:hAnsi="Arial Narrow" w:cs="Calibri"/>
                <w:color w:val="000000"/>
              </w:rPr>
              <w:t>$648,659</w:t>
            </w:r>
          </w:p>
        </w:tc>
        <w:tc>
          <w:tcPr>
            <w:tcW w:w="777" w:type="pct"/>
            <w:vAlign w:val="center"/>
          </w:tcPr>
          <w:p w14:paraId="5D3985E7" w14:textId="3C9470E5" w:rsidR="00E12154" w:rsidRDefault="007F7DD7" w:rsidP="0023174E">
            <w:pPr>
              <w:pStyle w:val="TableText"/>
              <w:keepNext/>
              <w:jc w:val="center"/>
              <w:rPr>
                <w:rFonts w:cs="Calibri"/>
                <w:color w:val="000000"/>
              </w:rPr>
            </w:pPr>
            <w:r>
              <w:rPr>
                <w:rFonts w:cs="Calibri"/>
                <w:color w:val="000000"/>
              </w:rPr>
              <w:fldChar w:fldCharType="begin">
                <w:fldData xml:space="preserve">PEVuZE5vdGU+PENpdGU+PEF1dGhvcj5BbG9uc288L0F1dGhvcj48WWVhcj4yMDE1PC9ZZWFyPjxS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==
</w:fldData>
              </w:fldChar>
            </w:r>
            <w:r>
              <w:rPr>
                <w:rFonts w:cs="Calibri"/>
                <w:color w:val="000000"/>
              </w:rPr>
              <w:instrText xml:space="preserve"> ADDIN EN.CITE </w:instrText>
            </w:r>
            <w:r>
              <w:rPr>
                <w:rFonts w:cs="Calibri"/>
                <w:color w:val="000000"/>
              </w:rPr>
              <w:fldChar w:fldCharType="begin">
                <w:fldData xml:space="preserve">PEVuZE5vdGU+PENpdGU+PEF1dGhvcj5BbG9uc288L0F1dGhvcj48WWVhcj4yMDE1PC9ZZWFyPjxS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==
</w:fldData>
              </w:fldChar>
            </w:r>
            <w:r>
              <w:rPr>
                <w:rFonts w:cs="Calibri"/>
                <w:color w:val="000000"/>
              </w:rPr>
              <w:instrText xml:space="preserve"> ADDIN EN.CITE.DATA </w:instrText>
            </w:r>
            <w:r>
              <w:rPr>
                <w:rFonts w:cs="Calibri"/>
                <w:color w:val="000000"/>
              </w:rPr>
            </w:r>
            <w:r>
              <w:rPr>
                <w:rFonts w:cs="Calibri"/>
                <w:color w:val="000000"/>
              </w:rPr>
              <w:fldChar w:fldCharType="end"/>
            </w:r>
            <w:r>
              <w:rPr>
                <w:rFonts w:cs="Calibri"/>
                <w:color w:val="000000"/>
              </w:rPr>
            </w:r>
            <w:r>
              <w:rPr>
                <w:rFonts w:cs="Calibri"/>
                <w:color w:val="000000"/>
              </w:rPr>
              <w:fldChar w:fldCharType="separate"/>
            </w:r>
            <w:r>
              <w:rPr>
                <w:rFonts w:cs="Calibri"/>
                <w:noProof/>
                <w:color w:val="000000"/>
              </w:rPr>
              <w:t>(Alonso et al., 2015)</w:t>
            </w:r>
            <w:r>
              <w:rPr>
                <w:rFonts w:cs="Calibri"/>
                <w:color w:val="000000"/>
              </w:rPr>
              <w:fldChar w:fldCharType="end"/>
            </w:r>
          </w:p>
        </w:tc>
      </w:tr>
      <w:tr w:rsidR="00E12154" w:rsidRPr="00CE28E3" w14:paraId="1C498257" w14:textId="47382EC0" w:rsidTr="00DB7131">
        <w:trPr>
          <w:cantSplit/>
          <w:trHeight w:val="283"/>
        </w:trPr>
        <w:tc>
          <w:tcPr>
            <w:tcW w:w="1891" w:type="pct"/>
            <w:vAlign w:val="center"/>
          </w:tcPr>
          <w:p w14:paraId="313FD136" w14:textId="78AE74F2" w:rsidR="00E12154" w:rsidRDefault="00E12154" w:rsidP="0023174E">
            <w:pPr>
              <w:pStyle w:val="TableText"/>
              <w:keepNext/>
            </w:pPr>
            <w:r>
              <w:t>Utility improvements after response (0.22)</w:t>
            </w:r>
          </w:p>
        </w:tc>
        <w:tc>
          <w:tcPr>
            <w:tcW w:w="777" w:type="pct"/>
            <w:vAlign w:val="center"/>
          </w:tcPr>
          <w:p w14:paraId="7849D503" w14:textId="521BCDA7" w:rsidR="00E12154" w:rsidRPr="00CE28E3" w:rsidRDefault="00E12154" w:rsidP="0023174E">
            <w:pPr>
              <w:pStyle w:val="TableText"/>
              <w:keepNext/>
              <w:jc w:val="center"/>
              <w:rPr>
                <w:rFonts w:eastAsia="Calibri"/>
              </w:rPr>
            </w:pPr>
            <w:r>
              <w:rPr>
                <w:rFonts w:cs="Calibri"/>
                <w:color w:val="000000"/>
              </w:rPr>
              <w:t>$118,641</w:t>
            </w:r>
          </w:p>
        </w:tc>
        <w:tc>
          <w:tcPr>
            <w:tcW w:w="777" w:type="pct"/>
            <w:vAlign w:val="center"/>
          </w:tcPr>
          <w:p w14:paraId="437DD079" w14:textId="1DD2609A" w:rsidR="00E12154" w:rsidRPr="00CE28E3" w:rsidRDefault="00E12154" w:rsidP="0023174E">
            <w:pPr>
              <w:pStyle w:val="TableText"/>
              <w:keepNext/>
              <w:jc w:val="center"/>
              <w:rPr>
                <w:rFonts w:eastAsia="Calibri"/>
              </w:rPr>
            </w:pPr>
            <w:r>
              <w:rPr>
                <w:rFonts w:cs="Calibri"/>
                <w:color w:val="000000"/>
              </w:rPr>
              <w:t>0.25</w:t>
            </w:r>
          </w:p>
        </w:tc>
        <w:tc>
          <w:tcPr>
            <w:tcW w:w="778" w:type="pct"/>
            <w:vAlign w:val="center"/>
          </w:tcPr>
          <w:p w14:paraId="4CB37983" w14:textId="0FAD4ECC" w:rsidR="00E12154" w:rsidRPr="002C752A" w:rsidRDefault="00EF6353" w:rsidP="0023174E">
            <w:pPr>
              <w:spacing w:before="40"/>
              <w:jc w:val="center"/>
              <w:rPr>
                <w:rFonts w:cs="Calibri"/>
                <w:color w:val="000000"/>
              </w:rPr>
            </w:pPr>
            <w:r>
              <w:rPr>
                <w:rFonts w:ascii="Arial Narrow" w:hAnsi="Arial Narrow" w:cs="Calibri"/>
                <w:color w:val="000000"/>
              </w:rPr>
              <w:t>$483,716</w:t>
            </w:r>
          </w:p>
        </w:tc>
        <w:tc>
          <w:tcPr>
            <w:tcW w:w="777" w:type="pct"/>
            <w:vAlign w:val="center"/>
          </w:tcPr>
          <w:p w14:paraId="70051A98" w14:textId="07EEA3E2" w:rsidR="00E12154" w:rsidRDefault="007F7DD7" w:rsidP="0023174E">
            <w:pPr>
              <w:pStyle w:val="TableText"/>
              <w:keepNext/>
              <w:jc w:val="center"/>
              <w:rPr>
                <w:rFonts w:cs="Calibri"/>
                <w:color w:val="000000"/>
              </w:rPr>
            </w:pPr>
            <w:r>
              <w:rPr>
                <w:rFonts w:cs="Calibri"/>
                <w:color w:val="000000"/>
              </w:rPr>
              <w:fldChar w:fldCharType="begin"/>
            </w:r>
            <w:r>
              <w:rPr>
                <w:rFonts w:cs="Calibri"/>
                <w:color w:val="000000"/>
              </w:rPr>
              <w:instrText xml:space="preserve"> ADDIN EN.CITE &lt;EndNote&gt;&lt;Cite&gt;&lt;Author&gt;Gadot&lt;/Author&gt;&lt;Year&gt;2022&lt;/Year&gt;&lt;RecNum&gt;36&lt;/RecNum&gt;&lt;DisplayText&gt;(Gadot et al., 2022)&lt;/DisplayText&gt;&lt;record&gt;&lt;rec-number&gt;36&lt;/rec-number&gt;&lt;foreign-keys&gt;&lt;key app="EN" db-id="tdxf2002ma5txae92atp5z2wttp5rzxaweap" timestamp="1688871095"&gt;36&lt;/key&gt;&lt;/foreign-keys&gt;&lt;ref-type name="Journal Article"&gt;17&lt;/ref-type&gt;&lt;contributors&gt;&lt;authors&gt;&lt;author&gt;Gadot, R.&lt;/author&gt;&lt;author&gt;Najera, R.&lt;/author&gt;&lt;author&gt;Hirani, S.&lt;/author&gt;&lt;author&gt;Anand, A.&lt;/author&gt;&lt;author&gt;Storch, E.&lt;/author&gt;&lt;author&gt;Goodman, W. K.&lt;/author&gt;&lt;author&gt;Shofty, B.&lt;/author&gt;&lt;author&gt;Sheth, S. A.&lt;/author&gt;&lt;/authors&gt;&lt;/contributors&gt;&lt;titles&gt;&lt;title&gt;Efficacy of deep brain stimulation for treatment-resistant obsessive-compulsive disorder: systematic review and meta-analysis&lt;/title&gt;&lt;/titles&gt;&lt;keywords&gt;&lt;keyword&gt;*brain depth stimulation&lt;/keyword&gt;&lt;keyword&gt;*clinical effectiveness&lt;/keyword&gt;&lt;keyword&gt;clinical outcome&lt;/keyword&gt;&lt;keyword&gt;clinical trial (topic)&lt;/keyword&gt;&lt;keyword&gt;comorbidity&lt;/keyword&gt;&lt;keyword&gt;*depression/th [Therapy]&lt;/keyword&gt;&lt;keyword&gt;evidence based medicine&lt;/keyword&gt;&lt;keyword&gt;follow up&lt;/keyword&gt;&lt;keyword&gt;human&lt;/keyword&gt;&lt;keyword&gt;mental patient&lt;/keyword&gt;&lt;keyword&gt;meta analysis&lt;/keyword&gt;&lt;keyword&gt;*obsessive compulsive disorder/di [Diagnosis]&lt;/keyword&gt;&lt;keyword&gt;*obsessive compulsive disorder/dr [Drug Resistance]&lt;/keyword&gt;&lt;keyword&gt;patient selection&lt;/keyword&gt;&lt;keyword&gt;Preferred Reporting Items for Systematic Reviews and Meta-Analyses&lt;/keyword&gt;&lt;keyword&gt;publication bias&lt;/keyword&gt;&lt;keyword&gt;randomized controlled trial (topic)&lt;/keyword&gt;&lt;keyword&gt;review&lt;/keyword&gt;&lt;keyword&gt;secondary analysis&lt;/keyword&gt;&lt;keyword&gt;sensitivity analysis&lt;/keyword&gt;&lt;keyword&gt;standardization&lt;/keyword&gt;&lt;keyword&gt;statistical model&lt;/keyword&gt;&lt;keyword&gt;systematic review&lt;/keyword&gt;&lt;keyword&gt;treatment response&lt;/keyword&gt;&lt;keyword&gt;Yale Brown Obsessive Compulsive Scale&lt;/keyword&gt;&lt;keyword&gt;random effects model&lt;/keyword&gt;&lt;/keywords&gt;&lt;dates&gt;&lt;year&gt;2022&lt;/year&gt;&lt;/dates&gt;&lt;urls&gt;&lt;/urls&gt;&lt;/record&gt;&lt;/Cite&gt;&lt;/EndNote&gt;</w:instrText>
            </w:r>
            <w:r>
              <w:rPr>
                <w:rFonts w:cs="Calibri"/>
                <w:color w:val="000000"/>
              </w:rPr>
              <w:fldChar w:fldCharType="separate"/>
            </w:r>
            <w:r>
              <w:rPr>
                <w:rFonts w:cs="Calibri"/>
                <w:noProof/>
                <w:color w:val="000000"/>
              </w:rPr>
              <w:t>(Gadot et al., 2022)</w:t>
            </w:r>
            <w:r>
              <w:rPr>
                <w:rFonts w:cs="Calibri"/>
                <w:color w:val="000000"/>
              </w:rPr>
              <w:fldChar w:fldCharType="end"/>
            </w:r>
          </w:p>
        </w:tc>
      </w:tr>
      <w:tr w:rsidR="00140271" w:rsidRPr="00CE28E3" w14:paraId="6C26497A" w14:textId="26E86952" w:rsidTr="00A86503">
        <w:trPr>
          <w:cantSplit/>
          <w:trHeight w:val="283"/>
        </w:trPr>
        <w:tc>
          <w:tcPr>
            <w:tcW w:w="4223" w:type="pct"/>
            <w:gridSpan w:val="4"/>
            <w:vAlign w:val="center"/>
          </w:tcPr>
          <w:p w14:paraId="096E6BB2" w14:textId="06B49465" w:rsidR="00140271" w:rsidRPr="00CE28E3" w:rsidRDefault="004D5A35" w:rsidP="0023174E">
            <w:pPr>
              <w:pStyle w:val="TableText"/>
              <w:keepNext/>
              <w:rPr>
                <w:rFonts w:eastAsia="Calibri"/>
              </w:rPr>
            </w:pPr>
            <w:r>
              <w:t>B</w:t>
            </w:r>
            <w:r w:rsidR="00B9681D">
              <w:t>ase case utility and utility improvement (base case 0.71, 0.16)</w:t>
            </w:r>
          </w:p>
        </w:tc>
        <w:tc>
          <w:tcPr>
            <w:tcW w:w="777" w:type="pct"/>
            <w:vAlign w:val="center"/>
          </w:tcPr>
          <w:p w14:paraId="726A0AD6" w14:textId="77777777" w:rsidR="00054450" w:rsidRDefault="00054450" w:rsidP="0023174E">
            <w:pPr>
              <w:pStyle w:val="TableText"/>
              <w:keepNext/>
              <w:jc w:val="center"/>
            </w:pPr>
          </w:p>
        </w:tc>
      </w:tr>
      <w:tr w:rsidR="00E12154" w:rsidRPr="00CE28E3" w14:paraId="78484760" w14:textId="1CDDEABF" w:rsidTr="00DB7131">
        <w:trPr>
          <w:cantSplit/>
          <w:trHeight w:val="283"/>
        </w:trPr>
        <w:tc>
          <w:tcPr>
            <w:tcW w:w="1891" w:type="pct"/>
            <w:vAlign w:val="center"/>
          </w:tcPr>
          <w:p w14:paraId="2DDDFA86" w14:textId="17C1F135" w:rsidR="00E12154" w:rsidRDefault="00E12154" w:rsidP="0023174E">
            <w:pPr>
              <w:pStyle w:val="TableText"/>
              <w:keepNext/>
            </w:pPr>
            <w:r>
              <w:t xml:space="preserve">Base case utility and utility improvement for OCD patients (0.28, </w:t>
            </w:r>
            <w:proofErr w:type="gramStart"/>
            <w:r>
              <w:t>0.22)</w:t>
            </w:r>
            <w:r w:rsidR="00BF13D3">
              <w:t>*</w:t>
            </w:r>
            <w:proofErr w:type="gramEnd"/>
          </w:p>
        </w:tc>
        <w:tc>
          <w:tcPr>
            <w:tcW w:w="777" w:type="pct"/>
            <w:vAlign w:val="center"/>
          </w:tcPr>
          <w:p w14:paraId="37E0B521" w14:textId="58ADA794" w:rsidR="00E12154" w:rsidRPr="00CE28E3" w:rsidRDefault="00E12154" w:rsidP="0023174E">
            <w:pPr>
              <w:pStyle w:val="TableText"/>
              <w:keepNext/>
              <w:jc w:val="center"/>
              <w:rPr>
                <w:rFonts w:eastAsia="Calibri"/>
              </w:rPr>
            </w:pPr>
            <w:r>
              <w:rPr>
                <w:rFonts w:cs="Calibri"/>
                <w:color w:val="000000"/>
              </w:rPr>
              <w:t>$118,641</w:t>
            </w:r>
          </w:p>
        </w:tc>
        <w:tc>
          <w:tcPr>
            <w:tcW w:w="777" w:type="pct"/>
            <w:vAlign w:val="center"/>
          </w:tcPr>
          <w:p w14:paraId="429193A5" w14:textId="61DB5591" w:rsidR="00E12154" w:rsidRPr="00CE28E3" w:rsidRDefault="00E12154" w:rsidP="0023174E">
            <w:pPr>
              <w:pStyle w:val="TableText"/>
              <w:keepNext/>
              <w:jc w:val="center"/>
              <w:rPr>
                <w:rFonts w:eastAsia="Calibri"/>
              </w:rPr>
            </w:pPr>
            <w:r>
              <w:rPr>
                <w:rFonts w:cs="Calibri"/>
                <w:color w:val="000000"/>
              </w:rPr>
              <w:t>0.19</w:t>
            </w:r>
          </w:p>
        </w:tc>
        <w:tc>
          <w:tcPr>
            <w:tcW w:w="778" w:type="pct"/>
            <w:vAlign w:val="center"/>
          </w:tcPr>
          <w:p w14:paraId="65DA06EB" w14:textId="1902BE25" w:rsidR="00E12154" w:rsidRPr="00CE28E3" w:rsidRDefault="00D43C45" w:rsidP="0023174E">
            <w:pPr>
              <w:spacing w:before="40"/>
              <w:jc w:val="center"/>
              <w:rPr>
                <w:rFonts w:eastAsia="Calibri"/>
              </w:rPr>
            </w:pPr>
            <w:r>
              <w:rPr>
                <w:rFonts w:ascii="Arial Narrow" w:hAnsi="Arial Narrow" w:cs="Calibri"/>
                <w:color w:val="000000"/>
              </w:rPr>
              <w:t>$616,434</w:t>
            </w:r>
          </w:p>
        </w:tc>
        <w:tc>
          <w:tcPr>
            <w:tcW w:w="777" w:type="pct"/>
            <w:vAlign w:val="center"/>
          </w:tcPr>
          <w:p w14:paraId="0F45707E" w14:textId="20509829" w:rsidR="00E12154" w:rsidRDefault="007F7DD7" w:rsidP="0023174E">
            <w:pPr>
              <w:pStyle w:val="TableText"/>
              <w:keepNext/>
              <w:jc w:val="center"/>
              <w:rPr>
                <w:rFonts w:cs="Calibri"/>
                <w:color w:val="000000"/>
              </w:rPr>
            </w:pPr>
            <w:r>
              <w:rPr>
                <w:rFonts w:cs="Calibri"/>
                <w:color w:val="000000"/>
              </w:rPr>
              <w:fldChar w:fldCharType="begin"/>
            </w:r>
            <w:r>
              <w:rPr>
                <w:rFonts w:cs="Calibri"/>
                <w:color w:val="000000"/>
              </w:rPr>
              <w:instrText xml:space="preserve"> ADDIN EN.CITE &lt;EndNote&gt;&lt;Cite&gt;&lt;Author&gt;Ooms&lt;/Author&gt;&lt;Year&gt;2017&lt;/Year&gt;&lt;RecNum&gt;38&lt;/RecNum&gt;&lt;DisplayText&gt;(Ooms et al., 2017)&lt;/DisplayText&gt;&lt;record&gt;&lt;rec-number&gt;38&lt;/rec-number&gt;&lt;foreign-keys&gt;&lt;key app="EN" db-id="tdxf2002ma5txae92atp5z2wttp5rzxaweap" timestamp="1688871095"&gt;38&lt;/key&gt;&lt;/foreign-keys&gt;&lt;ref-type name="Journal Article"&gt;17&lt;/ref-type&gt;&lt;contributors&gt;&lt;authors&gt;&lt;author&gt;Ooms, P.&lt;/author&gt;&lt;author&gt;Blankers, M.&lt;/author&gt;&lt;author&gt;Figee, M.&lt;/author&gt;&lt;author&gt;Bergfeld, I. O.&lt;/author&gt;&lt;author&gt;van den Munckhof, P.&lt;/author&gt;&lt;author&gt;Schuurman, P. R.&lt;/author&gt;&lt;author&gt;Denys, D.&lt;/author&gt;&lt;/authors&gt;&lt;/contributors&gt;&lt;titles&gt;&lt;title&gt;Cost-effectiveness of deep brain stimulation versus treatment as usual for obsessive-compulsive disorder&lt;/title&gt;&lt;/titles&gt;&lt;pages&gt;836-842&lt;/pages&gt;&lt;volume&gt;1&lt;/volume&gt;&lt;number&gt;4&lt;/number&gt;&lt;keywords&gt;&lt;keyword&gt;Adult&lt;/keyword&gt;&lt;keyword&gt;*Cost-Benefit Analysis&lt;/keyword&gt;&lt;keyword&gt;*Deep Brain Stimulation/ec [Economics]&lt;/keyword&gt;&lt;keyword&gt;Female&lt;/keyword&gt;&lt;keyword&gt;Humans&lt;/keyword&gt;&lt;keyword&gt;Male&lt;/keyword&gt;&lt;keyword&gt;*Obsessive-Compulsive Disorder/th [Therapy]&lt;/keyword&gt;&lt;keyword&gt;Quality-Adjusted Life Years&lt;/keyword&gt;&lt;/keywords&gt;&lt;dates&gt;&lt;year&gt;2017&lt;/year&gt;&lt;pub-dates&gt;&lt;date&gt;Jul - Aug&lt;/date&gt;&lt;/pub-dates&gt;&lt;/dates&gt;&lt;urls&gt;&lt;/urls&gt;&lt;/record&gt;&lt;/Cite&gt;&lt;/EndNote&gt;</w:instrText>
            </w:r>
            <w:r>
              <w:rPr>
                <w:rFonts w:cs="Calibri"/>
                <w:color w:val="000000"/>
              </w:rPr>
              <w:fldChar w:fldCharType="separate"/>
            </w:r>
            <w:r>
              <w:rPr>
                <w:rFonts w:cs="Calibri"/>
                <w:noProof/>
                <w:color w:val="000000"/>
              </w:rPr>
              <w:t>(Ooms et al., 2017)</w:t>
            </w:r>
            <w:r>
              <w:rPr>
                <w:rFonts w:cs="Calibri"/>
                <w:color w:val="000000"/>
              </w:rPr>
              <w:fldChar w:fldCharType="end"/>
            </w:r>
          </w:p>
        </w:tc>
      </w:tr>
      <w:tr w:rsidR="00823D5A" w:rsidRPr="00CE28E3" w14:paraId="6CC666DE" w14:textId="77777777" w:rsidTr="00823D5A">
        <w:trPr>
          <w:cantSplit/>
          <w:trHeight w:val="283"/>
        </w:trPr>
        <w:tc>
          <w:tcPr>
            <w:tcW w:w="5000" w:type="pct"/>
            <w:gridSpan w:val="5"/>
            <w:vAlign w:val="center"/>
          </w:tcPr>
          <w:p w14:paraId="3358B28C" w14:textId="492ECF46" w:rsidR="00823D5A" w:rsidRPr="003454D6" w:rsidRDefault="00823D5A" w:rsidP="00887140">
            <w:pPr>
              <w:pStyle w:val="TableText"/>
              <w:keepNext/>
              <w:rPr>
                <w:rFonts w:cs="Calibri"/>
                <w:i/>
                <w:color w:val="0070C0"/>
              </w:rPr>
            </w:pPr>
            <w:r w:rsidRPr="003454D6">
              <w:rPr>
                <w:rFonts w:cs="Calibri"/>
                <w:i/>
                <w:color w:val="0070C0"/>
              </w:rPr>
              <w:t>Correct</w:t>
            </w:r>
            <w:r w:rsidR="00804B8A" w:rsidRPr="003454D6">
              <w:rPr>
                <w:rFonts w:cs="Calibri"/>
                <w:i/>
                <w:color w:val="0070C0"/>
              </w:rPr>
              <w:t>ed</w:t>
            </w:r>
            <w:r w:rsidRPr="003454D6">
              <w:rPr>
                <w:rFonts w:cs="Calibri"/>
                <w:i/>
                <w:color w:val="0070C0"/>
              </w:rPr>
              <w:t xml:space="preserve"> MBS surgical items</w:t>
            </w:r>
            <w:r w:rsidR="00A07065" w:rsidRPr="003454D6">
              <w:rPr>
                <w:rFonts w:cs="Calibri"/>
                <w:i/>
                <w:color w:val="0070C0"/>
              </w:rPr>
              <w:t xml:space="preserve"> (</w:t>
            </w:r>
            <w:r w:rsidR="004D5AE8" w:rsidRPr="003454D6">
              <w:rPr>
                <w:rFonts w:cs="Calibri"/>
                <w:i/>
                <w:color w:val="0070C0"/>
              </w:rPr>
              <w:t xml:space="preserve">utilisation of </w:t>
            </w:r>
            <w:r w:rsidR="00B32EA1" w:rsidRPr="003454D6">
              <w:rPr>
                <w:rFonts w:cs="Calibri"/>
                <w:i/>
                <w:color w:val="0070C0"/>
              </w:rPr>
              <w:t xml:space="preserve">two </w:t>
            </w:r>
            <w:r w:rsidR="00205E46" w:rsidRPr="003454D6">
              <w:rPr>
                <w:rFonts w:cs="Calibri"/>
                <w:i/>
                <w:color w:val="0070C0"/>
              </w:rPr>
              <w:t>instances</w:t>
            </w:r>
            <w:r w:rsidR="00B32EA1" w:rsidRPr="003454D6">
              <w:rPr>
                <w:rFonts w:cs="Calibri"/>
                <w:i/>
                <w:color w:val="0070C0"/>
              </w:rPr>
              <w:t xml:space="preserve"> each for </w:t>
            </w:r>
            <w:r w:rsidR="001173DF" w:rsidRPr="003454D6">
              <w:rPr>
                <w:rFonts w:cs="Calibri"/>
                <w:i/>
                <w:color w:val="0070C0"/>
              </w:rPr>
              <w:t>MBS</w:t>
            </w:r>
            <w:r w:rsidR="00382457" w:rsidRPr="003454D6">
              <w:rPr>
                <w:rFonts w:cs="Calibri"/>
                <w:i/>
                <w:color w:val="0070C0"/>
              </w:rPr>
              <w:t xml:space="preserve"> </w:t>
            </w:r>
            <w:r w:rsidR="41C832E0" w:rsidRPr="003454D6">
              <w:rPr>
                <w:rFonts w:cs="Calibri"/>
                <w:i/>
                <w:iCs/>
                <w:color w:val="0070C0"/>
              </w:rPr>
              <w:t>item</w:t>
            </w:r>
            <w:r w:rsidR="61B8EAB8" w:rsidRPr="003454D6">
              <w:rPr>
                <w:rFonts w:cs="Calibri"/>
                <w:i/>
                <w:iCs/>
                <w:color w:val="0070C0"/>
              </w:rPr>
              <w:t>s</w:t>
            </w:r>
            <w:r w:rsidR="00205E46" w:rsidRPr="003454D6">
              <w:rPr>
                <w:rFonts w:cs="Calibri"/>
                <w:i/>
                <w:color w:val="0070C0"/>
              </w:rPr>
              <w:t xml:space="preserve"> 40</w:t>
            </w:r>
            <w:r w:rsidR="004A00C8" w:rsidRPr="003454D6">
              <w:rPr>
                <w:rFonts w:cs="Calibri"/>
                <w:i/>
                <w:color w:val="0070C0"/>
              </w:rPr>
              <w:t>858</w:t>
            </w:r>
            <w:r w:rsidR="3B0B84CF" w:rsidRPr="003454D6">
              <w:rPr>
                <w:rFonts w:cs="Calibri"/>
                <w:i/>
                <w:iCs/>
                <w:color w:val="0070C0"/>
              </w:rPr>
              <w:t xml:space="preserve"> </w:t>
            </w:r>
            <w:r w:rsidR="00160E02" w:rsidRPr="003454D6">
              <w:rPr>
                <w:rFonts w:cs="Calibri"/>
                <w:i/>
                <w:iCs/>
                <w:color w:val="0070C0"/>
              </w:rPr>
              <w:t>and</w:t>
            </w:r>
            <w:r w:rsidR="3B0B84CF" w:rsidRPr="003454D6">
              <w:rPr>
                <w:rFonts w:cs="Calibri"/>
                <w:i/>
                <w:iCs/>
                <w:color w:val="0070C0"/>
              </w:rPr>
              <w:t xml:space="preserve"> </w:t>
            </w:r>
            <w:r w:rsidR="00B10A34" w:rsidRPr="003454D6">
              <w:rPr>
                <w:rFonts w:cs="Calibri"/>
                <w:i/>
                <w:color w:val="0070C0"/>
              </w:rPr>
              <w:t>40860</w:t>
            </w:r>
            <w:r w:rsidR="004A00C8" w:rsidRPr="003454D6">
              <w:rPr>
                <w:rFonts w:cs="Calibri"/>
                <w:i/>
                <w:color w:val="0070C0"/>
              </w:rPr>
              <w:t xml:space="preserve"> for initial sur</w:t>
            </w:r>
            <w:r w:rsidR="000E3A12" w:rsidRPr="003454D6">
              <w:rPr>
                <w:rFonts w:cs="Calibri"/>
                <w:i/>
                <w:color w:val="0070C0"/>
              </w:rPr>
              <w:t>gery)</w:t>
            </w:r>
          </w:p>
        </w:tc>
      </w:tr>
      <w:tr w:rsidR="00940BF8" w:rsidRPr="00CE28E3" w14:paraId="7EF0AF3F" w14:textId="77777777" w:rsidTr="00DB7131">
        <w:trPr>
          <w:cantSplit/>
          <w:trHeight w:val="283"/>
        </w:trPr>
        <w:tc>
          <w:tcPr>
            <w:tcW w:w="1891" w:type="pct"/>
            <w:vAlign w:val="center"/>
          </w:tcPr>
          <w:p w14:paraId="06D3346E" w14:textId="4DAA7D52" w:rsidR="00940BF8" w:rsidRPr="003454D6" w:rsidRDefault="00777ACC" w:rsidP="0023174E">
            <w:pPr>
              <w:pStyle w:val="TableText"/>
              <w:keepNext/>
              <w:rPr>
                <w:i/>
                <w:color w:val="0070C0"/>
              </w:rPr>
            </w:pPr>
            <w:r w:rsidRPr="003454D6">
              <w:rPr>
                <w:i/>
                <w:color w:val="0070C0"/>
              </w:rPr>
              <w:t xml:space="preserve">Corrected MBS </w:t>
            </w:r>
            <w:r w:rsidR="00194473" w:rsidRPr="003454D6">
              <w:rPr>
                <w:i/>
                <w:color w:val="0070C0"/>
              </w:rPr>
              <w:t>surgical items</w:t>
            </w:r>
          </w:p>
        </w:tc>
        <w:tc>
          <w:tcPr>
            <w:tcW w:w="777" w:type="pct"/>
            <w:vAlign w:val="center"/>
          </w:tcPr>
          <w:p w14:paraId="6F8F154F" w14:textId="7179F7AF" w:rsidR="00940BF8" w:rsidRPr="003454D6" w:rsidRDefault="00194473" w:rsidP="0023174E">
            <w:pPr>
              <w:pStyle w:val="TableText"/>
              <w:keepNext/>
              <w:jc w:val="center"/>
              <w:rPr>
                <w:rFonts w:cs="Calibri"/>
                <w:i/>
                <w:color w:val="0070C0"/>
              </w:rPr>
            </w:pPr>
            <w:r w:rsidRPr="003454D6">
              <w:rPr>
                <w:rFonts w:cs="Calibri"/>
                <w:i/>
                <w:color w:val="0070C0"/>
              </w:rPr>
              <w:t>$121,433</w:t>
            </w:r>
          </w:p>
        </w:tc>
        <w:tc>
          <w:tcPr>
            <w:tcW w:w="777" w:type="pct"/>
            <w:vAlign w:val="center"/>
          </w:tcPr>
          <w:p w14:paraId="5F315E20" w14:textId="01C760BA" w:rsidR="00940BF8" w:rsidRPr="003454D6" w:rsidRDefault="00194473" w:rsidP="0023174E">
            <w:pPr>
              <w:pStyle w:val="TableText"/>
              <w:keepNext/>
              <w:jc w:val="center"/>
              <w:rPr>
                <w:rFonts w:cs="Calibri"/>
                <w:i/>
                <w:color w:val="0070C0"/>
              </w:rPr>
            </w:pPr>
            <w:r w:rsidRPr="003454D6">
              <w:rPr>
                <w:i/>
                <w:color w:val="0070C0"/>
              </w:rPr>
              <w:t>0.13</w:t>
            </w:r>
          </w:p>
        </w:tc>
        <w:tc>
          <w:tcPr>
            <w:tcW w:w="778" w:type="pct"/>
            <w:vAlign w:val="center"/>
          </w:tcPr>
          <w:p w14:paraId="03F4D728" w14:textId="4FE51925" w:rsidR="00940BF8" w:rsidRPr="003454D6" w:rsidRDefault="00823D5A" w:rsidP="0023174E">
            <w:pPr>
              <w:spacing w:before="40"/>
              <w:jc w:val="center"/>
              <w:rPr>
                <w:rFonts w:ascii="Arial Narrow" w:hAnsi="Arial Narrow" w:cs="Calibri"/>
                <w:i/>
                <w:color w:val="0070C0"/>
              </w:rPr>
            </w:pPr>
            <w:r w:rsidRPr="003454D6">
              <w:rPr>
                <w:rFonts w:ascii="Arial Narrow" w:hAnsi="Arial Narrow" w:cs="Calibri"/>
                <w:i/>
                <w:color w:val="0070C0"/>
              </w:rPr>
              <w:t>$912,489</w:t>
            </w:r>
          </w:p>
        </w:tc>
        <w:tc>
          <w:tcPr>
            <w:tcW w:w="777" w:type="pct"/>
            <w:vAlign w:val="center"/>
          </w:tcPr>
          <w:p w14:paraId="62EED1BA" w14:textId="5BEE7752" w:rsidR="00940BF8" w:rsidRPr="003454D6" w:rsidRDefault="00823D5A" w:rsidP="0023174E">
            <w:pPr>
              <w:pStyle w:val="TableText"/>
              <w:keepNext/>
              <w:jc w:val="center"/>
              <w:rPr>
                <w:rFonts w:cs="Calibri"/>
                <w:i/>
                <w:color w:val="0070C0"/>
              </w:rPr>
            </w:pPr>
            <w:r w:rsidRPr="003454D6">
              <w:rPr>
                <w:rFonts w:cs="Calibri"/>
                <w:i/>
                <w:color w:val="0070C0"/>
              </w:rPr>
              <w:t>Calculated</w:t>
            </w:r>
          </w:p>
        </w:tc>
      </w:tr>
    </w:tbl>
    <w:p w14:paraId="1449AA11" w14:textId="28E127C7" w:rsidR="008B5B67" w:rsidRDefault="0045093D" w:rsidP="002C752A">
      <w:pPr>
        <w:pStyle w:val="TableFigureFooter"/>
        <w:spacing w:before="0" w:after="0"/>
        <w:rPr>
          <w:rFonts w:eastAsia="Calibri"/>
          <w:szCs w:val="20"/>
        </w:rPr>
      </w:pPr>
      <w:bookmarkStart w:id="43" w:name="_Hlk68276759"/>
      <w:bookmarkEnd w:id="42"/>
      <w:r w:rsidRPr="0045093D">
        <w:rPr>
          <w:rFonts w:eastAsia="Calibri"/>
          <w:szCs w:val="20"/>
        </w:rPr>
        <w:t xml:space="preserve">ICER = incremental cost-effectiveness ratio; </w:t>
      </w:r>
      <w:r w:rsidR="008B5B67" w:rsidRPr="00CE28E3">
        <w:rPr>
          <w:rFonts w:eastAsia="Calibri"/>
          <w:szCs w:val="20"/>
        </w:rPr>
        <w:t>QALY = quality adjusted life year.</w:t>
      </w:r>
      <w:r>
        <w:rPr>
          <w:rFonts w:eastAsia="Calibri"/>
          <w:szCs w:val="20"/>
        </w:rPr>
        <w:t xml:space="preserve"> </w:t>
      </w:r>
    </w:p>
    <w:p w14:paraId="1DA18B74" w14:textId="460A7082" w:rsidR="00BF13D3" w:rsidRDefault="00BF13D3" w:rsidP="002C752A">
      <w:pPr>
        <w:pStyle w:val="TableFigureFooter"/>
        <w:spacing w:before="0" w:after="0"/>
        <w:rPr>
          <w:rFonts w:eastAsia="Calibri"/>
          <w:szCs w:val="20"/>
        </w:rPr>
      </w:pPr>
      <w:r>
        <w:rPr>
          <w:rFonts w:eastAsia="Calibri"/>
          <w:szCs w:val="20"/>
        </w:rPr>
        <w:t>*</w:t>
      </w:r>
      <w:r w:rsidR="008166A2">
        <w:rPr>
          <w:rFonts w:eastAsia="Calibri"/>
          <w:szCs w:val="20"/>
        </w:rPr>
        <w:t>The</w:t>
      </w:r>
      <w:r w:rsidR="001B2A1E">
        <w:rPr>
          <w:rFonts w:eastAsia="Calibri"/>
          <w:szCs w:val="20"/>
        </w:rPr>
        <w:t xml:space="preserve"> starting utility estimate </w:t>
      </w:r>
      <w:r w:rsidR="00F279D9">
        <w:rPr>
          <w:rFonts w:eastAsia="Calibri"/>
          <w:szCs w:val="20"/>
        </w:rPr>
        <w:t>is updated to</w:t>
      </w:r>
      <w:r w:rsidR="001B2A1E">
        <w:rPr>
          <w:rFonts w:eastAsia="Calibri"/>
          <w:szCs w:val="20"/>
        </w:rPr>
        <w:t xml:space="preserve"> 0.28 and the utility improvement estimate </w:t>
      </w:r>
      <w:r w:rsidR="00F279D9">
        <w:rPr>
          <w:rFonts w:eastAsia="Calibri"/>
          <w:szCs w:val="20"/>
        </w:rPr>
        <w:t>is updated to</w:t>
      </w:r>
      <w:r w:rsidR="001B2A1E">
        <w:rPr>
          <w:rFonts w:eastAsia="Calibri"/>
          <w:szCs w:val="20"/>
        </w:rPr>
        <w:t xml:space="preserve"> 0.22 as defined </w:t>
      </w:r>
      <w:r w:rsidR="008166A2">
        <w:rPr>
          <w:rFonts w:eastAsia="Calibri"/>
          <w:szCs w:val="20"/>
        </w:rPr>
        <w:t>by Ooms et al., 2017</w:t>
      </w:r>
    </w:p>
    <w:p w14:paraId="25AE2BAC" w14:textId="332A6BB8" w:rsidR="00772829" w:rsidRPr="00CE28E3" w:rsidRDefault="00C36633" w:rsidP="002A18BE">
      <w:pPr>
        <w:pStyle w:val="Heading2"/>
        <w:numPr>
          <w:ilvl w:val="0"/>
          <w:numId w:val="0"/>
        </w:numPr>
      </w:pPr>
      <w:bookmarkStart w:id="44" w:name="_Toc143098842"/>
      <w:bookmarkEnd w:id="43"/>
      <w:r>
        <w:t>1</w:t>
      </w:r>
      <w:r w:rsidR="000E24CD">
        <w:t>4</w:t>
      </w:r>
      <w:r>
        <w:t>.</w:t>
      </w:r>
      <w:r>
        <w:tab/>
      </w:r>
      <w:r w:rsidR="00772829" w:rsidRPr="00CE28E3">
        <w:t>Financial/budgetary impacts</w:t>
      </w:r>
      <w:bookmarkEnd w:id="44"/>
    </w:p>
    <w:p w14:paraId="2FCE0857" w14:textId="77777777" w:rsidR="004907E7" w:rsidRPr="004D77AA" w:rsidRDefault="004907E7" w:rsidP="004907E7">
      <w:pPr>
        <w:spacing w:after="0"/>
        <w:rPr>
          <w:b/>
          <w:bCs/>
        </w:rPr>
      </w:pPr>
      <w:r w:rsidRPr="002C17C0">
        <w:rPr>
          <w:b/>
        </w:rPr>
        <w:t>N</w:t>
      </w:r>
      <w:r w:rsidRPr="004D77AA">
        <w:rPr>
          <w:b/>
          <w:bCs/>
        </w:rPr>
        <w:t>et financial impact to the MBS</w:t>
      </w:r>
    </w:p>
    <w:p w14:paraId="00115A64" w14:textId="4BBF5EC6" w:rsidR="00977B60" w:rsidRDefault="001E7883" w:rsidP="00977B60">
      <w:pPr>
        <w:pStyle w:val="TableFigureFooter"/>
        <w:spacing w:before="0" w:after="0"/>
        <w:rPr>
          <w:rFonts w:ascii="Franklin Gothic Book" w:eastAsiaTheme="minorHAnsi" w:hAnsi="Franklin Gothic Book" w:cstheme="minorBidi"/>
          <w:snapToGrid/>
          <w:sz w:val="22"/>
          <w:lang w:eastAsia="en-US"/>
        </w:rPr>
      </w:pPr>
      <w:r>
        <w:rPr>
          <w:rFonts w:ascii="Franklin Gothic Book" w:eastAsiaTheme="minorHAnsi" w:hAnsi="Franklin Gothic Book" w:cstheme="minorBidi"/>
          <w:snapToGrid/>
          <w:sz w:val="22"/>
          <w:lang w:eastAsia="en-US"/>
        </w:rPr>
        <w:t xml:space="preserve">Following </w:t>
      </w:r>
      <w:r w:rsidR="00F94B80">
        <w:rPr>
          <w:rFonts w:ascii="Franklin Gothic Book" w:eastAsiaTheme="minorHAnsi" w:hAnsi="Franklin Gothic Book" w:cstheme="minorBidi"/>
          <w:snapToGrid/>
          <w:sz w:val="22"/>
          <w:lang w:eastAsia="en-US"/>
        </w:rPr>
        <w:t xml:space="preserve">the applicant advice regarding </w:t>
      </w:r>
      <w:r w:rsidR="00DD09EB" w:rsidRPr="00975F60">
        <w:rPr>
          <w:rFonts w:ascii="Franklin Gothic Book" w:eastAsiaTheme="minorHAnsi" w:hAnsi="Franklin Gothic Book" w:cstheme="minorBidi"/>
          <w:snapToGrid/>
          <w:sz w:val="22"/>
          <w:lang w:eastAsia="en-US"/>
        </w:rPr>
        <w:t xml:space="preserve">whether MBS item 40858 and MBS item 40860 were applied once or twice </w:t>
      </w:r>
      <w:r w:rsidR="00DD09EB">
        <w:rPr>
          <w:rFonts w:ascii="Franklin Gothic Book" w:eastAsiaTheme="minorHAnsi" w:hAnsi="Franklin Gothic Book" w:cstheme="minorBidi"/>
          <w:snapToGrid/>
          <w:sz w:val="22"/>
          <w:lang w:eastAsia="en-US"/>
        </w:rPr>
        <w:t>during initial DBS surgery</w:t>
      </w:r>
      <w:r w:rsidR="00AB5B2C">
        <w:rPr>
          <w:rFonts w:ascii="Franklin Gothic Book" w:eastAsiaTheme="minorHAnsi" w:hAnsi="Franklin Gothic Book" w:cstheme="minorBidi"/>
          <w:snapToGrid/>
          <w:sz w:val="22"/>
          <w:lang w:eastAsia="en-US"/>
        </w:rPr>
        <w:t xml:space="preserve">, the cost of the initial surgery used in the financial estimates varies from that used in the </w:t>
      </w:r>
      <w:r w:rsidR="00892985">
        <w:rPr>
          <w:rFonts w:ascii="Franklin Gothic Book" w:eastAsiaTheme="minorHAnsi" w:hAnsi="Franklin Gothic Book" w:cstheme="minorBidi"/>
          <w:snapToGrid/>
          <w:sz w:val="22"/>
          <w:lang w:eastAsia="en-US"/>
        </w:rPr>
        <w:t>economic modelling. While the economic estimates included</w:t>
      </w:r>
      <w:r w:rsidR="00CB2F68">
        <w:rPr>
          <w:rFonts w:ascii="Franklin Gothic Book" w:eastAsiaTheme="minorHAnsi" w:hAnsi="Franklin Gothic Book" w:cstheme="minorBidi"/>
          <w:snapToGrid/>
          <w:sz w:val="22"/>
          <w:lang w:eastAsia="en-US"/>
        </w:rPr>
        <w:t xml:space="preserve"> the impact of applying</w:t>
      </w:r>
      <w:r w:rsidR="002E225A">
        <w:rPr>
          <w:rFonts w:ascii="Franklin Gothic Book" w:eastAsiaTheme="minorHAnsi" w:hAnsi="Franklin Gothic Book" w:cstheme="minorBidi"/>
          <w:snapToGrid/>
          <w:sz w:val="22"/>
          <w:lang w:eastAsia="en-US"/>
        </w:rPr>
        <w:t xml:space="preserve"> MBS</w:t>
      </w:r>
      <w:r w:rsidR="00CB2F68">
        <w:rPr>
          <w:rFonts w:ascii="Franklin Gothic Book" w:eastAsiaTheme="minorHAnsi" w:hAnsi="Franklin Gothic Book" w:cstheme="minorBidi"/>
          <w:snapToGrid/>
          <w:sz w:val="22"/>
          <w:lang w:eastAsia="en-US"/>
        </w:rPr>
        <w:t xml:space="preserve"> item 40</w:t>
      </w:r>
      <w:r w:rsidR="003103BD">
        <w:rPr>
          <w:rFonts w:ascii="Franklin Gothic Book" w:eastAsiaTheme="minorHAnsi" w:hAnsi="Franklin Gothic Book" w:cstheme="minorBidi"/>
          <w:snapToGrid/>
          <w:sz w:val="22"/>
          <w:lang w:eastAsia="en-US"/>
        </w:rPr>
        <w:t xml:space="preserve">858 and 40860 twice each as a </w:t>
      </w:r>
      <w:r w:rsidR="006A13A3">
        <w:rPr>
          <w:rFonts w:ascii="Franklin Gothic Book" w:eastAsiaTheme="minorHAnsi" w:hAnsi="Franklin Gothic Book" w:cstheme="minorBidi"/>
          <w:snapToGrid/>
          <w:sz w:val="22"/>
          <w:lang w:eastAsia="en-US"/>
        </w:rPr>
        <w:t>sensitivity</w:t>
      </w:r>
      <w:r w:rsidR="003103BD">
        <w:rPr>
          <w:rFonts w:ascii="Franklin Gothic Book" w:eastAsiaTheme="minorHAnsi" w:hAnsi="Franklin Gothic Book" w:cstheme="minorBidi"/>
          <w:snapToGrid/>
          <w:sz w:val="22"/>
          <w:lang w:eastAsia="en-US"/>
        </w:rPr>
        <w:t xml:space="preserve"> analysis, the financial model has included </w:t>
      </w:r>
      <w:r w:rsidR="003018BD">
        <w:rPr>
          <w:rFonts w:ascii="Franklin Gothic Book" w:eastAsiaTheme="minorHAnsi" w:hAnsi="Franklin Gothic Book" w:cstheme="minorBidi"/>
          <w:snapToGrid/>
          <w:sz w:val="22"/>
          <w:lang w:eastAsia="en-US"/>
        </w:rPr>
        <w:t>this as the corrected base case.</w:t>
      </w:r>
      <w:r w:rsidR="00075D45">
        <w:rPr>
          <w:rFonts w:ascii="Franklin Gothic Book" w:eastAsiaTheme="minorHAnsi" w:hAnsi="Franklin Gothic Book" w:cstheme="minorBidi"/>
          <w:snapToGrid/>
          <w:sz w:val="22"/>
          <w:lang w:eastAsia="en-US"/>
        </w:rPr>
        <w:t xml:space="preserve"> </w:t>
      </w:r>
      <w:r w:rsidR="00977B60">
        <w:rPr>
          <w:rFonts w:ascii="Franklin Gothic Book" w:eastAsiaTheme="minorHAnsi" w:hAnsi="Franklin Gothic Book" w:cstheme="minorBidi"/>
          <w:snapToGrid/>
          <w:sz w:val="22"/>
          <w:lang w:eastAsia="en-US"/>
        </w:rPr>
        <w:t xml:space="preserve">For transparency the </w:t>
      </w:r>
      <w:r w:rsidR="00075D45">
        <w:rPr>
          <w:rFonts w:ascii="Franklin Gothic Book" w:eastAsiaTheme="minorHAnsi" w:hAnsi="Franklin Gothic Book" w:cstheme="minorBidi"/>
          <w:snapToGrid/>
          <w:sz w:val="22"/>
          <w:lang w:eastAsia="en-US"/>
        </w:rPr>
        <w:t xml:space="preserve">original base case estimates and </w:t>
      </w:r>
      <w:r w:rsidR="00977B60">
        <w:rPr>
          <w:rFonts w:ascii="Franklin Gothic Book" w:eastAsiaTheme="minorHAnsi" w:hAnsi="Franklin Gothic Book" w:cstheme="minorBidi"/>
          <w:snapToGrid/>
          <w:sz w:val="22"/>
          <w:lang w:eastAsia="en-US"/>
        </w:rPr>
        <w:t>corrected base case can be found in the main body</w:t>
      </w:r>
      <w:r w:rsidR="00800945">
        <w:rPr>
          <w:rFonts w:ascii="Franklin Gothic Book" w:eastAsiaTheme="minorHAnsi" w:hAnsi="Franklin Gothic Book" w:cstheme="minorBidi"/>
          <w:snapToGrid/>
          <w:sz w:val="22"/>
          <w:lang w:eastAsia="en-US"/>
        </w:rPr>
        <w:t xml:space="preserve"> of this report</w:t>
      </w:r>
      <w:r w:rsidR="00977B60">
        <w:rPr>
          <w:rFonts w:ascii="Franklin Gothic Book" w:eastAsiaTheme="minorHAnsi" w:hAnsi="Franklin Gothic Book" w:cstheme="minorBidi"/>
          <w:snapToGrid/>
          <w:sz w:val="22"/>
          <w:lang w:eastAsia="en-US"/>
        </w:rPr>
        <w:t xml:space="preserve">. MBS item 40858 is the unilateral placement, removal or replacement of the extension lead, and MBS item 40860 is the unilateral DBS target localisation for the insertion of a single neurostimulation wire. When including these items twice during </w:t>
      </w:r>
      <w:r w:rsidR="0033576F">
        <w:rPr>
          <w:rFonts w:ascii="Franklin Gothic Book" w:eastAsiaTheme="minorHAnsi" w:hAnsi="Franklin Gothic Book" w:cstheme="minorBidi"/>
          <w:snapToGrid/>
          <w:sz w:val="22"/>
          <w:lang w:eastAsia="en-US"/>
        </w:rPr>
        <w:t xml:space="preserve">the </w:t>
      </w:r>
      <w:r w:rsidR="00977B60">
        <w:rPr>
          <w:rFonts w:ascii="Franklin Gothic Book" w:eastAsiaTheme="minorHAnsi" w:hAnsi="Franklin Gothic Book" w:cstheme="minorBidi"/>
          <w:snapToGrid/>
          <w:sz w:val="22"/>
          <w:lang w:eastAsia="en-US"/>
        </w:rPr>
        <w:t>initial DBS surgery, the financial impact to the MBS increases by 5.3% over six years</w:t>
      </w:r>
      <w:r w:rsidR="001F7466">
        <w:rPr>
          <w:rFonts w:ascii="Franklin Gothic Book" w:eastAsiaTheme="minorHAnsi" w:hAnsi="Franklin Gothic Book" w:cstheme="minorBidi"/>
          <w:snapToGrid/>
          <w:sz w:val="22"/>
          <w:lang w:eastAsia="en-US"/>
        </w:rPr>
        <w:t xml:space="preserve"> compared to the scenario where these items are only used once each during the initial surgery</w:t>
      </w:r>
      <w:r w:rsidR="00977B60">
        <w:rPr>
          <w:rFonts w:ascii="Franklin Gothic Book" w:eastAsiaTheme="minorHAnsi" w:hAnsi="Franklin Gothic Book" w:cstheme="minorBidi"/>
          <w:snapToGrid/>
          <w:sz w:val="22"/>
          <w:lang w:eastAsia="en-US"/>
        </w:rPr>
        <w:t>.</w:t>
      </w:r>
    </w:p>
    <w:p w14:paraId="0E22BF76" w14:textId="2BB6E51D" w:rsidR="004907E7" w:rsidRPr="000070BB" w:rsidRDefault="004907E7" w:rsidP="004907E7">
      <w:r>
        <w:t>The assessment found that the overall additional cost to the MBS over six years would amount to approximately $1. millio</w:t>
      </w:r>
      <w:r w:rsidRPr="008D5DB4">
        <w:t>n (</w:t>
      </w:r>
      <w:r w:rsidR="000A1488">
        <w:fldChar w:fldCharType="begin"/>
      </w:r>
      <w:r w:rsidR="000A1488">
        <w:instrText xml:space="preserve"> REF _Ref144131616 \h </w:instrText>
      </w:r>
      <w:r w:rsidR="000A1488">
        <w:fldChar w:fldCharType="separate"/>
      </w:r>
      <w:r w:rsidR="000A1488">
        <w:t xml:space="preserve">Table </w:t>
      </w:r>
      <w:r w:rsidR="000A1488">
        <w:rPr>
          <w:noProof/>
        </w:rPr>
        <w:t>10</w:t>
      </w:r>
      <w:r w:rsidR="000A1488">
        <w:fldChar w:fldCharType="end"/>
      </w:r>
      <w:r w:rsidRPr="008D5DB4">
        <w:t>).</w:t>
      </w:r>
      <w:r>
        <w:t xml:space="preserve"> </w:t>
      </w:r>
      <w:proofErr w:type="gramStart"/>
      <w:r>
        <w:t>The majority of</w:t>
      </w:r>
      <w:proofErr w:type="gramEnd"/>
      <w:r>
        <w:t xml:space="preserve"> this cost is attributable to the index DBS surgery which would include the pre-operative assessment ($119,673), the implantation ($</w:t>
      </w:r>
      <w:r w:rsidR="00836274" w:rsidRPr="00836274">
        <w:t>897,570</w:t>
      </w:r>
      <w:r>
        <w:t>) and follow-up ($370,834).</w:t>
      </w:r>
    </w:p>
    <w:p w14:paraId="17AE4C82" w14:textId="2D6996D1" w:rsidR="000E3A12" w:rsidRDefault="000E3A12" w:rsidP="003454D6">
      <w:pPr>
        <w:pStyle w:val="Caption"/>
      </w:pPr>
      <w:bookmarkStart w:id="45" w:name="_Ref144131616"/>
      <w:r>
        <w:lastRenderedPageBreak/>
        <w:t xml:space="preserve">Table </w:t>
      </w:r>
      <w:r>
        <w:fldChar w:fldCharType="begin"/>
      </w:r>
      <w:r>
        <w:instrText>SEQ Table \* ARABIC</w:instrText>
      </w:r>
      <w:r>
        <w:fldChar w:fldCharType="separate"/>
      </w:r>
      <w:r>
        <w:rPr>
          <w:noProof/>
        </w:rPr>
        <w:t>10</w:t>
      </w:r>
      <w:r>
        <w:fldChar w:fldCharType="end"/>
      </w:r>
      <w:bookmarkEnd w:id="45"/>
      <w:r>
        <w:t xml:space="preserve"> </w:t>
      </w:r>
      <w:r w:rsidRPr="00BB37B3">
        <w:t>Impact to the MBS</w:t>
      </w:r>
    </w:p>
    <w:tbl>
      <w:tblPr>
        <w:tblStyle w:val="MSACTables"/>
        <w:tblW w:w="5000" w:type="pct"/>
        <w:tblLook w:val="04A0" w:firstRow="1" w:lastRow="0" w:firstColumn="1" w:lastColumn="0" w:noHBand="0" w:noVBand="1"/>
      </w:tblPr>
      <w:tblGrid>
        <w:gridCol w:w="2657"/>
        <w:gridCol w:w="809"/>
        <w:gridCol w:w="901"/>
        <w:gridCol w:w="908"/>
        <w:gridCol w:w="901"/>
        <w:gridCol w:w="901"/>
        <w:gridCol w:w="902"/>
        <w:gridCol w:w="1037"/>
      </w:tblGrid>
      <w:tr w:rsidR="000E3A12" w14:paraId="7373DF3E" w14:textId="77777777" w:rsidTr="003454D6">
        <w:trPr>
          <w:cnfStyle w:val="100000000000" w:firstRow="1" w:lastRow="0" w:firstColumn="0" w:lastColumn="0" w:oddVBand="0" w:evenVBand="0" w:oddHBand="0" w:evenHBand="0" w:firstRowFirstColumn="0" w:firstRowLastColumn="0" w:lastRowFirstColumn="0" w:lastRowLastColumn="0"/>
        </w:trPr>
        <w:tc>
          <w:tcPr>
            <w:tcW w:w="1474" w:type="pct"/>
            <w:vAlign w:val="top"/>
          </w:tcPr>
          <w:p w14:paraId="1C618DE2" w14:textId="77777777" w:rsidR="000E3A12" w:rsidRPr="00975F60" w:rsidRDefault="000E3A12">
            <w:pPr>
              <w:pStyle w:val="Tabletext0"/>
              <w:keepNext/>
              <w:jc w:val="left"/>
              <w:rPr>
                <w:b w:val="0"/>
              </w:rPr>
            </w:pPr>
          </w:p>
        </w:tc>
        <w:tc>
          <w:tcPr>
            <w:tcW w:w="449" w:type="pct"/>
            <w:vAlign w:val="top"/>
          </w:tcPr>
          <w:p w14:paraId="658CD896" w14:textId="77777777" w:rsidR="000E3A12" w:rsidRPr="00975F60" w:rsidRDefault="000E3A12">
            <w:pPr>
              <w:pStyle w:val="Tabletext0"/>
              <w:keepNext/>
              <w:jc w:val="center"/>
              <w:rPr>
                <w:bCs/>
              </w:rPr>
            </w:pPr>
            <w:r w:rsidRPr="00975F60">
              <w:rPr>
                <w:bCs/>
              </w:rPr>
              <w:t>Year 1</w:t>
            </w:r>
          </w:p>
        </w:tc>
        <w:tc>
          <w:tcPr>
            <w:tcW w:w="500" w:type="pct"/>
            <w:vAlign w:val="top"/>
          </w:tcPr>
          <w:p w14:paraId="675DE940" w14:textId="77777777" w:rsidR="000E3A12" w:rsidRPr="00975F60" w:rsidRDefault="000E3A12">
            <w:pPr>
              <w:pStyle w:val="Tabletext0"/>
              <w:keepNext/>
              <w:jc w:val="center"/>
              <w:rPr>
                <w:bCs/>
              </w:rPr>
            </w:pPr>
            <w:r w:rsidRPr="00975F60">
              <w:rPr>
                <w:bCs/>
              </w:rPr>
              <w:t>Year 2</w:t>
            </w:r>
          </w:p>
        </w:tc>
        <w:tc>
          <w:tcPr>
            <w:tcW w:w="504" w:type="pct"/>
            <w:vAlign w:val="top"/>
          </w:tcPr>
          <w:p w14:paraId="18CA38A2" w14:textId="77777777" w:rsidR="000E3A12" w:rsidRPr="00975F60" w:rsidRDefault="000E3A12">
            <w:pPr>
              <w:pStyle w:val="Tabletext0"/>
              <w:keepNext/>
              <w:jc w:val="center"/>
              <w:rPr>
                <w:bCs/>
              </w:rPr>
            </w:pPr>
            <w:r w:rsidRPr="00975F60">
              <w:rPr>
                <w:bCs/>
              </w:rPr>
              <w:t>Year 3</w:t>
            </w:r>
          </w:p>
        </w:tc>
        <w:tc>
          <w:tcPr>
            <w:tcW w:w="500" w:type="pct"/>
            <w:vAlign w:val="top"/>
          </w:tcPr>
          <w:p w14:paraId="20EB6669" w14:textId="77777777" w:rsidR="000E3A12" w:rsidRPr="00975F60" w:rsidRDefault="000E3A12">
            <w:pPr>
              <w:pStyle w:val="Tabletext0"/>
              <w:keepNext/>
              <w:jc w:val="center"/>
              <w:rPr>
                <w:bCs/>
              </w:rPr>
            </w:pPr>
            <w:r w:rsidRPr="00975F60">
              <w:rPr>
                <w:bCs/>
              </w:rPr>
              <w:t>Year 4</w:t>
            </w:r>
          </w:p>
        </w:tc>
        <w:tc>
          <w:tcPr>
            <w:tcW w:w="500" w:type="pct"/>
            <w:vAlign w:val="top"/>
          </w:tcPr>
          <w:p w14:paraId="01C48F88" w14:textId="77777777" w:rsidR="000E3A12" w:rsidRPr="00975F60" w:rsidRDefault="000E3A12">
            <w:pPr>
              <w:pStyle w:val="Tabletext0"/>
              <w:keepNext/>
              <w:jc w:val="center"/>
              <w:rPr>
                <w:bCs/>
              </w:rPr>
            </w:pPr>
            <w:r w:rsidRPr="00975F60">
              <w:rPr>
                <w:bCs/>
              </w:rPr>
              <w:t>Year 5</w:t>
            </w:r>
          </w:p>
        </w:tc>
        <w:tc>
          <w:tcPr>
            <w:tcW w:w="500" w:type="pct"/>
            <w:vAlign w:val="top"/>
          </w:tcPr>
          <w:p w14:paraId="6CC30F86" w14:textId="77777777" w:rsidR="000E3A12" w:rsidRPr="00975F60" w:rsidRDefault="000E3A12">
            <w:pPr>
              <w:pStyle w:val="Tabletext0"/>
              <w:keepNext/>
              <w:jc w:val="center"/>
              <w:rPr>
                <w:bCs/>
              </w:rPr>
            </w:pPr>
            <w:r w:rsidRPr="00975F60">
              <w:rPr>
                <w:bCs/>
              </w:rPr>
              <w:t>Year 6</w:t>
            </w:r>
          </w:p>
        </w:tc>
        <w:tc>
          <w:tcPr>
            <w:tcW w:w="575" w:type="pct"/>
            <w:vAlign w:val="top"/>
          </w:tcPr>
          <w:p w14:paraId="12376D96" w14:textId="77777777" w:rsidR="000E3A12" w:rsidRPr="00975F60" w:rsidRDefault="000E3A12">
            <w:pPr>
              <w:pStyle w:val="Tabletext0"/>
              <w:keepNext/>
              <w:jc w:val="center"/>
              <w:rPr>
                <w:bCs/>
              </w:rPr>
            </w:pPr>
            <w:r w:rsidRPr="00975F60">
              <w:rPr>
                <w:bCs/>
              </w:rPr>
              <w:t>Total</w:t>
            </w:r>
          </w:p>
        </w:tc>
      </w:tr>
      <w:tr w:rsidR="000E3A12" w14:paraId="42BFDFA6" w14:textId="77777777" w:rsidTr="003454D6">
        <w:tc>
          <w:tcPr>
            <w:tcW w:w="1474" w:type="pct"/>
            <w:tcBorders>
              <w:bottom w:val="single" w:sz="4" w:space="0" w:color="auto"/>
            </w:tcBorders>
            <w:vAlign w:val="top"/>
          </w:tcPr>
          <w:p w14:paraId="3F483FDD" w14:textId="77777777" w:rsidR="000E3A12" w:rsidRDefault="000E3A12">
            <w:pPr>
              <w:pStyle w:val="Tabletext0"/>
              <w:keepNext/>
              <w:jc w:val="left"/>
            </w:pPr>
            <w:r w:rsidRPr="00467F5E">
              <w:t>Base case: No. of people receiving the initial surgery</w:t>
            </w:r>
          </w:p>
        </w:tc>
        <w:tc>
          <w:tcPr>
            <w:tcW w:w="449" w:type="pct"/>
            <w:tcBorders>
              <w:bottom w:val="single" w:sz="4" w:space="0" w:color="auto"/>
            </w:tcBorders>
            <w:vAlign w:val="top"/>
          </w:tcPr>
          <w:p w14:paraId="51C6E251" w14:textId="77777777" w:rsidR="000E3A12" w:rsidRDefault="000E3A12">
            <w:pPr>
              <w:pStyle w:val="Tabletext0"/>
              <w:keepNext/>
              <w:jc w:val="center"/>
            </w:pPr>
            <w:r w:rsidRPr="00467F5E">
              <w:t>5</w:t>
            </w:r>
          </w:p>
        </w:tc>
        <w:tc>
          <w:tcPr>
            <w:tcW w:w="500" w:type="pct"/>
            <w:tcBorders>
              <w:bottom w:val="single" w:sz="4" w:space="0" w:color="auto"/>
            </w:tcBorders>
            <w:vAlign w:val="top"/>
          </w:tcPr>
          <w:p w14:paraId="55E51FE1" w14:textId="77777777" w:rsidR="000E3A12" w:rsidRDefault="000E3A12">
            <w:pPr>
              <w:pStyle w:val="Tabletext0"/>
              <w:keepNext/>
              <w:jc w:val="center"/>
            </w:pPr>
            <w:r w:rsidRPr="00467F5E">
              <w:t>10</w:t>
            </w:r>
          </w:p>
        </w:tc>
        <w:tc>
          <w:tcPr>
            <w:tcW w:w="504" w:type="pct"/>
            <w:tcBorders>
              <w:bottom w:val="single" w:sz="4" w:space="0" w:color="auto"/>
            </w:tcBorders>
            <w:vAlign w:val="top"/>
          </w:tcPr>
          <w:p w14:paraId="5204EE80" w14:textId="77777777" w:rsidR="000E3A12" w:rsidRDefault="000E3A12">
            <w:pPr>
              <w:pStyle w:val="Tabletext0"/>
              <w:keepNext/>
              <w:jc w:val="center"/>
            </w:pPr>
            <w:r w:rsidRPr="00467F5E">
              <w:t>15</w:t>
            </w:r>
          </w:p>
        </w:tc>
        <w:tc>
          <w:tcPr>
            <w:tcW w:w="500" w:type="pct"/>
            <w:tcBorders>
              <w:bottom w:val="single" w:sz="4" w:space="0" w:color="auto"/>
            </w:tcBorders>
            <w:vAlign w:val="top"/>
          </w:tcPr>
          <w:p w14:paraId="223E96B1" w14:textId="77777777" w:rsidR="000E3A12" w:rsidRDefault="000E3A12">
            <w:pPr>
              <w:pStyle w:val="Tabletext0"/>
              <w:keepNext/>
              <w:jc w:val="center"/>
            </w:pPr>
            <w:r w:rsidRPr="00467F5E">
              <w:t>20</w:t>
            </w:r>
          </w:p>
        </w:tc>
        <w:tc>
          <w:tcPr>
            <w:tcW w:w="500" w:type="pct"/>
            <w:tcBorders>
              <w:bottom w:val="single" w:sz="4" w:space="0" w:color="auto"/>
            </w:tcBorders>
            <w:vAlign w:val="top"/>
          </w:tcPr>
          <w:p w14:paraId="5627D73F" w14:textId="77777777" w:rsidR="000E3A12" w:rsidRDefault="000E3A12">
            <w:pPr>
              <w:pStyle w:val="Tabletext0"/>
              <w:keepNext/>
              <w:jc w:val="center"/>
            </w:pPr>
            <w:r w:rsidRPr="00467F5E">
              <w:t>25</w:t>
            </w:r>
          </w:p>
        </w:tc>
        <w:tc>
          <w:tcPr>
            <w:tcW w:w="500" w:type="pct"/>
            <w:tcBorders>
              <w:bottom w:val="single" w:sz="4" w:space="0" w:color="auto"/>
            </w:tcBorders>
            <w:vAlign w:val="top"/>
          </w:tcPr>
          <w:p w14:paraId="517968A6" w14:textId="77777777" w:rsidR="000E3A12" w:rsidRDefault="000E3A12">
            <w:pPr>
              <w:pStyle w:val="Tabletext0"/>
              <w:keepNext/>
              <w:jc w:val="center"/>
            </w:pPr>
            <w:r w:rsidRPr="00467F5E">
              <w:t>30</w:t>
            </w:r>
          </w:p>
        </w:tc>
        <w:tc>
          <w:tcPr>
            <w:tcW w:w="575" w:type="pct"/>
            <w:tcBorders>
              <w:bottom w:val="single" w:sz="4" w:space="0" w:color="auto"/>
            </w:tcBorders>
            <w:vAlign w:val="top"/>
          </w:tcPr>
          <w:p w14:paraId="39B07D33" w14:textId="77777777" w:rsidR="000E3A12" w:rsidRDefault="000E3A12">
            <w:pPr>
              <w:pStyle w:val="Tabletext0"/>
              <w:keepNext/>
              <w:jc w:val="center"/>
            </w:pPr>
            <w:r w:rsidRPr="00467F5E">
              <w:t>105</w:t>
            </w:r>
          </w:p>
        </w:tc>
      </w:tr>
      <w:tr w:rsidR="000E3A12" w14:paraId="222F1EE4" w14:textId="77777777" w:rsidTr="003454D6">
        <w:tc>
          <w:tcPr>
            <w:tcW w:w="1474" w:type="pct"/>
            <w:tcBorders>
              <w:right w:val="nil"/>
            </w:tcBorders>
            <w:vAlign w:val="top"/>
          </w:tcPr>
          <w:p w14:paraId="55F3C024" w14:textId="77777777" w:rsidR="000E3A12" w:rsidRDefault="000E3A12">
            <w:pPr>
              <w:pStyle w:val="Tabletext0"/>
              <w:keepNext/>
              <w:jc w:val="left"/>
            </w:pPr>
            <w:r w:rsidRPr="00467F5E">
              <w:t>Cost to MBS</w:t>
            </w:r>
          </w:p>
        </w:tc>
        <w:tc>
          <w:tcPr>
            <w:tcW w:w="449" w:type="pct"/>
            <w:tcBorders>
              <w:left w:val="nil"/>
              <w:right w:val="nil"/>
            </w:tcBorders>
            <w:vAlign w:val="top"/>
          </w:tcPr>
          <w:p w14:paraId="031F00F2" w14:textId="77777777" w:rsidR="000E3A12" w:rsidRDefault="000E3A12">
            <w:pPr>
              <w:pStyle w:val="Tabletext0"/>
              <w:keepNext/>
              <w:jc w:val="center"/>
            </w:pPr>
          </w:p>
        </w:tc>
        <w:tc>
          <w:tcPr>
            <w:tcW w:w="500" w:type="pct"/>
            <w:tcBorders>
              <w:left w:val="nil"/>
              <w:right w:val="nil"/>
            </w:tcBorders>
            <w:vAlign w:val="top"/>
          </w:tcPr>
          <w:p w14:paraId="5773EB8D" w14:textId="77777777" w:rsidR="000E3A12" w:rsidRDefault="000E3A12">
            <w:pPr>
              <w:pStyle w:val="Tabletext0"/>
              <w:keepNext/>
              <w:jc w:val="center"/>
            </w:pPr>
          </w:p>
        </w:tc>
        <w:tc>
          <w:tcPr>
            <w:tcW w:w="504" w:type="pct"/>
            <w:tcBorders>
              <w:left w:val="nil"/>
              <w:right w:val="nil"/>
            </w:tcBorders>
            <w:vAlign w:val="top"/>
          </w:tcPr>
          <w:p w14:paraId="15205D70" w14:textId="77777777" w:rsidR="000E3A12" w:rsidRDefault="000E3A12">
            <w:pPr>
              <w:pStyle w:val="Tabletext0"/>
              <w:keepNext/>
              <w:jc w:val="center"/>
            </w:pPr>
          </w:p>
        </w:tc>
        <w:tc>
          <w:tcPr>
            <w:tcW w:w="500" w:type="pct"/>
            <w:tcBorders>
              <w:left w:val="nil"/>
              <w:right w:val="nil"/>
            </w:tcBorders>
            <w:vAlign w:val="top"/>
          </w:tcPr>
          <w:p w14:paraId="15AD5AAC" w14:textId="77777777" w:rsidR="000E3A12" w:rsidRDefault="000E3A12">
            <w:pPr>
              <w:pStyle w:val="Tabletext0"/>
              <w:keepNext/>
              <w:jc w:val="center"/>
            </w:pPr>
          </w:p>
        </w:tc>
        <w:tc>
          <w:tcPr>
            <w:tcW w:w="500" w:type="pct"/>
            <w:tcBorders>
              <w:left w:val="nil"/>
              <w:right w:val="nil"/>
            </w:tcBorders>
            <w:vAlign w:val="top"/>
          </w:tcPr>
          <w:p w14:paraId="367C28D0" w14:textId="77777777" w:rsidR="000E3A12" w:rsidRDefault="000E3A12">
            <w:pPr>
              <w:pStyle w:val="Tabletext0"/>
              <w:keepNext/>
              <w:jc w:val="center"/>
            </w:pPr>
          </w:p>
        </w:tc>
        <w:tc>
          <w:tcPr>
            <w:tcW w:w="500" w:type="pct"/>
            <w:tcBorders>
              <w:left w:val="nil"/>
              <w:right w:val="nil"/>
            </w:tcBorders>
            <w:vAlign w:val="top"/>
          </w:tcPr>
          <w:p w14:paraId="54369378" w14:textId="77777777" w:rsidR="000E3A12" w:rsidRDefault="000E3A12">
            <w:pPr>
              <w:pStyle w:val="Tabletext0"/>
              <w:keepNext/>
              <w:jc w:val="center"/>
            </w:pPr>
          </w:p>
        </w:tc>
        <w:tc>
          <w:tcPr>
            <w:tcW w:w="575" w:type="pct"/>
            <w:tcBorders>
              <w:left w:val="nil"/>
            </w:tcBorders>
            <w:vAlign w:val="top"/>
          </w:tcPr>
          <w:p w14:paraId="4CC44F9D" w14:textId="77777777" w:rsidR="000E3A12" w:rsidRDefault="000E3A12">
            <w:pPr>
              <w:pStyle w:val="Tabletext0"/>
              <w:keepNext/>
              <w:jc w:val="center"/>
            </w:pPr>
          </w:p>
        </w:tc>
      </w:tr>
      <w:tr w:rsidR="000E3A12" w14:paraId="5524B5D7" w14:textId="77777777" w:rsidTr="003454D6">
        <w:tc>
          <w:tcPr>
            <w:tcW w:w="1474" w:type="pct"/>
            <w:vAlign w:val="top"/>
          </w:tcPr>
          <w:p w14:paraId="04C0D70A" w14:textId="77777777" w:rsidR="000E3A12" w:rsidRDefault="000E3A12">
            <w:pPr>
              <w:pStyle w:val="Tabletext0"/>
              <w:keepNext/>
              <w:jc w:val="left"/>
            </w:pPr>
            <w:r w:rsidRPr="00467F5E">
              <w:t>DBS eligibility &amp; Pre-operative Assessment</w:t>
            </w:r>
          </w:p>
        </w:tc>
        <w:tc>
          <w:tcPr>
            <w:tcW w:w="449" w:type="pct"/>
            <w:vAlign w:val="top"/>
          </w:tcPr>
          <w:p w14:paraId="750655AC" w14:textId="77777777" w:rsidR="000E3A12" w:rsidRDefault="000E3A12">
            <w:pPr>
              <w:pStyle w:val="Tabletext0"/>
              <w:keepNext/>
              <w:jc w:val="center"/>
            </w:pPr>
            <w:r w:rsidRPr="00C40A54">
              <w:t>$5,699</w:t>
            </w:r>
          </w:p>
        </w:tc>
        <w:tc>
          <w:tcPr>
            <w:tcW w:w="500" w:type="pct"/>
            <w:vAlign w:val="top"/>
          </w:tcPr>
          <w:p w14:paraId="0F11ACC9" w14:textId="77777777" w:rsidR="000E3A12" w:rsidRDefault="000E3A12">
            <w:pPr>
              <w:pStyle w:val="Tabletext0"/>
              <w:keepNext/>
              <w:jc w:val="center"/>
            </w:pPr>
            <w:r w:rsidRPr="00C40A54">
              <w:t>$11,397</w:t>
            </w:r>
          </w:p>
        </w:tc>
        <w:tc>
          <w:tcPr>
            <w:tcW w:w="504" w:type="pct"/>
            <w:vAlign w:val="top"/>
          </w:tcPr>
          <w:p w14:paraId="341E53E4" w14:textId="77777777" w:rsidR="000E3A12" w:rsidRDefault="000E3A12">
            <w:pPr>
              <w:pStyle w:val="Tabletext0"/>
              <w:keepNext/>
              <w:jc w:val="center"/>
            </w:pPr>
            <w:r w:rsidRPr="00C40A54">
              <w:t>$17,096</w:t>
            </w:r>
          </w:p>
        </w:tc>
        <w:tc>
          <w:tcPr>
            <w:tcW w:w="500" w:type="pct"/>
            <w:vAlign w:val="top"/>
          </w:tcPr>
          <w:p w14:paraId="0A852680" w14:textId="77777777" w:rsidR="000E3A12" w:rsidRDefault="000E3A12">
            <w:pPr>
              <w:pStyle w:val="Tabletext0"/>
              <w:keepNext/>
              <w:jc w:val="center"/>
            </w:pPr>
            <w:r w:rsidRPr="00C40A54">
              <w:t>$22,795</w:t>
            </w:r>
          </w:p>
        </w:tc>
        <w:tc>
          <w:tcPr>
            <w:tcW w:w="500" w:type="pct"/>
            <w:vAlign w:val="top"/>
          </w:tcPr>
          <w:p w14:paraId="3122B9B8" w14:textId="77777777" w:rsidR="000E3A12" w:rsidRDefault="000E3A12">
            <w:pPr>
              <w:pStyle w:val="Tabletext0"/>
              <w:keepNext/>
              <w:jc w:val="center"/>
            </w:pPr>
            <w:r w:rsidRPr="00C40A54">
              <w:t>$28,494</w:t>
            </w:r>
          </w:p>
        </w:tc>
        <w:tc>
          <w:tcPr>
            <w:tcW w:w="500" w:type="pct"/>
            <w:vAlign w:val="top"/>
          </w:tcPr>
          <w:p w14:paraId="1C3B8AAF" w14:textId="77777777" w:rsidR="000E3A12" w:rsidRDefault="000E3A12">
            <w:pPr>
              <w:pStyle w:val="Tabletext0"/>
              <w:keepNext/>
              <w:jc w:val="center"/>
            </w:pPr>
            <w:r w:rsidRPr="00C40A54">
              <w:t>$34,192</w:t>
            </w:r>
          </w:p>
        </w:tc>
        <w:tc>
          <w:tcPr>
            <w:tcW w:w="575" w:type="pct"/>
            <w:vAlign w:val="top"/>
          </w:tcPr>
          <w:p w14:paraId="33440FF3" w14:textId="77777777" w:rsidR="000E3A12" w:rsidRDefault="000E3A12">
            <w:pPr>
              <w:pStyle w:val="Tabletext0"/>
              <w:keepNext/>
              <w:jc w:val="center"/>
            </w:pPr>
            <w:r w:rsidRPr="00C40A54">
              <w:t>$119,673</w:t>
            </w:r>
          </w:p>
        </w:tc>
      </w:tr>
      <w:tr w:rsidR="000E3A12" w14:paraId="0EF6FA3F" w14:textId="77777777" w:rsidTr="003454D6">
        <w:tc>
          <w:tcPr>
            <w:tcW w:w="1474" w:type="pct"/>
            <w:vAlign w:val="top"/>
          </w:tcPr>
          <w:p w14:paraId="7C60EDC4" w14:textId="1F554610" w:rsidR="000E3A12" w:rsidRDefault="000E3A12">
            <w:pPr>
              <w:pStyle w:val="Tabletext0"/>
              <w:jc w:val="left"/>
            </w:pPr>
            <w:r w:rsidRPr="00467F5E">
              <w:t>Initial DBS surgery</w:t>
            </w:r>
            <w:r w:rsidR="00977B60">
              <w:t>*</w:t>
            </w:r>
          </w:p>
        </w:tc>
        <w:tc>
          <w:tcPr>
            <w:tcW w:w="449" w:type="pct"/>
            <w:vAlign w:val="top"/>
          </w:tcPr>
          <w:p w14:paraId="2D8E714A" w14:textId="77777777" w:rsidR="000E3A12" w:rsidRPr="00975F60" w:rsidRDefault="000E3A12">
            <w:pPr>
              <w:pStyle w:val="Tabletext0"/>
              <w:jc w:val="center"/>
            </w:pPr>
            <w:r w:rsidRPr="00C40A54">
              <w:t>$42,741</w:t>
            </w:r>
          </w:p>
        </w:tc>
        <w:tc>
          <w:tcPr>
            <w:tcW w:w="500" w:type="pct"/>
            <w:vAlign w:val="top"/>
          </w:tcPr>
          <w:p w14:paraId="4C9CEBBD" w14:textId="77777777" w:rsidR="000E3A12" w:rsidRPr="00975F60" w:rsidRDefault="000E3A12">
            <w:pPr>
              <w:pStyle w:val="Tabletext0"/>
              <w:jc w:val="center"/>
            </w:pPr>
            <w:r w:rsidRPr="00C40A54">
              <w:t>$85,483</w:t>
            </w:r>
          </w:p>
        </w:tc>
        <w:tc>
          <w:tcPr>
            <w:tcW w:w="504" w:type="pct"/>
            <w:vAlign w:val="top"/>
          </w:tcPr>
          <w:p w14:paraId="3B0C92EB" w14:textId="77777777" w:rsidR="000E3A12" w:rsidRPr="00975F60" w:rsidRDefault="000E3A12">
            <w:pPr>
              <w:pStyle w:val="Tabletext0"/>
              <w:jc w:val="center"/>
            </w:pPr>
            <w:r w:rsidRPr="00C40A54">
              <w:t>$128,224</w:t>
            </w:r>
          </w:p>
        </w:tc>
        <w:tc>
          <w:tcPr>
            <w:tcW w:w="500" w:type="pct"/>
            <w:vAlign w:val="top"/>
          </w:tcPr>
          <w:p w14:paraId="6C6D125E" w14:textId="77777777" w:rsidR="000E3A12" w:rsidRPr="00975F60" w:rsidRDefault="000E3A12">
            <w:pPr>
              <w:pStyle w:val="Tabletext0"/>
              <w:jc w:val="center"/>
            </w:pPr>
            <w:r w:rsidRPr="00C40A54">
              <w:t>$170,966</w:t>
            </w:r>
          </w:p>
        </w:tc>
        <w:tc>
          <w:tcPr>
            <w:tcW w:w="500" w:type="pct"/>
            <w:vAlign w:val="top"/>
          </w:tcPr>
          <w:p w14:paraId="2F66878D" w14:textId="77777777" w:rsidR="000E3A12" w:rsidRPr="00975F60" w:rsidRDefault="000E3A12">
            <w:pPr>
              <w:pStyle w:val="Tabletext0"/>
              <w:jc w:val="center"/>
            </w:pPr>
            <w:r w:rsidRPr="00C40A54">
              <w:t>$213,707</w:t>
            </w:r>
          </w:p>
        </w:tc>
        <w:tc>
          <w:tcPr>
            <w:tcW w:w="500" w:type="pct"/>
            <w:vAlign w:val="top"/>
          </w:tcPr>
          <w:p w14:paraId="0B6AF92D" w14:textId="77777777" w:rsidR="000E3A12" w:rsidRPr="00975F60" w:rsidRDefault="000E3A12">
            <w:pPr>
              <w:pStyle w:val="Tabletext0"/>
              <w:jc w:val="center"/>
            </w:pPr>
            <w:r w:rsidRPr="00C40A54">
              <w:t>$256,449</w:t>
            </w:r>
          </w:p>
        </w:tc>
        <w:tc>
          <w:tcPr>
            <w:tcW w:w="575" w:type="pct"/>
            <w:vAlign w:val="top"/>
          </w:tcPr>
          <w:p w14:paraId="21E5FBBB" w14:textId="77777777" w:rsidR="000E3A12" w:rsidRPr="00975F60" w:rsidRDefault="000E3A12">
            <w:pPr>
              <w:pStyle w:val="Tabletext0"/>
              <w:jc w:val="center"/>
            </w:pPr>
            <w:r w:rsidRPr="00C40A54">
              <w:t>$897,570</w:t>
            </w:r>
          </w:p>
        </w:tc>
      </w:tr>
      <w:tr w:rsidR="000E3A12" w14:paraId="078DAAFD" w14:textId="77777777" w:rsidTr="003454D6">
        <w:tc>
          <w:tcPr>
            <w:tcW w:w="1474" w:type="pct"/>
            <w:vAlign w:val="top"/>
          </w:tcPr>
          <w:p w14:paraId="33EAF70A" w14:textId="77777777" w:rsidR="000E3A12" w:rsidRDefault="000E3A12">
            <w:pPr>
              <w:pStyle w:val="Tabletext0"/>
              <w:jc w:val="left"/>
            </w:pPr>
            <w:r w:rsidRPr="00467F5E">
              <w:t>Follow up after initial surgery</w:t>
            </w:r>
          </w:p>
        </w:tc>
        <w:tc>
          <w:tcPr>
            <w:tcW w:w="449" w:type="pct"/>
            <w:vAlign w:val="top"/>
          </w:tcPr>
          <w:p w14:paraId="5813FE4B" w14:textId="77777777" w:rsidR="000E3A12" w:rsidRDefault="000E3A12">
            <w:pPr>
              <w:pStyle w:val="Tabletext0"/>
              <w:jc w:val="center"/>
            </w:pPr>
            <w:r w:rsidRPr="00C40A54">
              <w:t>$17,659</w:t>
            </w:r>
          </w:p>
        </w:tc>
        <w:tc>
          <w:tcPr>
            <w:tcW w:w="500" w:type="pct"/>
            <w:vAlign w:val="top"/>
          </w:tcPr>
          <w:p w14:paraId="120F5DEA" w14:textId="77777777" w:rsidR="000E3A12" w:rsidRDefault="000E3A12">
            <w:pPr>
              <w:pStyle w:val="Tabletext0"/>
              <w:jc w:val="center"/>
            </w:pPr>
            <w:r w:rsidRPr="00C40A54">
              <w:t>$35,318</w:t>
            </w:r>
          </w:p>
        </w:tc>
        <w:tc>
          <w:tcPr>
            <w:tcW w:w="504" w:type="pct"/>
            <w:vAlign w:val="top"/>
          </w:tcPr>
          <w:p w14:paraId="7292853D" w14:textId="77777777" w:rsidR="000E3A12" w:rsidRDefault="000E3A12">
            <w:pPr>
              <w:pStyle w:val="Tabletext0"/>
              <w:jc w:val="center"/>
            </w:pPr>
            <w:r w:rsidRPr="00C40A54">
              <w:t>$52,976</w:t>
            </w:r>
          </w:p>
        </w:tc>
        <w:tc>
          <w:tcPr>
            <w:tcW w:w="500" w:type="pct"/>
            <w:vAlign w:val="top"/>
          </w:tcPr>
          <w:p w14:paraId="7A0E6DF1" w14:textId="77777777" w:rsidR="000E3A12" w:rsidRDefault="000E3A12">
            <w:pPr>
              <w:pStyle w:val="Tabletext0"/>
              <w:jc w:val="center"/>
            </w:pPr>
            <w:r w:rsidRPr="00C40A54">
              <w:t>$70,635</w:t>
            </w:r>
          </w:p>
        </w:tc>
        <w:tc>
          <w:tcPr>
            <w:tcW w:w="500" w:type="pct"/>
            <w:vAlign w:val="top"/>
          </w:tcPr>
          <w:p w14:paraId="169CAF43" w14:textId="77777777" w:rsidR="000E3A12" w:rsidRDefault="000E3A12">
            <w:pPr>
              <w:pStyle w:val="Tabletext0"/>
              <w:jc w:val="center"/>
            </w:pPr>
            <w:r w:rsidRPr="00C40A54">
              <w:t>$88,294</w:t>
            </w:r>
          </w:p>
        </w:tc>
        <w:tc>
          <w:tcPr>
            <w:tcW w:w="500" w:type="pct"/>
            <w:vAlign w:val="top"/>
          </w:tcPr>
          <w:p w14:paraId="13FC68CC" w14:textId="77777777" w:rsidR="000E3A12" w:rsidRDefault="000E3A12">
            <w:pPr>
              <w:pStyle w:val="Tabletext0"/>
              <w:jc w:val="center"/>
            </w:pPr>
            <w:r w:rsidRPr="00C40A54">
              <w:t>$105,953</w:t>
            </w:r>
          </w:p>
        </w:tc>
        <w:tc>
          <w:tcPr>
            <w:tcW w:w="575" w:type="pct"/>
            <w:vAlign w:val="top"/>
          </w:tcPr>
          <w:p w14:paraId="554D0A36" w14:textId="77777777" w:rsidR="000E3A12" w:rsidRDefault="000E3A12">
            <w:pPr>
              <w:pStyle w:val="Tabletext0"/>
              <w:jc w:val="center"/>
            </w:pPr>
            <w:r w:rsidRPr="00C40A54">
              <w:t>$370,834</w:t>
            </w:r>
          </w:p>
        </w:tc>
      </w:tr>
      <w:tr w:rsidR="000E3A12" w14:paraId="642C9A15" w14:textId="77777777" w:rsidTr="003454D6">
        <w:tc>
          <w:tcPr>
            <w:tcW w:w="1474" w:type="pct"/>
            <w:vAlign w:val="top"/>
          </w:tcPr>
          <w:p w14:paraId="60E55891" w14:textId="7A2E08EE" w:rsidR="000E3A12" w:rsidRDefault="000E3A12">
            <w:pPr>
              <w:pStyle w:val="Tabletext0"/>
              <w:jc w:val="left"/>
            </w:pPr>
            <w:r w:rsidRPr="00467F5E">
              <w:t>Post-surgical revision of electrodes</w:t>
            </w:r>
            <w:r w:rsidR="00930EA1">
              <w:t>#</w:t>
            </w:r>
          </w:p>
        </w:tc>
        <w:tc>
          <w:tcPr>
            <w:tcW w:w="449" w:type="pct"/>
            <w:vAlign w:val="top"/>
          </w:tcPr>
          <w:p w14:paraId="59839667" w14:textId="77777777" w:rsidR="000E3A12" w:rsidRDefault="000E3A12">
            <w:pPr>
              <w:pStyle w:val="Tabletext0"/>
              <w:jc w:val="center"/>
            </w:pPr>
            <w:r w:rsidRPr="00C40A54">
              <w:t>$827</w:t>
            </w:r>
          </w:p>
        </w:tc>
        <w:tc>
          <w:tcPr>
            <w:tcW w:w="500" w:type="pct"/>
            <w:vAlign w:val="top"/>
          </w:tcPr>
          <w:p w14:paraId="282DE48E" w14:textId="77777777" w:rsidR="000E3A12" w:rsidRDefault="000E3A12">
            <w:pPr>
              <w:pStyle w:val="Tabletext0"/>
              <w:jc w:val="center"/>
            </w:pPr>
            <w:r w:rsidRPr="00C40A54">
              <w:t>$1,655</w:t>
            </w:r>
          </w:p>
        </w:tc>
        <w:tc>
          <w:tcPr>
            <w:tcW w:w="504" w:type="pct"/>
            <w:vAlign w:val="top"/>
          </w:tcPr>
          <w:p w14:paraId="03A5EE16" w14:textId="77777777" w:rsidR="000E3A12" w:rsidRDefault="000E3A12">
            <w:pPr>
              <w:pStyle w:val="Tabletext0"/>
              <w:jc w:val="center"/>
            </w:pPr>
            <w:r w:rsidRPr="00C40A54">
              <w:t>$2,482</w:t>
            </w:r>
          </w:p>
        </w:tc>
        <w:tc>
          <w:tcPr>
            <w:tcW w:w="500" w:type="pct"/>
            <w:vAlign w:val="top"/>
          </w:tcPr>
          <w:p w14:paraId="0FAB74F2" w14:textId="77777777" w:rsidR="000E3A12" w:rsidRDefault="000E3A12">
            <w:pPr>
              <w:pStyle w:val="Tabletext0"/>
              <w:jc w:val="center"/>
            </w:pPr>
            <w:r w:rsidRPr="00C40A54">
              <w:t>$3,310</w:t>
            </w:r>
          </w:p>
        </w:tc>
        <w:tc>
          <w:tcPr>
            <w:tcW w:w="500" w:type="pct"/>
            <w:vAlign w:val="top"/>
          </w:tcPr>
          <w:p w14:paraId="3FB22F2C" w14:textId="77777777" w:rsidR="000E3A12" w:rsidRDefault="000E3A12">
            <w:pPr>
              <w:pStyle w:val="Tabletext0"/>
              <w:jc w:val="center"/>
            </w:pPr>
            <w:r w:rsidRPr="00C40A54">
              <w:t>$4,137</w:t>
            </w:r>
          </w:p>
        </w:tc>
        <w:tc>
          <w:tcPr>
            <w:tcW w:w="500" w:type="pct"/>
            <w:vAlign w:val="top"/>
          </w:tcPr>
          <w:p w14:paraId="31C87ADC" w14:textId="77777777" w:rsidR="000E3A12" w:rsidRDefault="000E3A12">
            <w:pPr>
              <w:pStyle w:val="Tabletext0"/>
              <w:jc w:val="center"/>
            </w:pPr>
            <w:r w:rsidRPr="00C40A54">
              <w:t>$4,964</w:t>
            </w:r>
          </w:p>
        </w:tc>
        <w:tc>
          <w:tcPr>
            <w:tcW w:w="575" w:type="pct"/>
            <w:vAlign w:val="top"/>
          </w:tcPr>
          <w:p w14:paraId="731E1586" w14:textId="77777777" w:rsidR="000E3A12" w:rsidRDefault="000E3A12">
            <w:pPr>
              <w:pStyle w:val="Tabletext0"/>
              <w:jc w:val="center"/>
            </w:pPr>
            <w:r w:rsidRPr="00C40A54">
              <w:t>$17,375</w:t>
            </w:r>
          </w:p>
        </w:tc>
      </w:tr>
      <w:tr w:rsidR="000E3A12" w14:paraId="38A0DF86" w14:textId="77777777" w:rsidTr="003454D6">
        <w:tc>
          <w:tcPr>
            <w:tcW w:w="1474" w:type="pct"/>
            <w:vAlign w:val="top"/>
          </w:tcPr>
          <w:p w14:paraId="1E2000C1" w14:textId="30F59ED6" w:rsidR="000E3A12" w:rsidRDefault="000E3A12">
            <w:pPr>
              <w:pStyle w:val="Tabletext0"/>
              <w:jc w:val="left"/>
            </w:pPr>
            <w:r w:rsidRPr="00467F5E">
              <w:t>Post-surgical revision of Leads</w:t>
            </w:r>
            <w:r w:rsidR="00930EA1">
              <w:t>#</w:t>
            </w:r>
          </w:p>
        </w:tc>
        <w:tc>
          <w:tcPr>
            <w:tcW w:w="449" w:type="pct"/>
            <w:vAlign w:val="top"/>
          </w:tcPr>
          <w:p w14:paraId="4CC9BFE2" w14:textId="77777777" w:rsidR="000E3A12" w:rsidRDefault="000E3A12">
            <w:pPr>
              <w:pStyle w:val="Tabletext0"/>
              <w:jc w:val="center"/>
            </w:pPr>
            <w:r w:rsidRPr="00C40A54">
              <w:t>$337</w:t>
            </w:r>
          </w:p>
        </w:tc>
        <w:tc>
          <w:tcPr>
            <w:tcW w:w="500" w:type="pct"/>
            <w:vAlign w:val="top"/>
          </w:tcPr>
          <w:p w14:paraId="72D31DC9" w14:textId="77777777" w:rsidR="000E3A12" w:rsidRDefault="000E3A12">
            <w:pPr>
              <w:pStyle w:val="Tabletext0"/>
              <w:jc w:val="center"/>
            </w:pPr>
            <w:r w:rsidRPr="00C40A54">
              <w:t>$673</w:t>
            </w:r>
          </w:p>
        </w:tc>
        <w:tc>
          <w:tcPr>
            <w:tcW w:w="504" w:type="pct"/>
            <w:vAlign w:val="top"/>
          </w:tcPr>
          <w:p w14:paraId="282A9C4F" w14:textId="77777777" w:rsidR="000E3A12" w:rsidRDefault="000E3A12">
            <w:pPr>
              <w:pStyle w:val="Tabletext0"/>
              <w:jc w:val="center"/>
            </w:pPr>
            <w:r w:rsidRPr="00C40A54">
              <w:t>$1,010</w:t>
            </w:r>
          </w:p>
        </w:tc>
        <w:tc>
          <w:tcPr>
            <w:tcW w:w="500" w:type="pct"/>
            <w:vAlign w:val="top"/>
          </w:tcPr>
          <w:p w14:paraId="05BB58F2" w14:textId="77777777" w:rsidR="000E3A12" w:rsidRDefault="000E3A12">
            <w:pPr>
              <w:pStyle w:val="Tabletext0"/>
              <w:jc w:val="center"/>
            </w:pPr>
            <w:r w:rsidRPr="00C40A54">
              <w:t>$1,347</w:t>
            </w:r>
          </w:p>
        </w:tc>
        <w:tc>
          <w:tcPr>
            <w:tcW w:w="500" w:type="pct"/>
            <w:vAlign w:val="top"/>
          </w:tcPr>
          <w:p w14:paraId="7F4FF202" w14:textId="77777777" w:rsidR="000E3A12" w:rsidRDefault="000E3A12">
            <w:pPr>
              <w:pStyle w:val="Tabletext0"/>
              <w:jc w:val="center"/>
            </w:pPr>
            <w:r w:rsidRPr="00C40A54">
              <w:t>$1,683</w:t>
            </w:r>
          </w:p>
        </w:tc>
        <w:tc>
          <w:tcPr>
            <w:tcW w:w="500" w:type="pct"/>
            <w:vAlign w:val="top"/>
          </w:tcPr>
          <w:p w14:paraId="39043C79" w14:textId="77777777" w:rsidR="000E3A12" w:rsidRDefault="000E3A12">
            <w:pPr>
              <w:pStyle w:val="Tabletext0"/>
              <w:jc w:val="center"/>
            </w:pPr>
            <w:r w:rsidRPr="00C40A54">
              <w:t>$2,020</w:t>
            </w:r>
          </w:p>
        </w:tc>
        <w:tc>
          <w:tcPr>
            <w:tcW w:w="575" w:type="pct"/>
            <w:vAlign w:val="top"/>
          </w:tcPr>
          <w:p w14:paraId="7290D0A3" w14:textId="77777777" w:rsidR="000E3A12" w:rsidRDefault="000E3A12">
            <w:pPr>
              <w:pStyle w:val="Tabletext0"/>
              <w:jc w:val="center"/>
            </w:pPr>
            <w:r w:rsidRPr="00C40A54">
              <w:t>$7,070</w:t>
            </w:r>
          </w:p>
        </w:tc>
      </w:tr>
      <w:tr w:rsidR="000E3A12" w14:paraId="1D7E02A9" w14:textId="77777777" w:rsidTr="003454D6">
        <w:tc>
          <w:tcPr>
            <w:tcW w:w="1474" w:type="pct"/>
            <w:vAlign w:val="top"/>
          </w:tcPr>
          <w:p w14:paraId="0EABD726" w14:textId="702721F4" w:rsidR="000E3A12" w:rsidRDefault="000E3A12">
            <w:pPr>
              <w:pStyle w:val="Tabletext0"/>
              <w:jc w:val="left"/>
            </w:pPr>
            <w:r w:rsidRPr="00467F5E">
              <w:t>Replacement of IPG</w:t>
            </w:r>
            <w:r w:rsidR="0049210F">
              <w:t>#</w:t>
            </w:r>
          </w:p>
        </w:tc>
        <w:tc>
          <w:tcPr>
            <w:tcW w:w="449" w:type="pct"/>
            <w:vAlign w:val="top"/>
          </w:tcPr>
          <w:p w14:paraId="71697A82" w14:textId="77777777" w:rsidR="000E3A12" w:rsidRDefault="000E3A12">
            <w:pPr>
              <w:pStyle w:val="Tabletext0"/>
              <w:jc w:val="center"/>
            </w:pPr>
            <w:r w:rsidRPr="00C40A54">
              <w:t>$0</w:t>
            </w:r>
          </w:p>
        </w:tc>
        <w:tc>
          <w:tcPr>
            <w:tcW w:w="500" w:type="pct"/>
            <w:vAlign w:val="top"/>
          </w:tcPr>
          <w:p w14:paraId="768DC5C8" w14:textId="77777777" w:rsidR="000E3A12" w:rsidRDefault="000E3A12">
            <w:pPr>
              <w:pStyle w:val="Tabletext0"/>
              <w:jc w:val="center"/>
            </w:pPr>
            <w:r w:rsidRPr="00C40A54">
              <w:t>$0</w:t>
            </w:r>
          </w:p>
        </w:tc>
        <w:tc>
          <w:tcPr>
            <w:tcW w:w="504" w:type="pct"/>
            <w:vAlign w:val="top"/>
          </w:tcPr>
          <w:p w14:paraId="37E993E6" w14:textId="77777777" w:rsidR="000E3A12" w:rsidRDefault="000E3A12">
            <w:pPr>
              <w:pStyle w:val="Tabletext0"/>
              <w:jc w:val="center"/>
            </w:pPr>
            <w:r w:rsidRPr="00C40A54">
              <w:t>$0</w:t>
            </w:r>
          </w:p>
        </w:tc>
        <w:tc>
          <w:tcPr>
            <w:tcW w:w="500" w:type="pct"/>
            <w:vAlign w:val="top"/>
          </w:tcPr>
          <w:p w14:paraId="16DBBD58" w14:textId="77777777" w:rsidR="000E3A12" w:rsidRDefault="000E3A12">
            <w:pPr>
              <w:pStyle w:val="Tabletext0"/>
              <w:jc w:val="center"/>
            </w:pPr>
            <w:r w:rsidRPr="00C40A54">
              <w:t>$6,631</w:t>
            </w:r>
          </w:p>
        </w:tc>
        <w:tc>
          <w:tcPr>
            <w:tcW w:w="500" w:type="pct"/>
            <w:vAlign w:val="top"/>
          </w:tcPr>
          <w:p w14:paraId="06FB83D5" w14:textId="77777777" w:rsidR="000E3A12" w:rsidRDefault="000E3A12">
            <w:pPr>
              <w:pStyle w:val="Tabletext0"/>
              <w:jc w:val="center"/>
            </w:pPr>
            <w:r w:rsidRPr="00C40A54">
              <w:t>$13,263</w:t>
            </w:r>
          </w:p>
        </w:tc>
        <w:tc>
          <w:tcPr>
            <w:tcW w:w="500" w:type="pct"/>
            <w:vAlign w:val="top"/>
          </w:tcPr>
          <w:p w14:paraId="79FD31F5" w14:textId="77777777" w:rsidR="000E3A12" w:rsidRDefault="000E3A12">
            <w:pPr>
              <w:pStyle w:val="Tabletext0"/>
              <w:jc w:val="center"/>
            </w:pPr>
            <w:r w:rsidRPr="00C40A54">
              <w:t>$19,894</w:t>
            </w:r>
          </w:p>
        </w:tc>
        <w:tc>
          <w:tcPr>
            <w:tcW w:w="575" w:type="pct"/>
            <w:vAlign w:val="top"/>
          </w:tcPr>
          <w:p w14:paraId="01726AF6" w14:textId="77777777" w:rsidR="000E3A12" w:rsidRDefault="000E3A12">
            <w:pPr>
              <w:pStyle w:val="Tabletext0"/>
              <w:jc w:val="center"/>
            </w:pPr>
            <w:r w:rsidRPr="00C40A54">
              <w:t>$39,788</w:t>
            </w:r>
          </w:p>
        </w:tc>
      </w:tr>
      <w:tr w:rsidR="000E3A12" w14:paraId="58B09FE7" w14:textId="77777777" w:rsidTr="003454D6">
        <w:tc>
          <w:tcPr>
            <w:tcW w:w="1474" w:type="pct"/>
            <w:vAlign w:val="top"/>
          </w:tcPr>
          <w:p w14:paraId="0638D614" w14:textId="2ADBEE6A" w:rsidR="000E3A12" w:rsidRDefault="000E3A12">
            <w:pPr>
              <w:pStyle w:val="Tabletext0"/>
              <w:jc w:val="left"/>
            </w:pPr>
            <w:r w:rsidRPr="00467F5E">
              <w:t>Removal of IPG</w:t>
            </w:r>
            <w:r w:rsidR="0049210F">
              <w:t>#</w:t>
            </w:r>
          </w:p>
        </w:tc>
        <w:tc>
          <w:tcPr>
            <w:tcW w:w="449" w:type="pct"/>
            <w:vAlign w:val="top"/>
          </w:tcPr>
          <w:p w14:paraId="4D798396" w14:textId="77777777" w:rsidR="000E3A12" w:rsidRPr="00975F60" w:rsidRDefault="000E3A12">
            <w:pPr>
              <w:pStyle w:val="Tabletext0"/>
              <w:jc w:val="center"/>
            </w:pPr>
            <w:r w:rsidRPr="00C40A54">
              <w:t>$356</w:t>
            </w:r>
          </w:p>
        </w:tc>
        <w:tc>
          <w:tcPr>
            <w:tcW w:w="500" w:type="pct"/>
            <w:vAlign w:val="top"/>
          </w:tcPr>
          <w:p w14:paraId="49B9EA2B" w14:textId="77777777" w:rsidR="000E3A12" w:rsidRPr="00975F60" w:rsidRDefault="000E3A12">
            <w:pPr>
              <w:pStyle w:val="Tabletext0"/>
              <w:jc w:val="center"/>
            </w:pPr>
            <w:r w:rsidRPr="00C40A54">
              <w:t>$712</w:t>
            </w:r>
          </w:p>
        </w:tc>
        <w:tc>
          <w:tcPr>
            <w:tcW w:w="504" w:type="pct"/>
            <w:vAlign w:val="top"/>
          </w:tcPr>
          <w:p w14:paraId="7C595F84" w14:textId="77777777" w:rsidR="000E3A12" w:rsidRPr="00975F60" w:rsidRDefault="000E3A12">
            <w:pPr>
              <w:pStyle w:val="Tabletext0"/>
              <w:jc w:val="center"/>
            </w:pPr>
            <w:r w:rsidRPr="00C40A54">
              <w:t>$1,068</w:t>
            </w:r>
          </w:p>
        </w:tc>
        <w:tc>
          <w:tcPr>
            <w:tcW w:w="500" w:type="pct"/>
            <w:vAlign w:val="top"/>
          </w:tcPr>
          <w:p w14:paraId="0BB23A60" w14:textId="77777777" w:rsidR="000E3A12" w:rsidRPr="00975F60" w:rsidRDefault="000E3A12">
            <w:pPr>
              <w:pStyle w:val="Tabletext0"/>
              <w:jc w:val="center"/>
            </w:pPr>
            <w:r w:rsidRPr="00C40A54">
              <w:t>$1,424</w:t>
            </w:r>
          </w:p>
        </w:tc>
        <w:tc>
          <w:tcPr>
            <w:tcW w:w="500" w:type="pct"/>
            <w:vAlign w:val="top"/>
          </w:tcPr>
          <w:p w14:paraId="4F762C3F" w14:textId="77777777" w:rsidR="000E3A12" w:rsidRPr="00975F60" w:rsidRDefault="000E3A12">
            <w:pPr>
              <w:pStyle w:val="Tabletext0"/>
              <w:jc w:val="center"/>
            </w:pPr>
            <w:r w:rsidRPr="00C40A54">
              <w:t>$1,780</w:t>
            </w:r>
          </w:p>
        </w:tc>
        <w:tc>
          <w:tcPr>
            <w:tcW w:w="500" w:type="pct"/>
            <w:vAlign w:val="top"/>
          </w:tcPr>
          <w:p w14:paraId="038C4FA5" w14:textId="77777777" w:rsidR="000E3A12" w:rsidRPr="00975F60" w:rsidRDefault="000E3A12">
            <w:pPr>
              <w:pStyle w:val="Tabletext0"/>
              <w:jc w:val="center"/>
            </w:pPr>
            <w:r w:rsidRPr="00C40A54">
              <w:t>$2,136</w:t>
            </w:r>
          </w:p>
        </w:tc>
        <w:tc>
          <w:tcPr>
            <w:tcW w:w="575" w:type="pct"/>
            <w:vAlign w:val="top"/>
          </w:tcPr>
          <w:p w14:paraId="38D82FDA" w14:textId="77777777" w:rsidR="000E3A12" w:rsidRPr="00975F60" w:rsidRDefault="000E3A12">
            <w:pPr>
              <w:pStyle w:val="Tabletext0"/>
              <w:jc w:val="center"/>
            </w:pPr>
            <w:r w:rsidRPr="00C40A54">
              <w:t>$7,476</w:t>
            </w:r>
          </w:p>
        </w:tc>
      </w:tr>
      <w:tr w:rsidR="000E3A12" w14:paraId="78777AA3" w14:textId="77777777" w:rsidTr="003454D6">
        <w:tc>
          <w:tcPr>
            <w:tcW w:w="1474" w:type="pct"/>
            <w:vAlign w:val="top"/>
          </w:tcPr>
          <w:p w14:paraId="0AF3355E" w14:textId="77777777" w:rsidR="000E3A12" w:rsidRPr="00467F5E" w:rsidRDefault="000E3A12">
            <w:pPr>
              <w:pStyle w:val="Tabletext0"/>
              <w:jc w:val="left"/>
            </w:pPr>
            <w:r w:rsidRPr="0020791E">
              <w:t>Total Cost to MBS</w:t>
            </w:r>
          </w:p>
        </w:tc>
        <w:tc>
          <w:tcPr>
            <w:tcW w:w="449" w:type="pct"/>
            <w:vAlign w:val="top"/>
          </w:tcPr>
          <w:p w14:paraId="2F52FF76" w14:textId="77777777" w:rsidR="000E3A12" w:rsidRPr="00975F60" w:rsidRDefault="000E3A12">
            <w:pPr>
              <w:pStyle w:val="Tabletext0"/>
              <w:jc w:val="center"/>
            </w:pPr>
            <w:r w:rsidRPr="00C40A54">
              <w:t>$67,619</w:t>
            </w:r>
          </w:p>
        </w:tc>
        <w:tc>
          <w:tcPr>
            <w:tcW w:w="500" w:type="pct"/>
            <w:vAlign w:val="top"/>
          </w:tcPr>
          <w:p w14:paraId="1E1F2112" w14:textId="77777777" w:rsidR="000E3A12" w:rsidRPr="00975F60" w:rsidRDefault="000E3A12">
            <w:pPr>
              <w:pStyle w:val="Tabletext0"/>
              <w:jc w:val="center"/>
            </w:pPr>
            <w:r w:rsidRPr="00C40A54">
              <w:t>$135,238</w:t>
            </w:r>
          </w:p>
        </w:tc>
        <w:tc>
          <w:tcPr>
            <w:tcW w:w="504" w:type="pct"/>
            <w:vAlign w:val="top"/>
          </w:tcPr>
          <w:p w14:paraId="2B4462CB" w14:textId="77777777" w:rsidR="000E3A12" w:rsidRPr="00975F60" w:rsidRDefault="000E3A12">
            <w:pPr>
              <w:pStyle w:val="Tabletext0"/>
              <w:jc w:val="center"/>
            </w:pPr>
            <w:r w:rsidRPr="00C40A54">
              <w:t>$202,857</w:t>
            </w:r>
          </w:p>
        </w:tc>
        <w:tc>
          <w:tcPr>
            <w:tcW w:w="500" w:type="pct"/>
            <w:vAlign w:val="top"/>
          </w:tcPr>
          <w:p w14:paraId="798EC282" w14:textId="77777777" w:rsidR="000E3A12" w:rsidRPr="00975F60" w:rsidRDefault="000E3A12">
            <w:pPr>
              <w:pStyle w:val="Tabletext0"/>
              <w:jc w:val="center"/>
            </w:pPr>
            <w:r w:rsidRPr="00C40A54">
              <w:t>$277,107</w:t>
            </w:r>
          </w:p>
        </w:tc>
        <w:tc>
          <w:tcPr>
            <w:tcW w:w="500" w:type="pct"/>
            <w:vAlign w:val="top"/>
          </w:tcPr>
          <w:p w14:paraId="74C90157" w14:textId="77777777" w:rsidR="000E3A12" w:rsidRPr="00975F60" w:rsidRDefault="000E3A12">
            <w:pPr>
              <w:pStyle w:val="Tabletext0"/>
              <w:jc w:val="center"/>
            </w:pPr>
            <w:r w:rsidRPr="00C40A54">
              <w:t>$351,357</w:t>
            </w:r>
          </w:p>
        </w:tc>
        <w:tc>
          <w:tcPr>
            <w:tcW w:w="500" w:type="pct"/>
            <w:vAlign w:val="top"/>
          </w:tcPr>
          <w:p w14:paraId="5E455A38" w14:textId="77777777" w:rsidR="000E3A12" w:rsidRPr="00975F60" w:rsidRDefault="000E3A12">
            <w:pPr>
              <w:pStyle w:val="Tabletext0"/>
              <w:jc w:val="center"/>
            </w:pPr>
            <w:r w:rsidRPr="00C40A54">
              <w:t>$425,608</w:t>
            </w:r>
          </w:p>
        </w:tc>
        <w:tc>
          <w:tcPr>
            <w:tcW w:w="575" w:type="pct"/>
            <w:vAlign w:val="top"/>
          </w:tcPr>
          <w:p w14:paraId="25A2FAAD" w14:textId="77777777" w:rsidR="000E3A12" w:rsidRPr="00975F60" w:rsidRDefault="000E3A12">
            <w:pPr>
              <w:pStyle w:val="Tabletext0"/>
              <w:jc w:val="center"/>
            </w:pPr>
            <w:r w:rsidRPr="00C40A54">
              <w:t>$1,459,786</w:t>
            </w:r>
          </w:p>
        </w:tc>
      </w:tr>
    </w:tbl>
    <w:p w14:paraId="1AA8BD79" w14:textId="77777777" w:rsidR="000E3A12" w:rsidRDefault="000E3A12" w:rsidP="000E3A12">
      <w:pPr>
        <w:pStyle w:val="Tablenotes0"/>
        <w:spacing w:before="0" w:after="0"/>
        <w:jc w:val="left"/>
      </w:pPr>
      <w:r>
        <w:t>Abbreviations: DBS= deep brain stimulation; IPG= implantable pulse generator; MBS= Medicare Benefits Schedule</w:t>
      </w:r>
    </w:p>
    <w:p w14:paraId="0F90C728" w14:textId="429C6301" w:rsidR="0023174E" w:rsidRDefault="00601AF0" w:rsidP="0023174E">
      <w:pPr>
        <w:pStyle w:val="Tablenotes0"/>
        <w:spacing w:before="0" w:after="120"/>
        <w:contextualSpacing w:val="0"/>
        <w:jc w:val="left"/>
      </w:pPr>
      <w:r>
        <w:t xml:space="preserve">* </w:t>
      </w:r>
      <w:r w:rsidR="003B44E9">
        <w:t xml:space="preserve">Calculated </w:t>
      </w:r>
      <w:r>
        <w:t>using the</w:t>
      </w:r>
      <w:r w:rsidR="003B44E9">
        <w:t xml:space="preserve"> corrected base case, applying MBS </w:t>
      </w:r>
      <w:r w:rsidR="00EB1C14">
        <w:t>item</w:t>
      </w:r>
      <w:r w:rsidR="00DB734E">
        <w:t>s</w:t>
      </w:r>
      <w:r w:rsidR="00EB1C14">
        <w:t xml:space="preserve"> 40858 and 40860 twice each</w:t>
      </w:r>
      <w:r>
        <w:t xml:space="preserve"> </w:t>
      </w:r>
      <w:r w:rsidR="006E35FE">
        <w:t>for the initial DBS surgical procedure.</w:t>
      </w:r>
    </w:p>
    <w:p w14:paraId="7CE09B2F" w14:textId="242A7E45" w:rsidR="004907E7" w:rsidRDefault="00930EA1" w:rsidP="0023174E">
      <w:pPr>
        <w:pStyle w:val="Tablenotes0"/>
        <w:spacing w:after="0"/>
        <w:jc w:val="left"/>
      </w:pPr>
      <w:r>
        <w:t>#</w:t>
      </w:r>
      <w:r w:rsidR="00504BCC">
        <w:t xml:space="preserve"> </w:t>
      </w:r>
      <w:r w:rsidR="00464D7D">
        <w:t xml:space="preserve">Note that </w:t>
      </w:r>
      <w:r w:rsidR="00DB734E">
        <w:t xml:space="preserve">applying MBS items </w:t>
      </w:r>
      <w:r w:rsidR="00A40868">
        <w:t>40858</w:t>
      </w:r>
      <w:r w:rsidR="002639A8">
        <w:t xml:space="preserve">, </w:t>
      </w:r>
      <w:r w:rsidR="00A40868">
        <w:t>40860</w:t>
      </w:r>
      <w:r w:rsidR="002639A8">
        <w:t xml:space="preserve"> and </w:t>
      </w:r>
      <w:r w:rsidR="00C72850">
        <w:t>40854 (</w:t>
      </w:r>
      <w:r w:rsidR="00C50064">
        <w:t>unilateral revision or removal of brain electrode)</w:t>
      </w:r>
      <w:r w:rsidR="00A40868">
        <w:t xml:space="preserve"> twice </w:t>
      </w:r>
      <w:r w:rsidR="00504BCC">
        <w:t xml:space="preserve">in a proportion of patients may also </w:t>
      </w:r>
      <w:r w:rsidR="004B089E">
        <w:t>be required</w:t>
      </w:r>
      <w:r w:rsidR="009C3B9E">
        <w:t xml:space="preserve"> for the revision, </w:t>
      </w:r>
      <w:proofErr w:type="gramStart"/>
      <w:r w:rsidR="009C3B9E">
        <w:t>replacement</w:t>
      </w:r>
      <w:proofErr w:type="gramEnd"/>
      <w:r w:rsidR="009C3B9E">
        <w:t xml:space="preserve"> and removal procedures</w:t>
      </w:r>
      <w:r w:rsidR="004B089E">
        <w:t xml:space="preserve">. This has not been applied </w:t>
      </w:r>
      <w:r w:rsidR="009C3B9E">
        <w:t xml:space="preserve">yet to the </w:t>
      </w:r>
      <w:r w:rsidR="00BC6595">
        <w:t xml:space="preserve">base case. </w:t>
      </w:r>
      <w:r w:rsidR="005C0EA3">
        <w:t xml:space="preserve">Currently these MBS items 40858, 40860 and 40854 have been applied once each. </w:t>
      </w:r>
      <w:r w:rsidR="00BC6595">
        <w:t xml:space="preserve"> </w:t>
      </w:r>
    </w:p>
    <w:p w14:paraId="4FE2390F" w14:textId="4C09F8B2" w:rsidR="0072578A" w:rsidRDefault="00D428B9" w:rsidP="00330A0A">
      <w:r w:rsidRPr="00CE28E3">
        <w:t xml:space="preserve">The financial implications to the </w:t>
      </w:r>
      <w:r w:rsidR="006A6D3E">
        <w:t>Australian healthcare budget</w:t>
      </w:r>
      <w:r w:rsidRPr="00CE28E3">
        <w:t xml:space="preserve"> resulting from the proposed listing of </w:t>
      </w:r>
      <w:r w:rsidR="006A6D3E">
        <w:t>deep brain stimulation (DBS) for severe treatment-refractory obsessive-compulsive disorder (OCD)</w:t>
      </w:r>
      <w:r w:rsidRPr="00CE28E3">
        <w:t xml:space="preserve"> are summarised in </w:t>
      </w:r>
      <w:r w:rsidR="00BA00C0">
        <w:fldChar w:fldCharType="begin"/>
      </w:r>
      <w:r w:rsidR="00BA00C0">
        <w:instrText xml:space="preserve"> REF _Ref144131521 \h </w:instrText>
      </w:r>
      <w:r w:rsidR="00BA00C0">
        <w:fldChar w:fldCharType="separate"/>
      </w:r>
      <w:r w:rsidR="00BA00C0">
        <w:t xml:space="preserve">Table </w:t>
      </w:r>
      <w:r w:rsidR="00BA00C0">
        <w:rPr>
          <w:noProof/>
        </w:rPr>
        <w:t>11</w:t>
      </w:r>
      <w:r w:rsidR="00BA00C0">
        <w:fldChar w:fldCharType="end"/>
      </w:r>
      <w:r w:rsidRPr="00581A32">
        <w:t>.</w:t>
      </w:r>
      <w:r w:rsidRPr="00CE28E3">
        <w:t xml:space="preserve"> </w:t>
      </w:r>
      <w:r w:rsidR="00E147F0">
        <w:t xml:space="preserve">The total cost of providing DBS to treatment-refractory OCD population </w:t>
      </w:r>
      <w:r w:rsidR="007D6291">
        <w:t xml:space="preserve">to </w:t>
      </w:r>
      <w:r w:rsidR="00E147F0">
        <w:t xml:space="preserve">the Australian health budget </w:t>
      </w:r>
      <w:r w:rsidR="007D6291">
        <w:t xml:space="preserve">(inclusive of costs to the MBS, </w:t>
      </w:r>
      <w:r w:rsidR="002173C4" w:rsidRPr="002173C4">
        <w:t>Prescribed List of Medical Devices and Human Tissue Products</w:t>
      </w:r>
      <w:r w:rsidR="00B15DD1">
        <w:t xml:space="preserve"> </w:t>
      </w:r>
      <w:r w:rsidR="007F3C52">
        <w:t xml:space="preserve">and State/Territory hospitals) is </w:t>
      </w:r>
      <w:r w:rsidR="00E147F0">
        <w:t>approximately $6.</w:t>
      </w:r>
      <w:r w:rsidR="00013266">
        <w:t>7</w:t>
      </w:r>
      <w:r w:rsidR="00255B7C">
        <w:t> </w:t>
      </w:r>
      <w:r w:rsidR="00E147F0">
        <w:t>million over six years. The maximum cost is attributable to the index DBS surgery</w:t>
      </w:r>
      <w:r w:rsidR="00935D37">
        <w:t xml:space="preserve"> of</w:t>
      </w:r>
      <w:r w:rsidR="00E147F0">
        <w:t xml:space="preserve"> $6.</w:t>
      </w:r>
      <w:r w:rsidR="00013266">
        <w:t>2</w:t>
      </w:r>
      <w:r w:rsidR="00255B7C">
        <w:t> </w:t>
      </w:r>
      <w:r w:rsidR="00E147F0">
        <w:t>million</w:t>
      </w:r>
      <w:r w:rsidR="00376EAD">
        <w:t>.</w:t>
      </w:r>
    </w:p>
    <w:p w14:paraId="2FD2E966" w14:textId="68C374AD" w:rsidR="00D82A00" w:rsidRDefault="00376EAD" w:rsidP="00330A0A">
      <w:r>
        <w:t>Of the various healthcare budgets included in the total cost, t</w:t>
      </w:r>
      <w:r w:rsidR="00D82A00">
        <w:t>he maximum cost is attributed to cost of prostheses— $3.6 million, followed by the cost to the MBS — $1.</w:t>
      </w:r>
      <w:r w:rsidR="00013266">
        <w:t>5</w:t>
      </w:r>
      <w:r w:rsidR="00D82A00">
        <w:t xml:space="preserve"> million and finally to the hospitals— $1.6 million.</w:t>
      </w:r>
    </w:p>
    <w:p w14:paraId="148E819E" w14:textId="3A0F5015" w:rsidR="00851AD2" w:rsidRPr="00851AD2" w:rsidRDefault="009D4245" w:rsidP="00851AD2">
      <w:r>
        <w:t>It should be noted an epidemiological approach was not adopted as this method derived unrealistically high estimates of utilisation, and as such the utilisation reported in the PICO Confirmation was used, however this source is also uncertain.</w:t>
      </w:r>
      <w:bookmarkStart w:id="46" w:name="_Ref144131521"/>
      <w:r w:rsidR="00851AD2">
        <w:br w:type="page"/>
      </w:r>
    </w:p>
    <w:p w14:paraId="2414601C" w14:textId="379CC717" w:rsidR="00BA00C0" w:rsidRDefault="00BA00C0" w:rsidP="003454D6">
      <w:pPr>
        <w:pStyle w:val="Caption"/>
      </w:pPr>
      <w:r>
        <w:lastRenderedPageBreak/>
        <w:t xml:space="preserve">Table </w:t>
      </w:r>
      <w:r>
        <w:fldChar w:fldCharType="begin"/>
      </w:r>
      <w:r>
        <w:instrText>SEQ Table \* ARABIC</w:instrText>
      </w:r>
      <w:r>
        <w:fldChar w:fldCharType="separate"/>
      </w:r>
      <w:r>
        <w:rPr>
          <w:noProof/>
        </w:rPr>
        <w:t>11</w:t>
      </w:r>
      <w:r>
        <w:fldChar w:fldCharType="end"/>
      </w:r>
      <w:bookmarkEnd w:id="46"/>
      <w:r>
        <w:t xml:space="preserve"> </w:t>
      </w:r>
      <w:r w:rsidRPr="002E5657">
        <w:t>Total costs of a</w:t>
      </w:r>
      <w:r>
        <w:t>l</w:t>
      </w:r>
      <w:r w:rsidRPr="002E5657">
        <w:t xml:space="preserve">l DBS services </w:t>
      </w:r>
      <w:r>
        <w:t>to healthcare budgets</w:t>
      </w:r>
    </w:p>
    <w:tbl>
      <w:tblPr>
        <w:tblStyle w:val="MSACTables"/>
        <w:tblW w:w="0" w:type="auto"/>
        <w:tblLook w:val="04A0" w:firstRow="1" w:lastRow="0" w:firstColumn="1" w:lastColumn="0" w:noHBand="0" w:noVBand="1"/>
      </w:tblPr>
      <w:tblGrid>
        <w:gridCol w:w="2165"/>
        <w:gridCol w:w="901"/>
        <w:gridCol w:w="901"/>
        <w:gridCol w:w="901"/>
        <w:gridCol w:w="1037"/>
        <w:gridCol w:w="1037"/>
        <w:gridCol w:w="1037"/>
        <w:gridCol w:w="1037"/>
      </w:tblGrid>
      <w:tr w:rsidR="00BA00C0" w14:paraId="79B83B31" w14:textId="77777777" w:rsidTr="003454D6">
        <w:trPr>
          <w:cnfStyle w:val="100000000000" w:firstRow="1" w:lastRow="0" w:firstColumn="0" w:lastColumn="0" w:oddVBand="0" w:evenVBand="0" w:oddHBand="0" w:evenHBand="0" w:firstRowFirstColumn="0" w:firstRowLastColumn="0" w:lastRowFirstColumn="0" w:lastRowLastColumn="0"/>
          <w:tblHeader/>
        </w:trPr>
        <w:tc>
          <w:tcPr>
            <w:tcW w:w="0" w:type="auto"/>
            <w:vAlign w:val="top"/>
          </w:tcPr>
          <w:p w14:paraId="1581A829" w14:textId="77777777" w:rsidR="00BA00C0" w:rsidRPr="00975F60" w:rsidRDefault="00BA00C0">
            <w:pPr>
              <w:pStyle w:val="Tabletext0"/>
              <w:jc w:val="left"/>
              <w:rPr>
                <w:b w:val="0"/>
              </w:rPr>
            </w:pPr>
          </w:p>
        </w:tc>
        <w:tc>
          <w:tcPr>
            <w:tcW w:w="0" w:type="auto"/>
            <w:vAlign w:val="top"/>
          </w:tcPr>
          <w:p w14:paraId="2A1CDD86" w14:textId="77777777" w:rsidR="00BA00C0" w:rsidRPr="00975F60" w:rsidRDefault="00BA00C0">
            <w:pPr>
              <w:pStyle w:val="Tabletext0"/>
              <w:jc w:val="center"/>
              <w:rPr>
                <w:bCs/>
              </w:rPr>
            </w:pPr>
            <w:r w:rsidRPr="00975F60">
              <w:rPr>
                <w:bCs/>
              </w:rPr>
              <w:t>Year 1</w:t>
            </w:r>
          </w:p>
        </w:tc>
        <w:tc>
          <w:tcPr>
            <w:tcW w:w="0" w:type="auto"/>
            <w:vAlign w:val="top"/>
          </w:tcPr>
          <w:p w14:paraId="306B3319" w14:textId="77777777" w:rsidR="00BA00C0" w:rsidRPr="00975F60" w:rsidRDefault="00BA00C0">
            <w:pPr>
              <w:pStyle w:val="Tabletext0"/>
              <w:jc w:val="center"/>
              <w:rPr>
                <w:bCs/>
              </w:rPr>
            </w:pPr>
            <w:r w:rsidRPr="00975F60">
              <w:rPr>
                <w:bCs/>
              </w:rPr>
              <w:t>Year 2</w:t>
            </w:r>
          </w:p>
        </w:tc>
        <w:tc>
          <w:tcPr>
            <w:tcW w:w="0" w:type="auto"/>
            <w:vAlign w:val="top"/>
          </w:tcPr>
          <w:p w14:paraId="1B94229F" w14:textId="77777777" w:rsidR="00BA00C0" w:rsidRPr="00975F60" w:rsidRDefault="00BA00C0">
            <w:pPr>
              <w:pStyle w:val="Tabletext0"/>
              <w:jc w:val="center"/>
              <w:rPr>
                <w:bCs/>
              </w:rPr>
            </w:pPr>
            <w:r w:rsidRPr="00975F60">
              <w:rPr>
                <w:bCs/>
              </w:rPr>
              <w:t>Year 3</w:t>
            </w:r>
          </w:p>
        </w:tc>
        <w:tc>
          <w:tcPr>
            <w:tcW w:w="0" w:type="auto"/>
            <w:vAlign w:val="top"/>
          </w:tcPr>
          <w:p w14:paraId="1D00EDC1" w14:textId="77777777" w:rsidR="00BA00C0" w:rsidRPr="00975F60" w:rsidRDefault="00BA00C0">
            <w:pPr>
              <w:pStyle w:val="Tabletext0"/>
              <w:jc w:val="center"/>
              <w:rPr>
                <w:bCs/>
              </w:rPr>
            </w:pPr>
            <w:r w:rsidRPr="00975F60">
              <w:rPr>
                <w:bCs/>
              </w:rPr>
              <w:t>Year 4</w:t>
            </w:r>
          </w:p>
        </w:tc>
        <w:tc>
          <w:tcPr>
            <w:tcW w:w="0" w:type="auto"/>
            <w:vAlign w:val="top"/>
          </w:tcPr>
          <w:p w14:paraId="47ADBD3C" w14:textId="77777777" w:rsidR="00BA00C0" w:rsidRPr="00975F60" w:rsidRDefault="00BA00C0">
            <w:pPr>
              <w:pStyle w:val="Tabletext0"/>
              <w:jc w:val="center"/>
              <w:rPr>
                <w:bCs/>
              </w:rPr>
            </w:pPr>
            <w:r w:rsidRPr="00975F60">
              <w:rPr>
                <w:bCs/>
              </w:rPr>
              <w:t>Year 5</w:t>
            </w:r>
          </w:p>
        </w:tc>
        <w:tc>
          <w:tcPr>
            <w:tcW w:w="0" w:type="auto"/>
            <w:vAlign w:val="top"/>
          </w:tcPr>
          <w:p w14:paraId="6F418282" w14:textId="77777777" w:rsidR="00BA00C0" w:rsidRPr="00975F60" w:rsidRDefault="00BA00C0">
            <w:pPr>
              <w:pStyle w:val="Tabletext0"/>
              <w:jc w:val="center"/>
              <w:rPr>
                <w:bCs/>
              </w:rPr>
            </w:pPr>
            <w:r w:rsidRPr="00975F60">
              <w:rPr>
                <w:bCs/>
              </w:rPr>
              <w:t>Year 6</w:t>
            </w:r>
          </w:p>
        </w:tc>
        <w:tc>
          <w:tcPr>
            <w:tcW w:w="0" w:type="auto"/>
            <w:vAlign w:val="top"/>
          </w:tcPr>
          <w:p w14:paraId="3F389BA7" w14:textId="77777777" w:rsidR="00BA00C0" w:rsidRPr="00975F60" w:rsidRDefault="00BA00C0">
            <w:pPr>
              <w:pStyle w:val="Tabletext0"/>
              <w:jc w:val="center"/>
              <w:rPr>
                <w:bCs/>
              </w:rPr>
            </w:pPr>
            <w:r w:rsidRPr="00975F60">
              <w:rPr>
                <w:bCs/>
              </w:rPr>
              <w:t>Total</w:t>
            </w:r>
          </w:p>
        </w:tc>
      </w:tr>
      <w:tr w:rsidR="00BA00C0" w14:paraId="0768AB2B" w14:textId="77777777" w:rsidTr="003454D6">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4" w:space="0" w:color="auto"/>
            </w:tcBorders>
            <w:vAlign w:val="top"/>
          </w:tcPr>
          <w:p w14:paraId="2BC3CBBA" w14:textId="6C56813D" w:rsidR="00BA00C0" w:rsidRPr="00975F60" w:rsidRDefault="00BA00C0">
            <w:pPr>
              <w:pStyle w:val="Tabletext0"/>
              <w:jc w:val="left"/>
            </w:pPr>
            <w:r w:rsidRPr="00975F60">
              <w:t>Cost of Index DBS procedure</w:t>
            </w:r>
            <w:r w:rsidR="000A58D2">
              <w:t>*</w:t>
            </w:r>
            <w:r w:rsidR="001F5344">
              <w:t>#</w:t>
            </w:r>
          </w:p>
        </w:tc>
        <w:tc>
          <w:tcPr>
            <w:tcW w:w="0" w:type="auto"/>
            <w:tcBorders>
              <w:bottom w:val="single" w:sz="4" w:space="0" w:color="auto"/>
            </w:tcBorders>
            <w:vAlign w:val="top"/>
          </w:tcPr>
          <w:p w14:paraId="116B5B0A" w14:textId="77777777" w:rsidR="00BA00C0" w:rsidRPr="00975F60" w:rsidRDefault="00BA00C0">
            <w:pPr>
              <w:pStyle w:val="Tabletext0"/>
              <w:jc w:val="center"/>
            </w:pPr>
            <w:r w:rsidRPr="002269AF">
              <w:t>$294,713</w:t>
            </w:r>
          </w:p>
        </w:tc>
        <w:tc>
          <w:tcPr>
            <w:tcW w:w="0" w:type="auto"/>
            <w:tcBorders>
              <w:bottom w:val="single" w:sz="4" w:space="0" w:color="auto"/>
            </w:tcBorders>
            <w:vAlign w:val="top"/>
          </w:tcPr>
          <w:p w14:paraId="5E905883" w14:textId="77777777" w:rsidR="00BA00C0" w:rsidRPr="00975F60" w:rsidRDefault="00BA00C0">
            <w:pPr>
              <w:pStyle w:val="Tabletext0"/>
              <w:jc w:val="center"/>
            </w:pPr>
            <w:r w:rsidRPr="002269AF">
              <w:t>$589,425</w:t>
            </w:r>
          </w:p>
        </w:tc>
        <w:tc>
          <w:tcPr>
            <w:tcW w:w="0" w:type="auto"/>
            <w:tcBorders>
              <w:bottom w:val="single" w:sz="4" w:space="0" w:color="auto"/>
            </w:tcBorders>
            <w:vAlign w:val="top"/>
          </w:tcPr>
          <w:p w14:paraId="62A0772C" w14:textId="77777777" w:rsidR="00BA00C0" w:rsidRPr="00975F60" w:rsidRDefault="00BA00C0">
            <w:pPr>
              <w:pStyle w:val="Tabletext0"/>
              <w:jc w:val="center"/>
            </w:pPr>
            <w:r w:rsidRPr="002269AF">
              <w:t>$884,138</w:t>
            </w:r>
          </w:p>
        </w:tc>
        <w:tc>
          <w:tcPr>
            <w:tcW w:w="0" w:type="auto"/>
            <w:tcBorders>
              <w:bottom w:val="single" w:sz="4" w:space="0" w:color="auto"/>
            </w:tcBorders>
            <w:vAlign w:val="top"/>
          </w:tcPr>
          <w:p w14:paraId="4108CE2B" w14:textId="77777777" w:rsidR="00BA00C0" w:rsidRPr="00975F60" w:rsidRDefault="00BA00C0">
            <w:pPr>
              <w:pStyle w:val="Tabletext0"/>
              <w:jc w:val="center"/>
            </w:pPr>
            <w:r w:rsidRPr="002269AF">
              <w:t>$1,178,851</w:t>
            </w:r>
          </w:p>
        </w:tc>
        <w:tc>
          <w:tcPr>
            <w:tcW w:w="0" w:type="auto"/>
            <w:tcBorders>
              <w:bottom w:val="single" w:sz="4" w:space="0" w:color="auto"/>
            </w:tcBorders>
            <w:vAlign w:val="top"/>
          </w:tcPr>
          <w:p w14:paraId="09DA12C7" w14:textId="77777777" w:rsidR="00BA00C0" w:rsidRPr="00975F60" w:rsidRDefault="00BA00C0">
            <w:pPr>
              <w:pStyle w:val="Tabletext0"/>
              <w:jc w:val="center"/>
            </w:pPr>
            <w:r w:rsidRPr="002269AF">
              <w:t>$1,473,564</w:t>
            </w:r>
          </w:p>
        </w:tc>
        <w:tc>
          <w:tcPr>
            <w:tcW w:w="0" w:type="auto"/>
            <w:tcBorders>
              <w:bottom w:val="single" w:sz="4" w:space="0" w:color="auto"/>
            </w:tcBorders>
            <w:vAlign w:val="top"/>
          </w:tcPr>
          <w:p w14:paraId="0E0F16E4" w14:textId="77777777" w:rsidR="00BA00C0" w:rsidRPr="00975F60" w:rsidRDefault="00BA00C0">
            <w:pPr>
              <w:pStyle w:val="Tabletext0"/>
              <w:jc w:val="center"/>
            </w:pPr>
            <w:r w:rsidRPr="002269AF">
              <w:t>$1,768,276</w:t>
            </w:r>
          </w:p>
        </w:tc>
        <w:tc>
          <w:tcPr>
            <w:tcW w:w="0" w:type="auto"/>
            <w:tcBorders>
              <w:bottom w:val="single" w:sz="4" w:space="0" w:color="auto"/>
            </w:tcBorders>
            <w:vAlign w:val="top"/>
          </w:tcPr>
          <w:p w14:paraId="73EDDDF3" w14:textId="77777777" w:rsidR="00BA00C0" w:rsidRPr="00975F60" w:rsidRDefault="00BA00C0">
            <w:pPr>
              <w:pStyle w:val="Tabletext0"/>
              <w:jc w:val="center"/>
            </w:pPr>
            <w:r w:rsidRPr="002269AF">
              <w:t>$6,188,967</w:t>
            </w:r>
          </w:p>
        </w:tc>
      </w:tr>
      <w:tr w:rsidR="00BA00C0" w14:paraId="56B703C3" w14:textId="77777777" w:rsidTr="003454D6">
        <w:tc>
          <w:tcPr>
            <w:tcW w:w="0" w:type="auto"/>
            <w:tcBorders>
              <w:right w:val="nil"/>
            </w:tcBorders>
            <w:vAlign w:val="top"/>
          </w:tcPr>
          <w:p w14:paraId="557B35B6" w14:textId="77777777" w:rsidR="00BA00C0" w:rsidRPr="00975F60" w:rsidRDefault="00BA00C0">
            <w:pPr>
              <w:pStyle w:val="Tabletext0"/>
              <w:jc w:val="left"/>
            </w:pPr>
            <w:r w:rsidRPr="00975F60">
              <w:t>Cost of surgery for revision of electrodes</w:t>
            </w:r>
          </w:p>
        </w:tc>
        <w:tc>
          <w:tcPr>
            <w:tcW w:w="0" w:type="auto"/>
            <w:tcBorders>
              <w:left w:val="nil"/>
              <w:right w:val="nil"/>
            </w:tcBorders>
            <w:vAlign w:val="top"/>
          </w:tcPr>
          <w:p w14:paraId="72C85D95" w14:textId="77777777" w:rsidR="00BA00C0" w:rsidRPr="00975F60" w:rsidRDefault="00BA00C0">
            <w:pPr>
              <w:pStyle w:val="Tabletext0"/>
              <w:jc w:val="center"/>
            </w:pPr>
            <w:r w:rsidRPr="002269AF">
              <w:t>$4,161</w:t>
            </w:r>
          </w:p>
        </w:tc>
        <w:tc>
          <w:tcPr>
            <w:tcW w:w="0" w:type="auto"/>
            <w:tcBorders>
              <w:left w:val="nil"/>
              <w:right w:val="nil"/>
            </w:tcBorders>
            <w:vAlign w:val="top"/>
          </w:tcPr>
          <w:p w14:paraId="0BBB0E80" w14:textId="77777777" w:rsidR="00BA00C0" w:rsidRPr="00975F60" w:rsidRDefault="00BA00C0">
            <w:pPr>
              <w:pStyle w:val="Tabletext0"/>
              <w:jc w:val="center"/>
            </w:pPr>
            <w:r w:rsidRPr="002269AF">
              <w:t>$8,321</w:t>
            </w:r>
          </w:p>
        </w:tc>
        <w:tc>
          <w:tcPr>
            <w:tcW w:w="0" w:type="auto"/>
            <w:tcBorders>
              <w:left w:val="nil"/>
              <w:right w:val="nil"/>
            </w:tcBorders>
            <w:vAlign w:val="top"/>
          </w:tcPr>
          <w:p w14:paraId="2227F13C" w14:textId="77777777" w:rsidR="00BA00C0" w:rsidRPr="00975F60" w:rsidRDefault="00BA00C0">
            <w:pPr>
              <w:pStyle w:val="Tabletext0"/>
              <w:jc w:val="center"/>
            </w:pPr>
            <w:r w:rsidRPr="002269AF">
              <w:t>$12,482</w:t>
            </w:r>
          </w:p>
        </w:tc>
        <w:tc>
          <w:tcPr>
            <w:tcW w:w="0" w:type="auto"/>
            <w:tcBorders>
              <w:left w:val="nil"/>
              <w:right w:val="nil"/>
            </w:tcBorders>
            <w:vAlign w:val="top"/>
          </w:tcPr>
          <w:p w14:paraId="715E4F21" w14:textId="77777777" w:rsidR="00BA00C0" w:rsidRPr="00975F60" w:rsidRDefault="00BA00C0">
            <w:pPr>
              <w:pStyle w:val="Tabletext0"/>
              <w:jc w:val="center"/>
            </w:pPr>
            <w:r w:rsidRPr="002269AF">
              <w:t>$16,642</w:t>
            </w:r>
          </w:p>
        </w:tc>
        <w:tc>
          <w:tcPr>
            <w:tcW w:w="0" w:type="auto"/>
            <w:tcBorders>
              <w:left w:val="nil"/>
              <w:right w:val="nil"/>
            </w:tcBorders>
            <w:vAlign w:val="top"/>
          </w:tcPr>
          <w:p w14:paraId="4A0E9801" w14:textId="77777777" w:rsidR="00BA00C0" w:rsidRPr="00975F60" w:rsidRDefault="00BA00C0">
            <w:pPr>
              <w:pStyle w:val="Tabletext0"/>
              <w:jc w:val="center"/>
            </w:pPr>
            <w:r w:rsidRPr="002269AF">
              <w:t>$20,803</w:t>
            </w:r>
          </w:p>
        </w:tc>
        <w:tc>
          <w:tcPr>
            <w:tcW w:w="0" w:type="auto"/>
            <w:tcBorders>
              <w:left w:val="nil"/>
              <w:right w:val="nil"/>
            </w:tcBorders>
            <w:vAlign w:val="top"/>
          </w:tcPr>
          <w:p w14:paraId="2CEA314F" w14:textId="77777777" w:rsidR="00BA00C0" w:rsidRPr="00975F60" w:rsidRDefault="00BA00C0">
            <w:pPr>
              <w:pStyle w:val="Tabletext0"/>
              <w:jc w:val="center"/>
            </w:pPr>
            <w:r w:rsidRPr="002269AF">
              <w:t>$24,964</w:t>
            </w:r>
          </w:p>
        </w:tc>
        <w:tc>
          <w:tcPr>
            <w:tcW w:w="0" w:type="auto"/>
            <w:tcBorders>
              <w:left w:val="nil"/>
            </w:tcBorders>
            <w:vAlign w:val="top"/>
          </w:tcPr>
          <w:p w14:paraId="2F728076" w14:textId="77777777" w:rsidR="00BA00C0" w:rsidRPr="00975F60" w:rsidRDefault="00BA00C0">
            <w:pPr>
              <w:pStyle w:val="Tabletext0"/>
              <w:jc w:val="center"/>
            </w:pPr>
            <w:r w:rsidRPr="002269AF">
              <w:t>$87,372</w:t>
            </w:r>
          </w:p>
        </w:tc>
      </w:tr>
      <w:tr w:rsidR="00BA00C0" w14:paraId="288555C1" w14:textId="77777777" w:rsidTr="003454D6">
        <w:tc>
          <w:tcPr>
            <w:tcW w:w="0" w:type="auto"/>
            <w:vAlign w:val="top"/>
          </w:tcPr>
          <w:p w14:paraId="461821F6" w14:textId="77777777" w:rsidR="00BA00C0" w:rsidRPr="00975F60" w:rsidRDefault="00BA00C0">
            <w:pPr>
              <w:pStyle w:val="Tabletext0"/>
              <w:jc w:val="left"/>
            </w:pPr>
            <w:r w:rsidRPr="00975F60">
              <w:t>Cost of surgery for revision of leads</w:t>
            </w:r>
          </w:p>
        </w:tc>
        <w:tc>
          <w:tcPr>
            <w:tcW w:w="0" w:type="auto"/>
            <w:vAlign w:val="top"/>
          </w:tcPr>
          <w:p w14:paraId="26DBB735" w14:textId="77777777" w:rsidR="00BA00C0" w:rsidRPr="00975F60" w:rsidRDefault="00BA00C0">
            <w:pPr>
              <w:pStyle w:val="Tabletext0"/>
              <w:jc w:val="center"/>
            </w:pPr>
            <w:r w:rsidRPr="002269AF">
              <w:t>$6,738</w:t>
            </w:r>
          </w:p>
        </w:tc>
        <w:tc>
          <w:tcPr>
            <w:tcW w:w="0" w:type="auto"/>
            <w:vAlign w:val="top"/>
          </w:tcPr>
          <w:p w14:paraId="561021C0" w14:textId="77777777" w:rsidR="00BA00C0" w:rsidRPr="00975F60" w:rsidRDefault="00BA00C0">
            <w:pPr>
              <w:pStyle w:val="Tabletext0"/>
              <w:jc w:val="center"/>
            </w:pPr>
            <w:r w:rsidRPr="002269AF">
              <w:t>$13,475</w:t>
            </w:r>
          </w:p>
        </w:tc>
        <w:tc>
          <w:tcPr>
            <w:tcW w:w="0" w:type="auto"/>
            <w:vAlign w:val="top"/>
          </w:tcPr>
          <w:p w14:paraId="43EBB71D" w14:textId="77777777" w:rsidR="00BA00C0" w:rsidRPr="00975F60" w:rsidRDefault="00BA00C0">
            <w:pPr>
              <w:pStyle w:val="Tabletext0"/>
              <w:jc w:val="center"/>
            </w:pPr>
            <w:r w:rsidRPr="002269AF">
              <w:t>$20,213</w:t>
            </w:r>
          </w:p>
        </w:tc>
        <w:tc>
          <w:tcPr>
            <w:tcW w:w="0" w:type="auto"/>
            <w:vAlign w:val="top"/>
          </w:tcPr>
          <w:p w14:paraId="44DCB0BF" w14:textId="77777777" w:rsidR="00BA00C0" w:rsidRPr="00975F60" w:rsidRDefault="00BA00C0">
            <w:pPr>
              <w:pStyle w:val="Tabletext0"/>
              <w:jc w:val="center"/>
            </w:pPr>
            <w:r w:rsidRPr="002269AF">
              <w:t>$26,951</w:t>
            </w:r>
          </w:p>
        </w:tc>
        <w:tc>
          <w:tcPr>
            <w:tcW w:w="0" w:type="auto"/>
            <w:vAlign w:val="top"/>
          </w:tcPr>
          <w:p w14:paraId="617567BA" w14:textId="77777777" w:rsidR="00BA00C0" w:rsidRPr="00975F60" w:rsidRDefault="00BA00C0">
            <w:pPr>
              <w:pStyle w:val="Tabletext0"/>
              <w:jc w:val="center"/>
            </w:pPr>
            <w:r w:rsidRPr="002269AF">
              <w:t>$33,689</w:t>
            </w:r>
          </w:p>
        </w:tc>
        <w:tc>
          <w:tcPr>
            <w:tcW w:w="0" w:type="auto"/>
            <w:vAlign w:val="top"/>
          </w:tcPr>
          <w:p w14:paraId="70192A53" w14:textId="77777777" w:rsidR="00BA00C0" w:rsidRPr="00975F60" w:rsidRDefault="00BA00C0">
            <w:pPr>
              <w:pStyle w:val="Tabletext0"/>
              <w:jc w:val="center"/>
            </w:pPr>
            <w:r w:rsidRPr="002269AF">
              <w:t>$40,426</w:t>
            </w:r>
          </w:p>
        </w:tc>
        <w:tc>
          <w:tcPr>
            <w:tcW w:w="0" w:type="auto"/>
            <w:vAlign w:val="top"/>
          </w:tcPr>
          <w:p w14:paraId="1079B79A" w14:textId="77777777" w:rsidR="00BA00C0" w:rsidRPr="00975F60" w:rsidRDefault="00BA00C0">
            <w:pPr>
              <w:pStyle w:val="Tabletext0"/>
              <w:jc w:val="center"/>
            </w:pPr>
            <w:r w:rsidRPr="002269AF">
              <w:t>$141,492</w:t>
            </w:r>
          </w:p>
        </w:tc>
      </w:tr>
      <w:tr w:rsidR="00BA00C0" w14:paraId="71C7F623" w14:textId="77777777" w:rsidTr="003454D6">
        <w:tc>
          <w:tcPr>
            <w:tcW w:w="0" w:type="auto"/>
            <w:vAlign w:val="top"/>
          </w:tcPr>
          <w:p w14:paraId="1E37998B" w14:textId="77777777" w:rsidR="00BA00C0" w:rsidRPr="00975F60" w:rsidRDefault="00BA00C0">
            <w:pPr>
              <w:pStyle w:val="Tabletext0"/>
              <w:jc w:val="left"/>
            </w:pPr>
            <w:r w:rsidRPr="00975F60">
              <w:t>Cost of surgery for IPG replacement</w:t>
            </w:r>
          </w:p>
        </w:tc>
        <w:tc>
          <w:tcPr>
            <w:tcW w:w="0" w:type="auto"/>
            <w:vAlign w:val="top"/>
          </w:tcPr>
          <w:p w14:paraId="560A2776" w14:textId="77777777" w:rsidR="00BA00C0" w:rsidRPr="00975F60" w:rsidRDefault="00BA00C0">
            <w:pPr>
              <w:pStyle w:val="Tabletext0"/>
              <w:jc w:val="center"/>
            </w:pPr>
            <w:r w:rsidRPr="002269AF">
              <w:t>$0</w:t>
            </w:r>
          </w:p>
        </w:tc>
        <w:tc>
          <w:tcPr>
            <w:tcW w:w="0" w:type="auto"/>
            <w:vAlign w:val="top"/>
          </w:tcPr>
          <w:p w14:paraId="5E98BC06" w14:textId="77777777" w:rsidR="00BA00C0" w:rsidRPr="00975F60" w:rsidRDefault="00BA00C0">
            <w:pPr>
              <w:pStyle w:val="Tabletext0"/>
              <w:jc w:val="center"/>
            </w:pPr>
            <w:r w:rsidRPr="002269AF">
              <w:t>$0</w:t>
            </w:r>
          </w:p>
        </w:tc>
        <w:tc>
          <w:tcPr>
            <w:tcW w:w="0" w:type="auto"/>
            <w:vAlign w:val="top"/>
          </w:tcPr>
          <w:p w14:paraId="24720A13" w14:textId="77777777" w:rsidR="00BA00C0" w:rsidRPr="00975F60" w:rsidRDefault="00BA00C0">
            <w:pPr>
              <w:pStyle w:val="Tabletext0"/>
              <w:jc w:val="center"/>
            </w:pPr>
            <w:r w:rsidRPr="002269AF">
              <w:t>$0</w:t>
            </w:r>
          </w:p>
        </w:tc>
        <w:tc>
          <w:tcPr>
            <w:tcW w:w="0" w:type="auto"/>
            <w:vAlign w:val="top"/>
          </w:tcPr>
          <w:p w14:paraId="45F930DA" w14:textId="77777777" w:rsidR="00BA00C0" w:rsidRPr="00975F60" w:rsidRDefault="00BA00C0">
            <w:pPr>
              <w:pStyle w:val="Tabletext0"/>
              <w:jc w:val="center"/>
            </w:pPr>
            <w:r w:rsidRPr="002269AF">
              <w:t>$36,638</w:t>
            </w:r>
          </w:p>
        </w:tc>
        <w:tc>
          <w:tcPr>
            <w:tcW w:w="0" w:type="auto"/>
            <w:vAlign w:val="top"/>
          </w:tcPr>
          <w:p w14:paraId="03D3ECA5" w14:textId="77777777" w:rsidR="00BA00C0" w:rsidRPr="00975F60" w:rsidRDefault="00BA00C0">
            <w:pPr>
              <w:pStyle w:val="Tabletext0"/>
              <w:jc w:val="center"/>
            </w:pPr>
            <w:r w:rsidRPr="002269AF">
              <w:t>$73,277</w:t>
            </w:r>
          </w:p>
        </w:tc>
        <w:tc>
          <w:tcPr>
            <w:tcW w:w="0" w:type="auto"/>
            <w:vAlign w:val="top"/>
          </w:tcPr>
          <w:p w14:paraId="742A3A6C" w14:textId="77777777" w:rsidR="00BA00C0" w:rsidRPr="00975F60" w:rsidRDefault="00BA00C0">
            <w:pPr>
              <w:pStyle w:val="Tabletext0"/>
              <w:jc w:val="center"/>
            </w:pPr>
            <w:r w:rsidRPr="002269AF">
              <w:t>$109,915</w:t>
            </w:r>
          </w:p>
        </w:tc>
        <w:tc>
          <w:tcPr>
            <w:tcW w:w="0" w:type="auto"/>
            <w:vAlign w:val="top"/>
          </w:tcPr>
          <w:p w14:paraId="13104230" w14:textId="77777777" w:rsidR="00BA00C0" w:rsidRPr="00975F60" w:rsidRDefault="00BA00C0">
            <w:pPr>
              <w:pStyle w:val="Tabletext0"/>
              <w:jc w:val="center"/>
            </w:pPr>
            <w:r w:rsidRPr="002269AF">
              <w:t>$219,830</w:t>
            </w:r>
          </w:p>
        </w:tc>
      </w:tr>
      <w:tr w:rsidR="00BA00C0" w14:paraId="32C8C6B3" w14:textId="77777777" w:rsidTr="00B251CA">
        <w:trPr>
          <w:trHeight w:val="300"/>
        </w:trPr>
        <w:tc>
          <w:tcPr>
            <w:tcW w:w="0" w:type="auto"/>
            <w:vAlign w:val="top"/>
          </w:tcPr>
          <w:p w14:paraId="1F3AA097" w14:textId="77777777" w:rsidR="00BA00C0" w:rsidRPr="00975F60" w:rsidRDefault="00BA00C0">
            <w:pPr>
              <w:pStyle w:val="Tabletext0"/>
              <w:jc w:val="left"/>
            </w:pPr>
            <w:r w:rsidRPr="00975F60">
              <w:t>Cost of surgery for IPG removal</w:t>
            </w:r>
          </w:p>
        </w:tc>
        <w:tc>
          <w:tcPr>
            <w:tcW w:w="0" w:type="auto"/>
            <w:vAlign w:val="top"/>
          </w:tcPr>
          <w:p w14:paraId="272F8EB5" w14:textId="77777777" w:rsidR="00BA00C0" w:rsidRPr="00975F60" w:rsidRDefault="00BA00C0">
            <w:pPr>
              <w:pStyle w:val="Tabletext0"/>
              <w:jc w:val="center"/>
            </w:pPr>
            <w:r w:rsidRPr="002269AF">
              <w:t>$1,298</w:t>
            </w:r>
          </w:p>
        </w:tc>
        <w:tc>
          <w:tcPr>
            <w:tcW w:w="0" w:type="auto"/>
            <w:vAlign w:val="top"/>
          </w:tcPr>
          <w:p w14:paraId="66828507" w14:textId="77777777" w:rsidR="00BA00C0" w:rsidRPr="00975F60" w:rsidRDefault="00BA00C0">
            <w:pPr>
              <w:pStyle w:val="Tabletext0"/>
              <w:jc w:val="center"/>
            </w:pPr>
            <w:r w:rsidRPr="002269AF">
              <w:t>$2,597</w:t>
            </w:r>
          </w:p>
        </w:tc>
        <w:tc>
          <w:tcPr>
            <w:tcW w:w="0" w:type="auto"/>
            <w:vAlign w:val="top"/>
          </w:tcPr>
          <w:p w14:paraId="38363E20" w14:textId="77777777" w:rsidR="00BA00C0" w:rsidRPr="00975F60" w:rsidRDefault="00BA00C0">
            <w:pPr>
              <w:pStyle w:val="Tabletext0"/>
              <w:jc w:val="center"/>
            </w:pPr>
            <w:r w:rsidRPr="002269AF">
              <w:t>$3,895</w:t>
            </w:r>
          </w:p>
        </w:tc>
        <w:tc>
          <w:tcPr>
            <w:tcW w:w="0" w:type="auto"/>
            <w:vAlign w:val="top"/>
          </w:tcPr>
          <w:p w14:paraId="13FA30A3" w14:textId="77777777" w:rsidR="00BA00C0" w:rsidRPr="00975F60" w:rsidRDefault="00BA00C0">
            <w:pPr>
              <w:pStyle w:val="Tabletext0"/>
              <w:jc w:val="center"/>
            </w:pPr>
            <w:r w:rsidRPr="002269AF">
              <w:t>$5,193</w:t>
            </w:r>
          </w:p>
        </w:tc>
        <w:tc>
          <w:tcPr>
            <w:tcW w:w="0" w:type="auto"/>
            <w:vAlign w:val="top"/>
          </w:tcPr>
          <w:p w14:paraId="00289CFC" w14:textId="77777777" w:rsidR="00BA00C0" w:rsidRPr="00975F60" w:rsidRDefault="00BA00C0">
            <w:pPr>
              <w:pStyle w:val="Tabletext0"/>
              <w:jc w:val="center"/>
            </w:pPr>
            <w:r w:rsidRPr="002269AF">
              <w:t>$6,491</w:t>
            </w:r>
          </w:p>
        </w:tc>
        <w:tc>
          <w:tcPr>
            <w:tcW w:w="0" w:type="auto"/>
            <w:vAlign w:val="top"/>
          </w:tcPr>
          <w:p w14:paraId="311B12C4" w14:textId="77777777" w:rsidR="00BA00C0" w:rsidRPr="00975F60" w:rsidRDefault="00BA00C0">
            <w:pPr>
              <w:pStyle w:val="Tabletext0"/>
              <w:jc w:val="center"/>
            </w:pPr>
            <w:r w:rsidRPr="002269AF">
              <w:t>$7,790</w:t>
            </w:r>
          </w:p>
        </w:tc>
        <w:tc>
          <w:tcPr>
            <w:tcW w:w="0" w:type="auto"/>
            <w:vAlign w:val="top"/>
          </w:tcPr>
          <w:p w14:paraId="76ABAAEA" w14:textId="77777777" w:rsidR="00BA00C0" w:rsidRPr="00975F60" w:rsidRDefault="00BA00C0">
            <w:pPr>
              <w:pStyle w:val="Tabletext0"/>
              <w:jc w:val="center"/>
            </w:pPr>
            <w:r w:rsidRPr="002269AF">
              <w:t>$27,263</w:t>
            </w:r>
          </w:p>
        </w:tc>
      </w:tr>
      <w:tr w:rsidR="00BA00C0" w14:paraId="550522A6" w14:textId="77777777" w:rsidTr="003454D6">
        <w:tc>
          <w:tcPr>
            <w:tcW w:w="0" w:type="auto"/>
            <w:vAlign w:val="top"/>
          </w:tcPr>
          <w:p w14:paraId="5B7B85E3" w14:textId="77777777" w:rsidR="00BA00C0" w:rsidRPr="00975F60" w:rsidRDefault="00BA00C0">
            <w:pPr>
              <w:pStyle w:val="Tabletext0"/>
              <w:jc w:val="left"/>
            </w:pPr>
            <w:r w:rsidRPr="00975F60">
              <w:t>Total costs of all DBS services</w:t>
            </w:r>
          </w:p>
        </w:tc>
        <w:tc>
          <w:tcPr>
            <w:tcW w:w="0" w:type="auto"/>
            <w:vAlign w:val="top"/>
          </w:tcPr>
          <w:p w14:paraId="2CCC2C88" w14:textId="77777777" w:rsidR="00BA00C0" w:rsidRPr="00975F60" w:rsidRDefault="00BA00C0">
            <w:pPr>
              <w:pStyle w:val="Tabletext0"/>
              <w:jc w:val="center"/>
            </w:pPr>
            <w:r w:rsidRPr="002269AF">
              <w:t>$306,909</w:t>
            </w:r>
          </w:p>
        </w:tc>
        <w:tc>
          <w:tcPr>
            <w:tcW w:w="0" w:type="auto"/>
            <w:vAlign w:val="top"/>
          </w:tcPr>
          <w:p w14:paraId="2FD539CB" w14:textId="77777777" w:rsidR="00BA00C0" w:rsidRPr="00975F60" w:rsidRDefault="00BA00C0">
            <w:pPr>
              <w:pStyle w:val="Tabletext0"/>
              <w:jc w:val="center"/>
            </w:pPr>
            <w:r w:rsidRPr="002269AF">
              <w:t>$613,819</w:t>
            </w:r>
          </w:p>
        </w:tc>
        <w:tc>
          <w:tcPr>
            <w:tcW w:w="0" w:type="auto"/>
            <w:vAlign w:val="top"/>
          </w:tcPr>
          <w:p w14:paraId="2216F92A" w14:textId="77777777" w:rsidR="00BA00C0" w:rsidRPr="00975F60" w:rsidRDefault="00BA00C0">
            <w:pPr>
              <w:pStyle w:val="Tabletext0"/>
              <w:jc w:val="center"/>
            </w:pPr>
            <w:r w:rsidRPr="002269AF">
              <w:t>$920,728</w:t>
            </w:r>
          </w:p>
        </w:tc>
        <w:tc>
          <w:tcPr>
            <w:tcW w:w="0" w:type="auto"/>
            <w:vAlign w:val="top"/>
          </w:tcPr>
          <w:p w14:paraId="6661809F" w14:textId="77777777" w:rsidR="00BA00C0" w:rsidRPr="00975F60" w:rsidRDefault="00BA00C0">
            <w:pPr>
              <w:pStyle w:val="Tabletext0"/>
              <w:jc w:val="center"/>
            </w:pPr>
            <w:r w:rsidRPr="002269AF">
              <w:t>$1,264,275</w:t>
            </w:r>
          </w:p>
        </w:tc>
        <w:tc>
          <w:tcPr>
            <w:tcW w:w="0" w:type="auto"/>
            <w:vAlign w:val="top"/>
          </w:tcPr>
          <w:p w14:paraId="45902EBA" w14:textId="77777777" w:rsidR="00BA00C0" w:rsidRPr="00975F60" w:rsidRDefault="00BA00C0">
            <w:pPr>
              <w:pStyle w:val="Tabletext0"/>
              <w:jc w:val="center"/>
            </w:pPr>
            <w:r w:rsidRPr="002269AF">
              <w:t>$1,607,823</w:t>
            </w:r>
          </w:p>
        </w:tc>
        <w:tc>
          <w:tcPr>
            <w:tcW w:w="0" w:type="auto"/>
            <w:vAlign w:val="top"/>
          </w:tcPr>
          <w:p w14:paraId="475D5CAD" w14:textId="77777777" w:rsidR="00BA00C0" w:rsidRPr="00975F60" w:rsidRDefault="00BA00C0">
            <w:pPr>
              <w:pStyle w:val="Tabletext0"/>
              <w:jc w:val="center"/>
            </w:pPr>
            <w:r w:rsidRPr="002269AF">
              <w:t>$1,951,371</w:t>
            </w:r>
          </w:p>
        </w:tc>
        <w:tc>
          <w:tcPr>
            <w:tcW w:w="0" w:type="auto"/>
            <w:vAlign w:val="top"/>
          </w:tcPr>
          <w:p w14:paraId="63B94125" w14:textId="77777777" w:rsidR="00BA00C0" w:rsidRPr="00975F60" w:rsidRDefault="00BA00C0">
            <w:pPr>
              <w:pStyle w:val="Tabletext0"/>
              <w:jc w:val="center"/>
            </w:pPr>
            <w:r w:rsidRPr="002269AF">
              <w:t>$6,664,925</w:t>
            </w:r>
          </w:p>
        </w:tc>
      </w:tr>
      <w:tr w:rsidR="00BA00C0" w14:paraId="7BFD302B" w14:textId="77777777" w:rsidTr="003454D6">
        <w:tc>
          <w:tcPr>
            <w:tcW w:w="0" w:type="auto"/>
            <w:gridSpan w:val="8"/>
            <w:vAlign w:val="top"/>
          </w:tcPr>
          <w:p w14:paraId="410F1DF6" w14:textId="4573CA67" w:rsidR="00BA00C0" w:rsidRPr="00975F60" w:rsidRDefault="00BA00C0">
            <w:pPr>
              <w:pStyle w:val="Tabletext0"/>
              <w:jc w:val="left"/>
            </w:pPr>
            <w:r w:rsidRPr="00975F60">
              <w:t>Total costs of all DBS services- by</w:t>
            </w:r>
            <w:r w:rsidR="00013266">
              <w:t xml:space="preserve"> healthcare budget</w:t>
            </w:r>
          </w:p>
        </w:tc>
      </w:tr>
      <w:tr w:rsidR="00BA00C0" w14:paraId="543038D1" w14:textId="77777777" w:rsidTr="003454D6">
        <w:tc>
          <w:tcPr>
            <w:tcW w:w="0" w:type="auto"/>
            <w:vAlign w:val="top"/>
          </w:tcPr>
          <w:p w14:paraId="3B2DDE9A" w14:textId="77777777" w:rsidR="00BA00C0" w:rsidRPr="00975F60" w:rsidRDefault="00BA00C0">
            <w:pPr>
              <w:pStyle w:val="Tabletext0"/>
              <w:jc w:val="left"/>
            </w:pPr>
            <w:r w:rsidRPr="00975F60">
              <w:t>Cost to MBS</w:t>
            </w:r>
          </w:p>
        </w:tc>
        <w:tc>
          <w:tcPr>
            <w:tcW w:w="0" w:type="auto"/>
            <w:vAlign w:val="top"/>
          </w:tcPr>
          <w:p w14:paraId="69C192E2" w14:textId="77777777" w:rsidR="00BA00C0" w:rsidRPr="00975F60" w:rsidRDefault="00BA00C0">
            <w:pPr>
              <w:pStyle w:val="Tabletext0"/>
              <w:jc w:val="center"/>
            </w:pPr>
            <w:r w:rsidRPr="00747B7F">
              <w:t>$67,619</w:t>
            </w:r>
          </w:p>
        </w:tc>
        <w:tc>
          <w:tcPr>
            <w:tcW w:w="0" w:type="auto"/>
            <w:vAlign w:val="top"/>
          </w:tcPr>
          <w:p w14:paraId="422CD93E" w14:textId="77777777" w:rsidR="00BA00C0" w:rsidRPr="00975F60" w:rsidRDefault="00BA00C0">
            <w:pPr>
              <w:pStyle w:val="Tabletext0"/>
              <w:jc w:val="center"/>
            </w:pPr>
            <w:r w:rsidRPr="00747B7F">
              <w:t>$135,238</w:t>
            </w:r>
          </w:p>
        </w:tc>
        <w:tc>
          <w:tcPr>
            <w:tcW w:w="0" w:type="auto"/>
            <w:vAlign w:val="top"/>
          </w:tcPr>
          <w:p w14:paraId="4D970400" w14:textId="77777777" w:rsidR="00BA00C0" w:rsidRPr="00975F60" w:rsidRDefault="00BA00C0">
            <w:pPr>
              <w:pStyle w:val="Tabletext0"/>
              <w:jc w:val="center"/>
            </w:pPr>
            <w:r w:rsidRPr="00747B7F">
              <w:t>$202,857</w:t>
            </w:r>
          </w:p>
        </w:tc>
        <w:tc>
          <w:tcPr>
            <w:tcW w:w="0" w:type="auto"/>
            <w:vAlign w:val="top"/>
          </w:tcPr>
          <w:p w14:paraId="35816418" w14:textId="77777777" w:rsidR="00BA00C0" w:rsidRPr="00975F60" w:rsidRDefault="00BA00C0">
            <w:pPr>
              <w:pStyle w:val="Tabletext0"/>
              <w:jc w:val="center"/>
            </w:pPr>
            <w:r w:rsidRPr="00747B7F">
              <w:t>$277,107</w:t>
            </w:r>
          </w:p>
        </w:tc>
        <w:tc>
          <w:tcPr>
            <w:tcW w:w="0" w:type="auto"/>
            <w:vAlign w:val="top"/>
          </w:tcPr>
          <w:p w14:paraId="3FE9BC5E" w14:textId="77777777" w:rsidR="00BA00C0" w:rsidRPr="00975F60" w:rsidRDefault="00BA00C0">
            <w:pPr>
              <w:pStyle w:val="Tabletext0"/>
              <w:jc w:val="center"/>
            </w:pPr>
            <w:r w:rsidRPr="00747B7F">
              <w:t>$351,357</w:t>
            </w:r>
          </w:p>
        </w:tc>
        <w:tc>
          <w:tcPr>
            <w:tcW w:w="0" w:type="auto"/>
            <w:vAlign w:val="top"/>
          </w:tcPr>
          <w:p w14:paraId="04EC3F37" w14:textId="77777777" w:rsidR="00BA00C0" w:rsidRPr="00975F60" w:rsidRDefault="00BA00C0">
            <w:pPr>
              <w:pStyle w:val="Tabletext0"/>
              <w:jc w:val="center"/>
            </w:pPr>
            <w:r w:rsidRPr="00747B7F">
              <w:t>$425,608</w:t>
            </w:r>
          </w:p>
        </w:tc>
        <w:tc>
          <w:tcPr>
            <w:tcW w:w="0" w:type="auto"/>
            <w:vAlign w:val="top"/>
          </w:tcPr>
          <w:p w14:paraId="7641C505" w14:textId="77777777" w:rsidR="00BA00C0" w:rsidRPr="00975F60" w:rsidRDefault="00BA00C0">
            <w:pPr>
              <w:pStyle w:val="Tabletext0"/>
              <w:jc w:val="center"/>
            </w:pPr>
            <w:r w:rsidRPr="00747B7F">
              <w:t>$1,459,786</w:t>
            </w:r>
          </w:p>
        </w:tc>
      </w:tr>
      <w:tr w:rsidR="00BA00C0" w14:paraId="1777BE6F" w14:textId="77777777" w:rsidTr="003454D6">
        <w:tc>
          <w:tcPr>
            <w:tcW w:w="0" w:type="auto"/>
            <w:vAlign w:val="top"/>
          </w:tcPr>
          <w:p w14:paraId="59008842" w14:textId="77777777" w:rsidR="00BA00C0" w:rsidRPr="00975F60" w:rsidRDefault="00BA00C0">
            <w:pPr>
              <w:pStyle w:val="Tabletext0"/>
              <w:jc w:val="left"/>
            </w:pPr>
            <w:r w:rsidRPr="00975F60">
              <w:t>Cost to prostheses list</w:t>
            </w:r>
          </w:p>
        </w:tc>
        <w:tc>
          <w:tcPr>
            <w:tcW w:w="0" w:type="auto"/>
            <w:vAlign w:val="top"/>
          </w:tcPr>
          <w:p w14:paraId="0478401F" w14:textId="77777777" w:rsidR="00BA00C0" w:rsidRPr="00975F60" w:rsidRDefault="00BA00C0">
            <w:pPr>
              <w:pStyle w:val="Tabletext0"/>
              <w:jc w:val="center"/>
            </w:pPr>
            <w:r w:rsidRPr="00747B7F">
              <w:t>$168,606</w:t>
            </w:r>
          </w:p>
        </w:tc>
        <w:tc>
          <w:tcPr>
            <w:tcW w:w="0" w:type="auto"/>
            <w:vAlign w:val="top"/>
          </w:tcPr>
          <w:p w14:paraId="14408735" w14:textId="77777777" w:rsidR="00BA00C0" w:rsidRPr="00975F60" w:rsidRDefault="00BA00C0">
            <w:pPr>
              <w:pStyle w:val="Tabletext0"/>
              <w:jc w:val="center"/>
            </w:pPr>
            <w:r w:rsidRPr="00747B7F">
              <w:t>$337,212</w:t>
            </w:r>
          </w:p>
        </w:tc>
        <w:tc>
          <w:tcPr>
            <w:tcW w:w="0" w:type="auto"/>
            <w:vAlign w:val="top"/>
          </w:tcPr>
          <w:p w14:paraId="0A8FBA99" w14:textId="77777777" w:rsidR="00BA00C0" w:rsidRPr="00975F60" w:rsidRDefault="00BA00C0">
            <w:pPr>
              <w:pStyle w:val="Tabletext0"/>
              <w:jc w:val="center"/>
            </w:pPr>
            <w:r w:rsidRPr="00747B7F">
              <w:t>$505,818</w:t>
            </w:r>
          </w:p>
        </w:tc>
        <w:tc>
          <w:tcPr>
            <w:tcW w:w="0" w:type="auto"/>
            <w:vAlign w:val="top"/>
          </w:tcPr>
          <w:p w14:paraId="46F637DA" w14:textId="77777777" w:rsidR="00BA00C0" w:rsidRPr="00975F60" w:rsidRDefault="00BA00C0">
            <w:pPr>
              <w:pStyle w:val="Tabletext0"/>
              <w:jc w:val="center"/>
            </w:pPr>
            <w:r w:rsidRPr="00747B7F">
              <w:t>$691,414</w:t>
            </w:r>
          </w:p>
        </w:tc>
        <w:tc>
          <w:tcPr>
            <w:tcW w:w="0" w:type="auto"/>
            <w:vAlign w:val="top"/>
          </w:tcPr>
          <w:p w14:paraId="6EC98FD7" w14:textId="77777777" w:rsidR="00BA00C0" w:rsidRPr="00975F60" w:rsidRDefault="00BA00C0">
            <w:pPr>
              <w:pStyle w:val="Tabletext0"/>
              <w:jc w:val="center"/>
            </w:pPr>
            <w:r w:rsidRPr="00747B7F">
              <w:t>$877,011</w:t>
            </w:r>
          </w:p>
        </w:tc>
        <w:tc>
          <w:tcPr>
            <w:tcW w:w="0" w:type="auto"/>
            <w:vAlign w:val="top"/>
          </w:tcPr>
          <w:p w14:paraId="45A02FA7" w14:textId="77777777" w:rsidR="00BA00C0" w:rsidRPr="00975F60" w:rsidRDefault="00BA00C0">
            <w:pPr>
              <w:pStyle w:val="Tabletext0"/>
              <w:jc w:val="center"/>
            </w:pPr>
            <w:r w:rsidRPr="00747B7F">
              <w:t>$1,062,607</w:t>
            </w:r>
          </w:p>
        </w:tc>
        <w:tc>
          <w:tcPr>
            <w:tcW w:w="0" w:type="auto"/>
            <w:vAlign w:val="top"/>
          </w:tcPr>
          <w:p w14:paraId="2D50FFF2" w14:textId="77777777" w:rsidR="00BA00C0" w:rsidRPr="00975F60" w:rsidRDefault="00BA00C0">
            <w:pPr>
              <w:pStyle w:val="Tabletext0"/>
              <w:jc w:val="center"/>
            </w:pPr>
            <w:r w:rsidRPr="00747B7F">
              <w:t>$3,642,668</w:t>
            </w:r>
          </w:p>
        </w:tc>
      </w:tr>
      <w:tr w:rsidR="00BA00C0" w14:paraId="3877482D" w14:textId="77777777" w:rsidTr="003454D6">
        <w:tc>
          <w:tcPr>
            <w:tcW w:w="0" w:type="auto"/>
            <w:vAlign w:val="top"/>
          </w:tcPr>
          <w:p w14:paraId="67D161CB" w14:textId="77777777" w:rsidR="00BA00C0" w:rsidRPr="00975F60" w:rsidRDefault="00BA00C0">
            <w:pPr>
              <w:pStyle w:val="Tabletext0"/>
              <w:jc w:val="left"/>
            </w:pPr>
            <w:r w:rsidRPr="00975F60">
              <w:t>Cost to hospital</w:t>
            </w:r>
          </w:p>
        </w:tc>
        <w:tc>
          <w:tcPr>
            <w:tcW w:w="0" w:type="auto"/>
            <w:vAlign w:val="top"/>
          </w:tcPr>
          <w:p w14:paraId="66A18ECC" w14:textId="77777777" w:rsidR="00BA00C0" w:rsidRPr="00975F60" w:rsidRDefault="00BA00C0">
            <w:pPr>
              <w:pStyle w:val="Tabletext0"/>
              <w:jc w:val="center"/>
            </w:pPr>
            <w:r w:rsidRPr="00747B7F">
              <w:t>$70,684</w:t>
            </w:r>
          </w:p>
        </w:tc>
        <w:tc>
          <w:tcPr>
            <w:tcW w:w="0" w:type="auto"/>
            <w:vAlign w:val="top"/>
          </w:tcPr>
          <w:p w14:paraId="5EF01115" w14:textId="77777777" w:rsidR="00BA00C0" w:rsidRPr="00975F60" w:rsidRDefault="00BA00C0">
            <w:pPr>
              <w:pStyle w:val="Tabletext0"/>
              <w:jc w:val="center"/>
            </w:pPr>
            <w:r w:rsidRPr="00747B7F">
              <w:t>$141,369</w:t>
            </w:r>
          </w:p>
        </w:tc>
        <w:tc>
          <w:tcPr>
            <w:tcW w:w="0" w:type="auto"/>
            <w:vAlign w:val="top"/>
          </w:tcPr>
          <w:p w14:paraId="3ACC3ED3" w14:textId="77777777" w:rsidR="00BA00C0" w:rsidRPr="00975F60" w:rsidRDefault="00BA00C0">
            <w:pPr>
              <w:pStyle w:val="Tabletext0"/>
              <w:jc w:val="center"/>
            </w:pPr>
            <w:r w:rsidRPr="00747B7F">
              <w:t>$212,053</w:t>
            </w:r>
          </w:p>
        </w:tc>
        <w:tc>
          <w:tcPr>
            <w:tcW w:w="0" w:type="auto"/>
            <w:vAlign w:val="top"/>
          </w:tcPr>
          <w:p w14:paraId="48930995" w14:textId="77777777" w:rsidR="00BA00C0" w:rsidRPr="00975F60" w:rsidRDefault="00BA00C0">
            <w:pPr>
              <w:pStyle w:val="Tabletext0"/>
              <w:jc w:val="center"/>
            </w:pPr>
            <w:r w:rsidRPr="00747B7F">
              <w:t>$295,754</w:t>
            </w:r>
          </w:p>
        </w:tc>
        <w:tc>
          <w:tcPr>
            <w:tcW w:w="0" w:type="auto"/>
            <w:vAlign w:val="top"/>
          </w:tcPr>
          <w:p w14:paraId="4BE3664E" w14:textId="77777777" w:rsidR="00BA00C0" w:rsidRPr="00975F60" w:rsidRDefault="00BA00C0">
            <w:pPr>
              <w:pStyle w:val="Tabletext0"/>
              <w:jc w:val="center"/>
            </w:pPr>
            <w:r w:rsidRPr="00747B7F">
              <w:t>$379,455</w:t>
            </w:r>
          </w:p>
        </w:tc>
        <w:tc>
          <w:tcPr>
            <w:tcW w:w="0" w:type="auto"/>
            <w:vAlign w:val="top"/>
          </w:tcPr>
          <w:p w14:paraId="6DD89B9F" w14:textId="77777777" w:rsidR="00BA00C0" w:rsidRPr="00975F60" w:rsidRDefault="00BA00C0">
            <w:pPr>
              <w:pStyle w:val="Tabletext0"/>
              <w:jc w:val="center"/>
            </w:pPr>
            <w:r w:rsidRPr="00747B7F">
              <w:t>$463,156</w:t>
            </w:r>
          </w:p>
        </w:tc>
        <w:tc>
          <w:tcPr>
            <w:tcW w:w="0" w:type="auto"/>
            <w:vAlign w:val="top"/>
          </w:tcPr>
          <w:p w14:paraId="29D70212" w14:textId="77777777" w:rsidR="00BA00C0" w:rsidRPr="00975F60" w:rsidRDefault="00BA00C0">
            <w:pPr>
              <w:pStyle w:val="Tabletext0"/>
              <w:jc w:val="center"/>
            </w:pPr>
            <w:r w:rsidRPr="00747B7F">
              <w:t>$1,562,471</w:t>
            </w:r>
          </w:p>
        </w:tc>
      </w:tr>
      <w:tr w:rsidR="00BA00C0" w14:paraId="5145B093" w14:textId="77777777" w:rsidTr="003454D6">
        <w:tc>
          <w:tcPr>
            <w:tcW w:w="0" w:type="auto"/>
            <w:vAlign w:val="top"/>
          </w:tcPr>
          <w:p w14:paraId="480DC0D8" w14:textId="57BF8A6C" w:rsidR="00BA00C0" w:rsidRPr="00975F60" w:rsidRDefault="00BA00C0">
            <w:pPr>
              <w:pStyle w:val="Tabletext0"/>
              <w:jc w:val="left"/>
            </w:pPr>
            <w:r w:rsidRPr="00975F60">
              <w:t xml:space="preserve">Total cost of DBS </w:t>
            </w:r>
          </w:p>
        </w:tc>
        <w:tc>
          <w:tcPr>
            <w:tcW w:w="0" w:type="auto"/>
            <w:vAlign w:val="top"/>
          </w:tcPr>
          <w:p w14:paraId="52ABEAF8" w14:textId="77777777" w:rsidR="00BA00C0" w:rsidRPr="00975F60" w:rsidRDefault="00BA00C0">
            <w:pPr>
              <w:pStyle w:val="Tabletext0"/>
              <w:jc w:val="center"/>
            </w:pPr>
            <w:r w:rsidRPr="006F0B3A">
              <w:t>$306,909</w:t>
            </w:r>
          </w:p>
        </w:tc>
        <w:tc>
          <w:tcPr>
            <w:tcW w:w="0" w:type="auto"/>
            <w:vAlign w:val="top"/>
          </w:tcPr>
          <w:p w14:paraId="28621765" w14:textId="77777777" w:rsidR="00BA00C0" w:rsidRPr="00975F60" w:rsidRDefault="00BA00C0">
            <w:pPr>
              <w:pStyle w:val="Tabletext0"/>
              <w:jc w:val="center"/>
            </w:pPr>
            <w:r w:rsidRPr="006F0B3A">
              <w:t>$613,819</w:t>
            </w:r>
          </w:p>
        </w:tc>
        <w:tc>
          <w:tcPr>
            <w:tcW w:w="0" w:type="auto"/>
            <w:vAlign w:val="top"/>
          </w:tcPr>
          <w:p w14:paraId="5628355D" w14:textId="77777777" w:rsidR="00BA00C0" w:rsidRPr="00975F60" w:rsidRDefault="00BA00C0">
            <w:pPr>
              <w:pStyle w:val="Tabletext0"/>
              <w:jc w:val="center"/>
            </w:pPr>
            <w:r w:rsidRPr="006F0B3A">
              <w:t>$920,728</w:t>
            </w:r>
          </w:p>
        </w:tc>
        <w:tc>
          <w:tcPr>
            <w:tcW w:w="0" w:type="auto"/>
            <w:vAlign w:val="top"/>
          </w:tcPr>
          <w:p w14:paraId="5F94090D" w14:textId="77777777" w:rsidR="00BA00C0" w:rsidRPr="00975F60" w:rsidRDefault="00BA00C0">
            <w:pPr>
              <w:pStyle w:val="Tabletext0"/>
              <w:jc w:val="center"/>
            </w:pPr>
            <w:r w:rsidRPr="006F0B3A">
              <w:t>$1,264,275</w:t>
            </w:r>
          </w:p>
        </w:tc>
        <w:tc>
          <w:tcPr>
            <w:tcW w:w="0" w:type="auto"/>
            <w:vAlign w:val="top"/>
          </w:tcPr>
          <w:p w14:paraId="4D2C1083" w14:textId="77777777" w:rsidR="00BA00C0" w:rsidRPr="00975F60" w:rsidRDefault="00BA00C0">
            <w:pPr>
              <w:pStyle w:val="Tabletext0"/>
              <w:jc w:val="center"/>
            </w:pPr>
            <w:r w:rsidRPr="006F0B3A">
              <w:t>$1,607,823</w:t>
            </w:r>
          </w:p>
        </w:tc>
        <w:tc>
          <w:tcPr>
            <w:tcW w:w="0" w:type="auto"/>
            <w:vAlign w:val="top"/>
          </w:tcPr>
          <w:p w14:paraId="2E8254CC" w14:textId="77777777" w:rsidR="00BA00C0" w:rsidRPr="00975F60" w:rsidRDefault="00BA00C0">
            <w:pPr>
              <w:pStyle w:val="Tabletext0"/>
              <w:jc w:val="center"/>
            </w:pPr>
            <w:r w:rsidRPr="006F0B3A">
              <w:t>$1,951,371</w:t>
            </w:r>
          </w:p>
        </w:tc>
        <w:tc>
          <w:tcPr>
            <w:tcW w:w="0" w:type="auto"/>
            <w:vAlign w:val="top"/>
          </w:tcPr>
          <w:p w14:paraId="58FBDC77" w14:textId="77777777" w:rsidR="00BA00C0" w:rsidRPr="00975F60" w:rsidRDefault="00BA00C0">
            <w:pPr>
              <w:pStyle w:val="Tabletext0"/>
              <w:jc w:val="center"/>
            </w:pPr>
            <w:r w:rsidRPr="006F0B3A">
              <w:t>$6,664,925</w:t>
            </w:r>
          </w:p>
        </w:tc>
      </w:tr>
    </w:tbl>
    <w:p w14:paraId="7993CE17" w14:textId="77777777" w:rsidR="00BA00C0" w:rsidRDefault="00BA00C0" w:rsidP="00BA00C0">
      <w:pPr>
        <w:pStyle w:val="Tablenotes0"/>
        <w:spacing w:before="0" w:after="0"/>
        <w:jc w:val="left"/>
      </w:pPr>
      <w:r>
        <w:t>Abbreviations: DBS= deep brain stimulation; IPG= implantable pulse generator; MBS= Medicare Benefits Schedule</w:t>
      </w:r>
    </w:p>
    <w:p w14:paraId="36A94FFE" w14:textId="2F37B7F9" w:rsidR="000A58D2" w:rsidRDefault="000A58D2" w:rsidP="000A58D2">
      <w:pPr>
        <w:pStyle w:val="Tablenotes0"/>
        <w:spacing w:before="0" w:after="0"/>
        <w:jc w:val="left"/>
      </w:pPr>
      <w:r>
        <w:t xml:space="preserve">* Calculated using the corrected base case, applying MBS item 40858 and 40860 twice each </w:t>
      </w:r>
      <w:r w:rsidR="006E35FE">
        <w:t>for the initial DBS surgical procedure.</w:t>
      </w:r>
    </w:p>
    <w:p w14:paraId="272A260E" w14:textId="519C48D0" w:rsidR="001F5344" w:rsidRDefault="006E35FE" w:rsidP="001F5344">
      <w:pPr>
        <w:pStyle w:val="Tablenotes0"/>
        <w:spacing w:before="0" w:after="0"/>
        <w:jc w:val="left"/>
      </w:pPr>
      <w:r>
        <w:br/>
      </w:r>
      <w:r w:rsidR="001F5344">
        <w:t xml:space="preserve"># Note that applying MBS items 40858, 40860 and 40854 (unilateral revision or removal of brain electrode) twice in a proportion of patients may also be required for the revision, </w:t>
      </w:r>
      <w:proofErr w:type="gramStart"/>
      <w:r w:rsidR="001F5344">
        <w:t>replacement</w:t>
      </w:r>
      <w:proofErr w:type="gramEnd"/>
      <w:r w:rsidR="001F5344">
        <w:t xml:space="preserve"> and removal procedures. This has not been applied yet to the base case. Please see Section 3.2.12 for details of costings. </w:t>
      </w:r>
    </w:p>
    <w:p w14:paraId="12C016CE" w14:textId="3EC45CCB" w:rsidR="00F76A19" w:rsidRPr="0089746F" w:rsidRDefault="005D75AF" w:rsidP="0089746F">
      <w:pPr>
        <w:spacing w:before="240"/>
      </w:pPr>
      <w:r w:rsidRPr="00275F1B">
        <w:t xml:space="preserve">This assessment is based on estimating total cost of DBS, which equates to the net financial impact on the Australian Government Health budget. </w:t>
      </w:r>
      <w:r>
        <w:t>The usual standard of care is pharmacotherapy</w:t>
      </w:r>
      <w:r w:rsidR="007F7AF8">
        <w:t xml:space="preserve"> and psychotherapy</w:t>
      </w:r>
      <w:r>
        <w:t>. Therefore, given</w:t>
      </w:r>
      <w:r w:rsidRPr="00275F1B">
        <w:t xml:space="preserve"> that the </w:t>
      </w:r>
      <w:r>
        <w:t>intervention</w:t>
      </w:r>
      <w:r w:rsidRPr="00275F1B">
        <w:t xml:space="preserve"> is a surgical procedure, the </w:t>
      </w:r>
      <w:r>
        <w:t>financial model includes the</w:t>
      </w:r>
      <w:r w:rsidRPr="00275F1B">
        <w:t xml:space="preserve"> costs of items and services that would otherwise not be utilised in the absence of DBS. </w:t>
      </w:r>
      <w:r>
        <w:t>T</w:t>
      </w:r>
      <w:r w:rsidRPr="00275F1B">
        <w:t xml:space="preserve">he </w:t>
      </w:r>
      <w:r>
        <w:t>overall costs described in this section</w:t>
      </w:r>
      <w:r w:rsidRPr="00275F1B">
        <w:t xml:space="preserve"> indicate the net incremental costs to the MBS, </w:t>
      </w:r>
      <w:r w:rsidR="00B8296F">
        <w:t xml:space="preserve">the </w:t>
      </w:r>
      <w:proofErr w:type="gramStart"/>
      <w:r w:rsidRPr="00275F1B">
        <w:t>hospitals</w:t>
      </w:r>
      <w:proofErr w:type="gramEnd"/>
      <w:r w:rsidRPr="00275F1B">
        <w:t xml:space="preserve"> and the prostheses list, compared with the total cost of standard of care.</w:t>
      </w:r>
    </w:p>
    <w:p w14:paraId="06A49A04" w14:textId="0DEE8710" w:rsidR="00433995" w:rsidRPr="00433995" w:rsidRDefault="00433995" w:rsidP="00F8489B">
      <w:pPr>
        <w:spacing w:after="0"/>
        <w:rPr>
          <w:b/>
          <w:bCs/>
        </w:rPr>
      </w:pPr>
      <w:r w:rsidRPr="002C17C0">
        <w:rPr>
          <w:b/>
        </w:rPr>
        <w:t xml:space="preserve">Net financial impact to </w:t>
      </w:r>
      <w:r w:rsidRPr="00433995">
        <w:rPr>
          <w:b/>
          <w:bCs/>
        </w:rPr>
        <w:t>other health budgets</w:t>
      </w:r>
    </w:p>
    <w:p w14:paraId="6371052E" w14:textId="01E09240" w:rsidR="00851AD2" w:rsidRPr="00851AD2" w:rsidRDefault="00433995" w:rsidP="00851AD2">
      <w:r>
        <w:t xml:space="preserve">The assessment also accounted for the financial impact on the </w:t>
      </w:r>
      <w:r w:rsidR="0086163C" w:rsidRPr="0086163C">
        <w:t>Prescribed List of Medical Devices and Human Tissue Products</w:t>
      </w:r>
      <w:r w:rsidR="0086163C" w:rsidRPr="003454D6" w:rsidDel="0086163C">
        <w:t xml:space="preserve"> </w:t>
      </w:r>
      <w:r>
        <w:t xml:space="preserve">-- costs that will be borne by private health insurance or patient (out-of-pocket expenses), and impact on hospital budgets through hospital stays. The total cost to the </w:t>
      </w:r>
      <w:r w:rsidR="0086163C" w:rsidRPr="0086163C">
        <w:t xml:space="preserve">Prescribed List of Medical Devices and Human Tissue Products </w:t>
      </w:r>
      <w:r>
        <w:t>over 6 years is estimated to be approximately $3.6 million, while that to the hospitals is estimated to be approximately $1.6 million (</w:t>
      </w:r>
      <w:r w:rsidRPr="007F37C3">
        <w:fldChar w:fldCharType="begin"/>
      </w:r>
      <w:r w:rsidRPr="007F37C3">
        <w:instrText xml:space="preserve"> REF _Ref139493994 \h </w:instrText>
      </w:r>
      <w:r w:rsidR="006F153B" w:rsidRPr="007F37C3">
        <w:instrText xml:space="preserve"> \* MERGEFORMAT </w:instrText>
      </w:r>
      <w:r w:rsidRPr="007F37C3">
        <w:fldChar w:fldCharType="separate"/>
      </w:r>
      <w:r w:rsidR="007F15AB">
        <w:t xml:space="preserve">Table </w:t>
      </w:r>
      <w:r w:rsidR="007F15AB">
        <w:rPr>
          <w:noProof/>
        </w:rPr>
        <w:t>80</w:t>
      </w:r>
      <w:r w:rsidRPr="007F37C3">
        <w:fldChar w:fldCharType="end"/>
      </w:r>
      <w:r w:rsidRPr="007F37C3">
        <w:t>).</w:t>
      </w:r>
      <w:r>
        <w:t xml:space="preserve"> Notably the highest costs to both the prostheses list as well as the hospitals are attributable to the index DBS surgery (prostheses costs $3.5 million and hospital costs $1.3 million).</w:t>
      </w:r>
      <w:r w:rsidR="00F8489B">
        <w:t xml:space="preserve"> This high cost is expected given the </w:t>
      </w:r>
      <w:r w:rsidR="006D29B9">
        <w:t xml:space="preserve">initial surgery will be associated with a whole array of prostheses not required for </w:t>
      </w:r>
      <w:r w:rsidR="005C22CC">
        <w:t>the</w:t>
      </w:r>
      <w:r w:rsidR="006D29B9">
        <w:t xml:space="preserve"> follow-up surgeries</w:t>
      </w:r>
      <w:r w:rsidR="005C22CC">
        <w:t xml:space="preserve">, which will </w:t>
      </w:r>
      <w:r w:rsidR="00CE699C">
        <w:t xml:space="preserve">be very few </w:t>
      </w:r>
      <w:r w:rsidR="00BC4BBB">
        <w:t>in any case.</w:t>
      </w:r>
      <w:r w:rsidR="00CE699C">
        <w:t xml:space="preserve"> </w:t>
      </w:r>
      <w:bookmarkStart w:id="47" w:name="_Toc143098949"/>
      <w:r w:rsidR="00851AD2">
        <w:br w:type="page"/>
      </w:r>
    </w:p>
    <w:p w14:paraId="089E4045" w14:textId="78800C9E" w:rsidR="00433995" w:rsidRDefault="00433995" w:rsidP="001A7A1E">
      <w:pPr>
        <w:pStyle w:val="Caption"/>
        <w:ind w:left="1440" w:hanging="1440"/>
      </w:pPr>
      <w:r>
        <w:lastRenderedPageBreak/>
        <w:t xml:space="preserve">Table </w:t>
      </w:r>
      <w:r>
        <w:fldChar w:fldCharType="begin"/>
      </w:r>
      <w:r>
        <w:instrText>SEQ Table \* ARABIC</w:instrText>
      </w:r>
      <w:r>
        <w:fldChar w:fldCharType="separate"/>
      </w:r>
      <w:r w:rsidR="007F15AB">
        <w:rPr>
          <w:noProof/>
        </w:rPr>
        <w:t>12</w:t>
      </w:r>
      <w:r>
        <w:fldChar w:fldCharType="end"/>
      </w:r>
      <w:r w:rsidR="001A7A1E">
        <w:t>:</w:t>
      </w:r>
      <w:r>
        <w:t xml:space="preserve">Cost to the prostheses list and the hospitals, associated with DBS procedure for treatment-refractory </w:t>
      </w:r>
      <w:proofErr w:type="gramStart"/>
      <w:r>
        <w:t>OCD</w:t>
      </w:r>
      <w:bookmarkEnd w:id="47"/>
      <w:proofErr w:type="gramEnd"/>
    </w:p>
    <w:tbl>
      <w:tblPr>
        <w:tblStyle w:val="TableGrid"/>
        <w:tblW w:w="9710" w:type="dxa"/>
        <w:tblInd w:w="-289" w:type="dxa"/>
        <w:tblLook w:val="04A0" w:firstRow="1" w:lastRow="0" w:firstColumn="1" w:lastColumn="0" w:noHBand="0" w:noVBand="1"/>
      </w:tblPr>
      <w:tblGrid>
        <w:gridCol w:w="2690"/>
        <w:gridCol w:w="331"/>
        <w:gridCol w:w="590"/>
        <w:gridCol w:w="901"/>
        <w:gridCol w:w="901"/>
        <w:gridCol w:w="901"/>
        <w:gridCol w:w="1012"/>
        <w:gridCol w:w="1037"/>
        <w:gridCol w:w="1347"/>
      </w:tblGrid>
      <w:tr w:rsidR="00D77781" w:rsidRPr="008B2321" w14:paraId="46A6E7D2" w14:textId="77777777" w:rsidTr="00297341">
        <w:trPr>
          <w:trHeight w:val="330"/>
        </w:trPr>
        <w:tc>
          <w:tcPr>
            <w:tcW w:w="2690" w:type="dxa"/>
            <w:tcBorders>
              <w:right w:val="single" w:sz="4" w:space="0" w:color="auto"/>
            </w:tcBorders>
            <w:noWrap/>
          </w:tcPr>
          <w:p w14:paraId="3A144B4B" w14:textId="77777777" w:rsidR="00433995" w:rsidRPr="00D2342F" w:rsidRDefault="00433995">
            <w:pPr>
              <w:pStyle w:val="Tabletext0"/>
              <w:rPr>
                <w:b/>
                <w:bCs/>
              </w:rPr>
            </w:pPr>
            <w:r>
              <w:rPr>
                <w:b/>
                <w:bCs/>
              </w:rPr>
              <w:t>Procedures</w:t>
            </w:r>
          </w:p>
        </w:tc>
        <w:tc>
          <w:tcPr>
            <w:tcW w:w="921" w:type="dxa"/>
            <w:gridSpan w:val="2"/>
            <w:tcBorders>
              <w:left w:val="single" w:sz="4" w:space="0" w:color="auto"/>
              <w:right w:val="single" w:sz="4" w:space="0" w:color="auto"/>
            </w:tcBorders>
            <w:noWrap/>
          </w:tcPr>
          <w:p w14:paraId="379946E0" w14:textId="77777777" w:rsidR="00433995" w:rsidRPr="008B2321" w:rsidRDefault="00433995">
            <w:pPr>
              <w:pStyle w:val="Tabletext0"/>
            </w:pPr>
            <w:r w:rsidRPr="00D152C2">
              <w:rPr>
                <w:b/>
                <w:bCs/>
                <w:snapToGrid w:val="0"/>
              </w:rPr>
              <w:t>Year 1</w:t>
            </w:r>
          </w:p>
        </w:tc>
        <w:tc>
          <w:tcPr>
            <w:tcW w:w="901" w:type="dxa"/>
            <w:tcBorders>
              <w:left w:val="single" w:sz="4" w:space="0" w:color="auto"/>
              <w:right w:val="single" w:sz="4" w:space="0" w:color="auto"/>
            </w:tcBorders>
            <w:noWrap/>
          </w:tcPr>
          <w:p w14:paraId="0E40D5EC" w14:textId="77777777" w:rsidR="00433995" w:rsidRPr="008B2321" w:rsidRDefault="00433995">
            <w:pPr>
              <w:pStyle w:val="Tabletext0"/>
            </w:pPr>
            <w:r w:rsidRPr="00D152C2">
              <w:rPr>
                <w:b/>
                <w:bCs/>
                <w:snapToGrid w:val="0"/>
              </w:rPr>
              <w:t>Year 2</w:t>
            </w:r>
          </w:p>
        </w:tc>
        <w:tc>
          <w:tcPr>
            <w:tcW w:w="901" w:type="dxa"/>
            <w:tcBorders>
              <w:left w:val="single" w:sz="4" w:space="0" w:color="auto"/>
              <w:right w:val="single" w:sz="4" w:space="0" w:color="auto"/>
            </w:tcBorders>
            <w:noWrap/>
          </w:tcPr>
          <w:p w14:paraId="685B6A57" w14:textId="77777777" w:rsidR="00433995" w:rsidRPr="008B2321" w:rsidRDefault="00433995">
            <w:pPr>
              <w:pStyle w:val="Tabletext0"/>
            </w:pPr>
            <w:r w:rsidRPr="00D152C2">
              <w:rPr>
                <w:b/>
                <w:bCs/>
                <w:snapToGrid w:val="0"/>
              </w:rPr>
              <w:t>Year 3</w:t>
            </w:r>
          </w:p>
        </w:tc>
        <w:tc>
          <w:tcPr>
            <w:tcW w:w="901" w:type="dxa"/>
            <w:tcBorders>
              <w:left w:val="single" w:sz="4" w:space="0" w:color="auto"/>
              <w:right w:val="single" w:sz="4" w:space="0" w:color="auto"/>
            </w:tcBorders>
            <w:noWrap/>
          </w:tcPr>
          <w:p w14:paraId="160B80DF" w14:textId="77777777" w:rsidR="00433995" w:rsidRPr="008B2321" w:rsidRDefault="00433995">
            <w:pPr>
              <w:pStyle w:val="Tabletext0"/>
            </w:pPr>
            <w:r w:rsidRPr="00D152C2">
              <w:rPr>
                <w:b/>
                <w:bCs/>
                <w:snapToGrid w:val="0"/>
              </w:rPr>
              <w:t>Year 4</w:t>
            </w:r>
          </w:p>
        </w:tc>
        <w:tc>
          <w:tcPr>
            <w:tcW w:w="1012" w:type="dxa"/>
            <w:tcBorders>
              <w:left w:val="single" w:sz="4" w:space="0" w:color="auto"/>
              <w:right w:val="single" w:sz="4" w:space="0" w:color="auto"/>
            </w:tcBorders>
            <w:noWrap/>
          </w:tcPr>
          <w:p w14:paraId="525BA8C0" w14:textId="77777777" w:rsidR="00433995" w:rsidRPr="008B2321" w:rsidRDefault="00433995">
            <w:pPr>
              <w:pStyle w:val="Tabletext0"/>
            </w:pPr>
            <w:r w:rsidRPr="00D152C2">
              <w:rPr>
                <w:b/>
                <w:bCs/>
                <w:snapToGrid w:val="0"/>
              </w:rPr>
              <w:t>Year 5</w:t>
            </w:r>
          </w:p>
        </w:tc>
        <w:tc>
          <w:tcPr>
            <w:tcW w:w="1037" w:type="dxa"/>
            <w:tcBorders>
              <w:left w:val="single" w:sz="4" w:space="0" w:color="auto"/>
              <w:right w:val="single" w:sz="4" w:space="0" w:color="auto"/>
            </w:tcBorders>
            <w:noWrap/>
          </w:tcPr>
          <w:p w14:paraId="2165C15E" w14:textId="77777777" w:rsidR="00433995" w:rsidRPr="008B2321" w:rsidRDefault="00433995">
            <w:pPr>
              <w:pStyle w:val="Tabletext0"/>
            </w:pPr>
            <w:r w:rsidRPr="00D152C2">
              <w:rPr>
                <w:b/>
                <w:bCs/>
                <w:snapToGrid w:val="0"/>
              </w:rPr>
              <w:t>Year 6</w:t>
            </w:r>
          </w:p>
        </w:tc>
        <w:tc>
          <w:tcPr>
            <w:tcW w:w="1347" w:type="dxa"/>
            <w:tcBorders>
              <w:left w:val="single" w:sz="4" w:space="0" w:color="auto"/>
            </w:tcBorders>
            <w:noWrap/>
          </w:tcPr>
          <w:p w14:paraId="57B7F10A" w14:textId="77777777" w:rsidR="00433995" w:rsidRPr="008B2321" w:rsidRDefault="00433995">
            <w:pPr>
              <w:pStyle w:val="Tabletext0"/>
            </w:pPr>
            <w:r w:rsidRPr="00D152C2">
              <w:rPr>
                <w:b/>
                <w:bCs/>
                <w:snapToGrid w:val="0"/>
              </w:rPr>
              <w:t>Total</w:t>
            </w:r>
          </w:p>
        </w:tc>
      </w:tr>
      <w:tr w:rsidR="00D77781" w:rsidRPr="008B2321" w14:paraId="057FCDA2" w14:textId="77777777" w:rsidTr="00297341">
        <w:trPr>
          <w:trHeight w:val="330"/>
        </w:trPr>
        <w:tc>
          <w:tcPr>
            <w:tcW w:w="3021" w:type="dxa"/>
            <w:gridSpan w:val="2"/>
            <w:tcBorders>
              <w:right w:val="nil"/>
            </w:tcBorders>
            <w:noWrap/>
            <w:hideMark/>
          </w:tcPr>
          <w:p w14:paraId="0C183F4E" w14:textId="77777777" w:rsidR="00433995" w:rsidRPr="00D2342F" w:rsidRDefault="00433995">
            <w:pPr>
              <w:pStyle w:val="Tabletext0"/>
              <w:rPr>
                <w:b/>
                <w:bCs/>
              </w:rPr>
            </w:pPr>
            <w:r w:rsidRPr="00D2342F">
              <w:rPr>
                <w:b/>
                <w:bCs/>
              </w:rPr>
              <w:t>COST TO PROSTHESES LIST</w:t>
            </w:r>
          </w:p>
        </w:tc>
        <w:tc>
          <w:tcPr>
            <w:tcW w:w="590" w:type="dxa"/>
            <w:tcBorders>
              <w:left w:val="nil"/>
              <w:right w:val="nil"/>
            </w:tcBorders>
            <w:noWrap/>
            <w:hideMark/>
          </w:tcPr>
          <w:p w14:paraId="194148EA" w14:textId="77777777" w:rsidR="00433995" w:rsidRPr="008B2321" w:rsidRDefault="00433995">
            <w:pPr>
              <w:pStyle w:val="Tabletext0"/>
            </w:pPr>
          </w:p>
        </w:tc>
        <w:tc>
          <w:tcPr>
            <w:tcW w:w="901" w:type="dxa"/>
            <w:tcBorders>
              <w:left w:val="nil"/>
              <w:right w:val="nil"/>
            </w:tcBorders>
            <w:noWrap/>
            <w:hideMark/>
          </w:tcPr>
          <w:p w14:paraId="7896E79C" w14:textId="77777777" w:rsidR="00433995" w:rsidRPr="008B2321" w:rsidRDefault="00433995">
            <w:pPr>
              <w:pStyle w:val="Tabletext0"/>
            </w:pPr>
          </w:p>
        </w:tc>
        <w:tc>
          <w:tcPr>
            <w:tcW w:w="901" w:type="dxa"/>
            <w:tcBorders>
              <w:left w:val="nil"/>
              <w:right w:val="nil"/>
            </w:tcBorders>
            <w:noWrap/>
            <w:hideMark/>
          </w:tcPr>
          <w:p w14:paraId="50404B20" w14:textId="77777777" w:rsidR="00433995" w:rsidRPr="008B2321" w:rsidRDefault="00433995">
            <w:pPr>
              <w:pStyle w:val="Tabletext0"/>
            </w:pPr>
          </w:p>
        </w:tc>
        <w:tc>
          <w:tcPr>
            <w:tcW w:w="901" w:type="dxa"/>
            <w:tcBorders>
              <w:left w:val="nil"/>
              <w:right w:val="nil"/>
            </w:tcBorders>
            <w:noWrap/>
            <w:hideMark/>
          </w:tcPr>
          <w:p w14:paraId="4D8EE36A" w14:textId="77777777" w:rsidR="00433995" w:rsidRPr="008B2321" w:rsidRDefault="00433995">
            <w:pPr>
              <w:pStyle w:val="Tabletext0"/>
            </w:pPr>
          </w:p>
        </w:tc>
        <w:tc>
          <w:tcPr>
            <w:tcW w:w="1012" w:type="dxa"/>
            <w:tcBorders>
              <w:left w:val="nil"/>
              <w:right w:val="nil"/>
            </w:tcBorders>
            <w:noWrap/>
            <w:hideMark/>
          </w:tcPr>
          <w:p w14:paraId="7DB73CB6" w14:textId="77777777" w:rsidR="00433995" w:rsidRPr="008B2321" w:rsidRDefault="00433995">
            <w:pPr>
              <w:pStyle w:val="Tabletext0"/>
            </w:pPr>
          </w:p>
        </w:tc>
        <w:tc>
          <w:tcPr>
            <w:tcW w:w="1037" w:type="dxa"/>
            <w:tcBorders>
              <w:left w:val="nil"/>
              <w:right w:val="nil"/>
            </w:tcBorders>
            <w:noWrap/>
            <w:hideMark/>
          </w:tcPr>
          <w:p w14:paraId="79A0FED6" w14:textId="77777777" w:rsidR="00433995" w:rsidRPr="008B2321" w:rsidRDefault="00433995">
            <w:pPr>
              <w:pStyle w:val="Tabletext0"/>
            </w:pPr>
          </w:p>
        </w:tc>
        <w:tc>
          <w:tcPr>
            <w:tcW w:w="1347" w:type="dxa"/>
            <w:tcBorders>
              <w:left w:val="nil"/>
            </w:tcBorders>
            <w:noWrap/>
            <w:hideMark/>
          </w:tcPr>
          <w:p w14:paraId="305D4729" w14:textId="77777777" w:rsidR="00433995" w:rsidRPr="008B2321" w:rsidRDefault="00433995">
            <w:pPr>
              <w:pStyle w:val="Tabletext0"/>
            </w:pPr>
          </w:p>
        </w:tc>
      </w:tr>
      <w:tr w:rsidR="00172E69" w:rsidRPr="008B2321" w14:paraId="5A04FE45" w14:textId="77777777" w:rsidTr="00297341">
        <w:trPr>
          <w:trHeight w:val="330"/>
        </w:trPr>
        <w:tc>
          <w:tcPr>
            <w:tcW w:w="2690" w:type="dxa"/>
            <w:noWrap/>
            <w:hideMark/>
          </w:tcPr>
          <w:p w14:paraId="13007C3F" w14:textId="77777777" w:rsidR="00433995" w:rsidRPr="008B2321" w:rsidRDefault="00433995">
            <w:pPr>
              <w:pStyle w:val="Tabletext0"/>
            </w:pPr>
            <w:r w:rsidRPr="008B2321">
              <w:t>Initial</w:t>
            </w:r>
            <w:r>
              <w:t>/ index</w:t>
            </w:r>
            <w:r w:rsidRPr="008B2321">
              <w:t xml:space="preserve"> DBS surgery</w:t>
            </w:r>
          </w:p>
        </w:tc>
        <w:tc>
          <w:tcPr>
            <w:tcW w:w="921" w:type="dxa"/>
            <w:gridSpan w:val="2"/>
            <w:noWrap/>
            <w:hideMark/>
          </w:tcPr>
          <w:p w14:paraId="14AB3FCD" w14:textId="77777777" w:rsidR="00433995" w:rsidRPr="008B2321" w:rsidRDefault="00433995">
            <w:pPr>
              <w:pStyle w:val="Tabletext0"/>
            </w:pPr>
            <w:r w:rsidRPr="004B7BE6">
              <w:t>$164,923</w:t>
            </w:r>
          </w:p>
        </w:tc>
        <w:tc>
          <w:tcPr>
            <w:tcW w:w="901" w:type="dxa"/>
            <w:noWrap/>
            <w:hideMark/>
          </w:tcPr>
          <w:p w14:paraId="08BB56D2" w14:textId="77777777" w:rsidR="00433995" w:rsidRPr="008B2321" w:rsidRDefault="00433995">
            <w:pPr>
              <w:pStyle w:val="Tabletext0"/>
            </w:pPr>
            <w:r w:rsidRPr="004B7BE6">
              <w:t>$329,845</w:t>
            </w:r>
          </w:p>
        </w:tc>
        <w:tc>
          <w:tcPr>
            <w:tcW w:w="901" w:type="dxa"/>
            <w:noWrap/>
            <w:hideMark/>
          </w:tcPr>
          <w:p w14:paraId="15FE645F" w14:textId="77777777" w:rsidR="00433995" w:rsidRPr="008B2321" w:rsidRDefault="00433995">
            <w:pPr>
              <w:pStyle w:val="Tabletext0"/>
            </w:pPr>
            <w:r w:rsidRPr="004B7BE6">
              <w:t>$494,768</w:t>
            </w:r>
          </w:p>
        </w:tc>
        <w:tc>
          <w:tcPr>
            <w:tcW w:w="901" w:type="dxa"/>
            <w:noWrap/>
            <w:hideMark/>
          </w:tcPr>
          <w:p w14:paraId="5B5D5F2F" w14:textId="77777777" w:rsidR="00433995" w:rsidRPr="008B2321" w:rsidRDefault="00433995">
            <w:pPr>
              <w:pStyle w:val="Tabletext0"/>
            </w:pPr>
            <w:r w:rsidRPr="004B7BE6">
              <w:t>$659,690</w:t>
            </w:r>
          </w:p>
        </w:tc>
        <w:tc>
          <w:tcPr>
            <w:tcW w:w="1012" w:type="dxa"/>
            <w:noWrap/>
            <w:hideMark/>
          </w:tcPr>
          <w:p w14:paraId="281983A3" w14:textId="77777777" w:rsidR="00433995" w:rsidRPr="008B2321" w:rsidRDefault="00433995">
            <w:pPr>
              <w:pStyle w:val="Tabletext0"/>
            </w:pPr>
            <w:r w:rsidRPr="004B7BE6">
              <w:t>$824,613</w:t>
            </w:r>
          </w:p>
        </w:tc>
        <w:tc>
          <w:tcPr>
            <w:tcW w:w="1037" w:type="dxa"/>
            <w:noWrap/>
            <w:hideMark/>
          </w:tcPr>
          <w:p w14:paraId="75DBDDD3" w14:textId="77777777" w:rsidR="00433995" w:rsidRPr="008B2321" w:rsidRDefault="00433995">
            <w:pPr>
              <w:pStyle w:val="Tabletext0"/>
            </w:pPr>
            <w:r w:rsidRPr="004B7BE6">
              <w:t>$989,535</w:t>
            </w:r>
          </w:p>
        </w:tc>
        <w:tc>
          <w:tcPr>
            <w:tcW w:w="1347" w:type="dxa"/>
            <w:noWrap/>
            <w:hideMark/>
          </w:tcPr>
          <w:p w14:paraId="0ED9F126" w14:textId="77777777" w:rsidR="00433995" w:rsidRPr="008B2321" w:rsidRDefault="00433995">
            <w:pPr>
              <w:pStyle w:val="Tabletext0"/>
            </w:pPr>
            <w:r w:rsidRPr="004B7BE6">
              <w:t>$3,463,373</w:t>
            </w:r>
          </w:p>
        </w:tc>
      </w:tr>
      <w:tr w:rsidR="00172E69" w:rsidRPr="008B2321" w14:paraId="2973CE4E" w14:textId="77777777" w:rsidTr="00297341">
        <w:trPr>
          <w:trHeight w:val="330"/>
        </w:trPr>
        <w:tc>
          <w:tcPr>
            <w:tcW w:w="2690" w:type="dxa"/>
            <w:noWrap/>
            <w:hideMark/>
          </w:tcPr>
          <w:p w14:paraId="0C9B7124" w14:textId="77777777" w:rsidR="00433995" w:rsidRPr="008B2321" w:rsidRDefault="00433995">
            <w:pPr>
              <w:pStyle w:val="Tabletext0"/>
            </w:pPr>
            <w:r w:rsidRPr="008B2321">
              <w:t>Post-surgical revision of electrodes</w:t>
            </w:r>
          </w:p>
        </w:tc>
        <w:tc>
          <w:tcPr>
            <w:tcW w:w="921" w:type="dxa"/>
            <w:gridSpan w:val="2"/>
            <w:noWrap/>
            <w:hideMark/>
          </w:tcPr>
          <w:p w14:paraId="42501DE9" w14:textId="77777777" w:rsidR="00433995" w:rsidRPr="008B2321" w:rsidRDefault="00433995">
            <w:pPr>
              <w:pStyle w:val="Tabletext0"/>
            </w:pPr>
            <w:r w:rsidRPr="00F67259">
              <w:t>$467</w:t>
            </w:r>
          </w:p>
        </w:tc>
        <w:tc>
          <w:tcPr>
            <w:tcW w:w="901" w:type="dxa"/>
            <w:noWrap/>
            <w:hideMark/>
          </w:tcPr>
          <w:p w14:paraId="16985774" w14:textId="77777777" w:rsidR="00433995" w:rsidRPr="008B2321" w:rsidRDefault="00433995">
            <w:pPr>
              <w:pStyle w:val="Tabletext0"/>
            </w:pPr>
            <w:r w:rsidRPr="00F67259">
              <w:t>$934</w:t>
            </w:r>
          </w:p>
        </w:tc>
        <w:tc>
          <w:tcPr>
            <w:tcW w:w="901" w:type="dxa"/>
            <w:noWrap/>
            <w:hideMark/>
          </w:tcPr>
          <w:p w14:paraId="6D5FAE84" w14:textId="77777777" w:rsidR="00433995" w:rsidRPr="008B2321" w:rsidRDefault="00433995">
            <w:pPr>
              <w:pStyle w:val="Tabletext0"/>
            </w:pPr>
            <w:r w:rsidRPr="00F67259">
              <w:t>$1,401</w:t>
            </w:r>
          </w:p>
        </w:tc>
        <w:tc>
          <w:tcPr>
            <w:tcW w:w="901" w:type="dxa"/>
            <w:noWrap/>
            <w:hideMark/>
          </w:tcPr>
          <w:p w14:paraId="0AB6F2B2" w14:textId="77777777" w:rsidR="00433995" w:rsidRPr="008B2321" w:rsidRDefault="00433995">
            <w:pPr>
              <w:pStyle w:val="Tabletext0"/>
            </w:pPr>
            <w:r w:rsidRPr="00F67259">
              <w:t>$1,868</w:t>
            </w:r>
          </w:p>
        </w:tc>
        <w:tc>
          <w:tcPr>
            <w:tcW w:w="1012" w:type="dxa"/>
            <w:noWrap/>
            <w:hideMark/>
          </w:tcPr>
          <w:p w14:paraId="27894A24" w14:textId="77777777" w:rsidR="00433995" w:rsidRPr="008B2321" w:rsidRDefault="00433995">
            <w:pPr>
              <w:pStyle w:val="Tabletext0"/>
            </w:pPr>
            <w:r w:rsidRPr="00F67259">
              <w:t>$2,336</w:t>
            </w:r>
          </w:p>
        </w:tc>
        <w:tc>
          <w:tcPr>
            <w:tcW w:w="1037" w:type="dxa"/>
            <w:noWrap/>
            <w:hideMark/>
          </w:tcPr>
          <w:p w14:paraId="58EE18C0" w14:textId="77777777" w:rsidR="00433995" w:rsidRPr="008B2321" w:rsidRDefault="00433995">
            <w:pPr>
              <w:pStyle w:val="Tabletext0"/>
            </w:pPr>
            <w:r w:rsidRPr="00F67259">
              <w:t>$2,803</w:t>
            </w:r>
          </w:p>
        </w:tc>
        <w:tc>
          <w:tcPr>
            <w:tcW w:w="1347" w:type="dxa"/>
            <w:noWrap/>
            <w:hideMark/>
          </w:tcPr>
          <w:p w14:paraId="41385724" w14:textId="77777777" w:rsidR="00433995" w:rsidRPr="008B2321" w:rsidRDefault="00433995">
            <w:pPr>
              <w:pStyle w:val="Tabletext0"/>
            </w:pPr>
            <w:r w:rsidRPr="00F67259">
              <w:t>$9,809</w:t>
            </w:r>
          </w:p>
        </w:tc>
      </w:tr>
      <w:tr w:rsidR="00172E69" w:rsidRPr="008B2321" w14:paraId="1F5776BC" w14:textId="77777777" w:rsidTr="00297341">
        <w:trPr>
          <w:trHeight w:val="330"/>
        </w:trPr>
        <w:tc>
          <w:tcPr>
            <w:tcW w:w="2690" w:type="dxa"/>
            <w:noWrap/>
            <w:hideMark/>
          </w:tcPr>
          <w:p w14:paraId="5ABE5216" w14:textId="77777777" w:rsidR="00433995" w:rsidRPr="008B2321" w:rsidRDefault="00433995">
            <w:pPr>
              <w:pStyle w:val="Tabletext0"/>
            </w:pPr>
            <w:r w:rsidRPr="008B2321">
              <w:t>Post-surgical revision of</w:t>
            </w:r>
            <w:r>
              <w:t xml:space="preserve"> l</w:t>
            </w:r>
            <w:r w:rsidRPr="008B2321">
              <w:t>eads</w:t>
            </w:r>
          </w:p>
        </w:tc>
        <w:tc>
          <w:tcPr>
            <w:tcW w:w="921" w:type="dxa"/>
            <w:gridSpan w:val="2"/>
            <w:noWrap/>
            <w:hideMark/>
          </w:tcPr>
          <w:p w14:paraId="52600855" w14:textId="77777777" w:rsidR="00433995" w:rsidRPr="008B2321" w:rsidRDefault="00433995">
            <w:pPr>
              <w:pStyle w:val="Tabletext0"/>
            </w:pPr>
            <w:r w:rsidRPr="00F67259">
              <w:t>$3,217</w:t>
            </w:r>
          </w:p>
        </w:tc>
        <w:tc>
          <w:tcPr>
            <w:tcW w:w="901" w:type="dxa"/>
            <w:noWrap/>
            <w:hideMark/>
          </w:tcPr>
          <w:p w14:paraId="492C85C3" w14:textId="77777777" w:rsidR="00433995" w:rsidRPr="008B2321" w:rsidRDefault="00433995">
            <w:pPr>
              <w:pStyle w:val="Tabletext0"/>
            </w:pPr>
            <w:r w:rsidRPr="00F67259">
              <w:t>$6,433</w:t>
            </w:r>
          </w:p>
        </w:tc>
        <w:tc>
          <w:tcPr>
            <w:tcW w:w="901" w:type="dxa"/>
            <w:noWrap/>
            <w:hideMark/>
          </w:tcPr>
          <w:p w14:paraId="4C145E5C" w14:textId="77777777" w:rsidR="00433995" w:rsidRPr="008B2321" w:rsidRDefault="00433995">
            <w:pPr>
              <w:pStyle w:val="Tabletext0"/>
            </w:pPr>
            <w:r w:rsidRPr="00F67259">
              <w:t>$9,650</w:t>
            </w:r>
          </w:p>
        </w:tc>
        <w:tc>
          <w:tcPr>
            <w:tcW w:w="901" w:type="dxa"/>
            <w:noWrap/>
            <w:hideMark/>
          </w:tcPr>
          <w:p w14:paraId="4474C511" w14:textId="77777777" w:rsidR="00433995" w:rsidRPr="008B2321" w:rsidRDefault="00433995">
            <w:pPr>
              <w:pStyle w:val="Tabletext0"/>
            </w:pPr>
            <w:r w:rsidRPr="00F67259">
              <w:t>$12,866</w:t>
            </w:r>
          </w:p>
        </w:tc>
        <w:tc>
          <w:tcPr>
            <w:tcW w:w="1012" w:type="dxa"/>
            <w:noWrap/>
            <w:hideMark/>
          </w:tcPr>
          <w:p w14:paraId="4EB8E841" w14:textId="77777777" w:rsidR="00433995" w:rsidRPr="008B2321" w:rsidRDefault="00433995">
            <w:pPr>
              <w:pStyle w:val="Tabletext0"/>
            </w:pPr>
            <w:r w:rsidRPr="00F67259">
              <w:t>$16,083</w:t>
            </w:r>
          </w:p>
        </w:tc>
        <w:tc>
          <w:tcPr>
            <w:tcW w:w="1037" w:type="dxa"/>
            <w:noWrap/>
            <w:hideMark/>
          </w:tcPr>
          <w:p w14:paraId="26B2DF9B" w14:textId="77777777" w:rsidR="00433995" w:rsidRPr="008B2321" w:rsidRDefault="00433995">
            <w:pPr>
              <w:pStyle w:val="Tabletext0"/>
            </w:pPr>
            <w:r w:rsidRPr="00F67259">
              <w:t>$19,299</w:t>
            </w:r>
          </w:p>
        </w:tc>
        <w:tc>
          <w:tcPr>
            <w:tcW w:w="1347" w:type="dxa"/>
            <w:noWrap/>
            <w:hideMark/>
          </w:tcPr>
          <w:p w14:paraId="3738F68E" w14:textId="77777777" w:rsidR="00433995" w:rsidRPr="008B2321" w:rsidRDefault="00433995">
            <w:pPr>
              <w:pStyle w:val="Tabletext0"/>
            </w:pPr>
            <w:r w:rsidRPr="00F67259">
              <w:t>$67,547</w:t>
            </w:r>
          </w:p>
        </w:tc>
      </w:tr>
      <w:tr w:rsidR="00172E69" w:rsidRPr="008B2321" w14:paraId="7B6B5DE7" w14:textId="77777777" w:rsidTr="00297341">
        <w:trPr>
          <w:trHeight w:val="330"/>
        </w:trPr>
        <w:tc>
          <w:tcPr>
            <w:tcW w:w="2690" w:type="dxa"/>
            <w:noWrap/>
            <w:hideMark/>
          </w:tcPr>
          <w:p w14:paraId="7972D945" w14:textId="77777777" w:rsidR="00433995" w:rsidRPr="008B2321" w:rsidRDefault="00433995">
            <w:pPr>
              <w:pStyle w:val="Tabletext0"/>
            </w:pPr>
            <w:r w:rsidRPr="008B2321">
              <w:t>Replacement of IPG</w:t>
            </w:r>
          </w:p>
        </w:tc>
        <w:tc>
          <w:tcPr>
            <w:tcW w:w="921" w:type="dxa"/>
            <w:gridSpan w:val="2"/>
            <w:noWrap/>
            <w:hideMark/>
          </w:tcPr>
          <w:p w14:paraId="46061724" w14:textId="77777777" w:rsidR="00433995" w:rsidRPr="008B2321" w:rsidRDefault="00433995">
            <w:pPr>
              <w:pStyle w:val="Tabletext0"/>
            </w:pPr>
            <w:r w:rsidRPr="00F67259">
              <w:t>$0</w:t>
            </w:r>
          </w:p>
        </w:tc>
        <w:tc>
          <w:tcPr>
            <w:tcW w:w="901" w:type="dxa"/>
            <w:noWrap/>
            <w:hideMark/>
          </w:tcPr>
          <w:p w14:paraId="72B28948" w14:textId="77777777" w:rsidR="00433995" w:rsidRPr="008B2321" w:rsidRDefault="00433995">
            <w:pPr>
              <w:pStyle w:val="Tabletext0"/>
            </w:pPr>
            <w:r w:rsidRPr="00F67259">
              <w:t>$0</w:t>
            </w:r>
          </w:p>
        </w:tc>
        <w:tc>
          <w:tcPr>
            <w:tcW w:w="901" w:type="dxa"/>
            <w:noWrap/>
            <w:hideMark/>
          </w:tcPr>
          <w:p w14:paraId="46497AC1" w14:textId="77777777" w:rsidR="00433995" w:rsidRPr="008B2321" w:rsidRDefault="00433995">
            <w:pPr>
              <w:pStyle w:val="Tabletext0"/>
            </w:pPr>
            <w:r w:rsidRPr="00F67259">
              <w:t>$0</w:t>
            </w:r>
          </w:p>
        </w:tc>
        <w:tc>
          <w:tcPr>
            <w:tcW w:w="901" w:type="dxa"/>
            <w:noWrap/>
            <w:hideMark/>
          </w:tcPr>
          <w:p w14:paraId="0BF711A9" w14:textId="77777777" w:rsidR="00433995" w:rsidRPr="008B2321" w:rsidRDefault="00433995">
            <w:pPr>
              <w:pStyle w:val="Tabletext0"/>
            </w:pPr>
            <w:r w:rsidRPr="00F67259">
              <w:t>$16,990</w:t>
            </w:r>
          </w:p>
        </w:tc>
        <w:tc>
          <w:tcPr>
            <w:tcW w:w="1012" w:type="dxa"/>
            <w:noWrap/>
            <w:hideMark/>
          </w:tcPr>
          <w:p w14:paraId="206D482E" w14:textId="77777777" w:rsidR="00433995" w:rsidRPr="008B2321" w:rsidRDefault="00433995">
            <w:pPr>
              <w:pStyle w:val="Tabletext0"/>
            </w:pPr>
            <w:r w:rsidRPr="00F67259">
              <w:t>$33,980</w:t>
            </w:r>
          </w:p>
        </w:tc>
        <w:tc>
          <w:tcPr>
            <w:tcW w:w="1037" w:type="dxa"/>
            <w:noWrap/>
            <w:hideMark/>
          </w:tcPr>
          <w:p w14:paraId="1B76C0A4" w14:textId="77777777" w:rsidR="00433995" w:rsidRPr="008B2321" w:rsidRDefault="00433995">
            <w:pPr>
              <w:pStyle w:val="Tabletext0"/>
            </w:pPr>
            <w:r w:rsidRPr="00F67259">
              <w:t>$50,970</w:t>
            </w:r>
          </w:p>
        </w:tc>
        <w:tc>
          <w:tcPr>
            <w:tcW w:w="1347" w:type="dxa"/>
            <w:noWrap/>
            <w:hideMark/>
          </w:tcPr>
          <w:p w14:paraId="35C90256" w14:textId="77777777" w:rsidR="00433995" w:rsidRPr="008B2321" w:rsidRDefault="00433995">
            <w:pPr>
              <w:pStyle w:val="Tabletext0"/>
            </w:pPr>
            <w:r w:rsidRPr="00F67259">
              <w:t>$101,940</w:t>
            </w:r>
          </w:p>
        </w:tc>
      </w:tr>
      <w:tr w:rsidR="00172E69" w:rsidRPr="008B2321" w14:paraId="551A1A49" w14:textId="77777777" w:rsidTr="00297341">
        <w:trPr>
          <w:trHeight w:val="345"/>
        </w:trPr>
        <w:tc>
          <w:tcPr>
            <w:tcW w:w="2690" w:type="dxa"/>
            <w:noWrap/>
            <w:hideMark/>
          </w:tcPr>
          <w:p w14:paraId="60FE5DC1" w14:textId="77777777" w:rsidR="00433995" w:rsidRPr="008B2321" w:rsidRDefault="00433995">
            <w:pPr>
              <w:pStyle w:val="Tabletext0"/>
            </w:pPr>
            <w:r w:rsidRPr="008B2321">
              <w:t>Removal of IPG</w:t>
            </w:r>
          </w:p>
        </w:tc>
        <w:tc>
          <w:tcPr>
            <w:tcW w:w="921" w:type="dxa"/>
            <w:gridSpan w:val="2"/>
            <w:noWrap/>
            <w:hideMark/>
          </w:tcPr>
          <w:p w14:paraId="195F9240" w14:textId="77777777" w:rsidR="00433995" w:rsidRPr="008B2321" w:rsidRDefault="00433995">
            <w:pPr>
              <w:pStyle w:val="Tabletext0"/>
            </w:pPr>
            <w:r w:rsidRPr="00F67259">
              <w:t>$0</w:t>
            </w:r>
          </w:p>
        </w:tc>
        <w:tc>
          <w:tcPr>
            <w:tcW w:w="901" w:type="dxa"/>
            <w:noWrap/>
            <w:hideMark/>
          </w:tcPr>
          <w:p w14:paraId="027A72A0" w14:textId="77777777" w:rsidR="00433995" w:rsidRPr="008B2321" w:rsidRDefault="00433995">
            <w:pPr>
              <w:pStyle w:val="Tabletext0"/>
            </w:pPr>
            <w:r w:rsidRPr="00F67259">
              <w:t>$0</w:t>
            </w:r>
          </w:p>
        </w:tc>
        <w:tc>
          <w:tcPr>
            <w:tcW w:w="901" w:type="dxa"/>
            <w:noWrap/>
            <w:hideMark/>
          </w:tcPr>
          <w:p w14:paraId="2E8C21A4" w14:textId="77777777" w:rsidR="00433995" w:rsidRPr="008B2321" w:rsidRDefault="00433995">
            <w:pPr>
              <w:pStyle w:val="Tabletext0"/>
            </w:pPr>
            <w:r w:rsidRPr="00F67259">
              <w:t>$0</w:t>
            </w:r>
          </w:p>
        </w:tc>
        <w:tc>
          <w:tcPr>
            <w:tcW w:w="901" w:type="dxa"/>
            <w:noWrap/>
            <w:hideMark/>
          </w:tcPr>
          <w:p w14:paraId="50F36F4A" w14:textId="77777777" w:rsidR="00433995" w:rsidRPr="008B2321" w:rsidRDefault="00433995">
            <w:pPr>
              <w:pStyle w:val="Tabletext0"/>
            </w:pPr>
            <w:r w:rsidRPr="00F67259">
              <w:t>$0</w:t>
            </w:r>
          </w:p>
        </w:tc>
        <w:tc>
          <w:tcPr>
            <w:tcW w:w="1012" w:type="dxa"/>
            <w:noWrap/>
            <w:hideMark/>
          </w:tcPr>
          <w:p w14:paraId="26014B24" w14:textId="77777777" w:rsidR="00433995" w:rsidRPr="008B2321" w:rsidRDefault="00433995">
            <w:pPr>
              <w:pStyle w:val="Tabletext0"/>
            </w:pPr>
            <w:r w:rsidRPr="00F67259">
              <w:t>$0</w:t>
            </w:r>
          </w:p>
        </w:tc>
        <w:tc>
          <w:tcPr>
            <w:tcW w:w="1037" w:type="dxa"/>
            <w:noWrap/>
            <w:hideMark/>
          </w:tcPr>
          <w:p w14:paraId="1AAC7514" w14:textId="77777777" w:rsidR="00433995" w:rsidRPr="008B2321" w:rsidRDefault="00433995">
            <w:pPr>
              <w:pStyle w:val="Tabletext0"/>
            </w:pPr>
            <w:r w:rsidRPr="00F67259">
              <w:t>$0</w:t>
            </w:r>
          </w:p>
        </w:tc>
        <w:tc>
          <w:tcPr>
            <w:tcW w:w="1347" w:type="dxa"/>
            <w:noWrap/>
            <w:hideMark/>
          </w:tcPr>
          <w:p w14:paraId="6514414D" w14:textId="77777777" w:rsidR="00433995" w:rsidRPr="008B2321" w:rsidRDefault="00433995">
            <w:pPr>
              <w:pStyle w:val="Tabletext0"/>
            </w:pPr>
            <w:r w:rsidRPr="00F67259">
              <w:t>$0</w:t>
            </w:r>
          </w:p>
        </w:tc>
      </w:tr>
      <w:tr w:rsidR="005334F5" w:rsidRPr="00513C8B" w14:paraId="4127CBE1" w14:textId="77777777" w:rsidTr="00297341">
        <w:trPr>
          <w:trHeight w:val="345"/>
        </w:trPr>
        <w:tc>
          <w:tcPr>
            <w:tcW w:w="2690" w:type="dxa"/>
            <w:tcBorders>
              <w:bottom w:val="single" w:sz="4" w:space="0" w:color="auto"/>
            </w:tcBorders>
            <w:noWrap/>
            <w:hideMark/>
          </w:tcPr>
          <w:p w14:paraId="656F5143" w14:textId="77777777" w:rsidR="00433995" w:rsidRPr="00513C8B" w:rsidRDefault="00433995">
            <w:pPr>
              <w:pStyle w:val="Tabletext0"/>
              <w:rPr>
                <w:b/>
                <w:bCs/>
              </w:rPr>
            </w:pPr>
            <w:r w:rsidRPr="00513C8B">
              <w:rPr>
                <w:b/>
                <w:bCs/>
              </w:rPr>
              <w:t xml:space="preserve">Total </w:t>
            </w:r>
            <w:r>
              <w:rPr>
                <w:b/>
                <w:bCs/>
              </w:rPr>
              <w:t>c</w:t>
            </w:r>
            <w:r w:rsidRPr="00513C8B">
              <w:rPr>
                <w:b/>
                <w:bCs/>
              </w:rPr>
              <w:t>ost to prostheses list</w:t>
            </w:r>
          </w:p>
        </w:tc>
        <w:tc>
          <w:tcPr>
            <w:tcW w:w="921" w:type="dxa"/>
            <w:gridSpan w:val="2"/>
            <w:tcBorders>
              <w:bottom w:val="single" w:sz="4" w:space="0" w:color="auto"/>
            </w:tcBorders>
            <w:noWrap/>
            <w:hideMark/>
          </w:tcPr>
          <w:p w14:paraId="7A8D6302" w14:textId="77777777" w:rsidR="00433995" w:rsidRPr="001B38DA" w:rsidRDefault="00433995">
            <w:pPr>
              <w:pStyle w:val="Tabletext0"/>
              <w:rPr>
                <w:b/>
                <w:bCs/>
              </w:rPr>
            </w:pPr>
            <w:r w:rsidRPr="001B38DA">
              <w:rPr>
                <w:b/>
                <w:bCs/>
              </w:rPr>
              <w:t>$168,606</w:t>
            </w:r>
          </w:p>
        </w:tc>
        <w:tc>
          <w:tcPr>
            <w:tcW w:w="901" w:type="dxa"/>
            <w:tcBorders>
              <w:bottom w:val="single" w:sz="4" w:space="0" w:color="auto"/>
            </w:tcBorders>
            <w:noWrap/>
            <w:hideMark/>
          </w:tcPr>
          <w:p w14:paraId="1D1C449B" w14:textId="77777777" w:rsidR="00433995" w:rsidRPr="001B38DA" w:rsidRDefault="00433995">
            <w:pPr>
              <w:pStyle w:val="Tabletext0"/>
              <w:rPr>
                <w:b/>
                <w:bCs/>
              </w:rPr>
            </w:pPr>
            <w:r w:rsidRPr="001B38DA">
              <w:rPr>
                <w:b/>
                <w:bCs/>
              </w:rPr>
              <w:t>$337,212</w:t>
            </w:r>
          </w:p>
        </w:tc>
        <w:tc>
          <w:tcPr>
            <w:tcW w:w="901" w:type="dxa"/>
            <w:tcBorders>
              <w:bottom w:val="single" w:sz="4" w:space="0" w:color="auto"/>
            </w:tcBorders>
            <w:noWrap/>
            <w:hideMark/>
          </w:tcPr>
          <w:p w14:paraId="6080B1F8" w14:textId="77777777" w:rsidR="00433995" w:rsidRPr="001B38DA" w:rsidRDefault="00433995">
            <w:pPr>
              <w:pStyle w:val="Tabletext0"/>
              <w:rPr>
                <w:b/>
                <w:bCs/>
              </w:rPr>
            </w:pPr>
            <w:r w:rsidRPr="001B38DA">
              <w:rPr>
                <w:b/>
                <w:bCs/>
              </w:rPr>
              <w:t>$505,818</w:t>
            </w:r>
          </w:p>
        </w:tc>
        <w:tc>
          <w:tcPr>
            <w:tcW w:w="901" w:type="dxa"/>
            <w:tcBorders>
              <w:bottom w:val="single" w:sz="4" w:space="0" w:color="auto"/>
            </w:tcBorders>
            <w:noWrap/>
            <w:hideMark/>
          </w:tcPr>
          <w:p w14:paraId="443851C2" w14:textId="77777777" w:rsidR="00433995" w:rsidRPr="001B38DA" w:rsidRDefault="00433995">
            <w:pPr>
              <w:pStyle w:val="Tabletext0"/>
              <w:rPr>
                <w:b/>
                <w:bCs/>
              </w:rPr>
            </w:pPr>
            <w:r w:rsidRPr="001B38DA">
              <w:rPr>
                <w:b/>
                <w:bCs/>
              </w:rPr>
              <w:t>$691,414</w:t>
            </w:r>
          </w:p>
        </w:tc>
        <w:tc>
          <w:tcPr>
            <w:tcW w:w="1012" w:type="dxa"/>
            <w:tcBorders>
              <w:bottom w:val="single" w:sz="4" w:space="0" w:color="auto"/>
            </w:tcBorders>
            <w:noWrap/>
            <w:hideMark/>
          </w:tcPr>
          <w:p w14:paraId="3FA55113" w14:textId="77777777" w:rsidR="00433995" w:rsidRPr="001B38DA" w:rsidRDefault="00433995">
            <w:pPr>
              <w:pStyle w:val="Tabletext0"/>
              <w:rPr>
                <w:b/>
                <w:bCs/>
              </w:rPr>
            </w:pPr>
            <w:r w:rsidRPr="001B38DA">
              <w:rPr>
                <w:b/>
                <w:bCs/>
              </w:rPr>
              <w:t>$877,011</w:t>
            </w:r>
          </w:p>
        </w:tc>
        <w:tc>
          <w:tcPr>
            <w:tcW w:w="1037" w:type="dxa"/>
            <w:tcBorders>
              <w:bottom w:val="single" w:sz="4" w:space="0" w:color="auto"/>
            </w:tcBorders>
            <w:noWrap/>
            <w:hideMark/>
          </w:tcPr>
          <w:p w14:paraId="44241853" w14:textId="77777777" w:rsidR="00433995" w:rsidRPr="001B38DA" w:rsidRDefault="00433995">
            <w:pPr>
              <w:pStyle w:val="Tabletext0"/>
              <w:rPr>
                <w:b/>
                <w:bCs/>
              </w:rPr>
            </w:pPr>
            <w:r w:rsidRPr="001B38DA">
              <w:rPr>
                <w:b/>
                <w:bCs/>
              </w:rPr>
              <w:t>$1,062,607</w:t>
            </w:r>
          </w:p>
        </w:tc>
        <w:tc>
          <w:tcPr>
            <w:tcW w:w="1347" w:type="dxa"/>
            <w:tcBorders>
              <w:bottom w:val="single" w:sz="4" w:space="0" w:color="auto"/>
            </w:tcBorders>
            <w:noWrap/>
            <w:hideMark/>
          </w:tcPr>
          <w:p w14:paraId="37C5FA80" w14:textId="77777777" w:rsidR="00433995" w:rsidRPr="001B38DA" w:rsidRDefault="00433995">
            <w:pPr>
              <w:pStyle w:val="Tabletext0"/>
              <w:rPr>
                <w:b/>
                <w:bCs/>
              </w:rPr>
            </w:pPr>
            <w:r w:rsidRPr="001B38DA">
              <w:rPr>
                <w:b/>
                <w:bCs/>
              </w:rPr>
              <w:t>$3,642,668</w:t>
            </w:r>
          </w:p>
        </w:tc>
      </w:tr>
      <w:tr w:rsidR="00D77781" w:rsidRPr="008B2321" w14:paraId="24CBC19C" w14:textId="77777777" w:rsidTr="00297341">
        <w:trPr>
          <w:trHeight w:val="330"/>
        </w:trPr>
        <w:tc>
          <w:tcPr>
            <w:tcW w:w="2690" w:type="dxa"/>
            <w:tcBorders>
              <w:right w:val="nil"/>
            </w:tcBorders>
            <w:noWrap/>
            <w:hideMark/>
          </w:tcPr>
          <w:p w14:paraId="2EC5463D" w14:textId="77777777" w:rsidR="00433995" w:rsidRPr="00513C8B" w:rsidRDefault="00433995">
            <w:pPr>
              <w:pStyle w:val="Tabletext0"/>
              <w:rPr>
                <w:b/>
                <w:bCs/>
              </w:rPr>
            </w:pPr>
            <w:r w:rsidRPr="00513C8B">
              <w:rPr>
                <w:b/>
                <w:bCs/>
              </w:rPr>
              <w:t>COST TO HOSPITALS</w:t>
            </w:r>
          </w:p>
        </w:tc>
        <w:tc>
          <w:tcPr>
            <w:tcW w:w="921" w:type="dxa"/>
            <w:gridSpan w:val="2"/>
            <w:tcBorders>
              <w:left w:val="nil"/>
              <w:right w:val="nil"/>
            </w:tcBorders>
            <w:noWrap/>
            <w:hideMark/>
          </w:tcPr>
          <w:p w14:paraId="61246148" w14:textId="77777777" w:rsidR="00433995" w:rsidRPr="008B2321" w:rsidRDefault="00433995">
            <w:pPr>
              <w:pStyle w:val="Tabletext0"/>
            </w:pPr>
          </w:p>
        </w:tc>
        <w:tc>
          <w:tcPr>
            <w:tcW w:w="901" w:type="dxa"/>
            <w:tcBorders>
              <w:left w:val="nil"/>
              <w:right w:val="nil"/>
            </w:tcBorders>
            <w:noWrap/>
            <w:hideMark/>
          </w:tcPr>
          <w:p w14:paraId="4BB5002A" w14:textId="77777777" w:rsidR="00433995" w:rsidRPr="008B2321" w:rsidRDefault="00433995">
            <w:pPr>
              <w:pStyle w:val="Tabletext0"/>
            </w:pPr>
          </w:p>
        </w:tc>
        <w:tc>
          <w:tcPr>
            <w:tcW w:w="901" w:type="dxa"/>
            <w:tcBorders>
              <w:left w:val="nil"/>
              <w:right w:val="nil"/>
            </w:tcBorders>
            <w:noWrap/>
            <w:hideMark/>
          </w:tcPr>
          <w:p w14:paraId="79D43281" w14:textId="77777777" w:rsidR="00433995" w:rsidRPr="008B2321" w:rsidRDefault="00433995">
            <w:pPr>
              <w:pStyle w:val="Tabletext0"/>
            </w:pPr>
          </w:p>
        </w:tc>
        <w:tc>
          <w:tcPr>
            <w:tcW w:w="901" w:type="dxa"/>
            <w:tcBorders>
              <w:left w:val="nil"/>
              <w:right w:val="nil"/>
            </w:tcBorders>
            <w:noWrap/>
            <w:hideMark/>
          </w:tcPr>
          <w:p w14:paraId="5CA28A9A" w14:textId="77777777" w:rsidR="00433995" w:rsidRPr="008B2321" w:rsidRDefault="00433995">
            <w:pPr>
              <w:pStyle w:val="Tabletext0"/>
            </w:pPr>
          </w:p>
        </w:tc>
        <w:tc>
          <w:tcPr>
            <w:tcW w:w="1012" w:type="dxa"/>
            <w:tcBorders>
              <w:left w:val="nil"/>
              <w:right w:val="nil"/>
            </w:tcBorders>
            <w:noWrap/>
            <w:hideMark/>
          </w:tcPr>
          <w:p w14:paraId="62AC2D01" w14:textId="77777777" w:rsidR="00433995" w:rsidRPr="008B2321" w:rsidRDefault="00433995">
            <w:pPr>
              <w:pStyle w:val="Tabletext0"/>
            </w:pPr>
          </w:p>
        </w:tc>
        <w:tc>
          <w:tcPr>
            <w:tcW w:w="1037" w:type="dxa"/>
            <w:tcBorders>
              <w:left w:val="nil"/>
              <w:right w:val="nil"/>
            </w:tcBorders>
            <w:noWrap/>
            <w:hideMark/>
          </w:tcPr>
          <w:p w14:paraId="02477142" w14:textId="77777777" w:rsidR="00433995" w:rsidRPr="008B2321" w:rsidRDefault="00433995">
            <w:pPr>
              <w:pStyle w:val="Tabletext0"/>
            </w:pPr>
          </w:p>
        </w:tc>
        <w:tc>
          <w:tcPr>
            <w:tcW w:w="1347" w:type="dxa"/>
            <w:tcBorders>
              <w:left w:val="nil"/>
            </w:tcBorders>
            <w:noWrap/>
            <w:hideMark/>
          </w:tcPr>
          <w:p w14:paraId="09D0A80D" w14:textId="77777777" w:rsidR="00433995" w:rsidRPr="008B2321" w:rsidRDefault="00433995">
            <w:pPr>
              <w:pStyle w:val="Tabletext0"/>
            </w:pPr>
          </w:p>
        </w:tc>
      </w:tr>
      <w:tr w:rsidR="00172E69" w:rsidRPr="008B2321" w14:paraId="2A051775" w14:textId="77777777" w:rsidTr="00297341">
        <w:trPr>
          <w:trHeight w:val="330"/>
        </w:trPr>
        <w:tc>
          <w:tcPr>
            <w:tcW w:w="2690" w:type="dxa"/>
            <w:noWrap/>
            <w:hideMark/>
          </w:tcPr>
          <w:p w14:paraId="37CF41B3" w14:textId="77777777" w:rsidR="00433995" w:rsidRPr="008B2321" w:rsidRDefault="00433995">
            <w:pPr>
              <w:pStyle w:val="Tabletext0"/>
            </w:pPr>
            <w:r w:rsidRPr="008B2321">
              <w:t>Initial DBS surgery</w:t>
            </w:r>
          </w:p>
        </w:tc>
        <w:tc>
          <w:tcPr>
            <w:tcW w:w="921" w:type="dxa"/>
            <w:gridSpan w:val="2"/>
            <w:noWrap/>
            <w:hideMark/>
          </w:tcPr>
          <w:p w14:paraId="251837EC" w14:textId="77777777" w:rsidR="00433995" w:rsidRPr="008B2321" w:rsidRDefault="00433995">
            <w:pPr>
              <w:pStyle w:val="Tabletext0"/>
            </w:pPr>
            <w:r w:rsidRPr="00A26925">
              <w:t>$63,691</w:t>
            </w:r>
          </w:p>
        </w:tc>
        <w:tc>
          <w:tcPr>
            <w:tcW w:w="901" w:type="dxa"/>
            <w:noWrap/>
            <w:hideMark/>
          </w:tcPr>
          <w:p w14:paraId="2D262A42" w14:textId="77777777" w:rsidR="00433995" w:rsidRPr="008B2321" w:rsidRDefault="00433995">
            <w:pPr>
              <w:pStyle w:val="Tabletext0"/>
            </w:pPr>
            <w:r w:rsidRPr="00A26925">
              <w:t>$127,383</w:t>
            </w:r>
          </w:p>
        </w:tc>
        <w:tc>
          <w:tcPr>
            <w:tcW w:w="901" w:type="dxa"/>
            <w:noWrap/>
            <w:hideMark/>
          </w:tcPr>
          <w:p w14:paraId="2C2FF16E" w14:textId="77777777" w:rsidR="00433995" w:rsidRPr="008B2321" w:rsidRDefault="00433995">
            <w:pPr>
              <w:pStyle w:val="Tabletext0"/>
            </w:pPr>
            <w:r w:rsidRPr="00A26925">
              <w:t>$191,074</w:t>
            </w:r>
          </w:p>
        </w:tc>
        <w:tc>
          <w:tcPr>
            <w:tcW w:w="901" w:type="dxa"/>
            <w:noWrap/>
            <w:hideMark/>
          </w:tcPr>
          <w:p w14:paraId="464DDF6E" w14:textId="77777777" w:rsidR="00433995" w:rsidRPr="008B2321" w:rsidRDefault="00433995">
            <w:pPr>
              <w:pStyle w:val="Tabletext0"/>
            </w:pPr>
            <w:r w:rsidRPr="00A26925">
              <w:t>$254,765</w:t>
            </w:r>
          </w:p>
        </w:tc>
        <w:tc>
          <w:tcPr>
            <w:tcW w:w="1012" w:type="dxa"/>
            <w:noWrap/>
            <w:hideMark/>
          </w:tcPr>
          <w:p w14:paraId="348149F7" w14:textId="77777777" w:rsidR="00433995" w:rsidRPr="008B2321" w:rsidRDefault="00433995">
            <w:pPr>
              <w:pStyle w:val="Tabletext0"/>
            </w:pPr>
            <w:r w:rsidRPr="00A26925">
              <w:t>$318,457</w:t>
            </w:r>
          </w:p>
        </w:tc>
        <w:tc>
          <w:tcPr>
            <w:tcW w:w="1037" w:type="dxa"/>
            <w:noWrap/>
            <w:hideMark/>
          </w:tcPr>
          <w:p w14:paraId="5EFF5BC0" w14:textId="77777777" w:rsidR="00433995" w:rsidRPr="008B2321" w:rsidRDefault="00433995">
            <w:pPr>
              <w:pStyle w:val="Tabletext0"/>
            </w:pPr>
            <w:r w:rsidRPr="00A26925">
              <w:t>$382,148</w:t>
            </w:r>
          </w:p>
        </w:tc>
        <w:tc>
          <w:tcPr>
            <w:tcW w:w="1347" w:type="dxa"/>
            <w:noWrap/>
            <w:hideMark/>
          </w:tcPr>
          <w:p w14:paraId="056FB87C" w14:textId="77777777" w:rsidR="00433995" w:rsidRPr="008B2321" w:rsidRDefault="00433995">
            <w:pPr>
              <w:pStyle w:val="Tabletext0"/>
            </w:pPr>
            <w:r w:rsidRPr="00A26925">
              <w:t>$1,337,517</w:t>
            </w:r>
          </w:p>
        </w:tc>
      </w:tr>
      <w:tr w:rsidR="00172E69" w:rsidRPr="008B2321" w14:paraId="6B500073" w14:textId="77777777" w:rsidTr="00297341">
        <w:trPr>
          <w:trHeight w:val="330"/>
        </w:trPr>
        <w:tc>
          <w:tcPr>
            <w:tcW w:w="2690" w:type="dxa"/>
            <w:noWrap/>
            <w:hideMark/>
          </w:tcPr>
          <w:p w14:paraId="2061B601" w14:textId="77777777" w:rsidR="00433995" w:rsidRPr="008B2321" w:rsidRDefault="00433995">
            <w:pPr>
              <w:pStyle w:val="Tabletext0"/>
            </w:pPr>
            <w:r w:rsidRPr="008B2321">
              <w:t>Post-surgical revision of electrodes</w:t>
            </w:r>
          </w:p>
        </w:tc>
        <w:tc>
          <w:tcPr>
            <w:tcW w:w="921" w:type="dxa"/>
            <w:gridSpan w:val="2"/>
            <w:noWrap/>
            <w:hideMark/>
          </w:tcPr>
          <w:p w14:paraId="5F8FF750" w14:textId="77777777" w:rsidR="00433995" w:rsidRPr="008B2321" w:rsidRDefault="00433995">
            <w:pPr>
              <w:pStyle w:val="Tabletext0"/>
            </w:pPr>
            <w:r w:rsidRPr="00451A27">
              <w:t>$2,866</w:t>
            </w:r>
          </w:p>
        </w:tc>
        <w:tc>
          <w:tcPr>
            <w:tcW w:w="901" w:type="dxa"/>
            <w:noWrap/>
            <w:hideMark/>
          </w:tcPr>
          <w:p w14:paraId="310FA5AF" w14:textId="77777777" w:rsidR="00433995" w:rsidRPr="008B2321" w:rsidRDefault="00433995">
            <w:pPr>
              <w:pStyle w:val="Tabletext0"/>
            </w:pPr>
            <w:r w:rsidRPr="00451A27">
              <w:t>$5,732</w:t>
            </w:r>
          </w:p>
        </w:tc>
        <w:tc>
          <w:tcPr>
            <w:tcW w:w="901" w:type="dxa"/>
            <w:noWrap/>
            <w:hideMark/>
          </w:tcPr>
          <w:p w14:paraId="4053FA73" w14:textId="77777777" w:rsidR="00433995" w:rsidRPr="008B2321" w:rsidRDefault="00433995">
            <w:pPr>
              <w:pStyle w:val="Tabletext0"/>
            </w:pPr>
            <w:r w:rsidRPr="00451A27">
              <w:t>$8,598</w:t>
            </w:r>
          </w:p>
        </w:tc>
        <w:tc>
          <w:tcPr>
            <w:tcW w:w="901" w:type="dxa"/>
            <w:noWrap/>
            <w:hideMark/>
          </w:tcPr>
          <w:p w14:paraId="70BBD961" w14:textId="77777777" w:rsidR="00433995" w:rsidRPr="008B2321" w:rsidRDefault="00433995">
            <w:pPr>
              <w:pStyle w:val="Tabletext0"/>
            </w:pPr>
            <w:r w:rsidRPr="00451A27">
              <w:t>$11,464</w:t>
            </w:r>
          </w:p>
        </w:tc>
        <w:tc>
          <w:tcPr>
            <w:tcW w:w="1012" w:type="dxa"/>
            <w:noWrap/>
            <w:hideMark/>
          </w:tcPr>
          <w:p w14:paraId="718F42A4" w14:textId="77777777" w:rsidR="00433995" w:rsidRPr="008B2321" w:rsidRDefault="00433995">
            <w:pPr>
              <w:pStyle w:val="Tabletext0"/>
            </w:pPr>
            <w:r w:rsidRPr="00451A27">
              <w:t>$14,331</w:t>
            </w:r>
          </w:p>
        </w:tc>
        <w:tc>
          <w:tcPr>
            <w:tcW w:w="1037" w:type="dxa"/>
            <w:noWrap/>
            <w:hideMark/>
          </w:tcPr>
          <w:p w14:paraId="1FFC76B4" w14:textId="77777777" w:rsidR="00433995" w:rsidRPr="008B2321" w:rsidRDefault="00433995">
            <w:pPr>
              <w:pStyle w:val="Tabletext0"/>
            </w:pPr>
            <w:r w:rsidRPr="00451A27">
              <w:t>$17,197</w:t>
            </w:r>
          </w:p>
        </w:tc>
        <w:tc>
          <w:tcPr>
            <w:tcW w:w="1347" w:type="dxa"/>
            <w:noWrap/>
            <w:hideMark/>
          </w:tcPr>
          <w:p w14:paraId="3362AB3D" w14:textId="77777777" w:rsidR="00433995" w:rsidRPr="008B2321" w:rsidRDefault="00433995">
            <w:pPr>
              <w:pStyle w:val="Tabletext0"/>
            </w:pPr>
            <w:r w:rsidRPr="00451A27">
              <w:t>$60,188</w:t>
            </w:r>
          </w:p>
        </w:tc>
      </w:tr>
      <w:tr w:rsidR="00172E69" w:rsidRPr="008B2321" w14:paraId="69066D8D" w14:textId="77777777" w:rsidTr="00297341">
        <w:trPr>
          <w:trHeight w:val="330"/>
        </w:trPr>
        <w:tc>
          <w:tcPr>
            <w:tcW w:w="2690" w:type="dxa"/>
            <w:noWrap/>
            <w:hideMark/>
          </w:tcPr>
          <w:p w14:paraId="772E2BF1" w14:textId="77777777" w:rsidR="00433995" w:rsidRPr="008B2321" w:rsidRDefault="00433995">
            <w:pPr>
              <w:pStyle w:val="Tabletext0"/>
            </w:pPr>
            <w:r w:rsidRPr="008B2321">
              <w:t xml:space="preserve">Post-surgical revision of </w:t>
            </w:r>
            <w:r>
              <w:t>l</w:t>
            </w:r>
            <w:r w:rsidRPr="008B2321">
              <w:t>eads</w:t>
            </w:r>
          </w:p>
        </w:tc>
        <w:tc>
          <w:tcPr>
            <w:tcW w:w="921" w:type="dxa"/>
            <w:gridSpan w:val="2"/>
            <w:noWrap/>
            <w:hideMark/>
          </w:tcPr>
          <w:p w14:paraId="4158B99B" w14:textId="77777777" w:rsidR="00433995" w:rsidRPr="008B2321" w:rsidRDefault="00433995">
            <w:pPr>
              <w:pStyle w:val="Tabletext0"/>
            </w:pPr>
            <w:r w:rsidRPr="00451A27">
              <w:t>$3,185</w:t>
            </w:r>
          </w:p>
        </w:tc>
        <w:tc>
          <w:tcPr>
            <w:tcW w:w="901" w:type="dxa"/>
            <w:noWrap/>
            <w:hideMark/>
          </w:tcPr>
          <w:p w14:paraId="03D54F4C" w14:textId="77777777" w:rsidR="00433995" w:rsidRPr="008B2321" w:rsidRDefault="00433995">
            <w:pPr>
              <w:pStyle w:val="Tabletext0"/>
            </w:pPr>
            <w:r w:rsidRPr="00451A27">
              <w:t>$6,369</w:t>
            </w:r>
          </w:p>
        </w:tc>
        <w:tc>
          <w:tcPr>
            <w:tcW w:w="901" w:type="dxa"/>
            <w:noWrap/>
            <w:hideMark/>
          </w:tcPr>
          <w:p w14:paraId="294FBDE0" w14:textId="77777777" w:rsidR="00433995" w:rsidRPr="008B2321" w:rsidRDefault="00433995">
            <w:pPr>
              <w:pStyle w:val="Tabletext0"/>
            </w:pPr>
            <w:r w:rsidRPr="00451A27">
              <w:t>$9,554</w:t>
            </w:r>
          </w:p>
        </w:tc>
        <w:tc>
          <w:tcPr>
            <w:tcW w:w="901" w:type="dxa"/>
            <w:noWrap/>
            <w:hideMark/>
          </w:tcPr>
          <w:p w14:paraId="7333F4BE" w14:textId="77777777" w:rsidR="00433995" w:rsidRPr="008B2321" w:rsidRDefault="00433995">
            <w:pPr>
              <w:pStyle w:val="Tabletext0"/>
            </w:pPr>
            <w:r w:rsidRPr="00451A27">
              <w:t>$12,738</w:t>
            </w:r>
          </w:p>
        </w:tc>
        <w:tc>
          <w:tcPr>
            <w:tcW w:w="1012" w:type="dxa"/>
            <w:noWrap/>
            <w:hideMark/>
          </w:tcPr>
          <w:p w14:paraId="2B4109F9" w14:textId="77777777" w:rsidR="00433995" w:rsidRPr="008B2321" w:rsidRDefault="00433995">
            <w:pPr>
              <w:pStyle w:val="Tabletext0"/>
            </w:pPr>
            <w:r w:rsidRPr="00451A27">
              <w:t>$15,923</w:t>
            </w:r>
          </w:p>
        </w:tc>
        <w:tc>
          <w:tcPr>
            <w:tcW w:w="1037" w:type="dxa"/>
            <w:noWrap/>
            <w:hideMark/>
          </w:tcPr>
          <w:p w14:paraId="79284D20" w14:textId="77777777" w:rsidR="00433995" w:rsidRPr="008B2321" w:rsidRDefault="00433995">
            <w:pPr>
              <w:pStyle w:val="Tabletext0"/>
            </w:pPr>
            <w:r w:rsidRPr="00451A27">
              <w:t>$19,107</w:t>
            </w:r>
          </w:p>
        </w:tc>
        <w:tc>
          <w:tcPr>
            <w:tcW w:w="1347" w:type="dxa"/>
            <w:noWrap/>
            <w:hideMark/>
          </w:tcPr>
          <w:p w14:paraId="1A23C342" w14:textId="77777777" w:rsidR="00433995" w:rsidRPr="008B2321" w:rsidRDefault="00433995">
            <w:pPr>
              <w:pStyle w:val="Tabletext0"/>
            </w:pPr>
            <w:r w:rsidRPr="00451A27">
              <w:t>$66,876</w:t>
            </w:r>
          </w:p>
        </w:tc>
      </w:tr>
      <w:tr w:rsidR="00172E69" w:rsidRPr="008B2321" w14:paraId="71CBF780" w14:textId="77777777" w:rsidTr="00297341">
        <w:trPr>
          <w:trHeight w:val="330"/>
        </w:trPr>
        <w:tc>
          <w:tcPr>
            <w:tcW w:w="2690" w:type="dxa"/>
            <w:noWrap/>
            <w:hideMark/>
          </w:tcPr>
          <w:p w14:paraId="36A5AB5E" w14:textId="77777777" w:rsidR="00433995" w:rsidRPr="008B2321" w:rsidRDefault="00433995">
            <w:pPr>
              <w:pStyle w:val="Tabletext0"/>
            </w:pPr>
            <w:r w:rsidRPr="008B2321">
              <w:t>Replacement of IPG</w:t>
            </w:r>
          </w:p>
        </w:tc>
        <w:tc>
          <w:tcPr>
            <w:tcW w:w="921" w:type="dxa"/>
            <w:gridSpan w:val="2"/>
            <w:noWrap/>
            <w:hideMark/>
          </w:tcPr>
          <w:p w14:paraId="0CABF344" w14:textId="77777777" w:rsidR="00433995" w:rsidRPr="008B2321" w:rsidRDefault="00433995">
            <w:pPr>
              <w:pStyle w:val="Tabletext0"/>
            </w:pPr>
            <w:r w:rsidRPr="00451A27">
              <w:t>$0</w:t>
            </w:r>
          </w:p>
        </w:tc>
        <w:tc>
          <w:tcPr>
            <w:tcW w:w="901" w:type="dxa"/>
            <w:noWrap/>
            <w:hideMark/>
          </w:tcPr>
          <w:p w14:paraId="3BA0416F" w14:textId="77777777" w:rsidR="00433995" w:rsidRPr="008B2321" w:rsidRDefault="00433995">
            <w:pPr>
              <w:pStyle w:val="Tabletext0"/>
            </w:pPr>
            <w:r w:rsidRPr="00451A27">
              <w:t>$0</w:t>
            </w:r>
          </w:p>
        </w:tc>
        <w:tc>
          <w:tcPr>
            <w:tcW w:w="901" w:type="dxa"/>
            <w:noWrap/>
            <w:hideMark/>
          </w:tcPr>
          <w:p w14:paraId="0DFB0EFA" w14:textId="77777777" w:rsidR="00433995" w:rsidRPr="008B2321" w:rsidRDefault="00433995">
            <w:pPr>
              <w:pStyle w:val="Tabletext0"/>
            </w:pPr>
            <w:r w:rsidRPr="00451A27">
              <w:t>$0</w:t>
            </w:r>
          </w:p>
        </w:tc>
        <w:tc>
          <w:tcPr>
            <w:tcW w:w="901" w:type="dxa"/>
            <w:noWrap/>
            <w:hideMark/>
          </w:tcPr>
          <w:p w14:paraId="737A4384" w14:textId="77777777" w:rsidR="00433995" w:rsidRPr="008B2321" w:rsidRDefault="00433995">
            <w:pPr>
              <w:pStyle w:val="Tabletext0"/>
            </w:pPr>
            <w:r w:rsidRPr="00451A27">
              <w:t>$13,017</w:t>
            </w:r>
          </w:p>
        </w:tc>
        <w:tc>
          <w:tcPr>
            <w:tcW w:w="1012" w:type="dxa"/>
            <w:noWrap/>
            <w:hideMark/>
          </w:tcPr>
          <w:p w14:paraId="347D0FB9" w14:textId="77777777" w:rsidR="00433995" w:rsidRPr="008B2321" w:rsidRDefault="00433995">
            <w:pPr>
              <w:pStyle w:val="Tabletext0"/>
            </w:pPr>
            <w:r w:rsidRPr="00451A27">
              <w:t>$26,034</w:t>
            </w:r>
          </w:p>
        </w:tc>
        <w:tc>
          <w:tcPr>
            <w:tcW w:w="1037" w:type="dxa"/>
            <w:noWrap/>
            <w:hideMark/>
          </w:tcPr>
          <w:p w14:paraId="3CD0EDEB" w14:textId="77777777" w:rsidR="00433995" w:rsidRPr="008B2321" w:rsidRDefault="00433995">
            <w:pPr>
              <w:pStyle w:val="Tabletext0"/>
            </w:pPr>
            <w:r w:rsidRPr="00451A27">
              <w:t>$39,051</w:t>
            </w:r>
          </w:p>
        </w:tc>
        <w:tc>
          <w:tcPr>
            <w:tcW w:w="1347" w:type="dxa"/>
            <w:noWrap/>
            <w:hideMark/>
          </w:tcPr>
          <w:p w14:paraId="364435AD" w14:textId="77777777" w:rsidR="00433995" w:rsidRPr="008B2321" w:rsidRDefault="00433995">
            <w:pPr>
              <w:pStyle w:val="Tabletext0"/>
            </w:pPr>
            <w:r w:rsidRPr="00451A27">
              <w:t>$78,102</w:t>
            </w:r>
          </w:p>
        </w:tc>
      </w:tr>
      <w:tr w:rsidR="00172E69" w:rsidRPr="008B2321" w14:paraId="1155EEA9" w14:textId="77777777" w:rsidTr="00297341">
        <w:trPr>
          <w:trHeight w:val="345"/>
        </w:trPr>
        <w:tc>
          <w:tcPr>
            <w:tcW w:w="2690" w:type="dxa"/>
            <w:noWrap/>
            <w:hideMark/>
          </w:tcPr>
          <w:p w14:paraId="38E2D88B" w14:textId="77777777" w:rsidR="00433995" w:rsidRPr="008B2321" w:rsidRDefault="00433995">
            <w:pPr>
              <w:pStyle w:val="Tabletext0"/>
            </w:pPr>
            <w:r w:rsidRPr="008B2321">
              <w:t>Removal of IPG</w:t>
            </w:r>
          </w:p>
        </w:tc>
        <w:tc>
          <w:tcPr>
            <w:tcW w:w="921" w:type="dxa"/>
            <w:gridSpan w:val="2"/>
            <w:noWrap/>
            <w:hideMark/>
          </w:tcPr>
          <w:p w14:paraId="719A2DD3" w14:textId="77777777" w:rsidR="00433995" w:rsidRPr="008B2321" w:rsidRDefault="00433995">
            <w:pPr>
              <w:pStyle w:val="Tabletext0"/>
            </w:pPr>
            <w:r w:rsidRPr="00451A27">
              <w:t>$942</w:t>
            </w:r>
          </w:p>
        </w:tc>
        <w:tc>
          <w:tcPr>
            <w:tcW w:w="901" w:type="dxa"/>
            <w:noWrap/>
            <w:hideMark/>
          </w:tcPr>
          <w:p w14:paraId="42DCF5FB" w14:textId="77777777" w:rsidR="00433995" w:rsidRPr="008B2321" w:rsidRDefault="00433995">
            <w:pPr>
              <w:pStyle w:val="Tabletext0"/>
            </w:pPr>
            <w:r w:rsidRPr="00451A27">
              <w:t>$1,885</w:t>
            </w:r>
          </w:p>
        </w:tc>
        <w:tc>
          <w:tcPr>
            <w:tcW w:w="901" w:type="dxa"/>
            <w:noWrap/>
            <w:hideMark/>
          </w:tcPr>
          <w:p w14:paraId="31D5819D" w14:textId="77777777" w:rsidR="00433995" w:rsidRPr="008B2321" w:rsidRDefault="00433995">
            <w:pPr>
              <w:pStyle w:val="Tabletext0"/>
            </w:pPr>
            <w:r w:rsidRPr="00451A27">
              <w:t>$2,827</w:t>
            </w:r>
          </w:p>
        </w:tc>
        <w:tc>
          <w:tcPr>
            <w:tcW w:w="901" w:type="dxa"/>
            <w:noWrap/>
            <w:hideMark/>
          </w:tcPr>
          <w:p w14:paraId="66DA3F4C" w14:textId="77777777" w:rsidR="00433995" w:rsidRPr="008B2321" w:rsidRDefault="00433995">
            <w:pPr>
              <w:pStyle w:val="Tabletext0"/>
            </w:pPr>
            <w:r w:rsidRPr="00451A27">
              <w:t>$3,769</w:t>
            </w:r>
          </w:p>
        </w:tc>
        <w:tc>
          <w:tcPr>
            <w:tcW w:w="1012" w:type="dxa"/>
            <w:noWrap/>
            <w:hideMark/>
          </w:tcPr>
          <w:p w14:paraId="5DBB2997" w14:textId="77777777" w:rsidR="00433995" w:rsidRPr="008B2321" w:rsidRDefault="00433995">
            <w:pPr>
              <w:pStyle w:val="Tabletext0"/>
            </w:pPr>
            <w:r w:rsidRPr="00451A27">
              <w:t>$4,711</w:t>
            </w:r>
          </w:p>
        </w:tc>
        <w:tc>
          <w:tcPr>
            <w:tcW w:w="1037" w:type="dxa"/>
            <w:noWrap/>
            <w:hideMark/>
          </w:tcPr>
          <w:p w14:paraId="70375DAB" w14:textId="77777777" w:rsidR="00433995" w:rsidRPr="008B2321" w:rsidRDefault="00433995">
            <w:pPr>
              <w:pStyle w:val="Tabletext0"/>
            </w:pPr>
            <w:r w:rsidRPr="00451A27">
              <w:t>$5,654</w:t>
            </w:r>
          </w:p>
        </w:tc>
        <w:tc>
          <w:tcPr>
            <w:tcW w:w="1347" w:type="dxa"/>
            <w:noWrap/>
            <w:hideMark/>
          </w:tcPr>
          <w:p w14:paraId="171164D5" w14:textId="77777777" w:rsidR="00433995" w:rsidRPr="008B2321" w:rsidRDefault="00433995">
            <w:pPr>
              <w:pStyle w:val="Tabletext0"/>
            </w:pPr>
            <w:r w:rsidRPr="00451A27">
              <w:t>$19,788</w:t>
            </w:r>
          </w:p>
        </w:tc>
      </w:tr>
      <w:tr w:rsidR="00172E69" w:rsidRPr="00B15CD6" w14:paraId="2BDC36FD" w14:textId="77777777" w:rsidTr="00297341">
        <w:trPr>
          <w:trHeight w:val="345"/>
        </w:trPr>
        <w:tc>
          <w:tcPr>
            <w:tcW w:w="2690" w:type="dxa"/>
            <w:noWrap/>
            <w:hideMark/>
          </w:tcPr>
          <w:p w14:paraId="28B19479" w14:textId="77777777" w:rsidR="00433995" w:rsidRPr="00B15CD6" w:rsidRDefault="00433995">
            <w:pPr>
              <w:pStyle w:val="Tabletext0"/>
              <w:rPr>
                <w:b/>
                <w:bCs/>
              </w:rPr>
            </w:pPr>
            <w:r w:rsidRPr="00B15CD6">
              <w:rPr>
                <w:b/>
                <w:bCs/>
              </w:rPr>
              <w:t xml:space="preserve">Total </w:t>
            </w:r>
            <w:r>
              <w:rPr>
                <w:b/>
                <w:bCs/>
              </w:rPr>
              <w:t>c</w:t>
            </w:r>
            <w:r w:rsidRPr="00B15CD6">
              <w:rPr>
                <w:b/>
                <w:bCs/>
              </w:rPr>
              <w:t>ost to hospitals</w:t>
            </w:r>
          </w:p>
        </w:tc>
        <w:tc>
          <w:tcPr>
            <w:tcW w:w="921" w:type="dxa"/>
            <w:gridSpan w:val="2"/>
            <w:noWrap/>
            <w:hideMark/>
          </w:tcPr>
          <w:p w14:paraId="3F99BFF2" w14:textId="77777777" w:rsidR="00433995" w:rsidRPr="00D524B3" w:rsidRDefault="00433995">
            <w:pPr>
              <w:pStyle w:val="Tabletext0"/>
              <w:rPr>
                <w:b/>
                <w:bCs/>
              </w:rPr>
            </w:pPr>
            <w:r w:rsidRPr="00D524B3">
              <w:rPr>
                <w:b/>
                <w:bCs/>
              </w:rPr>
              <w:t>$70,684</w:t>
            </w:r>
          </w:p>
        </w:tc>
        <w:tc>
          <w:tcPr>
            <w:tcW w:w="901" w:type="dxa"/>
            <w:noWrap/>
            <w:hideMark/>
          </w:tcPr>
          <w:p w14:paraId="08658687" w14:textId="77777777" w:rsidR="00433995" w:rsidRPr="00D524B3" w:rsidRDefault="00433995">
            <w:pPr>
              <w:pStyle w:val="Tabletext0"/>
              <w:rPr>
                <w:b/>
                <w:bCs/>
              </w:rPr>
            </w:pPr>
            <w:r w:rsidRPr="00D524B3">
              <w:rPr>
                <w:b/>
                <w:bCs/>
              </w:rPr>
              <w:t>$141,369</w:t>
            </w:r>
          </w:p>
        </w:tc>
        <w:tc>
          <w:tcPr>
            <w:tcW w:w="901" w:type="dxa"/>
            <w:noWrap/>
            <w:hideMark/>
          </w:tcPr>
          <w:p w14:paraId="39E693D4" w14:textId="77777777" w:rsidR="00433995" w:rsidRPr="00D524B3" w:rsidRDefault="00433995">
            <w:pPr>
              <w:pStyle w:val="Tabletext0"/>
              <w:rPr>
                <w:b/>
                <w:bCs/>
              </w:rPr>
            </w:pPr>
            <w:r w:rsidRPr="00D524B3">
              <w:rPr>
                <w:b/>
                <w:bCs/>
              </w:rPr>
              <w:t>$212,053</w:t>
            </w:r>
          </w:p>
        </w:tc>
        <w:tc>
          <w:tcPr>
            <w:tcW w:w="901" w:type="dxa"/>
            <w:noWrap/>
            <w:hideMark/>
          </w:tcPr>
          <w:p w14:paraId="5DC1FAFD" w14:textId="77777777" w:rsidR="00433995" w:rsidRPr="00D524B3" w:rsidRDefault="00433995">
            <w:pPr>
              <w:pStyle w:val="Tabletext0"/>
              <w:rPr>
                <w:b/>
                <w:bCs/>
              </w:rPr>
            </w:pPr>
            <w:r w:rsidRPr="00D524B3">
              <w:rPr>
                <w:b/>
                <w:bCs/>
              </w:rPr>
              <w:t>$295,754</w:t>
            </w:r>
          </w:p>
        </w:tc>
        <w:tc>
          <w:tcPr>
            <w:tcW w:w="1012" w:type="dxa"/>
            <w:noWrap/>
            <w:hideMark/>
          </w:tcPr>
          <w:p w14:paraId="75C6A6FB" w14:textId="77777777" w:rsidR="00433995" w:rsidRPr="00D524B3" w:rsidRDefault="00433995">
            <w:pPr>
              <w:pStyle w:val="Tabletext0"/>
              <w:rPr>
                <w:b/>
                <w:bCs/>
              </w:rPr>
            </w:pPr>
            <w:r w:rsidRPr="00D524B3">
              <w:rPr>
                <w:b/>
                <w:bCs/>
              </w:rPr>
              <w:t>$379,455</w:t>
            </w:r>
          </w:p>
        </w:tc>
        <w:tc>
          <w:tcPr>
            <w:tcW w:w="1037" w:type="dxa"/>
            <w:noWrap/>
            <w:hideMark/>
          </w:tcPr>
          <w:p w14:paraId="6100DAAD" w14:textId="77777777" w:rsidR="00433995" w:rsidRPr="00D524B3" w:rsidRDefault="00433995">
            <w:pPr>
              <w:pStyle w:val="Tabletext0"/>
              <w:rPr>
                <w:b/>
                <w:bCs/>
              </w:rPr>
            </w:pPr>
            <w:r w:rsidRPr="00D524B3">
              <w:rPr>
                <w:b/>
                <w:bCs/>
              </w:rPr>
              <w:t>$463,156</w:t>
            </w:r>
          </w:p>
        </w:tc>
        <w:tc>
          <w:tcPr>
            <w:tcW w:w="1347" w:type="dxa"/>
            <w:noWrap/>
            <w:hideMark/>
          </w:tcPr>
          <w:p w14:paraId="78D20379" w14:textId="77777777" w:rsidR="00433995" w:rsidRPr="00D524B3" w:rsidRDefault="00433995">
            <w:pPr>
              <w:pStyle w:val="Tabletext0"/>
              <w:rPr>
                <w:b/>
                <w:bCs/>
              </w:rPr>
            </w:pPr>
            <w:r w:rsidRPr="00D524B3">
              <w:rPr>
                <w:b/>
                <w:bCs/>
              </w:rPr>
              <w:t>$1,562,471</w:t>
            </w:r>
          </w:p>
        </w:tc>
      </w:tr>
    </w:tbl>
    <w:p w14:paraId="28CB4B89" w14:textId="3A364F78" w:rsidR="00397F16" w:rsidRDefault="00433995" w:rsidP="00491690">
      <w:pPr>
        <w:pStyle w:val="Tablenotes0"/>
        <w:spacing w:before="0"/>
        <w:jc w:val="left"/>
      </w:pPr>
      <w:r>
        <w:t>Abbreviations: DBS= deep brain stimulation; IPG= implantable pulse generator; OCD= obsessive-compulsive disorder</w:t>
      </w:r>
    </w:p>
    <w:p w14:paraId="5818228F" w14:textId="47E0C739" w:rsidR="00491690" w:rsidRDefault="00491690" w:rsidP="002C56DC">
      <w:pPr>
        <w:spacing w:after="0"/>
      </w:pPr>
      <w:r w:rsidRPr="00FD3929">
        <w:t>The scenario analyses indicated that the overall health budget was the most sensitive to change in utilisation estimates, i.e.</w:t>
      </w:r>
      <w:r>
        <w:t>, the</w:t>
      </w:r>
      <w:r w:rsidRPr="00FD3929">
        <w:t xml:space="preserve"> uptake of DBS procedure</w:t>
      </w:r>
      <w:r>
        <w:t xml:space="preserve"> </w:t>
      </w:r>
      <w:r w:rsidRPr="007F37C3">
        <w:t>(</w:t>
      </w:r>
      <w:r w:rsidRPr="007F37C3">
        <w:fldChar w:fldCharType="begin"/>
      </w:r>
      <w:r w:rsidRPr="007F37C3">
        <w:instrText xml:space="preserve"> REF _Ref139568450 \h  \* MERGEFORMAT </w:instrText>
      </w:r>
      <w:r w:rsidRPr="007F37C3">
        <w:fldChar w:fldCharType="separate"/>
      </w:r>
      <w:r w:rsidR="007F15AB">
        <w:t xml:space="preserve">Table </w:t>
      </w:r>
      <w:r w:rsidR="007F15AB">
        <w:rPr>
          <w:noProof/>
        </w:rPr>
        <w:t>13</w:t>
      </w:r>
      <w:r w:rsidRPr="007F37C3">
        <w:fldChar w:fldCharType="end"/>
      </w:r>
      <w:r w:rsidRPr="007F37C3">
        <w:t>).</w:t>
      </w:r>
      <w:r w:rsidRPr="00FD3929">
        <w:t xml:space="preserve"> </w:t>
      </w:r>
      <w:r>
        <w:t>It is noted that</w:t>
      </w:r>
      <w:r w:rsidRPr="00FD3929">
        <w:t xml:space="preserve"> the current estimate </w:t>
      </w:r>
      <w:r>
        <w:t xml:space="preserve">of utilisation of 5 people in the first year, </w:t>
      </w:r>
      <w:r w:rsidR="00654DCA">
        <w:t>is</w:t>
      </w:r>
      <w:r w:rsidR="00654DCA" w:rsidRPr="00FD3929">
        <w:t xml:space="preserve"> </w:t>
      </w:r>
      <w:r w:rsidRPr="00FD3929">
        <w:t>uncertain</w:t>
      </w:r>
      <w:r>
        <w:t>, but these were considered conservative given the status of DBS availability in Australia</w:t>
      </w:r>
      <w:r w:rsidR="00654DCA">
        <w:t xml:space="preserve"> for OCD patients</w:t>
      </w:r>
      <w:r>
        <w:t>. The sensitivity analyses found that i</w:t>
      </w:r>
      <w:r w:rsidRPr="00FD3929">
        <w:t xml:space="preserve">ncreasing the </w:t>
      </w:r>
      <w:r>
        <w:t>annual uptake of DBS</w:t>
      </w:r>
      <w:r w:rsidRPr="00FD3929">
        <w:t xml:space="preserve"> by 25% </w:t>
      </w:r>
      <w:r>
        <w:t xml:space="preserve">would </w:t>
      </w:r>
      <w:r w:rsidRPr="00FD3929">
        <w:t xml:space="preserve">increase the overall expenditure by </w:t>
      </w:r>
      <w:r>
        <w:t xml:space="preserve">approximately </w:t>
      </w:r>
      <w:r w:rsidRPr="00FD3929">
        <w:t>$1.</w:t>
      </w:r>
      <w:r>
        <w:t>7</w:t>
      </w:r>
      <w:r w:rsidRPr="00FD3929">
        <w:t xml:space="preserve"> million, while employing </w:t>
      </w:r>
      <w:r>
        <w:t xml:space="preserve">the epidemiological </w:t>
      </w:r>
      <w:r w:rsidRPr="00FD3929">
        <w:t xml:space="preserve">approach would lead to </w:t>
      </w:r>
      <w:r w:rsidR="0024204E">
        <w:t xml:space="preserve">a </w:t>
      </w:r>
      <w:r w:rsidRPr="00FD3929">
        <w:t>cost</w:t>
      </w:r>
      <w:r>
        <w:t xml:space="preserve"> increase </w:t>
      </w:r>
      <w:r w:rsidR="0024204E">
        <w:t xml:space="preserve">of </w:t>
      </w:r>
      <w:r w:rsidRPr="00FD3929">
        <w:t>greater than $</w:t>
      </w:r>
      <w:r>
        <w:t>1</w:t>
      </w:r>
      <w:r w:rsidRPr="00FD3929">
        <w:t>0 million.</w:t>
      </w:r>
      <w:r>
        <w:t xml:space="preserve"> Notably, the steep increase in the costs associated with increased utilisation of DBS, are associated with </w:t>
      </w:r>
      <w:r w:rsidR="00C56A5E">
        <w:t xml:space="preserve">the </w:t>
      </w:r>
      <w:r>
        <w:t>cost of prostheses. The impact on MBS costs and hospital costs were affected to a lesser extent.</w:t>
      </w:r>
    </w:p>
    <w:p w14:paraId="124CEF67" w14:textId="1F51D221" w:rsidR="00237D9A" w:rsidRDefault="00BD63E3" w:rsidP="0089746F">
      <w:r w:rsidRPr="001C5682">
        <w:t xml:space="preserve">The budget impact analysis indicates that </w:t>
      </w:r>
      <w:r w:rsidR="00BB56E7" w:rsidRPr="001C5682">
        <w:t xml:space="preserve">one-off costs </w:t>
      </w:r>
      <w:r w:rsidR="00C743F0" w:rsidRPr="001C5682">
        <w:t>associated with</w:t>
      </w:r>
      <w:r w:rsidR="00BB56E7" w:rsidRPr="001C5682">
        <w:t xml:space="preserve"> the initial DBS surgery comprise the maximum </w:t>
      </w:r>
      <w:r w:rsidR="00C743F0" w:rsidRPr="001C5682">
        <w:t xml:space="preserve">cost, </w:t>
      </w:r>
      <w:r w:rsidR="00741187" w:rsidRPr="001C5682">
        <w:t>most</w:t>
      </w:r>
      <w:r w:rsidR="00C743F0" w:rsidRPr="001C5682">
        <w:t xml:space="preserve"> of </w:t>
      </w:r>
      <w:r w:rsidR="00741187" w:rsidRPr="001C5682">
        <w:t>which are attributable to</w:t>
      </w:r>
      <w:r w:rsidR="00C743F0" w:rsidRPr="001C5682">
        <w:t xml:space="preserve"> the prostheses</w:t>
      </w:r>
      <w:r w:rsidR="00741187">
        <w:t xml:space="preserve">. Prostheses costs will be borne by the patient or the insurance company, and </w:t>
      </w:r>
      <w:r w:rsidR="00DA0E05">
        <w:t xml:space="preserve">while these do not impact the </w:t>
      </w:r>
      <w:r w:rsidR="00417C35">
        <w:t xml:space="preserve">Commonwealth </w:t>
      </w:r>
      <w:r w:rsidR="00DA0E05">
        <w:t xml:space="preserve">government healthcare budget directly, it will have </w:t>
      </w:r>
      <w:r w:rsidR="00135E48">
        <w:t xml:space="preserve">cost </w:t>
      </w:r>
      <w:r w:rsidR="00DA0E05">
        <w:t xml:space="preserve">implications, should the </w:t>
      </w:r>
      <w:r w:rsidR="00135E48">
        <w:t xml:space="preserve">prostheses be funded by the </w:t>
      </w:r>
      <w:r w:rsidR="00417C35">
        <w:t>S</w:t>
      </w:r>
      <w:r w:rsidR="00135E48">
        <w:t>tate</w:t>
      </w:r>
      <w:r w:rsidR="00417C35">
        <w:t>/Territory</w:t>
      </w:r>
      <w:r w:rsidR="00135E48">
        <w:t>.</w:t>
      </w:r>
      <w:r w:rsidR="00741187">
        <w:t xml:space="preserve"> </w:t>
      </w:r>
      <w:r w:rsidR="00135E48">
        <w:t xml:space="preserve">Further, </w:t>
      </w:r>
      <w:r w:rsidR="009F5211">
        <w:t xml:space="preserve">in cases where a patient </w:t>
      </w:r>
      <w:r w:rsidR="007D6F3C">
        <w:t xml:space="preserve">is unable to afford the considerable prostheses costs, </w:t>
      </w:r>
      <w:r w:rsidR="002C56DC">
        <w:t xml:space="preserve">they might not </w:t>
      </w:r>
      <w:r w:rsidR="005478E1">
        <w:t>opt for the surgery at all.</w:t>
      </w:r>
      <w:r w:rsidR="001C5682">
        <w:t xml:space="preserve"> </w:t>
      </w:r>
      <w:r w:rsidR="001E480C">
        <w:t>This high cost might result in inequity of access, which in turn could lead a decrease in t</w:t>
      </w:r>
      <w:r w:rsidR="001C5682">
        <w:t xml:space="preserve">he uptake </w:t>
      </w:r>
      <w:r w:rsidR="001E480C">
        <w:t>over the years.</w:t>
      </w:r>
    </w:p>
    <w:p w14:paraId="54DDC8DE" w14:textId="026F17EA" w:rsidR="00FE020F" w:rsidRDefault="00FE020F" w:rsidP="003454D6">
      <w:pPr>
        <w:pStyle w:val="Caption"/>
      </w:pPr>
      <w:r>
        <w:lastRenderedPageBreak/>
        <w:t xml:space="preserve">Table </w:t>
      </w:r>
      <w:r>
        <w:fldChar w:fldCharType="begin"/>
      </w:r>
      <w:r>
        <w:instrText>SEQ Table \* ARABIC</w:instrText>
      </w:r>
      <w:r>
        <w:fldChar w:fldCharType="separate"/>
      </w:r>
      <w:r>
        <w:rPr>
          <w:noProof/>
        </w:rPr>
        <w:t>13</w:t>
      </w:r>
      <w:r>
        <w:fldChar w:fldCharType="end"/>
      </w:r>
      <w:r>
        <w:t xml:space="preserve"> </w:t>
      </w:r>
      <w:r w:rsidRPr="00F80A11">
        <w:t>Overall results of sensitivity analyses on overall financial impact on the Australian Government health budget</w:t>
      </w:r>
    </w:p>
    <w:tbl>
      <w:tblPr>
        <w:tblStyle w:val="TableGrid"/>
        <w:tblW w:w="5000" w:type="pct"/>
        <w:tblLayout w:type="fixed"/>
        <w:tblLook w:val="04A0" w:firstRow="1" w:lastRow="0" w:firstColumn="1" w:lastColumn="0" w:noHBand="0" w:noVBand="1"/>
      </w:tblPr>
      <w:tblGrid>
        <w:gridCol w:w="1601"/>
        <w:gridCol w:w="1755"/>
        <w:gridCol w:w="1051"/>
        <w:gridCol w:w="2194"/>
        <w:gridCol w:w="1149"/>
        <w:gridCol w:w="1266"/>
      </w:tblGrid>
      <w:tr w:rsidR="00237D9A" w:rsidRPr="00AF22EB" w14:paraId="40B5010C" w14:textId="77777777">
        <w:trPr>
          <w:cantSplit/>
          <w:trHeight w:val="330"/>
          <w:tblHeader/>
        </w:trPr>
        <w:tc>
          <w:tcPr>
            <w:tcW w:w="888" w:type="pct"/>
            <w:noWrap/>
            <w:hideMark/>
          </w:tcPr>
          <w:p w14:paraId="2C88F8D1" w14:textId="77777777" w:rsidR="00237D9A" w:rsidRPr="00AF22EB" w:rsidRDefault="00237D9A">
            <w:pPr>
              <w:pStyle w:val="Tabletext0"/>
              <w:jc w:val="left"/>
              <w:rPr>
                <w:b/>
                <w:bCs/>
              </w:rPr>
            </w:pPr>
          </w:p>
        </w:tc>
        <w:tc>
          <w:tcPr>
            <w:tcW w:w="1556" w:type="pct"/>
            <w:gridSpan w:val="2"/>
            <w:noWrap/>
            <w:hideMark/>
          </w:tcPr>
          <w:p w14:paraId="1DBE3ED2" w14:textId="2DA0ED8C" w:rsidR="00237D9A" w:rsidRPr="00AF22EB" w:rsidRDefault="00237D9A">
            <w:pPr>
              <w:pStyle w:val="Tabletext0"/>
              <w:jc w:val="center"/>
              <w:rPr>
                <w:b/>
                <w:bCs/>
              </w:rPr>
            </w:pPr>
            <w:r w:rsidRPr="00AF22EB">
              <w:rPr>
                <w:b/>
                <w:bCs/>
              </w:rPr>
              <w:t>Base case</w:t>
            </w:r>
            <w:r w:rsidR="008C1713">
              <w:rPr>
                <w:b/>
                <w:bCs/>
              </w:rPr>
              <w:t>*</w:t>
            </w:r>
          </w:p>
        </w:tc>
        <w:tc>
          <w:tcPr>
            <w:tcW w:w="1854" w:type="pct"/>
            <w:gridSpan w:val="2"/>
            <w:noWrap/>
            <w:hideMark/>
          </w:tcPr>
          <w:p w14:paraId="267CD06A" w14:textId="2267A27F" w:rsidR="00237D9A" w:rsidRPr="00AF22EB" w:rsidRDefault="00237D9A">
            <w:pPr>
              <w:pStyle w:val="Tabletext0"/>
              <w:jc w:val="center"/>
              <w:rPr>
                <w:b/>
                <w:bCs/>
              </w:rPr>
            </w:pPr>
            <w:r w:rsidRPr="00AF22EB">
              <w:rPr>
                <w:b/>
                <w:bCs/>
              </w:rPr>
              <w:t>Sensitivity analysis</w:t>
            </w:r>
            <w:r w:rsidR="008C1713">
              <w:rPr>
                <w:b/>
                <w:bCs/>
              </w:rPr>
              <w:t>*</w:t>
            </w:r>
          </w:p>
        </w:tc>
        <w:tc>
          <w:tcPr>
            <w:tcW w:w="702" w:type="pct"/>
            <w:tcBorders>
              <w:bottom w:val="nil"/>
            </w:tcBorders>
            <w:noWrap/>
            <w:hideMark/>
          </w:tcPr>
          <w:p w14:paraId="1D5428FC" w14:textId="77777777" w:rsidR="00237D9A" w:rsidRPr="00AF22EB" w:rsidRDefault="00237D9A">
            <w:pPr>
              <w:pStyle w:val="Tabletext0"/>
              <w:jc w:val="left"/>
              <w:rPr>
                <w:b/>
                <w:bCs/>
              </w:rPr>
            </w:pPr>
          </w:p>
        </w:tc>
      </w:tr>
      <w:tr w:rsidR="00237D9A" w:rsidRPr="00AF22EB" w14:paraId="67260FB1" w14:textId="77777777">
        <w:trPr>
          <w:cantSplit/>
          <w:trHeight w:val="629"/>
          <w:tblHeader/>
        </w:trPr>
        <w:tc>
          <w:tcPr>
            <w:tcW w:w="888" w:type="pct"/>
            <w:noWrap/>
            <w:hideMark/>
          </w:tcPr>
          <w:p w14:paraId="7AF5F75B" w14:textId="77777777" w:rsidR="00237D9A" w:rsidRPr="00AF22EB" w:rsidRDefault="00237D9A">
            <w:pPr>
              <w:pStyle w:val="Tabletext0"/>
              <w:jc w:val="left"/>
              <w:rPr>
                <w:b/>
                <w:bCs/>
              </w:rPr>
            </w:pPr>
            <w:r>
              <w:rPr>
                <w:b/>
                <w:bCs/>
              </w:rPr>
              <w:t>Sensitivity analysis</w:t>
            </w:r>
          </w:p>
        </w:tc>
        <w:tc>
          <w:tcPr>
            <w:tcW w:w="973" w:type="pct"/>
            <w:noWrap/>
            <w:vAlign w:val="center"/>
            <w:hideMark/>
          </w:tcPr>
          <w:p w14:paraId="491F61A2" w14:textId="77777777" w:rsidR="00237D9A" w:rsidRPr="00AF22EB" w:rsidRDefault="00237D9A">
            <w:pPr>
              <w:pStyle w:val="Tabletext0"/>
              <w:jc w:val="center"/>
              <w:rPr>
                <w:b/>
                <w:bCs/>
              </w:rPr>
            </w:pPr>
            <w:r w:rsidRPr="00AF22EB">
              <w:rPr>
                <w:b/>
                <w:bCs/>
              </w:rPr>
              <w:t>Parameter</w:t>
            </w:r>
          </w:p>
        </w:tc>
        <w:tc>
          <w:tcPr>
            <w:tcW w:w="583" w:type="pct"/>
            <w:vAlign w:val="center"/>
            <w:hideMark/>
          </w:tcPr>
          <w:p w14:paraId="53F15C31" w14:textId="77777777" w:rsidR="00237D9A" w:rsidRPr="00AF22EB" w:rsidRDefault="00237D9A">
            <w:pPr>
              <w:pStyle w:val="Tabletext0"/>
              <w:jc w:val="left"/>
              <w:rPr>
                <w:b/>
                <w:bCs/>
              </w:rPr>
            </w:pPr>
            <w:r w:rsidRPr="00AF22EB">
              <w:rPr>
                <w:b/>
                <w:bCs/>
              </w:rPr>
              <w:t>Cost to Australian health budget</w:t>
            </w:r>
          </w:p>
        </w:tc>
        <w:tc>
          <w:tcPr>
            <w:tcW w:w="1217" w:type="pct"/>
            <w:noWrap/>
            <w:hideMark/>
          </w:tcPr>
          <w:p w14:paraId="6D6AA38F" w14:textId="77777777" w:rsidR="00237D9A" w:rsidRPr="00AF22EB" w:rsidRDefault="00237D9A">
            <w:pPr>
              <w:pStyle w:val="Tabletext0"/>
              <w:jc w:val="center"/>
              <w:rPr>
                <w:b/>
                <w:bCs/>
              </w:rPr>
            </w:pPr>
            <w:r w:rsidRPr="00AF22EB">
              <w:rPr>
                <w:b/>
                <w:bCs/>
              </w:rPr>
              <w:t>Parameter</w:t>
            </w:r>
          </w:p>
        </w:tc>
        <w:tc>
          <w:tcPr>
            <w:tcW w:w="637" w:type="pct"/>
            <w:hideMark/>
          </w:tcPr>
          <w:p w14:paraId="2F118409" w14:textId="77777777" w:rsidR="00237D9A" w:rsidRPr="00AF22EB" w:rsidRDefault="00237D9A">
            <w:pPr>
              <w:pStyle w:val="Tabletext0"/>
              <w:jc w:val="center"/>
              <w:rPr>
                <w:b/>
                <w:bCs/>
              </w:rPr>
            </w:pPr>
            <w:r w:rsidRPr="00AF22EB">
              <w:rPr>
                <w:b/>
                <w:bCs/>
              </w:rPr>
              <w:t>Cost to Australian health budget</w:t>
            </w:r>
          </w:p>
        </w:tc>
        <w:tc>
          <w:tcPr>
            <w:tcW w:w="702" w:type="pct"/>
            <w:tcBorders>
              <w:top w:val="nil"/>
            </w:tcBorders>
            <w:vAlign w:val="center"/>
            <w:hideMark/>
          </w:tcPr>
          <w:p w14:paraId="4E031414" w14:textId="77777777" w:rsidR="00237D9A" w:rsidRPr="00AF22EB" w:rsidRDefault="00237D9A">
            <w:pPr>
              <w:pStyle w:val="Tabletext0"/>
              <w:jc w:val="center"/>
              <w:rPr>
                <w:b/>
                <w:bCs/>
              </w:rPr>
            </w:pPr>
            <w:r w:rsidRPr="00AF22EB">
              <w:rPr>
                <w:b/>
                <w:bCs/>
              </w:rPr>
              <w:t>Difference in total cost</w:t>
            </w:r>
            <w:r>
              <w:rPr>
                <w:b/>
                <w:bCs/>
              </w:rPr>
              <w:t>s</w:t>
            </w:r>
          </w:p>
        </w:tc>
      </w:tr>
      <w:tr w:rsidR="00181D77" w:rsidRPr="00AF22EB" w14:paraId="7795FC62" w14:textId="77777777">
        <w:trPr>
          <w:cantSplit/>
          <w:trHeight w:val="660"/>
        </w:trPr>
        <w:tc>
          <w:tcPr>
            <w:tcW w:w="888" w:type="pct"/>
            <w:hideMark/>
          </w:tcPr>
          <w:p w14:paraId="3A34DDA1" w14:textId="77777777" w:rsidR="00181D77" w:rsidRPr="00AF22EB" w:rsidRDefault="00181D77" w:rsidP="00181D77">
            <w:pPr>
              <w:pStyle w:val="Tabletext0"/>
              <w:jc w:val="left"/>
            </w:pPr>
            <w:r w:rsidRPr="00AF22EB">
              <w:t>1. Utilisation projected using epidemiological approach</w:t>
            </w:r>
          </w:p>
        </w:tc>
        <w:tc>
          <w:tcPr>
            <w:tcW w:w="973" w:type="pct"/>
            <w:hideMark/>
          </w:tcPr>
          <w:p w14:paraId="19274BA6" w14:textId="77777777" w:rsidR="00181D77" w:rsidRPr="00AF22EB" w:rsidRDefault="00181D77" w:rsidP="00181D77">
            <w:pPr>
              <w:pStyle w:val="Tabletext0"/>
              <w:jc w:val="left"/>
            </w:pPr>
            <w:r w:rsidRPr="00AF22EB">
              <w:t>5</w:t>
            </w:r>
            <w:r>
              <w:t xml:space="preserve"> to </w:t>
            </w:r>
            <w:r w:rsidRPr="005F1016">
              <w:t>30</w:t>
            </w:r>
            <w:r>
              <w:t xml:space="preserve"> index DBS surgeries</w:t>
            </w:r>
            <w:r w:rsidRPr="00AF22EB">
              <w:t xml:space="preserve">, total </w:t>
            </w:r>
            <w:r w:rsidRPr="005F1016">
              <w:t>105</w:t>
            </w:r>
            <w:r w:rsidRPr="00AF22EB">
              <w:t xml:space="preserve"> over 6 years</w:t>
            </w:r>
          </w:p>
        </w:tc>
        <w:tc>
          <w:tcPr>
            <w:tcW w:w="583" w:type="pct"/>
          </w:tcPr>
          <w:p w14:paraId="138DD0D6" w14:textId="35B2B6D3" w:rsidR="00181D77" w:rsidRPr="00AF22EB" w:rsidRDefault="00181D77" w:rsidP="00181D77">
            <w:pPr>
              <w:pStyle w:val="Tabletext0"/>
              <w:jc w:val="left"/>
            </w:pPr>
            <w:r w:rsidRPr="00F713FB">
              <w:t>$6,664,925</w:t>
            </w:r>
          </w:p>
        </w:tc>
        <w:tc>
          <w:tcPr>
            <w:tcW w:w="1217" w:type="pct"/>
            <w:hideMark/>
          </w:tcPr>
          <w:p w14:paraId="429157B1" w14:textId="77777777" w:rsidR="00181D77" w:rsidRPr="00AF22EB" w:rsidRDefault="00181D77" w:rsidP="00181D77">
            <w:pPr>
              <w:pStyle w:val="Tabletext0"/>
              <w:jc w:val="left"/>
            </w:pPr>
            <w:r w:rsidRPr="005F1016">
              <w:t>44</w:t>
            </w:r>
            <w:r>
              <w:t xml:space="preserve"> to </w:t>
            </w:r>
            <w:r w:rsidRPr="005F1016">
              <w:t>46</w:t>
            </w:r>
            <w:r>
              <w:t xml:space="preserve"> index DBS surgeries</w:t>
            </w:r>
            <w:r w:rsidRPr="00AF22EB">
              <w:t xml:space="preserve">, total </w:t>
            </w:r>
            <w:r w:rsidRPr="005F1016">
              <w:t>268</w:t>
            </w:r>
            <w:r w:rsidRPr="00AF22EB">
              <w:t xml:space="preserve"> over 6 years</w:t>
            </w:r>
          </w:p>
        </w:tc>
        <w:tc>
          <w:tcPr>
            <w:tcW w:w="637" w:type="pct"/>
            <w:hideMark/>
          </w:tcPr>
          <w:p w14:paraId="5CDDF2BF" w14:textId="3CC9A52B" w:rsidR="00181D77" w:rsidRPr="00AF22EB" w:rsidRDefault="00181D77" w:rsidP="00181D77">
            <w:pPr>
              <w:pStyle w:val="Tabletext0"/>
              <w:jc w:val="left"/>
            </w:pPr>
            <w:r w:rsidRPr="00967137">
              <w:t>$17,417,590</w:t>
            </w:r>
          </w:p>
        </w:tc>
        <w:tc>
          <w:tcPr>
            <w:tcW w:w="702" w:type="pct"/>
            <w:noWrap/>
          </w:tcPr>
          <w:p w14:paraId="49B6743C" w14:textId="020A50AE" w:rsidR="00181D77" w:rsidRPr="00AF22EB" w:rsidRDefault="00181D77" w:rsidP="00181D77">
            <w:pPr>
              <w:pStyle w:val="Tabletext0"/>
              <w:jc w:val="left"/>
              <w:rPr>
                <w:b/>
                <w:bCs/>
              </w:rPr>
            </w:pPr>
            <w:r w:rsidRPr="00967137">
              <w:t>$10,752,665</w:t>
            </w:r>
          </w:p>
        </w:tc>
      </w:tr>
      <w:tr w:rsidR="00181D77" w:rsidRPr="00AF22EB" w14:paraId="4D01E015" w14:textId="77777777">
        <w:trPr>
          <w:cantSplit/>
          <w:trHeight w:val="660"/>
        </w:trPr>
        <w:tc>
          <w:tcPr>
            <w:tcW w:w="888" w:type="pct"/>
            <w:hideMark/>
          </w:tcPr>
          <w:p w14:paraId="50002C98" w14:textId="77777777" w:rsidR="00181D77" w:rsidRPr="00AF22EB" w:rsidRDefault="00181D77" w:rsidP="00181D77">
            <w:pPr>
              <w:pStyle w:val="Tabletext0"/>
              <w:jc w:val="left"/>
            </w:pPr>
            <w:r>
              <w:t>2</w:t>
            </w:r>
            <w:r w:rsidRPr="00AF22EB">
              <w:t xml:space="preserve">. Utilisation </w:t>
            </w:r>
            <w:r>
              <w:t>increased by 25%</w:t>
            </w:r>
            <w:r w:rsidRPr="005F1016">
              <w:t xml:space="preserve"> across the 6</w:t>
            </w:r>
            <w:r>
              <w:t>-</w:t>
            </w:r>
            <w:r w:rsidRPr="005F1016">
              <w:t>year horizon</w:t>
            </w:r>
          </w:p>
        </w:tc>
        <w:tc>
          <w:tcPr>
            <w:tcW w:w="973" w:type="pct"/>
            <w:hideMark/>
          </w:tcPr>
          <w:p w14:paraId="31BB99C3" w14:textId="77777777" w:rsidR="00181D77" w:rsidRPr="00AF22EB" w:rsidRDefault="00181D77" w:rsidP="00181D77">
            <w:pPr>
              <w:pStyle w:val="Tabletext0"/>
              <w:jc w:val="left"/>
            </w:pPr>
            <w:r w:rsidRPr="00AF22EB">
              <w:t>5</w:t>
            </w:r>
            <w:r>
              <w:t xml:space="preserve"> to </w:t>
            </w:r>
            <w:r w:rsidRPr="005F1016">
              <w:t>30</w:t>
            </w:r>
            <w:r>
              <w:t xml:space="preserve"> index DBS surgeries</w:t>
            </w:r>
            <w:r w:rsidRPr="00AF22EB">
              <w:t xml:space="preserve">, total </w:t>
            </w:r>
            <w:r w:rsidRPr="005F1016">
              <w:t>105</w:t>
            </w:r>
            <w:r w:rsidRPr="00AF22EB">
              <w:t xml:space="preserve"> over 6 years</w:t>
            </w:r>
          </w:p>
        </w:tc>
        <w:tc>
          <w:tcPr>
            <w:tcW w:w="583" w:type="pct"/>
          </w:tcPr>
          <w:p w14:paraId="05069FD1" w14:textId="7514507B" w:rsidR="00181D77" w:rsidRPr="00AF22EB" w:rsidRDefault="00181D77" w:rsidP="00181D77">
            <w:pPr>
              <w:pStyle w:val="Tabletext0"/>
              <w:jc w:val="left"/>
            </w:pPr>
            <w:r w:rsidRPr="00F713FB">
              <w:t>$6,664,925</w:t>
            </w:r>
          </w:p>
        </w:tc>
        <w:tc>
          <w:tcPr>
            <w:tcW w:w="1217" w:type="pct"/>
            <w:hideMark/>
          </w:tcPr>
          <w:p w14:paraId="6A2DBD76" w14:textId="77777777" w:rsidR="00181D77" w:rsidRPr="00AF22EB" w:rsidRDefault="00181D77" w:rsidP="00181D77">
            <w:pPr>
              <w:pStyle w:val="Tabletext0"/>
              <w:jc w:val="left"/>
            </w:pPr>
            <w:r>
              <w:t xml:space="preserve">6 to </w:t>
            </w:r>
            <w:r w:rsidRPr="005F1016">
              <w:t>38</w:t>
            </w:r>
            <w:r>
              <w:t xml:space="preserve"> index DBS surgeries</w:t>
            </w:r>
            <w:r w:rsidRPr="00AF22EB">
              <w:t xml:space="preserve">, total </w:t>
            </w:r>
            <w:r w:rsidRPr="005F1016">
              <w:t>131</w:t>
            </w:r>
            <w:r w:rsidRPr="00AF22EB">
              <w:t xml:space="preserve"> over 6 years</w:t>
            </w:r>
          </w:p>
        </w:tc>
        <w:tc>
          <w:tcPr>
            <w:tcW w:w="637" w:type="pct"/>
            <w:hideMark/>
          </w:tcPr>
          <w:p w14:paraId="77CA3BF8" w14:textId="233C936C" w:rsidR="00181D77" w:rsidRPr="00AF22EB" w:rsidRDefault="00181D77" w:rsidP="00181D77">
            <w:pPr>
              <w:pStyle w:val="Tabletext0"/>
              <w:jc w:val="left"/>
            </w:pPr>
            <w:r w:rsidRPr="00967137">
              <w:t>$8,380,856</w:t>
            </w:r>
          </w:p>
        </w:tc>
        <w:tc>
          <w:tcPr>
            <w:tcW w:w="702" w:type="pct"/>
            <w:noWrap/>
          </w:tcPr>
          <w:p w14:paraId="246B8CB6" w14:textId="4F42B189" w:rsidR="00181D77" w:rsidRPr="00AF22EB" w:rsidRDefault="00181D77" w:rsidP="00181D77">
            <w:pPr>
              <w:pStyle w:val="Tabletext0"/>
              <w:jc w:val="left"/>
              <w:rPr>
                <w:b/>
                <w:bCs/>
              </w:rPr>
            </w:pPr>
            <w:r w:rsidRPr="00967137">
              <w:t>$1,715,931</w:t>
            </w:r>
          </w:p>
        </w:tc>
      </w:tr>
      <w:tr w:rsidR="00181D77" w:rsidRPr="00AF22EB" w14:paraId="6C932C1B" w14:textId="77777777">
        <w:trPr>
          <w:cantSplit/>
          <w:trHeight w:val="296"/>
        </w:trPr>
        <w:tc>
          <w:tcPr>
            <w:tcW w:w="888" w:type="pct"/>
            <w:hideMark/>
          </w:tcPr>
          <w:p w14:paraId="5BFE67C9" w14:textId="7EE19BC9" w:rsidR="00181D77" w:rsidRPr="00AF22EB" w:rsidRDefault="00181D77" w:rsidP="00181D77">
            <w:pPr>
              <w:pStyle w:val="Tabletext0"/>
              <w:jc w:val="left"/>
            </w:pPr>
            <w:r>
              <w:t>3</w:t>
            </w:r>
            <w:r w:rsidRPr="00AF22EB">
              <w:t>. Decreased IPG battery life</w:t>
            </w:r>
            <w:r w:rsidR="000B121E">
              <w:t>#</w:t>
            </w:r>
          </w:p>
        </w:tc>
        <w:tc>
          <w:tcPr>
            <w:tcW w:w="973" w:type="pct"/>
            <w:hideMark/>
          </w:tcPr>
          <w:p w14:paraId="49E061E9" w14:textId="77777777" w:rsidR="00181D77" w:rsidRPr="00AF22EB" w:rsidRDefault="00181D77" w:rsidP="00181D77">
            <w:pPr>
              <w:pStyle w:val="Tabletext0"/>
              <w:jc w:val="left"/>
            </w:pPr>
            <w:r w:rsidRPr="00AF22EB">
              <w:t>3</w:t>
            </w:r>
            <w:r w:rsidRPr="005F1016">
              <w:t>-</w:t>
            </w:r>
            <w:r w:rsidRPr="00AF22EB">
              <w:t>8 users receive battery replacement, year 4 onwards, total 15 over 6 years</w:t>
            </w:r>
          </w:p>
        </w:tc>
        <w:tc>
          <w:tcPr>
            <w:tcW w:w="583" w:type="pct"/>
          </w:tcPr>
          <w:p w14:paraId="401903F5" w14:textId="3A9D6B79" w:rsidR="00181D77" w:rsidRPr="00AF22EB" w:rsidRDefault="00181D77" w:rsidP="00181D77">
            <w:pPr>
              <w:pStyle w:val="Tabletext0"/>
              <w:jc w:val="left"/>
            </w:pPr>
            <w:r w:rsidRPr="00F713FB">
              <w:t>$6,664,925</w:t>
            </w:r>
          </w:p>
        </w:tc>
        <w:tc>
          <w:tcPr>
            <w:tcW w:w="1217" w:type="pct"/>
            <w:hideMark/>
          </w:tcPr>
          <w:p w14:paraId="1AB99F74" w14:textId="77777777" w:rsidR="00181D77" w:rsidRPr="00AF22EB" w:rsidRDefault="00181D77" w:rsidP="00181D77">
            <w:pPr>
              <w:pStyle w:val="Tabletext0"/>
              <w:jc w:val="left"/>
            </w:pPr>
            <w:r w:rsidRPr="00AF22EB">
              <w:t>3</w:t>
            </w:r>
            <w:r w:rsidRPr="005F1016">
              <w:t>-</w:t>
            </w:r>
            <w:r w:rsidRPr="00AF22EB">
              <w:t>10 users receive battery replacement, year 3 onwards, total 25 over 6 years</w:t>
            </w:r>
          </w:p>
        </w:tc>
        <w:tc>
          <w:tcPr>
            <w:tcW w:w="637" w:type="pct"/>
            <w:hideMark/>
          </w:tcPr>
          <w:p w14:paraId="5E26E9A0" w14:textId="75661DCB" w:rsidR="00181D77" w:rsidRPr="00AF22EB" w:rsidRDefault="00181D77" w:rsidP="00181D77">
            <w:pPr>
              <w:pStyle w:val="Tabletext0"/>
              <w:jc w:val="left"/>
            </w:pPr>
            <w:r w:rsidRPr="00967137">
              <w:t>$6,826,134</w:t>
            </w:r>
          </w:p>
        </w:tc>
        <w:tc>
          <w:tcPr>
            <w:tcW w:w="702" w:type="pct"/>
            <w:noWrap/>
          </w:tcPr>
          <w:p w14:paraId="15DD79B7" w14:textId="1D669782" w:rsidR="00181D77" w:rsidRPr="00AF22EB" w:rsidRDefault="00181D77" w:rsidP="00181D77">
            <w:pPr>
              <w:pStyle w:val="Tabletext0"/>
              <w:jc w:val="left"/>
              <w:rPr>
                <w:b/>
                <w:bCs/>
              </w:rPr>
            </w:pPr>
            <w:r w:rsidRPr="00967137">
              <w:t>$161,209</w:t>
            </w:r>
          </w:p>
        </w:tc>
      </w:tr>
      <w:tr w:rsidR="00181D77" w:rsidRPr="00AF22EB" w14:paraId="3F4A7CA6" w14:textId="77777777">
        <w:trPr>
          <w:cantSplit/>
          <w:trHeight w:val="359"/>
        </w:trPr>
        <w:tc>
          <w:tcPr>
            <w:tcW w:w="888" w:type="pct"/>
            <w:hideMark/>
          </w:tcPr>
          <w:p w14:paraId="651004B6" w14:textId="106A55FA" w:rsidR="00181D77" w:rsidRPr="00AF22EB" w:rsidRDefault="00181D77" w:rsidP="00181D77">
            <w:pPr>
              <w:pStyle w:val="Tabletext0"/>
              <w:jc w:val="left"/>
            </w:pPr>
            <w:r>
              <w:t>4</w:t>
            </w:r>
            <w:r w:rsidRPr="00AF22EB">
              <w:t>. Higher proportion of users receive rechargeable battery</w:t>
            </w:r>
            <w:r w:rsidR="000B121E">
              <w:t>#</w:t>
            </w:r>
          </w:p>
        </w:tc>
        <w:tc>
          <w:tcPr>
            <w:tcW w:w="973" w:type="pct"/>
            <w:hideMark/>
          </w:tcPr>
          <w:p w14:paraId="3291B287" w14:textId="77777777" w:rsidR="00181D77" w:rsidRPr="00AF22EB" w:rsidRDefault="00181D77" w:rsidP="00181D77">
            <w:pPr>
              <w:pStyle w:val="Tabletext0"/>
              <w:jc w:val="left"/>
            </w:pPr>
            <w:r w:rsidRPr="00AF22EB">
              <w:t>50% users receive rechargeable battery, so 15 users receive battery replacement over 6 years</w:t>
            </w:r>
          </w:p>
        </w:tc>
        <w:tc>
          <w:tcPr>
            <w:tcW w:w="583" w:type="pct"/>
          </w:tcPr>
          <w:p w14:paraId="1A7ABAEA" w14:textId="20638000" w:rsidR="00181D77" w:rsidRPr="00AF22EB" w:rsidRDefault="00181D77" w:rsidP="00181D77">
            <w:pPr>
              <w:pStyle w:val="Tabletext0"/>
              <w:jc w:val="left"/>
            </w:pPr>
            <w:r w:rsidRPr="00F713FB">
              <w:t>$6,664,925</w:t>
            </w:r>
          </w:p>
        </w:tc>
        <w:tc>
          <w:tcPr>
            <w:tcW w:w="1217" w:type="pct"/>
            <w:hideMark/>
          </w:tcPr>
          <w:p w14:paraId="71615CA0" w14:textId="77777777" w:rsidR="00181D77" w:rsidRPr="00AF22EB" w:rsidRDefault="00181D77" w:rsidP="00181D77">
            <w:pPr>
              <w:pStyle w:val="Tabletext0"/>
              <w:jc w:val="left"/>
            </w:pPr>
            <w:r w:rsidRPr="00AF22EB">
              <w:t>85% receive IPG with rechargeable, and 15% receive IPG with non-rechargeable battery, so 5 users receive battery replacement over 6 years</w:t>
            </w:r>
          </w:p>
        </w:tc>
        <w:tc>
          <w:tcPr>
            <w:tcW w:w="637" w:type="pct"/>
            <w:hideMark/>
          </w:tcPr>
          <w:p w14:paraId="3F2B5A1D" w14:textId="3D45FB6D" w:rsidR="00181D77" w:rsidRPr="00AF22EB" w:rsidRDefault="00181D77" w:rsidP="00181D77">
            <w:pPr>
              <w:pStyle w:val="Tabletext0"/>
              <w:jc w:val="left"/>
            </w:pPr>
            <w:r w:rsidRPr="00967137">
              <w:t>$6,518,372</w:t>
            </w:r>
          </w:p>
        </w:tc>
        <w:tc>
          <w:tcPr>
            <w:tcW w:w="702" w:type="pct"/>
            <w:noWrap/>
          </w:tcPr>
          <w:p w14:paraId="7D2CEB44" w14:textId="567C8EA4" w:rsidR="00181D77" w:rsidRPr="00AF22EB" w:rsidRDefault="00181D77" w:rsidP="00181D77">
            <w:pPr>
              <w:pStyle w:val="Tabletext0"/>
              <w:jc w:val="left"/>
              <w:rPr>
                <w:b/>
                <w:bCs/>
              </w:rPr>
            </w:pPr>
            <w:r w:rsidRPr="00967137">
              <w:t>-$146,553</w:t>
            </w:r>
          </w:p>
        </w:tc>
      </w:tr>
      <w:tr w:rsidR="00181D77" w:rsidRPr="00AF22EB" w14:paraId="44E37A82" w14:textId="77777777">
        <w:trPr>
          <w:cantSplit/>
          <w:trHeight w:val="64"/>
        </w:trPr>
        <w:tc>
          <w:tcPr>
            <w:tcW w:w="888" w:type="pct"/>
            <w:hideMark/>
          </w:tcPr>
          <w:p w14:paraId="279CCA57" w14:textId="77777777" w:rsidR="00181D77" w:rsidRPr="00AF22EB" w:rsidRDefault="00181D77" w:rsidP="00181D77">
            <w:pPr>
              <w:pStyle w:val="Tabletext0"/>
              <w:jc w:val="left"/>
            </w:pPr>
            <w:r>
              <w:t>5</w:t>
            </w:r>
            <w:r w:rsidRPr="00AF22EB">
              <w:t>. Higher number of pre-surgical psychiatric attendances</w:t>
            </w:r>
          </w:p>
        </w:tc>
        <w:tc>
          <w:tcPr>
            <w:tcW w:w="973" w:type="pct"/>
            <w:hideMark/>
          </w:tcPr>
          <w:p w14:paraId="450B43DF" w14:textId="77777777" w:rsidR="00181D77" w:rsidRPr="00AF22EB" w:rsidRDefault="00181D77" w:rsidP="00181D77">
            <w:pPr>
              <w:pStyle w:val="Tabletext0"/>
              <w:jc w:val="left"/>
            </w:pPr>
            <w:r w:rsidRPr="005F1016">
              <w:t>n=</w:t>
            </w:r>
            <w:r w:rsidRPr="00AF22EB">
              <w:t>1 attendance pre-surgically for the index procedure</w:t>
            </w:r>
          </w:p>
        </w:tc>
        <w:tc>
          <w:tcPr>
            <w:tcW w:w="583" w:type="pct"/>
          </w:tcPr>
          <w:p w14:paraId="5C379ACD" w14:textId="37A82191" w:rsidR="00181D77" w:rsidRPr="00AF22EB" w:rsidRDefault="00181D77" w:rsidP="00181D77">
            <w:pPr>
              <w:pStyle w:val="Tabletext0"/>
              <w:jc w:val="left"/>
            </w:pPr>
            <w:r w:rsidRPr="00F713FB">
              <w:t>$6,664,925</w:t>
            </w:r>
          </w:p>
        </w:tc>
        <w:tc>
          <w:tcPr>
            <w:tcW w:w="1217" w:type="pct"/>
            <w:hideMark/>
          </w:tcPr>
          <w:p w14:paraId="5C3A8DAD" w14:textId="77777777" w:rsidR="00181D77" w:rsidRPr="00AF22EB" w:rsidRDefault="00181D77" w:rsidP="00181D77">
            <w:pPr>
              <w:pStyle w:val="Tabletext0"/>
              <w:jc w:val="left"/>
            </w:pPr>
            <w:r w:rsidRPr="005F1016">
              <w:t>n=</w:t>
            </w:r>
            <w:r w:rsidRPr="00AF22EB">
              <w:t>5 attendances pre-surgically for the index procedure</w:t>
            </w:r>
          </w:p>
        </w:tc>
        <w:tc>
          <w:tcPr>
            <w:tcW w:w="637" w:type="pct"/>
            <w:hideMark/>
          </w:tcPr>
          <w:p w14:paraId="4D5A1291" w14:textId="56147F91" w:rsidR="00181D77" w:rsidRPr="00AF22EB" w:rsidRDefault="00181D77" w:rsidP="00181D77">
            <w:pPr>
              <w:pStyle w:val="Tabletext0"/>
              <w:jc w:val="left"/>
            </w:pPr>
            <w:r w:rsidRPr="00967137">
              <w:t>$6,764,653</w:t>
            </w:r>
          </w:p>
        </w:tc>
        <w:tc>
          <w:tcPr>
            <w:tcW w:w="702" w:type="pct"/>
            <w:noWrap/>
          </w:tcPr>
          <w:p w14:paraId="13873406" w14:textId="11D670E1" w:rsidR="00181D77" w:rsidRPr="00AF22EB" w:rsidRDefault="00181D77" w:rsidP="00181D77">
            <w:pPr>
              <w:pStyle w:val="Tabletext0"/>
              <w:jc w:val="left"/>
              <w:rPr>
                <w:b/>
                <w:bCs/>
              </w:rPr>
            </w:pPr>
            <w:r w:rsidRPr="00967137">
              <w:t>$99,728</w:t>
            </w:r>
          </w:p>
        </w:tc>
      </w:tr>
    </w:tbl>
    <w:p w14:paraId="6340C209" w14:textId="0B833B70" w:rsidR="005D0243" w:rsidRDefault="005D0243" w:rsidP="005D0243">
      <w:pPr>
        <w:pStyle w:val="Tablenotes0"/>
        <w:spacing w:before="0" w:after="0"/>
        <w:jc w:val="left"/>
      </w:pPr>
      <w:r>
        <w:t>Abbreviations: DBS= deep brain stimulation; IPG= implantable pulse generator; MBS= Medicare Benefits Schedule; OCD= obsessive-compulsive disorder.</w:t>
      </w:r>
    </w:p>
    <w:p w14:paraId="6F40A870" w14:textId="1E184613" w:rsidR="00B957CD" w:rsidRDefault="005D0243" w:rsidP="005D0243">
      <w:pPr>
        <w:pStyle w:val="Tablenotes0"/>
        <w:spacing w:before="0" w:after="0"/>
        <w:jc w:val="left"/>
      </w:pPr>
      <w:r>
        <w:t xml:space="preserve">* Calculated using the corrected base case, applying MBS item 40858 and 40860 twice each </w:t>
      </w:r>
      <w:r w:rsidR="00DD2055">
        <w:t xml:space="preserve">to the initial DBS surgical procedure. </w:t>
      </w:r>
    </w:p>
    <w:p w14:paraId="34E5007D" w14:textId="25B61AE4" w:rsidR="00237D9A" w:rsidRDefault="00B957CD" w:rsidP="0089746F">
      <w:pPr>
        <w:pStyle w:val="Tablenotes0"/>
        <w:spacing w:after="0"/>
        <w:contextualSpacing w:val="0"/>
        <w:jc w:val="left"/>
      </w:pPr>
      <w:r>
        <w:t xml:space="preserve"># Note that applying MBS items 40858, 40860 and 40854 (unilateral revision or removal of brain electrode) twice in a proportion of patients may also be required for the revision, </w:t>
      </w:r>
      <w:proofErr w:type="gramStart"/>
      <w:r>
        <w:t>replacement</w:t>
      </w:r>
      <w:proofErr w:type="gramEnd"/>
      <w:r>
        <w:t xml:space="preserve"> and removal procedures. This has not been applied to the base case.</w:t>
      </w:r>
      <w:r w:rsidR="00EA087A">
        <w:t xml:space="preserve"> </w:t>
      </w:r>
      <w:r>
        <w:t xml:space="preserve">Please see Section 3.2.12 for details of costings. </w:t>
      </w:r>
    </w:p>
    <w:p w14:paraId="7838A9FF" w14:textId="79DEB0F1" w:rsidR="00772829" w:rsidRPr="00CE28E3" w:rsidRDefault="00C36633" w:rsidP="002A18BE">
      <w:pPr>
        <w:pStyle w:val="Heading2"/>
        <w:numPr>
          <w:ilvl w:val="0"/>
          <w:numId w:val="0"/>
        </w:numPr>
      </w:pPr>
      <w:bookmarkStart w:id="48" w:name="_Toc143098843"/>
      <w:r>
        <w:t>1</w:t>
      </w:r>
      <w:r w:rsidR="000E24CD">
        <w:t>5</w:t>
      </w:r>
      <w:r>
        <w:t>.</w:t>
      </w:r>
      <w:r>
        <w:tab/>
      </w:r>
      <w:r w:rsidR="00772829" w:rsidRPr="00CE28E3">
        <w:t xml:space="preserve">Other relevant </w:t>
      </w:r>
      <w:r w:rsidR="00FA5766">
        <w:t>information</w:t>
      </w:r>
      <w:bookmarkEnd w:id="48"/>
    </w:p>
    <w:p w14:paraId="765DD058" w14:textId="576B40CD" w:rsidR="00B426C1" w:rsidRDefault="00B426C1" w:rsidP="00B426C1">
      <w:r>
        <w:t>It is important to note DBS’s impact on equity of access, and the ease of use of the equipment for patients receiving the surgery.</w:t>
      </w:r>
    </w:p>
    <w:p w14:paraId="096B937A" w14:textId="649BFD77" w:rsidR="00B426C1" w:rsidRDefault="00B426C1" w:rsidP="00B426C1">
      <w:r>
        <w:t>Given that only a few centres,</w:t>
      </w:r>
      <w:r w:rsidR="00851AD2">
        <w:t xml:space="preserve"> </w:t>
      </w:r>
      <w:r w:rsidR="00D8603C">
        <w:t>located</w:t>
      </w:r>
      <w:r>
        <w:t xml:space="preserve"> in metropolitan areas, in Australia offer DBS for severe treatment-refractory OCD, access to these centres may be a major barrier to receiving DBS for people living in rural or regional Australia. To improve access, follow-up appointments can be offered to rural and remote patients through telehealth—a feature not considered in the current assessment. In </w:t>
      </w:r>
      <w:r w:rsidR="00B33960">
        <w:t>the</w:t>
      </w:r>
      <w:r>
        <w:t xml:space="preserve"> absence of remote </w:t>
      </w:r>
      <w:r w:rsidR="00877DD3">
        <w:t xml:space="preserve">programming, the decision makers should consider the </w:t>
      </w:r>
      <w:r>
        <w:t>incidental costs to the patients</w:t>
      </w:r>
      <w:r w:rsidR="00877DD3">
        <w:t xml:space="preserve">. </w:t>
      </w:r>
      <w:r>
        <w:t>Second</w:t>
      </w:r>
      <w:r w:rsidR="00877DD3">
        <w:t>ly</w:t>
      </w:r>
      <w:r>
        <w:t xml:space="preserve"> </w:t>
      </w:r>
      <w:r w:rsidR="00877DD3">
        <w:t>t</w:t>
      </w:r>
      <w:r>
        <w:t xml:space="preserve">he implantable pulse generator (IPG) with rechargeable batteries, </w:t>
      </w:r>
      <w:r w:rsidR="00877DD3">
        <w:t>will be</w:t>
      </w:r>
      <w:r>
        <w:t xml:space="preserve"> recharg</w:t>
      </w:r>
      <w:r w:rsidR="00877DD3">
        <w:t>ed</w:t>
      </w:r>
      <w:r>
        <w:t xml:space="preserve"> at least once daily or weekly</w:t>
      </w:r>
      <w:r w:rsidR="00877DD3">
        <w:t>, manually.</w:t>
      </w:r>
      <w:r>
        <w:t xml:space="preserve"> Such frequency for recharging may not be suitable for patients with disabilities, especially those with cognitive deficits. </w:t>
      </w:r>
      <w:r w:rsidR="00877DD3">
        <w:t>Even so</w:t>
      </w:r>
      <w:r>
        <w:t xml:space="preserve"> studies have shown the cost effectiveness of rechargeable devices primarily due to fewer replacements of the IPG device</w:t>
      </w:r>
      <w:r w:rsidR="002A0FD8">
        <w:t>.</w:t>
      </w:r>
      <w:r>
        <w:t xml:space="preserve"> But </w:t>
      </w:r>
      <w:r w:rsidR="006C3735">
        <w:t xml:space="preserve">the </w:t>
      </w:r>
      <w:r>
        <w:t>decision to fund the technology need</w:t>
      </w:r>
      <w:r w:rsidR="006C3735">
        <w:t>s</w:t>
      </w:r>
      <w:r>
        <w:t xml:space="preserve"> to also consider the ease of use and patients’ attitudes towards the technology.</w:t>
      </w:r>
    </w:p>
    <w:p w14:paraId="01B2A9FA" w14:textId="318EFF73" w:rsidR="00772829" w:rsidRDefault="00B426C1">
      <w:r>
        <w:lastRenderedPageBreak/>
        <w:t xml:space="preserve">Overall, the societal perspective is notably important in this scenario. The </w:t>
      </w:r>
      <w:r w:rsidR="009C31AB">
        <w:t>proposed</w:t>
      </w:r>
      <w:r>
        <w:t xml:space="preserve"> surgery could prove effective in significantly decreasing the symptoms of </w:t>
      </w:r>
      <w:r w:rsidR="00A82D41">
        <w:t>OCD and</w:t>
      </w:r>
      <w:r>
        <w:t xml:space="preserve"> increas</w:t>
      </w:r>
      <w:r w:rsidR="001777C5">
        <w:t>ing</w:t>
      </w:r>
      <w:r>
        <w:t xml:space="preserve"> productivity</w:t>
      </w:r>
      <w:r w:rsidR="001777C5">
        <w:t xml:space="preserve"> of patients with this condition</w:t>
      </w:r>
      <w:r w:rsidR="002A0FD8">
        <w:t>.</w:t>
      </w:r>
      <w:r>
        <w:t xml:space="preserve"> While DBS appears to be expensive, its advantages may outweigh the costs given the paucity of treatment options for severe treatment-refractory OCD.</w:t>
      </w:r>
    </w:p>
    <w:p w14:paraId="47D47CD4" w14:textId="77777777" w:rsidR="00BF6554" w:rsidRDefault="00BF6554" w:rsidP="00BF6554">
      <w:pPr>
        <w:pStyle w:val="Heading2"/>
        <w:numPr>
          <w:ilvl w:val="0"/>
          <w:numId w:val="0"/>
        </w:numPr>
        <w:spacing w:after="0"/>
      </w:pPr>
      <w:r>
        <w:t>16.</w:t>
      </w:r>
      <w:r>
        <w:tab/>
        <w:t>Key issues from ESC to MSAC</w:t>
      </w:r>
    </w:p>
    <w:p w14:paraId="214391FD" w14:textId="77777777" w:rsidR="00035557" w:rsidRDefault="00035557" w:rsidP="00035557">
      <w:pPr>
        <w:pStyle w:val="BoxName0"/>
      </w:pPr>
      <w:r w:rsidRPr="00C749CB">
        <w:t>Main issues for MSAC consideration</w:t>
      </w:r>
    </w:p>
    <w:p w14:paraId="384453FA" w14:textId="77777777" w:rsidR="00035557" w:rsidRDefault="00035557" w:rsidP="00035557">
      <w:pPr>
        <w:pStyle w:val="BoxHeading"/>
      </w:pPr>
      <w:r>
        <w:t xml:space="preserve">Clinical </w:t>
      </w:r>
      <w:r w:rsidRPr="00A6568F">
        <w:t>issues</w:t>
      </w:r>
      <w:r>
        <w:t>:</w:t>
      </w:r>
    </w:p>
    <w:p w14:paraId="30567916" w14:textId="77777777" w:rsidR="00035557" w:rsidRDefault="00035557" w:rsidP="00035557">
      <w:pPr>
        <w:pStyle w:val="BoxDash"/>
      </w:pPr>
      <w:r>
        <w:t>There is GRADE assessed low-quality</w:t>
      </w:r>
      <w:r w:rsidRPr="000E005C">
        <w:t xml:space="preserve"> evidence </w:t>
      </w:r>
      <w:r>
        <w:t xml:space="preserve">to </w:t>
      </w:r>
      <w:r w:rsidRPr="000E005C">
        <w:t>support</w:t>
      </w:r>
      <w:r>
        <w:t xml:space="preserve"> the superiority claim of</w:t>
      </w:r>
      <w:r w:rsidRPr="000E005C">
        <w:t xml:space="preserve"> DBS </w:t>
      </w:r>
      <w:r>
        <w:t>for</w:t>
      </w:r>
      <w:r w:rsidRPr="000E005C">
        <w:t xml:space="preserve"> </w:t>
      </w:r>
      <w:r>
        <w:t xml:space="preserve">the management of </w:t>
      </w:r>
      <w:r w:rsidRPr="000E005C">
        <w:t>patients with se</w:t>
      </w:r>
      <w:r>
        <w:t>vere</w:t>
      </w:r>
      <w:r w:rsidRPr="000E005C">
        <w:t xml:space="preserve"> treatment</w:t>
      </w:r>
      <w:r>
        <w:t>-</w:t>
      </w:r>
      <w:r w:rsidRPr="000E005C">
        <w:t>ref</w:t>
      </w:r>
      <w:r>
        <w:t>ra</w:t>
      </w:r>
      <w:r w:rsidRPr="000E005C">
        <w:t>ctory OCD</w:t>
      </w:r>
      <w:r>
        <w:t xml:space="preserve">. </w:t>
      </w:r>
    </w:p>
    <w:p w14:paraId="006FFD9D" w14:textId="77777777" w:rsidR="00035557" w:rsidRDefault="00035557" w:rsidP="00035557">
      <w:pPr>
        <w:pStyle w:val="BoxDash"/>
      </w:pPr>
      <w:r>
        <w:t>MSAC may wish</w:t>
      </w:r>
      <w:r w:rsidDel="00035D6F">
        <w:t xml:space="preserve"> </w:t>
      </w:r>
      <w:r>
        <w:t xml:space="preserve">to consider whether the </w:t>
      </w:r>
      <w:r w:rsidRPr="000E3A75">
        <w:t>cut</w:t>
      </w:r>
      <w:r>
        <w:t>-</w:t>
      </w:r>
      <w:r w:rsidRPr="000E3A75">
        <w:t xml:space="preserve">off </w:t>
      </w:r>
      <w:r>
        <w:t>Y-BOCS score</w:t>
      </w:r>
      <w:r w:rsidRPr="000E3A75">
        <w:t xml:space="preserve"> to define </w:t>
      </w:r>
      <w:r>
        <w:t xml:space="preserve">serious </w:t>
      </w:r>
      <w:r w:rsidRPr="000E3A75">
        <w:t>OCD</w:t>
      </w:r>
      <w:r>
        <w:t xml:space="preserve"> in the proposed item descriptor is necessary, given p</w:t>
      </w:r>
      <w:r w:rsidRPr="004E2C14">
        <w:t xml:space="preserve">atients </w:t>
      </w:r>
      <w:r>
        <w:t>will</w:t>
      </w:r>
      <w:r w:rsidRPr="004E2C14">
        <w:t xml:space="preserve"> be assessed by </w:t>
      </w:r>
      <w:r>
        <w:t xml:space="preserve">a DBS unit and an </w:t>
      </w:r>
      <w:r w:rsidRPr="004E2C14">
        <w:t xml:space="preserve">independent </w:t>
      </w:r>
      <w:r>
        <w:t>m</w:t>
      </w:r>
      <w:r w:rsidRPr="004E2C14">
        <w:t xml:space="preserve">ental health </w:t>
      </w:r>
      <w:r>
        <w:t>r</w:t>
      </w:r>
      <w:r w:rsidRPr="004E2C14">
        <w:t>eview tribunal to qualify for consideration of the intervention</w:t>
      </w:r>
      <w:r>
        <w:t>.</w:t>
      </w:r>
      <w:r w:rsidRPr="00FC6D3F">
        <w:t xml:space="preserve"> </w:t>
      </w:r>
    </w:p>
    <w:p w14:paraId="6361217C" w14:textId="77777777" w:rsidR="00035557" w:rsidRDefault="00035557" w:rsidP="00035557">
      <w:pPr>
        <w:pStyle w:val="BoxDash"/>
      </w:pPr>
      <w:r>
        <w:t xml:space="preserve">The safety of the intervention is inferior to its comparator due to the invasive nature of the treatment. </w:t>
      </w:r>
    </w:p>
    <w:p w14:paraId="204E8DC2" w14:textId="77777777" w:rsidR="00035557" w:rsidRDefault="00035557" w:rsidP="00035557">
      <w:pPr>
        <w:pStyle w:val="BoxHeading"/>
      </w:pPr>
      <w:r>
        <w:t>Economic issues:</w:t>
      </w:r>
    </w:p>
    <w:p w14:paraId="00A10626" w14:textId="77777777" w:rsidR="00035557" w:rsidRDefault="00035557" w:rsidP="00035557">
      <w:pPr>
        <w:pStyle w:val="BoxBullet"/>
      </w:pPr>
      <w:r>
        <w:t xml:space="preserve">The </w:t>
      </w:r>
      <w:r w:rsidRPr="0031505A">
        <w:t>ICER is higher than would normally be considered cost-effective</w:t>
      </w:r>
      <w:r>
        <w:t>;</w:t>
      </w:r>
      <w:r w:rsidRPr="0031505A">
        <w:t xml:space="preserve"> however</w:t>
      </w:r>
      <w:r>
        <w:t>,</w:t>
      </w:r>
      <w:r w:rsidRPr="0031505A">
        <w:t xml:space="preserve"> limited treatment options remain for this group of people who have failed conventional treatment. </w:t>
      </w:r>
    </w:p>
    <w:p w14:paraId="3C759BE6" w14:textId="77777777" w:rsidR="00035557" w:rsidRDefault="00035557" w:rsidP="00035557">
      <w:pPr>
        <w:pStyle w:val="BoxBullet"/>
      </w:pPr>
      <w:r>
        <w:t>ESC noted that the utility values were a key driver of the model, and that using a 0.21 utility improvement (rather than 0.16 used in the base case) resulted in an ICER of $483,716/QALY.</w:t>
      </w:r>
    </w:p>
    <w:p w14:paraId="06EA93F6" w14:textId="77777777" w:rsidR="00035557" w:rsidRDefault="00035557" w:rsidP="00035557">
      <w:pPr>
        <w:pStyle w:val="BoxBullet"/>
      </w:pPr>
      <w:r>
        <w:t xml:space="preserve">The </w:t>
      </w:r>
      <w:r w:rsidRPr="00514E26">
        <w:t xml:space="preserve">ICER should be taken in context of factors not included in the model </w:t>
      </w:r>
      <w:r>
        <w:t>that</w:t>
      </w:r>
      <w:r w:rsidRPr="00514E26">
        <w:t xml:space="preserve"> may have a positive effect</w:t>
      </w:r>
      <w:r>
        <w:t xml:space="preserve">, such as improvements in </w:t>
      </w:r>
      <w:r w:rsidRPr="00514E26">
        <w:t xml:space="preserve">productivity and potentially higher costs in </w:t>
      </w:r>
      <w:r>
        <w:t xml:space="preserve">the </w:t>
      </w:r>
      <w:r w:rsidRPr="00514E26">
        <w:t xml:space="preserve">comparator arm for </w:t>
      </w:r>
      <w:r>
        <w:t>standard of</w:t>
      </w:r>
      <w:r w:rsidRPr="00514E26">
        <w:t xml:space="preserve"> care.</w:t>
      </w:r>
    </w:p>
    <w:p w14:paraId="703AF54B" w14:textId="77777777" w:rsidR="00035557" w:rsidRDefault="00035557" w:rsidP="00035557">
      <w:pPr>
        <w:pStyle w:val="BoxHeading"/>
      </w:pPr>
      <w:r>
        <w:t>Financial issues:</w:t>
      </w:r>
    </w:p>
    <w:p w14:paraId="20E12F8A" w14:textId="77777777" w:rsidR="00035557" w:rsidRPr="0021149E" w:rsidRDefault="00035557" w:rsidP="00035557">
      <w:pPr>
        <w:pStyle w:val="BoxBullet"/>
        <w:rPr>
          <w:b/>
        </w:rPr>
      </w:pPr>
      <w:r>
        <w:t>Severe treatment-refractory OCD is a r</w:t>
      </w:r>
      <w:r w:rsidRPr="00B91670">
        <w:t>are disease</w:t>
      </w:r>
      <w:r>
        <w:t xml:space="preserve"> and therefore the number of proposed treatments per year is likely to be low.</w:t>
      </w:r>
    </w:p>
    <w:p w14:paraId="79E98D2F" w14:textId="77777777" w:rsidR="00035557" w:rsidRDefault="00035557" w:rsidP="00035557">
      <w:pPr>
        <w:pStyle w:val="BoxBullet"/>
        <w:rPr>
          <w:b/>
          <w:bCs/>
        </w:rPr>
      </w:pPr>
      <w:r>
        <w:t xml:space="preserve">The financial impact is </w:t>
      </w:r>
      <w:r w:rsidRPr="004D4D1C">
        <w:t xml:space="preserve">uncertain but expected to be low given constraints on surgery and expertise. Most </w:t>
      </w:r>
      <w:r>
        <w:t xml:space="preserve">of the financial </w:t>
      </w:r>
      <w:r w:rsidRPr="004D4D1C">
        <w:t xml:space="preserve">impact will be </w:t>
      </w:r>
      <w:r>
        <w:t xml:space="preserve">to </w:t>
      </w:r>
      <w:r w:rsidRPr="004D4D1C">
        <w:t>the PL</w:t>
      </w:r>
      <w:r>
        <w:t>.</w:t>
      </w:r>
    </w:p>
    <w:p w14:paraId="0FDA2BEE" w14:textId="77777777" w:rsidR="00035557" w:rsidRDefault="00035557" w:rsidP="00035557">
      <w:pPr>
        <w:pStyle w:val="BoxHeading"/>
      </w:pPr>
      <w:r>
        <w:t>Other relevant information:</w:t>
      </w:r>
    </w:p>
    <w:p w14:paraId="3FD3F3A5" w14:textId="77777777" w:rsidR="00035557" w:rsidRDefault="00035557" w:rsidP="00035557">
      <w:pPr>
        <w:pStyle w:val="BoxBullet"/>
        <w:rPr>
          <w:b/>
          <w:bCs/>
          <w:iCs/>
        </w:rPr>
      </w:pPr>
      <w:r w:rsidRPr="00293C0E">
        <w:t xml:space="preserve">Because of </w:t>
      </w:r>
      <w:r>
        <w:t>the limited centres offering this treatment, even if MBS funding is provided for this intervention, inequity of access to the intervention</w:t>
      </w:r>
      <w:r w:rsidDel="00B3766C">
        <w:t xml:space="preserve"> </w:t>
      </w:r>
      <w:r>
        <w:t>may remain</w:t>
      </w:r>
      <w:r w:rsidRPr="00293C0E">
        <w:t>.</w:t>
      </w:r>
    </w:p>
    <w:p w14:paraId="4136E4E5" w14:textId="66C20745" w:rsidR="00035557" w:rsidRPr="00BF6554" w:rsidRDefault="00BF6554" w:rsidP="00BF6554">
      <w:pPr>
        <w:pStyle w:val="Heading2"/>
        <w:numPr>
          <w:ilvl w:val="0"/>
          <w:numId w:val="0"/>
        </w:numPr>
        <w:rPr>
          <w:rStyle w:val="Strong"/>
          <w:sz w:val="24"/>
          <w:szCs w:val="24"/>
        </w:rPr>
      </w:pPr>
      <w:r w:rsidRPr="00BF6554">
        <w:rPr>
          <w:rStyle w:val="Strong"/>
          <w:sz w:val="24"/>
          <w:szCs w:val="24"/>
        </w:rPr>
        <w:t>E</w:t>
      </w:r>
      <w:r w:rsidR="00035557" w:rsidRPr="00BF6554">
        <w:rPr>
          <w:rStyle w:val="Strong"/>
          <w:sz w:val="24"/>
          <w:szCs w:val="24"/>
        </w:rPr>
        <w:t>SC discussion</w:t>
      </w:r>
    </w:p>
    <w:p w14:paraId="71F80ADE" w14:textId="77777777" w:rsidR="00035557" w:rsidRDefault="00035557" w:rsidP="00035557">
      <w:r>
        <w:t xml:space="preserve">ESC noted that this application from Dr Philip Mosely </w:t>
      </w:r>
      <w:r w:rsidRPr="0023768E">
        <w:t>request</w:t>
      </w:r>
      <w:r>
        <w:t>ed Medicare Benefits Schedule</w:t>
      </w:r>
      <w:r w:rsidRPr="0023768E">
        <w:t xml:space="preserve"> </w:t>
      </w:r>
      <w:r>
        <w:t>(</w:t>
      </w:r>
      <w:r w:rsidRPr="0023768E">
        <w:t>MBS</w:t>
      </w:r>
      <w:r>
        <w:t>)</w:t>
      </w:r>
      <w:r w:rsidRPr="0023768E">
        <w:t xml:space="preserve"> listing </w:t>
      </w:r>
      <w:r>
        <w:t>for deep brain stimulation</w:t>
      </w:r>
      <w:r w:rsidRPr="0023768E">
        <w:t xml:space="preserve"> </w:t>
      </w:r>
      <w:r>
        <w:t>(</w:t>
      </w:r>
      <w:r w:rsidRPr="0023768E">
        <w:t>DBS</w:t>
      </w:r>
      <w:r>
        <w:t>)</w:t>
      </w:r>
      <w:r w:rsidRPr="0023768E">
        <w:t xml:space="preserve"> of the subcortex for the treatment of severe </w:t>
      </w:r>
      <w:r>
        <w:t>treatment-</w:t>
      </w:r>
      <w:r w:rsidRPr="0023768E">
        <w:t>refractory obsessive</w:t>
      </w:r>
      <w:r>
        <w:t>–</w:t>
      </w:r>
      <w:r w:rsidRPr="0023768E">
        <w:t>compulsive disorder (OCD)</w:t>
      </w:r>
      <w:r>
        <w:t xml:space="preserve">. </w:t>
      </w:r>
    </w:p>
    <w:p w14:paraId="53C5D325" w14:textId="77777777" w:rsidR="00035557" w:rsidRDefault="00035557" w:rsidP="00035557">
      <w:r>
        <w:t>ESC noted that t</w:t>
      </w:r>
      <w:r w:rsidRPr="0023768E">
        <w:t>his is a new application for this purpose</w:t>
      </w:r>
      <w:r>
        <w:t>.</w:t>
      </w:r>
      <w:r w:rsidRPr="0023768E">
        <w:t xml:space="preserve"> DBS is an established therapy for neurological conditions such as Parkinson</w:t>
      </w:r>
      <w:r>
        <w:t>’</w:t>
      </w:r>
      <w:r w:rsidRPr="0023768E">
        <w:t xml:space="preserve">s </w:t>
      </w:r>
      <w:r>
        <w:t>d</w:t>
      </w:r>
      <w:r w:rsidRPr="0023768E">
        <w:t>isease</w:t>
      </w:r>
      <w:r>
        <w:t>.</w:t>
      </w:r>
      <w:r w:rsidRPr="0023768E">
        <w:t xml:space="preserve"> </w:t>
      </w:r>
      <w:r>
        <w:t>T</w:t>
      </w:r>
      <w:r w:rsidRPr="0023768E">
        <w:t xml:space="preserve">he applicant is seeking an amendment to the patient population </w:t>
      </w:r>
      <w:r>
        <w:t>so that those with severe treatment-refractory OCD can</w:t>
      </w:r>
      <w:r w:rsidRPr="0023768E">
        <w:t xml:space="preserve"> access the therapy</w:t>
      </w:r>
      <w:r>
        <w:t>.</w:t>
      </w:r>
      <w:r w:rsidRPr="0023768E">
        <w:t xml:space="preserve"> It is considered an add-on therapy for persons</w:t>
      </w:r>
      <w:r>
        <w:t xml:space="preserve"> within this population</w:t>
      </w:r>
      <w:r w:rsidRPr="0023768E">
        <w:t xml:space="preserve">. </w:t>
      </w:r>
      <w:r>
        <w:t>The DBS t</w:t>
      </w:r>
      <w:r w:rsidRPr="0023768E">
        <w:t>herapy is aimed at enhancing the pre-existing treatment modalities</w:t>
      </w:r>
      <w:r>
        <w:t>,</w:t>
      </w:r>
      <w:r w:rsidRPr="0023768E">
        <w:t xml:space="preserve"> which will </w:t>
      </w:r>
      <w:r>
        <w:t xml:space="preserve">likely </w:t>
      </w:r>
      <w:r w:rsidRPr="0023768E">
        <w:t>need to continue</w:t>
      </w:r>
      <w:r>
        <w:t xml:space="preserve"> after the DBS treatment</w:t>
      </w:r>
      <w:r w:rsidRPr="0023768E">
        <w:t>.</w:t>
      </w:r>
    </w:p>
    <w:p w14:paraId="67420CE1" w14:textId="77777777" w:rsidR="00035557" w:rsidRDefault="00035557" w:rsidP="00035557">
      <w:r>
        <w:lastRenderedPageBreak/>
        <w:t xml:space="preserve">ESC noted some consultation feedback which </w:t>
      </w:r>
      <w:r w:rsidRPr="002E26CD">
        <w:t>suggested other therapies</w:t>
      </w:r>
      <w:r>
        <w:t xml:space="preserve"> which</w:t>
      </w:r>
      <w:r w:rsidRPr="002E26CD">
        <w:t xml:space="preserve"> could be potential comparator</w:t>
      </w:r>
      <w:r>
        <w:t>s, namely</w:t>
      </w:r>
      <w:r w:rsidRPr="002E26CD">
        <w:t xml:space="preserve"> </w:t>
      </w:r>
      <w:r>
        <w:t>r</w:t>
      </w:r>
      <w:r w:rsidRPr="00972C94">
        <w:t xml:space="preserve">epetitive </w:t>
      </w:r>
      <w:r>
        <w:t>t</w:t>
      </w:r>
      <w:r w:rsidRPr="00972C94">
        <w:t xml:space="preserve">ranscranial </w:t>
      </w:r>
      <w:r>
        <w:t>m</w:t>
      </w:r>
      <w:r w:rsidRPr="00972C94">
        <w:t xml:space="preserve">agnetic </w:t>
      </w:r>
      <w:r>
        <w:t>s</w:t>
      </w:r>
      <w:r w:rsidRPr="00972C94">
        <w:t>timulation</w:t>
      </w:r>
      <w:r w:rsidRPr="002E26CD">
        <w:t xml:space="preserve"> </w:t>
      </w:r>
      <w:r>
        <w:t>(</w:t>
      </w:r>
      <w:proofErr w:type="spellStart"/>
      <w:r w:rsidRPr="002E26CD">
        <w:t>rTMS</w:t>
      </w:r>
      <w:proofErr w:type="spellEnd"/>
      <w:r>
        <w:t>)</w:t>
      </w:r>
      <w:r w:rsidRPr="002E26CD">
        <w:t xml:space="preserve"> and invasive ablative neurosurgical procedures</w:t>
      </w:r>
      <w:r>
        <w:t>. Some feedback noted the need for an option for people who have exhausted all other treatments because of the societal benefits associated with improving the quality of life for this group of patients. Feedback also noted that “severe treatment-refractory OCD” is not a defined medical condition, and that the limited data available highlights the need for more research in this area.</w:t>
      </w:r>
    </w:p>
    <w:p w14:paraId="6BF4F6CB" w14:textId="77777777" w:rsidR="00035557" w:rsidRDefault="00035557" w:rsidP="00035557">
      <w:r>
        <w:t>ESC noted that seven existing MBS items will need to be modified if this intervention is supported (</w:t>
      </w:r>
      <w:r w:rsidRPr="00A44019">
        <w:t>40851</w:t>
      </w:r>
      <w:r>
        <w:t xml:space="preserve">, </w:t>
      </w:r>
      <w:r w:rsidRPr="00A44019">
        <w:t>40852</w:t>
      </w:r>
      <w:r>
        <w:t xml:space="preserve">, </w:t>
      </w:r>
      <w:r w:rsidRPr="00326805">
        <w:t>40854</w:t>
      </w:r>
      <w:r>
        <w:t xml:space="preserve">, </w:t>
      </w:r>
      <w:r w:rsidRPr="00326805">
        <w:t>40856</w:t>
      </w:r>
      <w:r>
        <w:t xml:space="preserve">, </w:t>
      </w:r>
      <w:r w:rsidRPr="00326805">
        <w:t>40858</w:t>
      </w:r>
      <w:r>
        <w:t xml:space="preserve">, </w:t>
      </w:r>
      <w:r w:rsidRPr="001026E1">
        <w:t>40860</w:t>
      </w:r>
      <w:r>
        <w:t xml:space="preserve">, </w:t>
      </w:r>
      <w:r w:rsidRPr="001026E1">
        <w:t>40862</w:t>
      </w:r>
      <w:r>
        <w:t xml:space="preserve">). There are no proposed changes to the fee. However, ESC noted that some of the existing MBS items are for unilateral placement, but DBS for severe OCD requires bilateral </w:t>
      </w:r>
      <w:r w:rsidRPr="00890DC2">
        <w:t>placement</w:t>
      </w:r>
      <w:r>
        <w:t xml:space="preserve"> and therefore some of the items will need to be billed twice for the initial procedure, using the Multiple Operation Rule (MOR)</w:t>
      </w:r>
      <w:r w:rsidRPr="00890DC2">
        <w:t>. ESC</w:t>
      </w:r>
      <w:r>
        <w:t xml:space="preserve"> noted the newly proposed bilateral reprogramming items proposed by the department. It is proposed that these items will have a fee equivalent to 150% of the unilateral items and could be used in either an inpatient or outpatient setting. Alternatively, the department also proposed a separate item could be placed in “Category 2- Diagnostic Procedures and Investigations” for use in the outpatient setting and would therefore avoid application of the MOR. ESC considered that creating a new parallel set of MBS item numbers for this condition would also allow for more accurate monitoring of utilisation, as would the registry proposed by the applicant.</w:t>
      </w:r>
    </w:p>
    <w:p w14:paraId="2FACA888" w14:textId="77777777" w:rsidR="00035557" w:rsidRDefault="00035557" w:rsidP="00035557">
      <w:r>
        <w:t xml:space="preserve">ESC noted that the proposed changes to the MBS item descriptor includes reference to </w:t>
      </w:r>
      <w:r w:rsidRPr="00F718A3">
        <w:t>Yale</w:t>
      </w:r>
      <w:r>
        <w:t>–</w:t>
      </w:r>
      <w:r w:rsidRPr="00F718A3">
        <w:t>Brown Obsessive</w:t>
      </w:r>
      <w:r>
        <w:t>–</w:t>
      </w:r>
      <w:r w:rsidRPr="00F718A3">
        <w:t xml:space="preserve">Compulsive Scale </w:t>
      </w:r>
      <w:r>
        <w:t>(</w:t>
      </w:r>
      <w:r w:rsidRPr="000703DE">
        <w:t>Y-BOCS</w:t>
      </w:r>
      <w:r>
        <w:t>)</w:t>
      </w:r>
      <w:r w:rsidRPr="000703DE">
        <w:t xml:space="preserve"> </w:t>
      </w:r>
      <w:r>
        <w:t xml:space="preserve">threshold </w:t>
      </w:r>
      <w:r w:rsidRPr="000703DE">
        <w:t>scores</w:t>
      </w:r>
      <w:r>
        <w:t>, which were cited in the literature. ESC noted the department’s concern that including the Y-BOCS score in the item descriptors as potential cut-off points for treatment eligibility may subjectively restrict access to some patients who may benefit, given patients are also assessed for eligibility by a DBS unit and mental health tribunal. However, ESC considered that the inclusion of the Y-BOCS score provides some objectivity to the referral of patients to the DBS unit and mental health tribunal. ESC considered that</w:t>
      </w:r>
      <w:r w:rsidDel="00E9644D">
        <w:t xml:space="preserve"> </w:t>
      </w:r>
      <w:r>
        <w:t xml:space="preserve">MSAC may wish to consider whether the inclusion of specific medication and therapies that must be trialled prior to the intervention in the item descriptors would limit applicability to developments in the clinical care of severe OCD. </w:t>
      </w:r>
    </w:p>
    <w:p w14:paraId="0DCA3AB5" w14:textId="77777777" w:rsidR="00035557" w:rsidRDefault="00035557" w:rsidP="00035557">
      <w:r>
        <w:t xml:space="preserve">ESC noted that 10 of the studies included in the Department-Contracted Assessment Report (DCAR) included in their eligibility criteria that patients must have trialled at least 2 </w:t>
      </w:r>
      <w:r w:rsidRPr="002A1830">
        <w:rPr>
          <w:lang w:val="en-US"/>
        </w:rPr>
        <w:t>different selective serotonin reuptake inhibitors (SSRIs) plus clomipramine</w:t>
      </w:r>
      <w:r>
        <w:rPr>
          <w:lang w:val="en-US"/>
        </w:rPr>
        <w:t xml:space="preserve">, which </w:t>
      </w:r>
      <w:r w:rsidRPr="00C361CA">
        <w:t xml:space="preserve">did not meet the definition of severe treatment-refractory </w:t>
      </w:r>
      <w:r>
        <w:t>OCD specified in the PICO (</w:t>
      </w:r>
      <w:r w:rsidRPr="002A1830">
        <w:rPr>
          <w:lang w:val="en-US"/>
        </w:rPr>
        <w:t xml:space="preserve">patients trialing at least </w:t>
      </w:r>
      <w:r>
        <w:rPr>
          <w:lang w:val="en-US"/>
        </w:rPr>
        <w:t xml:space="preserve">3 </w:t>
      </w:r>
      <w:r w:rsidRPr="002A1830">
        <w:rPr>
          <w:lang w:val="en-US"/>
        </w:rPr>
        <w:t>SSRIs plus clomipramine</w:t>
      </w:r>
      <w:r>
        <w:rPr>
          <w:lang w:val="en-US"/>
        </w:rPr>
        <w:t>)</w:t>
      </w:r>
      <w:r>
        <w:t xml:space="preserve">. ESC agreed with the assessment group that including these patients was acceptable due to the patients meeting the criterion for illness severity. </w:t>
      </w:r>
    </w:p>
    <w:p w14:paraId="223AE84E" w14:textId="77777777" w:rsidR="00035557" w:rsidRDefault="00035557" w:rsidP="00035557">
      <w:r>
        <w:t xml:space="preserve">ESC noted that the clinical trial evidence comprised small numbers of patients and was overall of low quality. </w:t>
      </w:r>
      <w:r w:rsidRPr="000C700E">
        <w:t xml:space="preserve">Seven small studies (total </w:t>
      </w:r>
      <w:r w:rsidRPr="00702782">
        <w:rPr>
          <w:i/>
          <w:iCs/>
        </w:rPr>
        <w:t>n</w:t>
      </w:r>
      <w:r>
        <w:t> </w:t>
      </w:r>
      <w:r w:rsidRPr="000C700E">
        <w:t>=</w:t>
      </w:r>
      <w:r>
        <w:t> </w:t>
      </w:r>
      <w:r w:rsidRPr="000C700E">
        <w:t xml:space="preserve">82) included a blind randomised </w:t>
      </w:r>
      <w:r>
        <w:t xml:space="preserve">controlled </w:t>
      </w:r>
      <w:r w:rsidRPr="000C700E">
        <w:t xml:space="preserve">trial (RCT) phase where active DBS was compared to sham DBS. </w:t>
      </w:r>
      <w:r>
        <w:t xml:space="preserve">ESC agreed with the pre-ESC response </w:t>
      </w:r>
      <w:r w:rsidDel="00C5088D">
        <w:t>that</w:t>
      </w:r>
      <w:r>
        <w:t xml:space="preserve"> it is difficult to obtain high-quality evidence for</w:t>
      </w:r>
      <w:r w:rsidDel="00701B33">
        <w:t xml:space="preserve"> </w:t>
      </w:r>
      <w:r>
        <w:t>a rare condition and with such an invasive procedure. ESC noted the lack of patient numbers meant the evidence would always be considered low quality when using the GRADE assessment tool.</w:t>
      </w:r>
      <w:r w:rsidRPr="00590032">
        <w:t xml:space="preserve"> </w:t>
      </w:r>
    </w:p>
    <w:p w14:paraId="48EEB4CE" w14:textId="4F57AB7A" w:rsidR="00035557" w:rsidRDefault="00035557" w:rsidP="00035557">
      <w:r>
        <w:t xml:space="preserve">ESC noted that no comparative safety data against standard care were available. All studies reported adverse events (AEs) related to the DBS surgery and treatment only. The </w:t>
      </w:r>
      <w:proofErr w:type="gramStart"/>
      <w:r>
        <w:t>most commonly reported</w:t>
      </w:r>
      <w:proofErr w:type="gramEnd"/>
      <w:r>
        <w:t xml:space="preserve"> AEs were related to stimulation (</w:t>
      </w:r>
      <w:r w:rsidRPr="009D28D3">
        <w:t>hypomania, depression, suicide attempts or thoughts</w:t>
      </w:r>
      <w:r>
        <w:t>), while other AEs included surgery- and device-related complications. ESC considered the safety of DBS to be inferior to its comparator.</w:t>
      </w:r>
    </w:p>
    <w:p w14:paraId="089B0CB8" w14:textId="77777777" w:rsidR="00035557" w:rsidRDefault="00035557" w:rsidP="00035557">
      <w:r>
        <w:t xml:space="preserve">ESC noted that, overall, there appeared to be some improvement in Y-BOCS scores after DBS treatment, and that the scores appeared to improve from baseline in the long term. </w:t>
      </w:r>
    </w:p>
    <w:p w14:paraId="3F43A611" w14:textId="77777777" w:rsidR="00035557" w:rsidRDefault="00035557" w:rsidP="00035557">
      <w:r>
        <w:lastRenderedPageBreak/>
        <w:t>ESC therefore considered that t</w:t>
      </w:r>
      <w:r w:rsidRPr="00D36B56">
        <w:t>he clinical claim of superior effectiveness and inferior safety</w:t>
      </w:r>
      <w:r>
        <w:t xml:space="preserve"> was supported</w:t>
      </w:r>
      <w:r w:rsidRPr="00D36B56">
        <w:t xml:space="preserve"> by very low</w:t>
      </w:r>
      <w:r>
        <w:t>-</w:t>
      </w:r>
      <w:r w:rsidRPr="00D36B56">
        <w:t xml:space="preserve">certainty evidence </w:t>
      </w:r>
      <w:r>
        <w:t>due to</w:t>
      </w:r>
      <w:r w:rsidRPr="00D36B56">
        <w:t xml:space="preserve"> small sample sizes, lack of long-term comparative data, too few events</w:t>
      </w:r>
      <w:r>
        <w:t xml:space="preserve"> and </w:t>
      </w:r>
      <w:r w:rsidRPr="00D36B56" w:rsidDel="00775E72">
        <w:t>l</w:t>
      </w:r>
      <w:r w:rsidRPr="00D36B56">
        <w:t>ong recruitment periods.</w:t>
      </w:r>
      <w:r>
        <w:t xml:space="preserve"> ESC noted that while c</w:t>
      </w:r>
      <w:r w:rsidRPr="003226D9">
        <w:t>onfidence in th</w:t>
      </w:r>
      <w:r>
        <w:t>is safety and effectiveness</w:t>
      </w:r>
      <w:r w:rsidRPr="003226D9">
        <w:t xml:space="preserve"> claim is low</w:t>
      </w:r>
      <w:r>
        <w:t xml:space="preserve">, </w:t>
      </w:r>
      <w:r w:rsidRPr="003226D9">
        <w:t xml:space="preserve">the invasive nature of the treatment alongside </w:t>
      </w:r>
      <w:r>
        <w:t xml:space="preserve">the </w:t>
      </w:r>
      <w:r w:rsidRPr="003226D9">
        <w:t>limited prospects of high quality</w:t>
      </w:r>
      <w:r>
        <w:t xml:space="preserve"> </w:t>
      </w:r>
      <w:r w:rsidRPr="003226D9">
        <w:t>RCTs or comparative non RCTs</w:t>
      </w:r>
      <w:r>
        <w:t xml:space="preserve"> may also temper this assessment,</w:t>
      </w:r>
      <w:r w:rsidRPr="003226D9">
        <w:t xml:space="preserve"> </w:t>
      </w:r>
      <w:r>
        <w:t xml:space="preserve">However, ESC recommended that the </w:t>
      </w:r>
      <w:r w:rsidRPr="009B4ADF">
        <w:t>role of less</w:t>
      </w:r>
      <w:r>
        <w:t>-</w:t>
      </w:r>
      <w:r w:rsidRPr="009B4ADF">
        <w:t>invasive</w:t>
      </w:r>
      <w:r>
        <w:t xml:space="preserve"> procedures such as</w:t>
      </w:r>
      <w:r w:rsidRPr="009B4ADF">
        <w:t xml:space="preserve"> </w:t>
      </w:r>
      <w:proofErr w:type="spellStart"/>
      <w:r w:rsidRPr="009B4ADF">
        <w:t>rTMS</w:t>
      </w:r>
      <w:proofErr w:type="spellEnd"/>
      <w:r>
        <w:t xml:space="preserve"> </w:t>
      </w:r>
      <w:r w:rsidRPr="009B4ADF">
        <w:t>and the ability to gather more evidence for this comparator</w:t>
      </w:r>
      <w:r>
        <w:t xml:space="preserve"> should be considered.</w:t>
      </w:r>
    </w:p>
    <w:p w14:paraId="2146AEFF" w14:textId="77777777" w:rsidR="00035557" w:rsidRDefault="00035557" w:rsidP="00035557">
      <w:r>
        <w:t>ESC noted that the economic model was a cost-utility analysis using a Markov model with four health states (</w:t>
      </w:r>
      <w:r w:rsidRPr="00502151">
        <w:t xml:space="preserve">DBS surgery </w:t>
      </w:r>
      <w:r>
        <w:t>[</w:t>
      </w:r>
      <w:r w:rsidRPr="00502151">
        <w:t>non-rechargeable</w:t>
      </w:r>
      <w:r>
        <w:t xml:space="preserve">], </w:t>
      </w:r>
      <w:r w:rsidRPr="00502151">
        <w:t xml:space="preserve">DBS surgery </w:t>
      </w:r>
      <w:r>
        <w:t>[</w:t>
      </w:r>
      <w:r w:rsidRPr="00502151">
        <w:t>rechargeable</w:t>
      </w:r>
      <w:r>
        <w:t>], s</w:t>
      </w:r>
      <w:r w:rsidRPr="00502151">
        <w:t>urvive</w:t>
      </w:r>
      <w:r>
        <w:t xml:space="preserve"> and b</w:t>
      </w:r>
      <w:r w:rsidRPr="00502151">
        <w:t>ackground mortality</w:t>
      </w:r>
      <w:r>
        <w:t xml:space="preserve">). </w:t>
      </w:r>
      <w:r w:rsidRPr="00AD4FF9">
        <w:t xml:space="preserve">A range of sources were used to inform the transition probabilities in the model, with </w:t>
      </w:r>
      <w:r>
        <w:t xml:space="preserve">most </w:t>
      </w:r>
      <w:r w:rsidRPr="00AD4FF9">
        <w:t>sourced from the main economic model</w:t>
      </w:r>
      <w:r>
        <w:rPr>
          <w:rStyle w:val="FootnoteReference"/>
        </w:rPr>
        <w:footnoteReference w:id="3"/>
      </w:r>
      <w:r w:rsidRPr="00AD4FF9">
        <w:t>.</w:t>
      </w:r>
      <w:r>
        <w:t xml:space="preserve"> The total cost of the procedure was $44,645 per patient, which generated an incremental cost-effectiveness ratio (ICER) of $891,509 per quality-adjusted life year (QALY) gained. ESC noted the sensitivity analyses conducted by the assessment group, which corrected the cost of surgical </w:t>
      </w:r>
      <w:r w:rsidRPr="00D2320A">
        <w:t>items required for MBS items 40858 and 40860 (using bilateral costings)</w:t>
      </w:r>
      <w:r>
        <w:t xml:space="preserve">, generated an ICER of </w:t>
      </w:r>
      <w:r w:rsidRPr="0098775D">
        <w:t>$912,489</w:t>
      </w:r>
      <w:r>
        <w:t xml:space="preserve">/QALY.  ESC noted that the </w:t>
      </w:r>
      <w:r w:rsidRPr="00C32AA5">
        <w:t xml:space="preserve">Moon </w:t>
      </w:r>
      <w:r>
        <w:t>et al. (</w:t>
      </w:r>
      <w:r w:rsidRPr="00C32AA5">
        <w:t>2017</w:t>
      </w:r>
      <w:r>
        <w:t>)</w:t>
      </w:r>
      <w:r w:rsidRPr="00C32AA5">
        <w:t xml:space="preserve"> </w:t>
      </w:r>
      <w:r>
        <w:t xml:space="preserve">study </w:t>
      </w:r>
      <w:r w:rsidRPr="00C32AA5">
        <w:t xml:space="preserve">had </w:t>
      </w:r>
      <w:r>
        <w:t xml:space="preserve">used a </w:t>
      </w:r>
      <w:r w:rsidRPr="00C32AA5">
        <w:t>lower incremental cost of USD31</w:t>
      </w:r>
      <w:r>
        <w:t>,000</w:t>
      </w:r>
      <w:r w:rsidRPr="00C32AA5">
        <w:t xml:space="preserve"> and </w:t>
      </w:r>
      <w:r>
        <w:t xml:space="preserve">a </w:t>
      </w:r>
      <w:r w:rsidRPr="00C32AA5">
        <w:t>higher incremental QALY of 0.9</w:t>
      </w:r>
      <w:r>
        <w:t xml:space="preserve">, which produced an </w:t>
      </w:r>
      <w:r w:rsidRPr="00C32AA5">
        <w:t>ICER</w:t>
      </w:r>
      <w:r>
        <w:t xml:space="preserve"> of </w:t>
      </w:r>
      <w:r w:rsidRPr="005A2160">
        <w:t>US</w:t>
      </w:r>
      <w:r>
        <w:t>D</w:t>
      </w:r>
      <w:r w:rsidRPr="005A2160">
        <w:t>34,462</w:t>
      </w:r>
      <w:r>
        <w:t>/QALY</w:t>
      </w:r>
      <w:r w:rsidRPr="005A2160">
        <w:t xml:space="preserve"> </w:t>
      </w:r>
      <w:r>
        <w:t>(~AUD54,000)</w:t>
      </w:r>
      <w:r w:rsidRPr="00D32BE2">
        <w:t xml:space="preserve"> </w:t>
      </w:r>
      <w:r w:rsidRPr="005A2160">
        <w:t>in the UK</w:t>
      </w:r>
      <w:r>
        <w:t>. ESC considered that, g</w:t>
      </w:r>
      <w:r w:rsidRPr="00E02C22">
        <w:t>iven</w:t>
      </w:r>
      <w:r>
        <w:t xml:space="preserve"> that</w:t>
      </w:r>
      <w:r w:rsidRPr="00E02C22">
        <w:t xml:space="preserve"> the same inputs were used for utilities and </w:t>
      </w:r>
      <w:r>
        <w:t xml:space="preserve">the </w:t>
      </w:r>
      <w:r w:rsidRPr="00E02C22">
        <w:t>same time</w:t>
      </w:r>
      <w:r>
        <w:t xml:space="preserve"> horizon was used, the different ICERs were</w:t>
      </w:r>
      <w:r w:rsidRPr="00E02C22">
        <w:t xml:space="preserve"> probably driven by</w:t>
      </w:r>
      <w:r>
        <w:t xml:space="preserve"> the</w:t>
      </w:r>
      <w:r w:rsidRPr="00E02C22">
        <w:t xml:space="preserve"> difference in mortality applied.</w:t>
      </w:r>
      <w:r>
        <w:t xml:space="preserve"> ESC noted that the model did not capture any differences in health outcomes or costs when an individual in the model transitions from severe to not severe OCD, however ESC considered it plausible that this would improve the utility of the intervention for responders. ESC noted the assessment found no comparative evidence of difference in suicide or</w:t>
      </w:r>
      <w:r w:rsidRPr="00192C2D">
        <w:t xml:space="preserve"> </w:t>
      </w:r>
      <w:r>
        <w:t xml:space="preserve">suicidal thoughts and/or ideation due to DBS treatment. However, ESC considered that there may be evidence for utility changes due to the reduced risk of attempted suicide based on OCD severity in the literature for the general population versus the target population of this intervention. ESC advised that additional modelling might be useful to provide an indication of $ICER/QALY based on plausible assumptions about the reduction in risk of attempted suicide due to the intervention, informed through the literature. </w:t>
      </w:r>
    </w:p>
    <w:p w14:paraId="2FB437CB" w14:textId="77777777" w:rsidR="00035557" w:rsidRDefault="00035557" w:rsidP="00035557">
      <w:r>
        <w:t>ESC noted that the utility values were a key driver of the model, and that using a 0.21 utility improvement (rather than 0.16 used in the base case) resulted in an ICER of $483,716/QALY.</w:t>
      </w:r>
    </w:p>
    <w:p w14:paraId="2FCD2157" w14:textId="77777777" w:rsidR="00035557" w:rsidRDefault="00035557" w:rsidP="00035557">
      <w:r>
        <w:t>Overall, ESC considered that the economic evaluation was based on uncertain inputs due to the low-quality trial evidence, but that DBS appeared to be effective but costly. ESC considered that additional costs in the standard of care arm that were not accounted for – such as losses in productivity of the patient population and the costs and reductions in quality of life to family and carers – could improve the ICER but were out of scope of the model.</w:t>
      </w:r>
      <w:r w:rsidDel="005932D2">
        <w:t xml:space="preserve"> </w:t>
      </w:r>
      <w:r>
        <w:t xml:space="preserve">Thus, ESC considered that the ICER should be interpreted </w:t>
      </w:r>
      <w:proofErr w:type="gramStart"/>
      <w:r>
        <w:t>taking into account</w:t>
      </w:r>
      <w:proofErr w:type="gramEnd"/>
      <w:r>
        <w:t xml:space="preserve"> that there was n</w:t>
      </w:r>
      <w:r w:rsidRPr="00732742">
        <w:t xml:space="preserve">o allowance for </w:t>
      </w:r>
      <w:r>
        <w:t xml:space="preserve">the wider </w:t>
      </w:r>
      <w:r w:rsidRPr="00732742">
        <w:t xml:space="preserve">societal impact </w:t>
      </w:r>
      <w:r>
        <w:t>of the intervention</w:t>
      </w:r>
      <w:r w:rsidRPr="00732742">
        <w:t xml:space="preserve"> in the economic model.</w:t>
      </w:r>
      <w:r>
        <w:t xml:space="preserve"> </w:t>
      </w:r>
    </w:p>
    <w:p w14:paraId="6B84E217" w14:textId="77777777" w:rsidR="00035557" w:rsidRDefault="00035557" w:rsidP="00035557">
      <w:r>
        <w:t xml:space="preserve">ESC noted that the </w:t>
      </w:r>
      <w:r w:rsidRPr="003B7DF0">
        <w:t>comparator arm cost was offset</w:t>
      </w:r>
      <w:r>
        <w:t xml:space="preserve"> in the economic model which compared the costs of the intervention plus standard of care in the intervention arm and the costs of standard care only in the comparator arm (so that in practice the costs of the intervention in the intervention arm were compared to zero costs in the standard of care arm). However, ESC noted that c</w:t>
      </w:r>
      <w:r w:rsidRPr="003B7DF0">
        <w:t xml:space="preserve">osts </w:t>
      </w:r>
      <w:r>
        <w:t>in the standard of care arm</w:t>
      </w:r>
      <w:r w:rsidRPr="003B7DF0">
        <w:t xml:space="preserve"> could be high</w:t>
      </w:r>
      <w:r>
        <w:t>er</w:t>
      </w:r>
      <w:r w:rsidRPr="003B7DF0">
        <w:t xml:space="preserve"> if hospitalisation or other surgery was the outcome</w:t>
      </w:r>
      <w:r>
        <w:t xml:space="preserve"> of standard of care – in which case the model would result in a lower net cost of the </w:t>
      </w:r>
      <w:r>
        <w:lastRenderedPageBreak/>
        <w:t>intervention than what has been assumed by simply offsetting the same standard of care cost in both arms</w:t>
      </w:r>
      <w:r w:rsidRPr="003B7DF0">
        <w:t>.</w:t>
      </w:r>
      <w:r>
        <w:t xml:space="preserve"> </w:t>
      </w:r>
    </w:p>
    <w:p w14:paraId="63E2843D" w14:textId="77777777" w:rsidR="00035557" w:rsidRDefault="00035557" w:rsidP="00035557">
      <w:r>
        <w:t>ESC</w:t>
      </w:r>
      <w:r w:rsidDel="003F0479">
        <w:t xml:space="preserve"> </w:t>
      </w:r>
      <w:r>
        <w:t>noted that as per the previous discussion, while taking account of reductions in risk of attempted suicide due to use of the intervention might also lead to a lower ICER, d</w:t>
      </w:r>
      <w:r w:rsidRPr="003B7DF0">
        <w:t xml:space="preserve">ifferences in </w:t>
      </w:r>
      <w:r>
        <w:t xml:space="preserve">risk of attempted suicide between patients in the intervention and standard of care arms were </w:t>
      </w:r>
      <w:r w:rsidRPr="003B7DF0">
        <w:t xml:space="preserve">not </w:t>
      </w:r>
      <w:r>
        <w:t xml:space="preserve">statistically </w:t>
      </w:r>
      <w:r w:rsidRPr="003B7DF0">
        <w:t>significant</w:t>
      </w:r>
      <w:r>
        <w:t xml:space="preserve"> and were </w:t>
      </w:r>
      <w:r w:rsidRPr="003B7DF0">
        <w:t>therefore not included</w:t>
      </w:r>
      <w:r>
        <w:t>.</w:t>
      </w:r>
    </w:p>
    <w:p w14:paraId="03F809FB" w14:textId="77777777" w:rsidR="00035557" w:rsidRDefault="00035557" w:rsidP="00035557">
      <w:r>
        <w:t>ESC also noted that the technology used in the RCTs was older than that available now and used non-rechargeable batteries. Current updated technology uses rechargeable batteries, but with higher upfront costs. ESC noted that battery replacement is costly ($22,000 for non-rechargeable and $28,000 for rechargeable), and that these costs drive the ICERs as well. Moreover, ESC noted that the time horizon of 10 years in the model would have further increased the sensitivity of the ICER to these battery replacement costs. ESC considered the cost of complications post-surgery may have been overestimated in the DCAR.</w:t>
      </w:r>
    </w:p>
    <w:p w14:paraId="5DA39249" w14:textId="77777777" w:rsidR="00035557" w:rsidRDefault="00035557" w:rsidP="00035557">
      <w:r>
        <w:t xml:space="preserve">ESC noted the financial implications of listing. Although the surgery is costly, the low utilisation keeps costs to the MBS to $67,619 in year 1 to $425,608 in year 6. ESC noted that main cost drivers are the pre-operative assessment, the </w:t>
      </w:r>
      <w:proofErr w:type="gramStart"/>
      <w:r>
        <w:t>implantation</w:t>
      </w:r>
      <w:proofErr w:type="gramEnd"/>
      <w:r>
        <w:t xml:space="preserve"> and the follow-up assessment. ESC also noted that there were significant costs to the Prescribed List of Medical Devices and Human Tissue Products and to hospitals – the total costs of DBS to all healthcare budgets were $306,909 in year 1 and $1,951,371 in year 6. ESC</w:t>
      </w:r>
      <w:r w:rsidDel="00CE4322">
        <w:t xml:space="preserve"> </w:t>
      </w:r>
      <w:r>
        <w:t>noted that s</w:t>
      </w:r>
      <w:r w:rsidRPr="00D551BC">
        <w:t xml:space="preserve">evere treatment-refractory OCD is a rare disease and </w:t>
      </w:r>
      <w:r>
        <w:t>considered</w:t>
      </w:r>
      <w:r w:rsidRPr="00D551BC">
        <w:t xml:space="preserve"> the number of proposed treatments per year</w:t>
      </w:r>
      <w:r w:rsidRPr="00D551BC" w:rsidDel="00CE4322">
        <w:t xml:space="preserve"> </w:t>
      </w:r>
      <w:r w:rsidRPr="00D551BC">
        <w:t>likely to be low</w:t>
      </w:r>
      <w:r>
        <w:t>.</w:t>
      </w:r>
    </w:p>
    <w:p w14:paraId="672FEBE2" w14:textId="77777777" w:rsidR="00035557" w:rsidRDefault="00035557" w:rsidP="00035557">
      <w:r>
        <w:t>ESC noted that o</w:t>
      </w:r>
      <w:r w:rsidRPr="00732742">
        <w:t xml:space="preserve">nly </w:t>
      </w:r>
      <w:r>
        <w:t>three </w:t>
      </w:r>
      <w:r w:rsidRPr="00732742">
        <w:t xml:space="preserve">facilities </w:t>
      </w:r>
      <w:r>
        <w:t xml:space="preserve">in Australia (located </w:t>
      </w:r>
      <w:r w:rsidRPr="00732742">
        <w:t>in Brisbane and Melbourne</w:t>
      </w:r>
      <w:r>
        <w:t xml:space="preserve">) had the capacity to carry out </w:t>
      </w:r>
      <w:r w:rsidRPr="00732742">
        <w:t>DBS for psychiatric conditions</w:t>
      </w:r>
      <w:r>
        <w:t xml:space="preserve">. ESC noted that legislation in </w:t>
      </w:r>
      <w:r w:rsidRPr="00856BD9">
        <w:t>N</w:t>
      </w:r>
      <w:r>
        <w:t>ew </w:t>
      </w:r>
      <w:r w:rsidRPr="00856BD9">
        <w:t>S</w:t>
      </w:r>
      <w:r>
        <w:t>outh </w:t>
      </w:r>
      <w:r w:rsidRPr="00856BD9">
        <w:t>W</w:t>
      </w:r>
      <w:r>
        <w:t>ales</w:t>
      </w:r>
      <w:r w:rsidRPr="00856BD9">
        <w:t xml:space="preserve"> and </w:t>
      </w:r>
      <w:r>
        <w:t xml:space="preserve">the </w:t>
      </w:r>
      <w:r w:rsidRPr="00856BD9">
        <w:t>N</w:t>
      </w:r>
      <w:r>
        <w:t>orthern Territory</w:t>
      </w:r>
      <w:r w:rsidRPr="00856BD9">
        <w:t xml:space="preserve"> prohibits brain surgery for mental illness</w:t>
      </w:r>
      <w:r>
        <w:t xml:space="preserve">, but patients could be </w:t>
      </w:r>
      <w:r w:rsidRPr="00856BD9">
        <w:t>referred to another state</w:t>
      </w:r>
      <w:r>
        <w:t xml:space="preserve"> for treatment</w:t>
      </w:r>
      <w:r w:rsidRPr="00856BD9">
        <w:t>.</w:t>
      </w:r>
      <w:r>
        <w:t xml:space="preserve"> However, ESC considered that these existing limitations on supply mean that even if this intervention were to be MBS funded there would still be highly limited access to the procedure.</w:t>
      </w:r>
    </w:p>
    <w:p w14:paraId="3479367D" w14:textId="77777777" w:rsidR="00035557" w:rsidRDefault="00035557" w:rsidP="00035557">
      <w:r>
        <w:t>ESC noted the pre-ESC response stated the latest DBS devices have the capacity for remote programming; however, the Department clarified the current MBS items do not apply to this technology.</w:t>
      </w:r>
    </w:p>
    <w:p w14:paraId="2D1777D0" w14:textId="77777777" w:rsidR="00BF6554" w:rsidRDefault="00BF6554" w:rsidP="00BF6554">
      <w:pPr>
        <w:pStyle w:val="Heading2"/>
        <w:numPr>
          <w:ilvl w:val="0"/>
          <w:numId w:val="0"/>
        </w:numPr>
      </w:pPr>
      <w:r>
        <w:t>17.</w:t>
      </w:r>
      <w:r>
        <w:tab/>
        <w:t>Applicant comments on MSAC’s Public Summary Document</w:t>
      </w:r>
    </w:p>
    <w:p w14:paraId="5312FE08" w14:textId="77777777" w:rsidR="00166BD7" w:rsidRDefault="00166BD7" w:rsidP="00255B7C">
      <w:pPr>
        <w:spacing w:line="240" w:lineRule="auto"/>
        <w:jc w:val="both"/>
      </w:pPr>
      <w:r>
        <w:rPr>
          <w:rFonts w:cs="Calibri"/>
        </w:rPr>
        <w:t xml:space="preserve">We are pleased with the overall conclusion of the report, that public funding of deep brain stimulation (DBS) for treatment-refractory obsessive-compulsive disorder (OCD) is warranted. We would like to raise several issues in the context of the recommendation that the Commonwealth </w:t>
      </w:r>
      <w:r>
        <w:t xml:space="preserve">should create an alternative public funding mechanism to the Medicare Benefits Schedule (MBS) to fund the small number of eligible cases of DBS for OCD. </w:t>
      </w:r>
    </w:p>
    <w:p w14:paraId="470534DA" w14:textId="77777777" w:rsidR="00166BD7" w:rsidRDefault="00166BD7" w:rsidP="00255B7C">
      <w:pPr>
        <w:pStyle w:val="ListParagraph"/>
        <w:numPr>
          <w:ilvl w:val="0"/>
          <w:numId w:val="186"/>
        </w:numPr>
        <w:spacing w:before="0" w:after="0" w:line="240" w:lineRule="auto"/>
        <w:jc w:val="both"/>
      </w:pPr>
      <w:r w:rsidRPr="00F04943">
        <w:t xml:space="preserve">The MBS already funds DBS for other low-prevalence neurological conditions, such as dystonia and essential tremor, as well as higher prevalence conditions like Parkinson’s disease. </w:t>
      </w:r>
      <w:r>
        <w:t xml:space="preserve">These patient groups are currently successfully treated in both the public and private settings. </w:t>
      </w:r>
      <w:r w:rsidRPr="00F04943">
        <w:t xml:space="preserve">The suggestion that a different funding scheme will need to be created for the treatment of severe OCD appears discriminatory to those with a psychiatric illness. </w:t>
      </w:r>
    </w:p>
    <w:p w14:paraId="2DC96298" w14:textId="5A95652E" w:rsidR="00166BD7" w:rsidRPr="00F04943" w:rsidRDefault="00166BD7" w:rsidP="00255B7C">
      <w:pPr>
        <w:pStyle w:val="ListParagraph"/>
        <w:numPr>
          <w:ilvl w:val="0"/>
          <w:numId w:val="186"/>
        </w:numPr>
        <w:spacing w:before="0" w:after="0" w:line="240" w:lineRule="auto"/>
        <w:jc w:val="both"/>
      </w:pPr>
      <w:r w:rsidRPr="00F04943">
        <w:t xml:space="preserve">There is a lack of clarity regarding the </w:t>
      </w:r>
      <w:r>
        <w:t xml:space="preserve">proposed </w:t>
      </w:r>
      <w:r w:rsidRPr="00F04943">
        <w:t>alternative funding model, the process which would be followed and whether the responsibility for funding would lie with the Commonwealth or State Governments. It is difficult to envisage all state governments funding follow-up specialist services for this patient group given the small numbers. Equally, it is unlikely that one or two state governments would agree to fund public services which operate nationally. Finally, it should be noted that</w:t>
      </w:r>
      <w:r>
        <w:t>, to our knowledge.</w:t>
      </w:r>
      <w:r w:rsidRPr="00F04943">
        <w:t xml:space="preserve"> no </w:t>
      </w:r>
      <w:r>
        <w:t>state</w:t>
      </w:r>
      <w:r w:rsidRPr="00F04943">
        <w:t xml:space="preserve"> funded </w:t>
      </w:r>
      <w:r>
        <w:lastRenderedPageBreak/>
        <w:t xml:space="preserve">specialist </w:t>
      </w:r>
      <w:r w:rsidRPr="00F04943">
        <w:t>mental health service for obsessive compulsive disorder (at any level of severity) exists in Australia. People with obsessive compulsive disorder are rarely seen within public mental health services and even more rarely provided with ongoing treatment.</w:t>
      </w:r>
    </w:p>
    <w:p w14:paraId="21D81B11" w14:textId="77777777" w:rsidR="00166BD7" w:rsidRDefault="00166BD7" w:rsidP="00255B7C">
      <w:pPr>
        <w:pStyle w:val="ListParagraph"/>
        <w:numPr>
          <w:ilvl w:val="0"/>
          <w:numId w:val="186"/>
        </w:numPr>
        <w:spacing w:before="0" w:after="0" w:line="240" w:lineRule="auto"/>
        <w:jc w:val="both"/>
      </w:pPr>
      <w:r w:rsidRPr="00F04943">
        <w:t xml:space="preserve">The report recommends that DBS be provided only as an extension of a public hospital program and that there are concerns regarding the ability of the private system to deliver such a program. Research by our group and others has shown that the most important factor determining a positive outcome after DBS for neurological and psychiatric disorders is accurate placement of the stimulating electrodes and skilled titration of electrical stimulation postoperatively. Accordingly, in the public summary document, the Royal College of Psychiatrists advises that surgery should occur in highly specialised centres, and the report acknowledges that only a small number of centres have the requisite skills to perform this treatment. Two world-class specialist teams exist in Australia </w:t>
      </w:r>
      <w:r>
        <w:t xml:space="preserve">(in Melbourne and Brisbane) </w:t>
      </w:r>
      <w:r w:rsidRPr="00F04943">
        <w:t>and have been able to</w:t>
      </w:r>
      <w:r>
        <w:t xml:space="preserve"> successfully</w:t>
      </w:r>
      <w:r w:rsidRPr="00F04943">
        <w:t xml:space="preserve"> treat patients from all states and territories in Australia. </w:t>
      </w:r>
      <w:r>
        <w:t xml:space="preserve">There remain significant resourcing and funding issues for both programs given the lack of State or MBS funding for this treatment. The availability of MBS item numbers would significantly help address this funding vacuum. </w:t>
      </w:r>
    </w:p>
    <w:p w14:paraId="77F35F56" w14:textId="77777777" w:rsidR="00166BD7" w:rsidRPr="00307EB7" w:rsidRDefault="00166BD7" w:rsidP="00255B7C">
      <w:pPr>
        <w:spacing w:line="240" w:lineRule="auto"/>
        <w:ind w:left="360"/>
        <w:jc w:val="both"/>
      </w:pPr>
      <w:r w:rsidRPr="00307EB7">
        <w:t xml:space="preserve">In summary, we believe that funding of neurological but not psychiatric conditions through the MBS, where evidence exists to support their effectiveness, is inequitable and unjust for those suffering with chronic, debilitating mental illnesses. Funding of this treatment through the MBS will benefit some of the sickest individuals in Australian society. Moreover, provision of this treatment in the private sector is no barrier to coordinating and receiving multidisciplinary allied health care, as demonstrated by Australian groups already providing this treatment. </w:t>
      </w:r>
    </w:p>
    <w:p w14:paraId="04B85476" w14:textId="77777777" w:rsidR="00166BD7" w:rsidRDefault="00166BD7" w:rsidP="00255B7C">
      <w:pPr>
        <w:spacing w:line="240" w:lineRule="auto"/>
        <w:jc w:val="both"/>
        <w:rPr>
          <w:rFonts w:cs="Calibri"/>
        </w:rPr>
      </w:pPr>
      <w:r>
        <w:rPr>
          <w:rFonts w:cs="Calibri"/>
        </w:rPr>
        <w:t>Note, our previous responses to the DCAR and ESC reports can be found here:</w:t>
      </w:r>
    </w:p>
    <w:p w14:paraId="2E8CECB7" w14:textId="77777777" w:rsidR="00166BD7" w:rsidRPr="00655D2D" w:rsidRDefault="001464F4" w:rsidP="00166BD7">
      <w:pPr>
        <w:spacing w:line="276" w:lineRule="auto"/>
        <w:jc w:val="both"/>
        <w:rPr>
          <w:rFonts w:cs="Calibri"/>
        </w:rPr>
      </w:pPr>
      <w:hyperlink r:id="rId9">
        <w:r w:rsidR="00166BD7" w:rsidRPr="466B27BA">
          <w:rPr>
            <w:rStyle w:val="Hyperlink"/>
          </w:rPr>
          <w:t>https://qdocs.qimrberghofer.edu.au/mosley/</w:t>
        </w:r>
      </w:hyperlink>
    </w:p>
    <w:p w14:paraId="01CFB2C1" w14:textId="77777777" w:rsidR="00BF6554" w:rsidRDefault="00BF6554" w:rsidP="00BF6554">
      <w:pPr>
        <w:pStyle w:val="Heading2"/>
        <w:numPr>
          <w:ilvl w:val="0"/>
          <w:numId w:val="0"/>
        </w:numPr>
      </w:pPr>
      <w:r>
        <w:t>18.</w:t>
      </w:r>
      <w:r>
        <w:tab/>
        <w:t>Further information on MSAC</w:t>
      </w:r>
    </w:p>
    <w:p w14:paraId="718548B7" w14:textId="4CA54C6A" w:rsidR="00035557" w:rsidRPr="00BF6554" w:rsidRDefault="00BF6554" w:rsidP="00BF6554">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10" w:tooltip="Link to the MSAC website" w:history="1">
        <w:r w:rsidRPr="00F309FA">
          <w:rPr>
            <w:rStyle w:val="Hyperlink"/>
            <w:rFonts w:ascii="Franklin Gothic Book" w:hAnsi="Franklin Gothic Book"/>
            <w:bCs/>
            <w:iCs/>
            <w:sz w:val="22"/>
          </w:rPr>
          <w:t>visit the MSAC website</w:t>
        </w:r>
      </w:hyperlink>
    </w:p>
    <w:sectPr w:rsidR="00035557" w:rsidRPr="00BF6554" w:rsidSect="008509F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5AAE" w14:textId="77777777" w:rsidR="008B25D2" w:rsidRDefault="008B25D2" w:rsidP="00B62DF2">
      <w:pPr>
        <w:spacing w:after="0" w:line="240" w:lineRule="auto"/>
      </w:pPr>
      <w:r>
        <w:separator/>
      </w:r>
    </w:p>
  </w:endnote>
  <w:endnote w:type="continuationSeparator" w:id="0">
    <w:p w14:paraId="1EFDA03A" w14:textId="77777777" w:rsidR="008B25D2" w:rsidRDefault="008B25D2" w:rsidP="00B62DF2">
      <w:pPr>
        <w:spacing w:after="0" w:line="240" w:lineRule="auto"/>
      </w:pPr>
      <w:r>
        <w:continuationSeparator/>
      </w:r>
    </w:p>
  </w:endnote>
  <w:endnote w:type="continuationNotice" w:id="1">
    <w:p w14:paraId="168857ED" w14:textId="77777777" w:rsidR="008B25D2" w:rsidRDefault="008B25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quot;Courier New&quo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99A3" w14:textId="77777777" w:rsidR="001D6D0D" w:rsidRDefault="001D6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5123"/>
      <w:docPartObj>
        <w:docPartGallery w:val="Page Numbers (Bottom of Page)"/>
        <w:docPartUnique/>
      </w:docPartObj>
    </w:sdtPr>
    <w:sdtEndPr>
      <w:rPr>
        <w:noProof/>
      </w:rPr>
    </w:sdtEndPr>
    <w:sdtContent>
      <w:p w14:paraId="5A584BE0" w14:textId="0387AEC9" w:rsidR="00255B7C" w:rsidRDefault="00255B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9C15" w14:textId="77777777" w:rsidR="007F7DD7" w:rsidRDefault="007F7DD7" w:rsidP="00F00479">
    <w:pPr>
      <w:pStyle w:val="Footer"/>
      <w:jc w:val="center"/>
    </w:pPr>
    <w:r>
      <w:t xml:space="preserve">MSAC </w:t>
    </w:r>
    <w:r w:rsidRPr="00807A3E">
      <w:t xml:space="preserve">assessment report </w:t>
    </w:r>
    <w:r>
      <w:t>1727 – DBS for OCD</w:t>
    </w:r>
    <w:r>
      <w:tab/>
    </w:r>
    <w:r>
      <w:tab/>
    </w:r>
    <w:r>
      <w:fldChar w:fldCharType="begin"/>
    </w:r>
    <w:r>
      <w:instrText xml:space="preserve"> PAGE   \* MERGEFORMAT </w:instrText>
    </w:r>
    <w:r>
      <w:fldChar w:fldCharType="separate"/>
    </w:r>
    <w:r>
      <w:rPr>
        <w:noProof/>
      </w:rPr>
      <w:t>182</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A4A8" w14:textId="77777777" w:rsidR="008B25D2" w:rsidRDefault="008B25D2" w:rsidP="00B62DF2">
      <w:pPr>
        <w:spacing w:after="0" w:line="240" w:lineRule="auto"/>
      </w:pPr>
      <w:r>
        <w:separator/>
      </w:r>
    </w:p>
  </w:footnote>
  <w:footnote w:type="continuationSeparator" w:id="0">
    <w:p w14:paraId="5A122A6E" w14:textId="77777777" w:rsidR="008B25D2" w:rsidRDefault="008B25D2" w:rsidP="00B62DF2">
      <w:pPr>
        <w:spacing w:after="0" w:line="240" w:lineRule="auto"/>
      </w:pPr>
      <w:r>
        <w:continuationSeparator/>
      </w:r>
    </w:p>
  </w:footnote>
  <w:footnote w:type="continuationNotice" w:id="1">
    <w:p w14:paraId="4A42BC47" w14:textId="77777777" w:rsidR="008B25D2" w:rsidRDefault="008B25D2">
      <w:pPr>
        <w:spacing w:before="0" w:after="0" w:line="240" w:lineRule="auto"/>
      </w:pPr>
    </w:p>
  </w:footnote>
  <w:footnote w:id="2">
    <w:p w14:paraId="7B3795CE" w14:textId="6F2057AA" w:rsidR="00A4256C" w:rsidRDefault="00A4256C">
      <w:pPr>
        <w:pStyle w:val="FootnoteText"/>
      </w:pPr>
      <w:r>
        <w:rPr>
          <w:rStyle w:val="FootnoteReference"/>
        </w:rPr>
        <w:footnoteRef/>
      </w:r>
      <w:r>
        <w:t xml:space="preserve"> </w:t>
      </w:r>
      <w:r w:rsidRPr="007F15AB">
        <w:t>Moon</w:t>
      </w:r>
      <w:r>
        <w:t xml:space="preserve"> et al., </w:t>
      </w:r>
      <w:r w:rsidRPr="007F15AB">
        <w:t>2017. The cost-effectiveness of deep brain stimulation for patients with treatment-resistant obsessive-compulsive disorder.</w:t>
      </w:r>
      <w:r w:rsidRPr="007F15AB">
        <w:rPr>
          <w:i/>
        </w:rPr>
        <w:t xml:space="preserve"> </w:t>
      </w:r>
      <w:r w:rsidRPr="0021149E">
        <w:rPr>
          <w:rFonts w:ascii="Segoe UI" w:hAnsi="Segoe UI" w:cs="Segoe UI"/>
          <w:i/>
          <w:color w:val="212121"/>
          <w:shd w:val="clear" w:color="auto" w:fill="FFFFFF"/>
        </w:rPr>
        <w:t>Medicine (Baltimore).</w:t>
      </w:r>
      <w:r>
        <w:rPr>
          <w:rFonts w:ascii="Segoe UI" w:hAnsi="Segoe UI" w:cs="Segoe UI"/>
          <w:color w:val="212121"/>
          <w:shd w:val="clear" w:color="auto" w:fill="FFFFFF"/>
        </w:rPr>
        <w:t xml:space="preserve"> </w:t>
      </w:r>
      <w:r w:rsidRPr="007F15AB">
        <w:rPr>
          <w:i/>
        </w:rPr>
        <w:t>1</w:t>
      </w:r>
      <w:r w:rsidRPr="007F15AB">
        <w:t>(27), e7397</w:t>
      </w:r>
      <w:r>
        <w:t>.</w:t>
      </w:r>
    </w:p>
  </w:footnote>
  <w:footnote w:id="3">
    <w:p w14:paraId="292C16C7" w14:textId="77777777" w:rsidR="00035557" w:rsidRDefault="00035557" w:rsidP="00035557">
      <w:pPr>
        <w:pStyle w:val="FootnoteText"/>
      </w:pPr>
      <w:r>
        <w:rPr>
          <w:rStyle w:val="FootnoteReference"/>
        </w:rPr>
        <w:footnoteRef/>
      </w:r>
      <w:r>
        <w:t xml:space="preserve"> </w:t>
      </w:r>
      <w:r w:rsidRPr="007F15AB">
        <w:t>Moon</w:t>
      </w:r>
      <w:r>
        <w:t xml:space="preserve"> et al., </w:t>
      </w:r>
      <w:r w:rsidRPr="007F15AB">
        <w:t>2017. The cost-effectiveness of deep brain stimulation for patients with treatment-resistant obsessive-compulsive disorder.</w:t>
      </w:r>
      <w:r w:rsidRPr="007F15AB">
        <w:rPr>
          <w:i/>
        </w:rPr>
        <w:t xml:space="preserve"> </w:t>
      </w:r>
      <w:r w:rsidRPr="0021149E">
        <w:rPr>
          <w:rFonts w:ascii="Segoe UI" w:hAnsi="Segoe UI" w:cs="Segoe UI"/>
          <w:i/>
          <w:color w:val="212121"/>
          <w:shd w:val="clear" w:color="auto" w:fill="FFFFFF"/>
        </w:rPr>
        <w:t>Medicine (Baltimore).</w:t>
      </w:r>
      <w:r>
        <w:rPr>
          <w:rFonts w:ascii="Segoe UI" w:hAnsi="Segoe UI" w:cs="Segoe UI"/>
          <w:color w:val="212121"/>
          <w:shd w:val="clear" w:color="auto" w:fill="FFFFFF"/>
        </w:rPr>
        <w:t xml:space="preserve"> </w:t>
      </w:r>
      <w:r w:rsidRPr="007F15AB">
        <w:rPr>
          <w:i/>
        </w:rPr>
        <w:t>1</w:t>
      </w:r>
      <w:r w:rsidRPr="007F15AB">
        <w:t>(27), e7397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6E95" w14:textId="77777777" w:rsidR="001D6D0D" w:rsidRDefault="001D6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ADA6" w14:textId="77777777" w:rsidR="001D6D0D" w:rsidRDefault="001D6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85AF" w14:textId="77777777" w:rsidR="001D6D0D" w:rsidRDefault="001D6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37A"/>
    <w:multiLevelType w:val="hybridMultilevel"/>
    <w:tmpl w:val="E4A4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971CA"/>
    <w:multiLevelType w:val="hybridMultilevel"/>
    <w:tmpl w:val="B324F5F4"/>
    <w:lvl w:ilvl="0" w:tplc="0C090001">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13033"/>
    <w:multiLevelType w:val="hybridMultilevel"/>
    <w:tmpl w:val="F87680B6"/>
    <w:lvl w:ilvl="0" w:tplc="37DC5D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DC2925"/>
    <w:multiLevelType w:val="multilevel"/>
    <w:tmpl w:val="444A398C"/>
    <w:lvl w:ilvl="0">
      <w:start w:val="1"/>
      <w:numFmt w:val="decimal"/>
      <w:lvlText w:val="Section %1"/>
      <w:lvlJc w:val="left"/>
      <w:pPr>
        <w:ind w:left="786" w:hanging="360"/>
      </w:pPr>
      <w:rPr>
        <w:rFonts w:hint="default"/>
      </w:rPr>
    </w:lvl>
    <w:lvl w:ilvl="1">
      <w:start w:val="10"/>
      <w:numFmt w:val="decimal"/>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1"/>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16417E6"/>
    <w:multiLevelType w:val="multilevel"/>
    <w:tmpl w:val="25545702"/>
    <w:lvl w:ilvl="0">
      <w:start w:val="1"/>
      <w:numFmt w:val="decimal"/>
      <w:lvlText w:val="%1.1.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36D14DF"/>
    <w:multiLevelType w:val="hybridMultilevel"/>
    <w:tmpl w:val="B20E5602"/>
    <w:lvl w:ilvl="0" w:tplc="0F32649A">
      <w:start w:val="1"/>
      <w:numFmt w:val="decimal"/>
      <w:lvlText w:val="%1."/>
      <w:lvlJc w:val="left"/>
      <w:pPr>
        <w:ind w:left="720" w:hanging="360"/>
      </w:pPr>
      <w:rPr>
        <w:rFonts w:ascii="Arial Narrow" w:eastAsia="Times New Roman" w:hAnsi="Arial Narrow"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3E591E"/>
    <w:multiLevelType w:val="hybridMultilevel"/>
    <w:tmpl w:val="B96E398C"/>
    <w:lvl w:ilvl="0" w:tplc="F1BC7D56">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38432B"/>
    <w:multiLevelType w:val="hybridMultilevel"/>
    <w:tmpl w:val="0DEE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FC53BC"/>
    <w:multiLevelType w:val="hybridMultilevel"/>
    <w:tmpl w:val="90E8A7D2"/>
    <w:lvl w:ilvl="0" w:tplc="C472D9B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104722"/>
    <w:multiLevelType w:val="hybridMultilevel"/>
    <w:tmpl w:val="69D68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B37954"/>
    <w:multiLevelType w:val="hybridMultilevel"/>
    <w:tmpl w:val="FFFFFFFF"/>
    <w:lvl w:ilvl="0" w:tplc="4718CFE0">
      <w:start w:val="1"/>
      <w:numFmt w:val="bullet"/>
      <w:lvlText w:val=""/>
      <w:lvlJc w:val="left"/>
      <w:pPr>
        <w:ind w:left="720" w:hanging="360"/>
      </w:pPr>
      <w:rPr>
        <w:rFonts w:ascii="Symbol" w:hAnsi="Symbol" w:hint="default"/>
      </w:rPr>
    </w:lvl>
    <w:lvl w:ilvl="1" w:tplc="5D8C3AFC">
      <w:start w:val="1"/>
      <w:numFmt w:val="bullet"/>
      <w:lvlText w:val="o"/>
      <w:lvlJc w:val="left"/>
      <w:pPr>
        <w:ind w:left="1440" w:hanging="360"/>
      </w:pPr>
      <w:rPr>
        <w:rFonts w:ascii="Courier New" w:hAnsi="Courier New" w:hint="default"/>
      </w:rPr>
    </w:lvl>
    <w:lvl w:ilvl="2" w:tplc="361C3248">
      <w:start w:val="1"/>
      <w:numFmt w:val="bullet"/>
      <w:lvlText w:val=""/>
      <w:lvlJc w:val="left"/>
      <w:pPr>
        <w:ind w:left="2160" w:hanging="360"/>
      </w:pPr>
      <w:rPr>
        <w:rFonts w:ascii="Wingdings" w:hAnsi="Wingdings" w:hint="default"/>
      </w:rPr>
    </w:lvl>
    <w:lvl w:ilvl="3" w:tplc="44363176">
      <w:start w:val="1"/>
      <w:numFmt w:val="bullet"/>
      <w:lvlText w:val=""/>
      <w:lvlJc w:val="left"/>
      <w:pPr>
        <w:ind w:left="2880" w:hanging="360"/>
      </w:pPr>
      <w:rPr>
        <w:rFonts w:ascii="Symbol" w:hAnsi="Symbol" w:hint="default"/>
      </w:rPr>
    </w:lvl>
    <w:lvl w:ilvl="4" w:tplc="012C3680">
      <w:start w:val="1"/>
      <w:numFmt w:val="bullet"/>
      <w:lvlText w:val="o"/>
      <w:lvlJc w:val="left"/>
      <w:pPr>
        <w:ind w:left="3600" w:hanging="360"/>
      </w:pPr>
      <w:rPr>
        <w:rFonts w:ascii="Courier New" w:hAnsi="Courier New" w:hint="default"/>
      </w:rPr>
    </w:lvl>
    <w:lvl w:ilvl="5" w:tplc="1324907E">
      <w:start w:val="1"/>
      <w:numFmt w:val="bullet"/>
      <w:lvlText w:val=""/>
      <w:lvlJc w:val="left"/>
      <w:pPr>
        <w:ind w:left="4320" w:hanging="360"/>
      </w:pPr>
      <w:rPr>
        <w:rFonts w:ascii="Wingdings" w:hAnsi="Wingdings" w:hint="default"/>
      </w:rPr>
    </w:lvl>
    <w:lvl w:ilvl="6" w:tplc="C060BBA2">
      <w:start w:val="1"/>
      <w:numFmt w:val="bullet"/>
      <w:lvlText w:val=""/>
      <w:lvlJc w:val="left"/>
      <w:pPr>
        <w:ind w:left="5040" w:hanging="360"/>
      </w:pPr>
      <w:rPr>
        <w:rFonts w:ascii="Symbol" w:hAnsi="Symbol" w:hint="default"/>
      </w:rPr>
    </w:lvl>
    <w:lvl w:ilvl="7" w:tplc="AF8C3E94">
      <w:start w:val="1"/>
      <w:numFmt w:val="bullet"/>
      <w:lvlText w:val="o"/>
      <w:lvlJc w:val="left"/>
      <w:pPr>
        <w:ind w:left="5760" w:hanging="360"/>
      </w:pPr>
      <w:rPr>
        <w:rFonts w:ascii="Courier New" w:hAnsi="Courier New" w:hint="default"/>
      </w:rPr>
    </w:lvl>
    <w:lvl w:ilvl="8" w:tplc="39E2EB0E">
      <w:start w:val="1"/>
      <w:numFmt w:val="bullet"/>
      <w:lvlText w:val=""/>
      <w:lvlJc w:val="left"/>
      <w:pPr>
        <w:ind w:left="6480" w:hanging="360"/>
      </w:pPr>
      <w:rPr>
        <w:rFonts w:ascii="Wingdings" w:hAnsi="Wingdings" w:hint="default"/>
      </w:rPr>
    </w:lvl>
  </w:abstractNum>
  <w:abstractNum w:abstractNumId="12" w15:restartNumberingAfterBreak="0">
    <w:nsid w:val="0EE4C3F4"/>
    <w:multiLevelType w:val="hybridMultilevel"/>
    <w:tmpl w:val="1D42B1B8"/>
    <w:lvl w:ilvl="0" w:tplc="745C77CE">
      <w:start w:val="1"/>
      <w:numFmt w:val="bullet"/>
      <w:lvlText w:val="·"/>
      <w:lvlJc w:val="left"/>
      <w:pPr>
        <w:ind w:left="720" w:hanging="360"/>
      </w:pPr>
      <w:rPr>
        <w:rFonts w:ascii="Symbol" w:hAnsi="Symbol" w:hint="default"/>
      </w:rPr>
    </w:lvl>
    <w:lvl w:ilvl="1" w:tplc="B4B2A192">
      <w:start w:val="1"/>
      <w:numFmt w:val="bullet"/>
      <w:lvlText w:val="o"/>
      <w:lvlJc w:val="left"/>
      <w:pPr>
        <w:ind w:left="1440" w:hanging="360"/>
      </w:pPr>
      <w:rPr>
        <w:rFonts w:ascii="&quot;Courier New&quot;" w:hAnsi="&quot;Courier New&quot;" w:hint="default"/>
      </w:rPr>
    </w:lvl>
    <w:lvl w:ilvl="2" w:tplc="0032DF7E">
      <w:start w:val="1"/>
      <w:numFmt w:val="bullet"/>
      <w:lvlText w:val=""/>
      <w:lvlJc w:val="left"/>
      <w:pPr>
        <w:ind w:left="2160" w:hanging="360"/>
      </w:pPr>
      <w:rPr>
        <w:rFonts w:ascii="Wingdings" w:hAnsi="Wingdings" w:hint="default"/>
      </w:rPr>
    </w:lvl>
    <w:lvl w:ilvl="3" w:tplc="7308824A">
      <w:start w:val="1"/>
      <w:numFmt w:val="bullet"/>
      <w:lvlText w:val=""/>
      <w:lvlJc w:val="left"/>
      <w:pPr>
        <w:ind w:left="2880" w:hanging="360"/>
      </w:pPr>
      <w:rPr>
        <w:rFonts w:ascii="Symbol" w:hAnsi="Symbol" w:hint="default"/>
      </w:rPr>
    </w:lvl>
    <w:lvl w:ilvl="4" w:tplc="E1D435AA">
      <w:start w:val="1"/>
      <w:numFmt w:val="bullet"/>
      <w:lvlText w:val="o"/>
      <w:lvlJc w:val="left"/>
      <w:pPr>
        <w:ind w:left="3600" w:hanging="360"/>
      </w:pPr>
      <w:rPr>
        <w:rFonts w:ascii="Courier New" w:hAnsi="Courier New" w:hint="default"/>
      </w:rPr>
    </w:lvl>
    <w:lvl w:ilvl="5" w:tplc="2D78B16E">
      <w:start w:val="1"/>
      <w:numFmt w:val="bullet"/>
      <w:lvlText w:val=""/>
      <w:lvlJc w:val="left"/>
      <w:pPr>
        <w:ind w:left="4320" w:hanging="360"/>
      </w:pPr>
      <w:rPr>
        <w:rFonts w:ascii="Wingdings" w:hAnsi="Wingdings" w:hint="default"/>
      </w:rPr>
    </w:lvl>
    <w:lvl w:ilvl="6" w:tplc="4976966A">
      <w:start w:val="1"/>
      <w:numFmt w:val="bullet"/>
      <w:lvlText w:val=""/>
      <w:lvlJc w:val="left"/>
      <w:pPr>
        <w:ind w:left="5040" w:hanging="360"/>
      </w:pPr>
      <w:rPr>
        <w:rFonts w:ascii="Symbol" w:hAnsi="Symbol" w:hint="default"/>
      </w:rPr>
    </w:lvl>
    <w:lvl w:ilvl="7" w:tplc="F3662338">
      <w:start w:val="1"/>
      <w:numFmt w:val="bullet"/>
      <w:lvlText w:val="o"/>
      <w:lvlJc w:val="left"/>
      <w:pPr>
        <w:ind w:left="5760" w:hanging="360"/>
      </w:pPr>
      <w:rPr>
        <w:rFonts w:ascii="Courier New" w:hAnsi="Courier New" w:hint="default"/>
      </w:rPr>
    </w:lvl>
    <w:lvl w:ilvl="8" w:tplc="946A1072">
      <w:start w:val="1"/>
      <w:numFmt w:val="bullet"/>
      <w:lvlText w:val=""/>
      <w:lvlJc w:val="left"/>
      <w:pPr>
        <w:ind w:left="6480" w:hanging="360"/>
      </w:pPr>
      <w:rPr>
        <w:rFonts w:ascii="Wingdings" w:hAnsi="Wingdings" w:hint="default"/>
      </w:rPr>
    </w:lvl>
  </w:abstractNum>
  <w:abstractNum w:abstractNumId="1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7D60C8"/>
    <w:multiLevelType w:val="hybridMultilevel"/>
    <w:tmpl w:val="29482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B95DFA"/>
    <w:multiLevelType w:val="hybridMultilevel"/>
    <w:tmpl w:val="13DAE3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6575F0"/>
    <w:multiLevelType w:val="hybridMultilevel"/>
    <w:tmpl w:val="3488AE7E"/>
    <w:lvl w:ilvl="0" w:tplc="0C09000B">
      <w:start w:val="2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837E5E"/>
    <w:multiLevelType w:val="hybridMultilevel"/>
    <w:tmpl w:val="66541594"/>
    <w:lvl w:ilvl="0" w:tplc="004CC4D2">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5A0E7D"/>
    <w:multiLevelType w:val="hybridMultilevel"/>
    <w:tmpl w:val="0AB2CE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1F564B18"/>
    <w:multiLevelType w:val="hybridMultilevel"/>
    <w:tmpl w:val="16A2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22" w15:restartNumberingAfterBreak="0">
    <w:nsid w:val="2425615E"/>
    <w:multiLevelType w:val="hybridMultilevel"/>
    <w:tmpl w:val="1BFE41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251E2AF7"/>
    <w:multiLevelType w:val="hybridMultilevel"/>
    <w:tmpl w:val="2088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2B7A2A12"/>
    <w:multiLevelType w:val="hybridMultilevel"/>
    <w:tmpl w:val="6A9C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F55222"/>
    <w:multiLevelType w:val="hybridMultilevel"/>
    <w:tmpl w:val="611CD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0F2A34"/>
    <w:multiLevelType w:val="hybridMultilevel"/>
    <w:tmpl w:val="9B0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091F59"/>
    <w:multiLevelType w:val="hybridMultilevel"/>
    <w:tmpl w:val="29FAB238"/>
    <w:lvl w:ilvl="0" w:tplc="A156EEF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10F41C7"/>
    <w:multiLevelType w:val="hybridMultilevel"/>
    <w:tmpl w:val="0C8240C0"/>
    <w:lvl w:ilvl="0" w:tplc="F2FC6A52">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13C1AF4"/>
    <w:multiLevelType w:val="hybridMultilevel"/>
    <w:tmpl w:val="6EC84E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3D0FA9"/>
    <w:multiLevelType w:val="multilevel"/>
    <w:tmpl w:val="1D546690"/>
    <w:lvl w:ilvl="0">
      <w:start w:val="1"/>
      <w:numFmt w:val="decimal"/>
      <w:lvlText w:val="Section %1"/>
      <w:lvlJc w:val="left"/>
      <w:pPr>
        <w:ind w:left="0" w:firstLine="0"/>
      </w:pPr>
      <w:rPr>
        <w:rFonts w:hint="default"/>
      </w:rPr>
    </w:lvl>
    <w:lvl w:ilvl="1">
      <w:start w:val="1"/>
      <w:numFmt w:val="decimal"/>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24371DC"/>
    <w:multiLevelType w:val="multilevel"/>
    <w:tmpl w:val="D92C0928"/>
    <w:lvl w:ilvl="0">
      <w:start w:val="1"/>
      <w:numFmt w:val="decimal"/>
      <w:lvlText w:val="Section %1"/>
      <w:lvlJc w:val="left"/>
      <w:pPr>
        <w:ind w:left="786" w:hanging="360"/>
      </w:pPr>
      <w:rPr>
        <w:rFonts w:hint="default"/>
      </w:rPr>
    </w:lvl>
    <w:lvl w:ilvl="1">
      <w:start w:val="1"/>
      <w:numFmt w:val="decimal"/>
      <w:lvlText w:val="%1.%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479332B"/>
    <w:multiLevelType w:val="hybridMultilevel"/>
    <w:tmpl w:val="79949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3AC97E07"/>
    <w:multiLevelType w:val="hybridMultilevel"/>
    <w:tmpl w:val="6CBAB3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BCF319B"/>
    <w:multiLevelType w:val="hybridMultilevel"/>
    <w:tmpl w:val="9DECF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EA75BF6"/>
    <w:multiLevelType w:val="hybridMultilevel"/>
    <w:tmpl w:val="78F023AA"/>
    <w:lvl w:ilvl="0" w:tplc="942854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FD03F61"/>
    <w:multiLevelType w:val="hybridMultilevel"/>
    <w:tmpl w:val="7E52B338"/>
    <w:lvl w:ilvl="0" w:tplc="20F000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C13051"/>
    <w:multiLevelType w:val="hybridMultilevel"/>
    <w:tmpl w:val="908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4018D0"/>
    <w:multiLevelType w:val="multilevel"/>
    <w:tmpl w:val="3D0663A4"/>
    <w:lvl w:ilvl="0">
      <w:start w:val="1"/>
      <w:numFmt w:val="decimal"/>
      <w:lvlText w:val="Section %1"/>
      <w:lvlJc w:val="left"/>
      <w:pPr>
        <w:ind w:left="786" w:hanging="360"/>
      </w:pPr>
      <w:rPr>
        <w:rFonts w:hint="default"/>
      </w:rPr>
    </w:lvl>
    <w:lvl w:ilvl="1">
      <w:start w:val="1"/>
      <w:numFmt w:val="decimal"/>
      <w:lvlText w:val="%1.%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50E76D3"/>
    <w:multiLevelType w:val="hybridMultilevel"/>
    <w:tmpl w:val="BF1AF8E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46283D6F"/>
    <w:multiLevelType w:val="multilevel"/>
    <w:tmpl w:val="29949702"/>
    <w:lvl w:ilvl="0">
      <w:start w:val="1"/>
      <w:numFmt w:val="decimal"/>
      <w:lvlText w:val="Section %1"/>
      <w:lvlJc w:val="left"/>
      <w:pPr>
        <w:ind w:left="786" w:hanging="360"/>
      </w:pPr>
      <w:rPr>
        <w:rFonts w:hint="default"/>
      </w:rPr>
    </w:lvl>
    <w:lvl w:ilvl="1">
      <w:start w:val="1"/>
      <w:numFmt w:val="decimal"/>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6376DA7"/>
    <w:multiLevelType w:val="hybridMultilevel"/>
    <w:tmpl w:val="6EBA38BC"/>
    <w:lvl w:ilvl="0" w:tplc="0002A9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66A2127"/>
    <w:multiLevelType w:val="hybridMultilevel"/>
    <w:tmpl w:val="21541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6B717B0"/>
    <w:multiLevelType w:val="hybridMultilevel"/>
    <w:tmpl w:val="F02C6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6E3DD37"/>
    <w:multiLevelType w:val="hybridMultilevel"/>
    <w:tmpl w:val="525CF1CE"/>
    <w:lvl w:ilvl="0" w:tplc="12ACBDD0">
      <w:start w:val="1"/>
      <w:numFmt w:val="bullet"/>
      <w:lvlText w:val="·"/>
      <w:lvlJc w:val="left"/>
      <w:pPr>
        <w:ind w:left="720" w:hanging="360"/>
      </w:pPr>
      <w:rPr>
        <w:rFonts w:ascii="Symbol" w:hAnsi="Symbol" w:hint="default"/>
      </w:rPr>
    </w:lvl>
    <w:lvl w:ilvl="1" w:tplc="6B32D6CC">
      <w:start w:val="1"/>
      <w:numFmt w:val="bullet"/>
      <w:lvlText w:val="o"/>
      <w:lvlJc w:val="left"/>
      <w:pPr>
        <w:ind w:left="1440" w:hanging="360"/>
      </w:pPr>
      <w:rPr>
        <w:rFonts w:ascii="&quot;Courier New&quot;" w:hAnsi="&quot;Courier New&quot;" w:hint="default"/>
      </w:rPr>
    </w:lvl>
    <w:lvl w:ilvl="2" w:tplc="11E0052A">
      <w:start w:val="1"/>
      <w:numFmt w:val="bullet"/>
      <w:lvlText w:val=""/>
      <w:lvlJc w:val="left"/>
      <w:pPr>
        <w:ind w:left="2160" w:hanging="360"/>
      </w:pPr>
      <w:rPr>
        <w:rFonts w:ascii="Wingdings" w:hAnsi="Wingdings" w:hint="default"/>
      </w:rPr>
    </w:lvl>
    <w:lvl w:ilvl="3" w:tplc="78444E22">
      <w:start w:val="1"/>
      <w:numFmt w:val="bullet"/>
      <w:lvlText w:val=""/>
      <w:lvlJc w:val="left"/>
      <w:pPr>
        <w:ind w:left="2880" w:hanging="360"/>
      </w:pPr>
      <w:rPr>
        <w:rFonts w:ascii="Symbol" w:hAnsi="Symbol" w:hint="default"/>
      </w:rPr>
    </w:lvl>
    <w:lvl w:ilvl="4" w:tplc="EB56CCDA">
      <w:start w:val="1"/>
      <w:numFmt w:val="bullet"/>
      <w:lvlText w:val="o"/>
      <w:lvlJc w:val="left"/>
      <w:pPr>
        <w:ind w:left="3600" w:hanging="360"/>
      </w:pPr>
      <w:rPr>
        <w:rFonts w:ascii="Courier New" w:hAnsi="Courier New" w:hint="default"/>
      </w:rPr>
    </w:lvl>
    <w:lvl w:ilvl="5" w:tplc="840665EA">
      <w:start w:val="1"/>
      <w:numFmt w:val="bullet"/>
      <w:lvlText w:val=""/>
      <w:lvlJc w:val="left"/>
      <w:pPr>
        <w:ind w:left="4320" w:hanging="360"/>
      </w:pPr>
      <w:rPr>
        <w:rFonts w:ascii="Wingdings" w:hAnsi="Wingdings" w:hint="default"/>
      </w:rPr>
    </w:lvl>
    <w:lvl w:ilvl="6" w:tplc="634CC5CA">
      <w:start w:val="1"/>
      <w:numFmt w:val="bullet"/>
      <w:lvlText w:val=""/>
      <w:lvlJc w:val="left"/>
      <w:pPr>
        <w:ind w:left="5040" w:hanging="360"/>
      </w:pPr>
      <w:rPr>
        <w:rFonts w:ascii="Symbol" w:hAnsi="Symbol" w:hint="default"/>
      </w:rPr>
    </w:lvl>
    <w:lvl w:ilvl="7" w:tplc="5A32CC1A">
      <w:start w:val="1"/>
      <w:numFmt w:val="bullet"/>
      <w:lvlText w:val="o"/>
      <w:lvlJc w:val="left"/>
      <w:pPr>
        <w:ind w:left="5760" w:hanging="360"/>
      </w:pPr>
      <w:rPr>
        <w:rFonts w:ascii="Courier New" w:hAnsi="Courier New" w:hint="default"/>
      </w:rPr>
    </w:lvl>
    <w:lvl w:ilvl="8" w:tplc="787CD0B2">
      <w:start w:val="1"/>
      <w:numFmt w:val="bullet"/>
      <w:lvlText w:val=""/>
      <w:lvlJc w:val="left"/>
      <w:pPr>
        <w:ind w:left="6480" w:hanging="360"/>
      </w:pPr>
      <w:rPr>
        <w:rFonts w:ascii="Wingdings" w:hAnsi="Wingdings" w:hint="default"/>
      </w:rPr>
    </w:lvl>
  </w:abstractNum>
  <w:abstractNum w:abstractNumId="49"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48BE6559"/>
    <w:multiLevelType w:val="multilevel"/>
    <w:tmpl w:val="6C7E7F90"/>
    <w:lvl w:ilvl="0">
      <w:start w:val="1"/>
      <w:numFmt w:val="decimal"/>
      <w:lvlText w:val="Section %1"/>
      <w:lvlJc w:val="left"/>
      <w:pPr>
        <w:ind w:left="0" w:firstLine="0"/>
      </w:pPr>
      <w:rPr>
        <w:rFonts w:hint="default"/>
      </w:rPr>
    </w:lvl>
    <w:lvl w:ilvl="1">
      <w:start w:val="1"/>
      <w:numFmt w:val="decimal"/>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1"/>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8C73D32"/>
    <w:multiLevelType w:val="multilevel"/>
    <w:tmpl w:val="1C960326"/>
    <w:lvl w:ilvl="0">
      <w:start w:val="1"/>
      <w:numFmt w:val="decimal"/>
      <w:lvlText w:val="Section %1"/>
      <w:lvlJc w:val="left"/>
      <w:pPr>
        <w:ind w:left="0" w:firstLine="0"/>
      </w:pPr>
      <w:rPr>
        <w:rFonts w:hint="default"/>
      </w:rPr>
    </w:lvl>
    <w:lvl w:ilvl="1">
      <w:start w:val="1"/>
      <w:numFmt w:val="decimal"/>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BFF2D96"/>
    <w:multiLevelType w:val="hybridMultilevel"/>
    <w:tmpl w:val="3CEE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CCD2CDE"/>
    <w:multiLevelType w:val="hybridMultilevel"/>
    <w:tmpl w:val="0C58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FFD611C"/>
    <w:multiLevelType w:val="hybridMultilevel"/>
    <w:tmpl w:val="9A22B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2072586"/>
    <w:multiLevelType w:val="hybridMultilevel"/>
    <w:tmpl w:val="6CBAB3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54062002"/>
    <w:multiLevelType w:val="hybridMultilevel"/>
    <w:tmpl w:val="2ECC8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4EA559F"/>
    <w:multiLevelType w:val="multilevel"/>
    <w:tmpl w:val="45D0D1EC"/>
    <w:lvl w:ilvl="0">
      <w:start w:val="1"/>
      <w:numFmt w:val="decimal"/>
      <w:lvlText w:val="Section %1"/>
      <w:lvlJc w:val="left"/>
      <w:pPr>
        <w:ind w:left="0" w:firstLine="0"/>
      </w:pPr>
      <w:rPr>
        <w:rFonts w:hint="default"/>
      </w:rPr>
    </w:lvl>
    <w:lvl w:ilvl="1">
      <w:start w:val="1"/>
      <w:numFmt w:val="decimal"/>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64D1933"/>
    <w:multiLevelType w:val="hybridMultilevel"/>
    <w:tmpl w:val="DC343A82"/>
    <w:lvl w:ilvl="0" w:tplc="0C09000F">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6A956D0"/>
    <w:multiLevelType w:val="multilevel"/>
    <w:tmpl w:val="36C6AC3A"/>
    <w:lvl w:ilvl="0">
      <w:start w:val="1"/>
      <w:numFmt w:val="decimal"/>
      <w:lvlText w:val="Section %1"/>
      <w:lvlJc w:val="left"/>
      <w:pPr>
        <w:ind w:left="0" w:firstLine="0"/>
      </w:pPr>
      <w:rPr>
        <w:rFonts w:hint="default"/>
      </w:rPr>
    </w:lvl>
    <w:lvl w:ilvl="1">
      <w:start w:val="1"/>
      <w:numFmt w:val="decimal"/>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1"/>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7790D6F"/>
    <w:multiLevelType w:val="multilevel"/>
    <w:tmpl w:val="C220DB08"/>
    <w:lvl w:ilvl="0">
      <w:start w:val="1"/>
      <w:numFmt w:val="decimal"/>
      <w:lvlText w:val="Section %1"/>
      <w:lvlJc w:val="left"/>
      <w:pPr>
        <w:ind w:left="786" w:hanging="360"/>
      </w:pPr>
      <w:rPr>
        <w:rFonts w:hint="default"/>
      </w:rPr>
    </w:lvl>
    <w:lvl w:ilvl="1">
      <w:start w:val="1"/>
      <w:numFmt w:val="decimal"/>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A15213A"/>
    <w:multiLevelType w:val="hybridMultilevel"/>
    <w:tmpl w:val="E270990E"/>
    <w:lvl w:ilvl="0" w:tplc="2E946A3C">
      <w:numFmt w:val="bullet"/>
      <w:lvlText w:val="-"/>
      <w:lvlJc w:val="left"/>
      <w:pPr>
        <w:ind w:left="720" w:hanging="360"/>
      </w:pPr>
      <w:rPr>
        <w:rFonts w:ascii="Arial Narrow" w:eastAsiaTheme="minorHAnsi" w:hAnsi="Arial Narro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B4F331A"/>
    <w:multiLevelType w:val="multilevel"/>
    <w:tmpl w:val="9A346140"/>
    <w:lvl w:ilvl="0">
      <w:start w:val="1"/>
      <w:numFmt w:val="decimal"/>
      <w:lvlText w:val="Section %1"/>
      <w:lvlJc w:val="left"/>
      <w:pPr>
        <w:ind w:left="0" w:firstLine="0"/>
      </w:pPr>
      <w:rPr>
        <w:rFonts w:hint="default"/>
      </w:rPr>
    </w:lvl>
    <w:lvl w:ilvl="1">
      <w:start w:val="1"/>
      <w:numFmt w:val="decimal"/>
      <w:lvlText w:val="%1.%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C061109"/>
    <w:multiLevelType w:val="hybridMultilevel"/>
    <w:tmpl w:val="7BCE1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D6357B5"/>
    <w:multiLevelType w:val="hybridMultilevel"/>
    <w:tmpl w:val="E01C44B0"/>
    <w:lvl w:ilvl="0" w:tplc="5FCC868C">
      <w:start w:val="1"/>
      <w:numFmt w:val="bullet"/>
      <w:lvlText w:val="·"/>
      <w:lvlJc w:val="left"/>
      <w:pPr>
        <w:ind w:left="720" w:hanging="360"/>
      </w:pPr>
      <w:rPr>
        <w:rFonts w:ascii="Symbol" w:hAnsi="Symbol" w:hint="default"/>
      </w:rPr>
    </w:lvl>
    <w:lvl w:ilvl="1" w:tplc="48E868F8">
      <w:start w:val="1"/>
      <w:numFmt w:val="bullet"/>
      <w:lvlText w:val="o"/>
      <w:lvlJc w:val="left"/>
      <w:pPr>
        <w:ind w:left="1440" w:hanging="360"/>
      </w:pPr>
      <w:rPr>
        <w:rFonts w:ascii="Courier New" w:hAnsi="Courier New" w:hint="default"/>
      </w:rPr>
    </w:lvl>
    <w:lvl w:ilvl="2" w:tplc="52946104">
      <w:start w:val="1"/>
      <w:numFmt w:val="bullet"/>
      <w:lvlText w:val=""/>
      <w:lvlJc w:val="left"/>
      <w:pPr>
        <w:ind w:left="2160" w:hanging="360"/>
      </w:pPr>
      <w:rPr>
        <w:rFonts w:ascii="Wingdings" w:hAnsi="Wingdings" w:hint="default"/>
      </w:rPr>
    </w:lvl>
    <w:lvl w:ilvl="3" w:tplc="2E20FC18">
      <w:start w:val="1"/>
      <w:numFmt w:val="bullet"/>
      <w:lvlText w:val=""/>
      <w:lvlJc w:val="left"/>
      <w:pPr>
        <w:ind w:left="2880" w:hanging="360"/>
      </w:pPr>
      <w:rPr>
        <w:rFonts w:ascii="Symbol" w:hAnsi="Symbol" w:hint="default"/>
      </w:rPr>
    </w:lvl>
    <w:lvl w:ilvl="4" w:tplc="DEFE525E">
      <w:start w:val="1"/>
      <w:numFmt w:val="bullet"/>
      <w:lvlText w:val="o"/>
      <w:lvlJc w:val="left"/>
      <w:pPr>
        <w:ind w:left="3600" w:hanging="360"/>
      </w:pPr>
      <w:rPr>
        <w:rFonts w:ascii="Courier New" w:hAnsi="Courier New" w:hint="default"/>
      </w:rPr>
    </w:lvl>
    <w:lvl w:ilvl="5" w:tplc="5D98F75C">
      <w:start w:val="1"/>
      <w:numFmt w:val="bullet"/>
      <w:lvlText w:val=""/>
      <w:lvlJc w:val="left"/>
      <w:pPr>
        <w:ind w:left="4320" w:hanging="360"/>
      </w:pPr>
      <w:rPr>
        <w:rFonts w:ascii="Wingdings" w:hAnsi="Wingdings" w:hint="default"/>
      </w:rPr>
    </w:lvl>
    <w:lvl w:ilvl="6" w:tplc="3E804660">
      <w:start w:val="1"/>
      <w:numFmt w:val="bullet"/>
      <w:lvlText w:val=""/>
      <w:lvlJc w:val="left"/>
      <w:pPr>
        <w:ind w:left="5040" w:hanging="360"/>
      </w:pPr>
      <w:rPr>
        <w:rFonts w:ascii="Symbol" w:hAnsi="Symbol" w:hint="default"/>
      </w:rPr>
    </w:lvl>
    <w:lvl w:ilvl="7" w:tplc="5846E65E">
      <w:start w:val="1"/>
      <w:numFmt w:val="bullet"/>
      <w:lvlText w:val="o"/>
      <w:lvlJc w:val="left"/>
      <w:pPr>
        <w:ind w:left="5760" w:hanging="360"/>
      </w:pPr>
      <w:rPr>
        <w:rFonts w:ascii="Courier New" w:hAnsi="Courier New" w:hint="default"/>
      </w:rPr>
    </w:lvl>
    <w:lvl w:ilvl="8" w:tplc="4A062E70">
      <w:start w:val="1"/>
      <w:numFmt w:val="bullet"/>
      <w:lvlText w:val=""/>
      <w:lvlJc w:val="left"/>
      <w:pPr>
        <w:ind w:left="6480" w:hanging="360"/>
      </w:pPr>
      <w:rPr>
        <w:rFonts w:ascii="Wingdings" w:hAnsi="Wingdings" w:hint="default"/>
      </w:rPr>
    </w:lvl>
  </w:abstractNum>
  <w:abstractNum w:abstractNumId="65" w15:restartNumberingAfterBreak="0">
    <w:nsid w:val="612B798B"/>
    <w:multiLevelType w:val="hybridMultilevel"/>
    <w:tmpl w:val="31084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59B2FBA"/>
    <w:multiLevelType w:val="hybridMultilevel"/>
    <w:tmpl w:val="543CD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8026EA8"/>
    <w:multiLevelType w:val="hybridMultilevel"/>
    <w:tmpl w:val="0A78EBDC"/>
    <w:lvl w:ilvl="0" w:tplc="7F1E1E2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8CF0BD4"/>
    <w:multiLevelType w:val="hybridMultilevel"/>
    <w:tmpl w:val="684C99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B95133A"/>
    <w:multiLevelType w:val="hybridMultilevel"/>
    <w:tmpl w:val="AB1CCA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D1100E6"/>
    <w:multiLevelType w:val="hybridMultilevel"/>
    <w:tmpl w:val="49D6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D384A67"/>
    <w:multiLevelType w:val="multilevel"/>
    <w:tmpl w:val="A5FEA4E2"/>
    <w:lvl w:ilvl="0">
      <w:start w:val="1"/>
      <w:numFmt w:val="decimal"/>
      <w:pStyle w:val="Heading1"/>
      <w:lvlText w:val="Section %1"/>
      <w:lvlJc w:val="left"/>
      <w:pPr>
        <w:ind w:left="0" w:firstLine="0"/>
      </w:pPr>
      <w:rPr>
        <w:rFonts w:hint="default"/>
      </w:rPr>
    </w:lvl>
    <w:lvl w:ilvl="1">
      <w:start w:val="1"/>
      <w:numFmt w:val="decimal"/>
      <w:pStyle w:val="Heading2"/>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1"/>
      <w:pStyle w:val="Heading3"/>
      <w:lvlText w:val="%1.%2.%3"/>
      <w:lvlJc w:val="left"/>
      <w:pPr>
        <w:ind w:left="284"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F0C6760"/>
    <w:multiLevelType w:val="hybridMultilevel"/>
    <w:tmpl w:val="51627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3" w15:restartNumberingAfterBreak="0">
    <w:nsid w:val="700426D1"/>
    <w:multiLevelType w:val="hybridMultilevel"/>
    <w:tmpl w:val="9EE4F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0E54105"/>
    <w:multiLevelType w:val="hybridMultilevel"/>
    <w:tmpl w:val="450E7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25454BB"/>
    <w:multiLevelType w:val="hybridMultilevel"/>
    <w:tmpl w:val="C7D00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25A2E84"/>
    <w:multiLevelType w:val="hybridMultilevel"/>
    <w:tmpl w:val="EB2CAE60"/>
    <w:lvl w:ilvl="0" w:tplc="AF06295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4C1746D"/>
    <w:multiLevelType w:val="hybridMultilevel"/>
    <w:tmpl w:val="9F92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82D1873"/>
    <w:multiLevelType w:val="hybridMultilevel"/>
    <w:tmpl w:val="45728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F357B1"/>
    <w:multiLevelType w:val="multilevel"/>
    <w:tmpl w:val="D92C0928"/>
    <w:lvl w:ilvl="0">
      <w:start w:val="1"/>
      <w:numFmt w:val="decimal"/>
      <w:lvlText w:val="Section %1"/>
      <w:lvlJc w:val="left"/>
      <w:pPr>
        <w:ind w:left="786" w:hanging="360"/>
      </w:pPr>
      <w:rPr>
        <w:rFonts w:hint="default"/>
      </w:rPr>
    </w:lvl>
    <w:lvl w:ilvl="1">
      <w:start w:val="1"/>
      <w:numFmt w:val="decimal"/>
      <w:lvlText w:val="%1.%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9FC7DCF"/>
    <w:multiLevelType w:val="hybridMultilevel"/>
    <w:tmpl w:val="D2D4C85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B3573E0"/>
    <w:multiLevelType w:val="multilevel"/>
    <w:tmpl w:val="C69E52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4" w15:restartNumberingAfterBreak="0">
    <w:nsid w:val="7D7C40BA"/>
    <w:multiLevelType w:val="hybridMultilevel"/>
    <w:tmpl w:val="3134DCE2"/>
    <w:lvl w:ilvl="0" w:tplc="7B90B0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F0943CF"/>
    <w:multiLevelType w:val="hybridMultilevel"/>
    <w:tmpl w:val="3D6A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1128011949">
    <w:abstractNumId w:val="11"/>
  </w:num>
  <w:num w:numId="2" w16cid:durableId="1465200595">
    <w:abstractNumId w:val="34"/>
  </w:num>
  <w:num w:numId="3" w16cid:durableId="1620185821">
    <w:abstractNumId w:val="86"/>
  </w:num>
  <w:num w:numId="4" w16cid:durableId="1523057935">
    <w:abstractNumId w:val="13"/>
  </w:num>
  <w:num w:numId="5" w16cid:durableId="1349915585">
    <w:abstractNumId w:val="21"/>
  </w:num>
  <w:num w:numId="6" w16cid:durableId="355927132">
    <w:abstractNumId w:val="79"/>
  </w:num>
  <w:num w:numId="7" w16cid:durableId="1804735373">
    <w:abstractNumId w:val="24"/>
  </w:num>
  <w:num w:numId="8" w16cid:durableId="949898054">
    <w:abstractNumId w:val="25"/>
  </w:num>
  <w:num w:numId="9" w16cid:durableId="187524320">
    <w:abstractNumId w:val="31"/>
  </w:num>
  <w:num w:numId="10" w16cid:durableId="959189619">
    <w:abstractNumId w:val="36"/>
  </w:num>
  <w:num w:numId="11" w16cid:durableId="1734306874">
    <w:abstractNumId w:val="4"/>
  </w:num>
  <w:num w:numId="12" w16cid:durableId="1066878532">
    <w:abstractNumId w:val="43"/>
  </w:num>
  <w:num w:numId="13" w16cid:durableId="1746802579">
    <w:abstractNumId w:val="49"/>
  </w:num>
  <w:num w:numId="14" w16cid:durableId="592251369">
    <w:abstractNumId w:val="9"/>
  </w:num>
  <w:num w:numId="15" w16cid:durableId="1738822869">
    <w:abstractNumId w:val="84"/>
  </w:num>
  <w:num w:numId="16" w16cid:durableId="1107388563">
    <w:abstractNumId w:val="39"/>
  </w:num>
  <w:num w:numId="17" w16cid:durableId="745801979">
    <w:abstractNumId w:val="2"/>
  </w:num>
  <w:num w:numId="18" w16cid:durableId="611979822">
    <w:abstractNumId w:val="40"/>
  </w:num>
  <w:num w:numId="19" w16cid:durableId="389503603">
    <w:abstractNumId w:val="45"/>
  </w:num>
  <w:num w:numId="20" w16cid:durableId="1230188231">
    <w:abstractNumId w:val="66"/>
  </w:num>
  <w:num w:numId="21" w16cid:durableId="1367486509">
    <w:abstractNumId w:val="54"/>
  </w:num>
  <w:num w:numId="22" w16cid:durableId="1492136810">
    <w:abstractNumId w:val="56"/>
  </w:num>
  <w:num w:numId="23" w16cid:durableId="801070801">
    <w:abstractNumId w:val="61"/>
  </w:num>
  <w:num w:numId="24" w16cid:durableId="1188249045">
    <w:abstractNumId w:val="19"/>
  </w:num>
  <w:num w:numId="25" w16cid:durableId="1668558352">
    <w:abstractNumId w:val="52"/>
  </w:num>
  <w:num w:numId="26" w16cid:durableId="1453596409">
    <w:abstractNumId w:val="20"/>
  </w:num>
  <w:num w:numId="27" w16cid:durableId="1850676575">
    <w:abstractNumId w:val="27"/>
  </w:num>
  <w:num w:numId="28" w16cid:durableId="468473367">
    <w:abstractNumId w:val="26"/>
  </w:num>
  <w:num w:numId="29" w16cid:durableId="1914779228">
    <w:abstractNumId w:val="8"/>
  </w:num>
  <w:num w:numId="30" w16cid:durableId="345520882">
    <w:abstractNumId w:val="73"/>
  </w:num>
  <w:num w:numId="31" w16cid:durableId="256401186">
    <w:abstractNumId w:val="70"/>
  </w:num>
  <w:num w:numId="32" w16cid:durableId="1943368986">
    <w:abstractNumId w:val="53"/>
  </w:num>
  <w:num w:numId="33" w16cid:durableId="878131280">
    <w:abstractNumId w:val="38"/>
  </w:num>
  <w:num w:numId="34" w16cid:durableId="321661208">
    <w:abstractNumId w:val="77"/>
  </w:num>
  <w:num w:numId="35" w16cid:durableId="1221478361">
    <w:abstractNumId w:val="75"/>
  </w:num>
  <w:num w:numId="36" w16cid:durableId="427964032">
    <w:abstractNumId w:val="65"/>
  </w:num>
  <w:num w:numId="37" w16cid:durableId="396050515">
    <w:abstractNumId w:val="47"/>
  </w:num>
  <w:num w:numId="38" w16cid:durableId="1953585370">
    <w:abstractNumId w:val="78"/>
  </w:num>
  <w:num w:numId="39" w16cid:durableId="1997949159">
    <w:abstractNumId w:val="68"/>
  </w:num>
  <w:num w:numId="40" w16cid:durableId="2049377443">
    <w:abstractNumId w:val="82"/>
  </w:num>
  <w:num w:numId="41" w16cid:durableId="431439428">
    <w:abstractNumId w:val="41"/>
  </w:num>
  <w:num w:numId="42" w16cid:durableId="1896964020">
    <w:abstractNumId w:val="35"/>
  </w:num>
  <w:num w:numId="43" w16cid:durableId="926309598">
    <w:abstractNumId w:val="29"/>
  </w:num>
  <w:num w:numId="44" w16cid:durableId="68121826">
    <w:abstractNumId w:val="15"/>
  </w:num>
  <w:num w:numId="45" w16cid:durableId="1438600639">
    <w:abstractNumId w:val="64"/>
  </w:num>
  <w:num w:numId="46" w16cid:durableId="1589846766">
    <w:abstractNumId w:val="12"/>
  </w:num>
  <w:num w:numId="47" w16cid:durableId="1093282630">
    <w:abstractNumId w:val="48"/>
  </w:num>
  <w:num w:numId="48" w16cid:durableId="1728868776">
    <w:abstractNumId w:val="69"/>
  </w:num>
  <w:num w:numId="49" w16cid:durableId="172575148">
    <w:abstractNumId w:val="22"/>
  </w:num>
  <w:num w:numId="50" w16cid:durableId="2242864">
    <w:abstractNumId w:val="10"/>
  </w:num>
  <w:num w:numId="51" w16cid:durableId="687949925">
    <w:abstractNumId w:val="72"/>
  </w:num>
  <w:num w:numId="52" w16cid:durableId="104276632">
    <w:abstractNumId w:val="58"/>
  </w:num>
  <w:num w:numId="53" w16cid:durableId="1525096243">
    <w:abstractNumId w:val="74"/>
  </w:num>
  <w:num w:numId="54" w16cid:durableId="2136554336">
    <w:abstractNumId w:val="17"/>
  </w:num>
  <w:num w:numId="55" w16cid:durableId="1336886660">
    <w:abstractNumId w:val="32"/>
  </w:num>
  <w:num w:numId="56" w16cid:durableId="206795955">
    <w:abstractNumId w:val="0"/>
  </w:num>
  <w:num w:numId="57" w16cid:durableId="1548105983">
    <w:abstractNumId w:val="46"/>
  </w:num>
  <w:num w:numId="58" w16cid:durableId="2035619380">
    <w:abstractNumId w:val="30"/>
  </w:num>
  <w:num w:numId="59" w16cid:durableId="170878140">
    <w:abstractNumId w:val="76"/>
  </w:num>
  <w:num w:numId="60" w16cid:durableId="1868446444">
    <w:abstractNumId w:val="23"/>
  </w:num>
  <w:num w:numId="61" w16cid:durableId="1883595812">
    <w:abstractNumId w:val="85"/>
  </w:num>
  <w:num w:numId="62" w16cid:durableId="1271550852">
    <w:abstractNumId w:val="28"/>
  </w:num>
  <w:num w:numId="63" w16cid:durableId="2056000232">
    <w:abstractNumId w:val="34"/>
  </w:num>
  <w:num w:numId="64" w16cid:durableId="18605027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45895171">
    <w:abstractNumId w:val="3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2023325">
    <w:abstractNumId w:val="7"/>
  </w:num>
  <w:num w:numId="67" w16cid:durableId="2076120705">
    <w:abstractNumId w:val="3"/>
  </w:num>
  <w:num w:numId="68" w16cid:durableId="1340964311">
    <w:abstractNumId w:val="3"/>
  </w:num>
  <w:num w:numId="69" w16cid:durableId="470369835">
    <w:abstractNumId w:val="3"/>
  </w:num>
  <w:num w:numId="70" w16cid:durableId="1140224456">
    <w:abstractNumId w:val="59"/>
  </w:num>
  <w:num w:numId="71" w16cid:durableId="1472480531">
    <w:abstractNumId w:val="59"/>
  </w:num>
  <w:num w:numId="72" w16cid:durableId="1766732927">
    <w:abstractNumId w:val="59"/>
  </w:num>
  <w:num w:numId="73" w16cid:durableId="702480552">
    <w:abstractNumId w:val="59"/>
  </w:num>
  <w:num w:numId="74" w16cid:durableId="755980577">
    <w:abstractNumId w:val="59"/>
  </w:num>
  <w:num w:numId="75" w16cid:durableId="1413889068">
    <w:abstractNumId w:val="59"/>
  </w:num>
  <w:num w:numId="76" w16cid:durableId="362831215">
    <w:abstractNumId w:val="59"/>
  </w:num>
  <w:num w:numId="77" w16cid:durableId="1967396031">
    <w:abstractNumId w:val="59"/>
  </w:num>
  <w:num w:numId="78" w16cid:durableId="2124229923">
    <w:abstractNumId w:val="59"/>
  </w:num>
  <w:num w:numId="79" w16cid:durableId="54397992">
    <w:abstractNumId w:val="59"/>
  </w:num>
  <w:num w:numId="80" w16cid:durableId="529224515">
    <w:abstractNumId w:val="59"/>
  </w:num>
  <w:num w:numId="81" w16cid:durableId="270550603">
    <w:abstractNumId w:val="59"/>
  </w:num>
  <w:num w:numId="82" w16cid:durableId="830604893">
    <w:abstractNumId w:val="59"/>
  </w:num>
  <w:num w:numId="83" w16cid:durableId="1017997554">
    <w:abstractNumId w:val="59"/>
  </w:num>
  <w:num w:numId="84" w16cid:durableId="5624527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910326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31714814">
    <w:abstractNumId w:val="50"/>
  </w:num>
  <w:num w:numId="87" w16cid:durableId="952053702">
    <w:abstractNumId w:val="71"/>
  </w:num>
  <w:num w:numId="88" w16cid:durableId="728955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74941450">
    <w:abstractNumId w:val="71"/>
  </w:num>
  <w:num w:numId="90" w16cid:durableId="210072907">
    <w:abstractNumId w:val="5"/>
  </w:num>
  <w:num w:numId="91" w16cid:durableId="1290209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3257225">
    <w:abstractNumId w:val="62"/>
  </w:num>
  <w:num w:numId="93" w16cid:durableId="754424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11956950">
    <w:abstractNumId w:val="34"/>
  </w:num>
  <w:num w:numId="95" w16cid:durableId="2130473182">
    <w:abstractNumId w:val="34"/>
  </w:num>
  <w:num w:numId="96" w16cid:durableId="1798335414">
    <w:abstractNumId w:val="34"/>
  </w:num>
  <w:num w:numId="97" w16cid:durableId="269968117">
    <w:abstractNumId w:val="34"/>
  </w:num>
  <w:num w:numId="98" w16cid:durableId="689065031">
    <w:abstractNumId w:val="62"/>
  </w:num>
  <w:num w:numId="99" w16cid:durableId="1687199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217571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8371847">
    <w:abstractNumId w:val="62"/>
  </w:num>
  <w:num w:numId="102" w16cid:durableId="478351993">
    <w:abstractNumId w:val="62"/>
  </w:num>
  <w:num w:numId="103" w16cid:durableId="710231150">
    <w:abstractNumId w:val="62"/>
  </w:num>
  <w:num w:numId="104" w16cid:durableId="648171324">
    <w:abstractNumId w:val="62"/>
  </w:num>
  <w:num w:numId="105" w16cid:durableId="400522159">
    <w:abstractNumId w:val="62"/>
  </w:num>
  <w:num w:numId="106" w16cid:durableId="777917866">
    <w:abstractNumId w:val="34"/>
  </w:num>
  <w:num w:numId="107" w16cid:durableId="1120874711">
    <w:abstractNumId w:val="60"/>
  </w:num>
  <w:num w:numId="108" w16cid:durableId="3508848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19006675">
    <w:abstractNumId w:val="34"/>
  </w:num>
  <w:num w:numId="110" w16cid:durableId="507912444">
    <w:abstractNumId w:val="34"/>
  </w:num>
  <w:num w:numId="111" w16cid:durableId="848299612">
    <w:abstractNumId w:val="34"/>
  </w:num>
  <w:num w:numId="112" w16cid:durableId="264919625">
    <w:abstractNumId w:val="34"/>
  </w:num>
  <w:num w:numId="113" w16cid:durableId="940993029">
    <w:abstractNumId w:val="34"/>
  </w:num>
  <w:num w:numId="114" w16cid:durableId="1780030393">
    <w:abstractNumId w:val="34"/>
  </w:num>
  <w:num w:numId="115" w16cid:durableId="1903901719">
    <w:abstractNumId w:val="34"/>
  </w:num>
  <w:num w:numId="116" w16cid:durableId="1576819726">
    <w:abstractNumId w:val="34"/>
  </w:num>
  <w:num w:numId="117" w16cid:durableId="1265041462">
    <w:abstractNumId w:val="34"/>
  </w:num>
  <w:num w:numId="118" w16cid:durableId="2117827038">
    <w:abstractNumId w:val="34"/>
  </w:num>
  <w:num w:numId="119" w16cid:durableId="868374366">
    <w:abstractNumId w:val="34"/>
  </w:num>
  <w:num w:numId="120" w16cid:durableId="4973848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604701791">
    <w:abstractNumId w:val="34"/>
  </w:num>
  <w:num w:numId="122" w16cid:durableId="1718161840">
    <w:abstractNumId w:val="33"/>
  </w:num>
  <w:num w:numId="123" w16cid:durableId="52508126">
    <w:abstractNumId w:val="33"/>
  </w:num>
  <w:num w:numId="124" w16cid:durableId="465582686">
    <w:abstractNumId w:val="67"/>
  </w:num>
  <w:num w:numId="125" w16cid:durableId="655575203">
    <w:abstractNumId w:val="51"/>
  </w:num>
  <w:num w:numId="126" w16cid:durableId="1974141330">
    <w:abstractNumId w:val="81"/>
  </w:num>
  <w:num w:numId="127" w16cid:durableId="1564099186">
    <w:abstractNumId w:val="57"/>
  </w:num>
  <w:num w:numId="128" w16cid:durableId="504324976">
    <w:abstractNumId w:val="83"/>
  </w:num>
  <w:num w:numId="129" w16cid:durableId="129640001">
    <w:abstractNumId w:val="42"/>
  </w:num>
  <w:num w:numId="130" w16cid:durableId="110756673">
    <w:abstractNumId w:val="42"/>
  </w:num>
  <w:num w:numId="131" w16cid:durableId="1481578638">
    <w:abstractNumId w:val="44"/>
  </w:num>
  <w:num w:numId="132" w16cid:durableId="522285056">
    <w:abstractNumId w:val="42"/>
  </w:num>
  <w:num w:numId="133" w16cid:durableId="1647516873">
    <w:abstractNumId w:val="42"/>
  </w:num>
  <w:num w:numId="134" w16cid:durableId="928080023">
    <w:abstractNumId w:val="42"/>
  </w:num>
  <w:num w:numId="135" w16cid:durableId="1531144979">
    <w:abstractNumId w:val="42"/>
  </w:num>
  <w:num w:numId="136" w16cid:durableId="827861704">
    <w:abstractNumId w:val="71"/>
  </w:num>
  <w:num w:numId="137" w16cid:durableId="1823886563">
    <w:abstractNumId w:val="71"/>
  </w:num>
  <w:num w:numId="138" w16cid:durableId="1926760870">
    <w:abstractNumId w:val="71"/>
  </w:num>
  <w:num w:numId="139" w16cid:durableId="406810044">
    <w:abstractNumId w:val="71"/>
  </w:num>
  <w:num w:numId="140" w16cid:durableId="1328747047">
    <w:abstractNumId w:val="71"/>
  </w:num>
  <w:num w:numId="141" w16cid:durableId="200366651">
    <w:abstractNumId w:val="71"/>
  </w:num>
  <w:num w:numId="142" w16cid:durableId="1278294676">
    <w:abstractNumId w:val="71"/>
  </w:num>
  <w:num w:numId="143" w16cid:durableId="1837919221">
    <w:abstractNumId w:val="71"/>
  </w:num>
  <w:num w:numId="144" w16cid:durableId="2087335877">
    <w:abstractNumId w:val="71"/>
  </w:num>
  <w:num w:numId="145" w16cid:durableId="636376733">
    <w:abstractNumId w:val="71"/>
  </w:num>
  <w:num w:numId="146" w16cid:durableId="167596651">
    <w:abstractNumId w:val="71"/>
  </w:num>
  <w:num w:numId="147" w16cid:durableId="247464999">
    <w:abstractNumId w:val="7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249318611">
    <w:abstractNumId w:val="7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80220937">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1420419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462116761">
    <w:abstractNumId w:val="71"/>
  </w:num>
  <w:num w:numId="152" w16cid:durableId="1147815948">
    <w:abstractNumId w:val="71"/>
  </w:num>
  <w:num w:numId="153" w16cid:durableId="1161701264">
    <w:abstractNumId w:val="71"/>
  </w:num>
  <w:num w:numId="154" w16cid:durableId="239145077">
    <w:abstractNumId w:val="71"/>
  </w:num>
  <w:num w:numId="155" w16cid:durableId="1714845629">
    <w:abstractNumId w:val="71"/>
  </w:num>
  <w:num w:numId="156" w16cid:durableId="1096245289">
    <w:abstractNumId w:val="71"/>
  </w:num>
  <w:num w:numId="157" w16cid:durableId="1984962969">
    <w:abstractNumId w:val="83"/>
  </w:num>
  <w:num w:numId="158" w16cid:durableId="1623878397">
    <w:abstractNumId w:val="83"/>
  </w:num>
  <w:num w:numId="159" w16cid:durableId="1837525796">
    <w:abstractNumId w:val="83"/>
  </w:num>
  <w:num w:numId="160" w16cid:durableId="1317030869">
    <w:abstractNumId w:val="83"/>
  </w:num>
  <w:num w:numId="161" w16cid:durableId="64496246">
    <w:abstractNumId w:val="83"/>
  </w:num>
  <w:num w:numId="162" w16cid:durableId="949512262">
    <w:abstractNumId w:val="83"/>
  </w:num>
  <w:num w:numId="163" w16cid:durableId="417142799">
    <w:abstractNumId w:val="71"/>
  </w:num>
  <w:num w:numId="164" w16cid:durableId="152913907">
    <w:abstractNumId w:val="83"/>
  </w:num>
  <w:num w:numId="165" w16cid:durableId="1813718630">
    <w:abstractNumId w:val="83"/>
  </w:num>
  <w:num w:numId="166" w16cid:durableId="571047329">
    <w:abstractNumId w:val="83"/>
  </w:num>
  <w:num w:numId="167" w16cid:durableId="614753190">
    <w:abstractNumId w:val="83"/>
  </w:num>
  <w:num w:numId="168" w16cid:durableId="1422141817">
    <w:abstractNumId w:val="83"/>
  </w:num>
  <w:num w:numId="169" w16cid:durableId="1719862385">
    <w:abstractNumId w:val="83"/>
  </w:num>
  <w:num w:numId="170" w16cid:durableId="554245812">
    <w:abstractNumId w:val="83"/>
  </w:num>
  <w:num w:numId="171" w16cid:durableId="1776903532">
    <w:abstractNumId w:val="71"/>
  </w:num>
  <w:num w:numId="172" w16cid:durableId="1413970319">
    <w:abstractNumId w:val="71"/>
  </w:num>
  <w:num w:numId="173" w16cid:durableId="49696323">
    <w:abstractNumId w:val="71"/>
  </w:num>
  <w:num w:numId="174" w16cid:durableId="1175612105">
    <w:abstractNumId w:val="7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681980332">
    <w:abstractNumId w:val="71"/>
  </w:num>
  <w:num w:numId="176" w16cid:durableId="43144788">
    <w:abstractNumId w:val="71"/>
  </w:num>
  <w:num w:numId="177" w16cid:durableId="1940674919">
    <w:abstractNumId w:val="71"/>
  </w:num>
  <w:num w:numId="178" w16cid:durableId="666832901">
    <w:abstractNumId w:val="37"/>
  </w:num>
  <w:num w:numId="179" w16cid:durableId="1982885516">
    <w:abstractNumId w:val="55"/>
  </w:num>
  <w:num w:numId="180" w16cid:durableId="704208955">
    <w:abstractNumId w:val="6"/>
  </w:num>
  <w:num w:numId="181" w16cid:durableId="218590990">
    <w:abstractNumId w:val="80"/>
  </w:num>
  <w:num w:numId="182" w16cid:durableId="900017760">
    <w:abstractNumId w:val="1"/>
  </w:num>
  <w:num w:numId="183" w16cid:durableId="1637297776">
    <w:abstractNumId w:val="16"/>
  </w:num>
  <w:num w:numId="184" w16cid:durableId="660550234">
    <w:abstractNumId w:val="14"/>
  </w:num>
  <w:num w:numId="185" w16cid:durableId="595554195">
    <w:abstractNumId w:val="18"/>
  </w:num>
  <w:num w:numId="186" w16cid:durableId="1200239150">
    <w:abstractNumId w:val="6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Franklin Gothic Book&lt;/FontName&gt;&lt;FontSize&gt;11&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tdxf2002ma5txae92atp5z2wttp5rzxaweap&quot;&gt;MSAC1727&lt;record-ids&gt;&lt;item&gt;1&lt;/item&gt;&lt;item&gt;2&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9&lt;/item&gt;&lt;item&gt;50&lt;/item&gt;&lt;item&gt;51&lt;/item&gt;&lt;item&gt;53&lt;/item&gt;&lt;item&gt;54&lt;/item&gt;&lt;item&gt;55&lt;/item&gt;&lt;item&gt;56&lt;/item&gt;&lt;item&gt;59&lt;/item&gt;&lt;item&gt;60&lt;/item&gt;&lt;item&gt;61&lt;/item&gt;&lt;item&gt;62&lt;/item&gt;&lt;item&gt;65&lt;/item&gt;&lt;item&gt;66&lt;/item&gt;&lt;item&gt;68&lt;/item&gt;&lt;item&gt;69&lt;/item&gt;&lt;item&gt;70&lt;/item&gt;&lt;item&gt;72&lt;/item&gt;&lt;item&gt;73&lt;/item&gt;&lt;item&gt;74&lt;/item&gt;&lt;item&gt;76&lt;/item&gt;&lt;item&gt;77&lt;/item&gt;&lt;item&gt;80&lt;/item&gt;&lt;item&gt;81&lt;/item&gt;&lt;item&gt;83&lt;/item&gt;&lt;item&gt;85&lt;/item&gt;&lt;/record-ids&gt;&lt;/item&gt;&lt;/Libraries&gt;"/>
  </w:docVars>
  <w:rsids>
    <w:rsidRoot w:val="008157F1"/>
    <w:rsid w:val="000000EC"/>
    <w:rsid w:val="0000064A"/>
    <w:rsid w:val="00000851"/>
    <w:rsid w:val="000008E7"/>
    <w:rsid w:val="00000905"/>
    <w:rsid w:val="0000091D"/>
    <w:rsid w:val="00000B32"/>
    <w:rsid w:val="00000C23"/>
    <w:rsid w:val="00000C4C"/>
    <w:rsid w:val="00000D3D"/>
    <w:rsid w:val="00000FCE"/>
    <w:rsid w:val="0000109A"/>
    <w:rsid w:val="000010C6"/>
    <w:rsid w:val="0000131E"/>
    <w:rsid w:val="0000142F"/>
    <w:rsid w:val="000014FB"/>
    <w:rsid w:val="0000157F"/>
    <w:rsid w:val="00001733"/>
    <w:rsid w:val="0000188F"/>
    <w:rsid w:val="00001940"/>
    <w:rsid w:val="0000195A"/>
    <w:rsid w:val="000019A9"/>
    <w:rsid w:val="00001A44"/>
    <w:rsid w:val="00001AE6"/>
    <w:rsid w:val="00001B78"/>
    <w:rsid w:val="00001C55"/>
    <w:rsid w:val="00001CDC"/>
    <w:rsid w:val="00001D42"/>
    <w:rsid w:val="00001EE9"/>
    <w:rsid w:val="0000220B"/>
    <w:rsid w:val="00002419"/>
    <w:rsid w:val="0000256E"/>
    <w:rsid w:val="000025E5"/>
    <w:rsid w:val="00002656"/>
    <w:rsid w:val="0000269F"/>
    <w:rsid w:val="00002808"/>
    <w:rsid w:val="00002984"/>
    <w:rsid w:val="00002DD0"/>
    <w:rsid w:val="00002E07"/>
    <w:rsid w:val="00002F14"/>
    <w:rsid w:val="000030A3"/>
    <w:rsid w:val="000031EC"/>
    <w:rsid w:val="00003864"/>
    <w:rsid w:val="00003935"/>
    <w:rsid w:val="00003AA5"/>
    <w:rsid w:val="00003B84"/>
    <w:rsid w:val="00003BD6"/>
    <w:rsid w:val="00003F64"/>
    <w:rsid w:val="000040AE"/>
    <w:rsid w:val="00004336"/>
    <w:rsid w:val="000043B7"/>
    <w:rsid w:val="00004637"/>
    <w:rsid w:val="000046DE"/>
    <w:rsid w:val="00004870"/>
    <w:rsid w:val="0000497A"/>
    <w:rsid w:val="00004BC9"/>
    <w:rsid w:val="00004C14"/>
    <w:rsid w:val="00004CBB"/>
    <w:rsid w:val="00004D69"/>
    <w:rsid w:val="00004F7F"/>
    <w:rsid w:val="0000510D"/>
    <w:rsid w:val="000052B5"/>
    <w:rsid w:val="0000540C"/>
    <w:rsid w:val="0000545A"/>
    <w:rsid w:val="000054C9"/>
    <w:rsid w:val="0000554B"/>
    <w:rsid w:val="000059B0"/>
    <w:rsid w:val="00005AC5"/>
    <w:rsid w:val="00005CB9"/>
    <w:rsid w:val="00005CDB"/>
    <w:rsid w:val="00005D0F"/>
    <w:rsid w:val="00005D87"/>
    <w:rsid w:val="00005EE2"/>
    <w:rsid w:val="00006192"/>
    <w:rsid w:val="00006280"/>
    <w:rsid w:val="0000639A"/>
    <w:rsid w:val="00006566"/>
    <w:rsid w:val="000066A7"/>
    <w:rsid w:val="000069B0"/>
    <w:rsid w:val="000069DC"/>
    <w:rsid w:val="00006A57"/>
    <w:rsid w:val="00006BD4"/>
    <w:rsid w:val="00006C2D"/>
    <w:rsid w:val="00006F3F"/>
    <w:rsid w:val="000070A6"/>
    <w:rsid w:val="000070BB"/>
    <w:rsid w:val="000070D8"/>
    <w:rsid w:val="000073D1"/>
    <w:rsid w:val="000074AA"/>
    <w:rsid w:val="00007506"/>
    <w:rsid w:val="00007530"/>
    <w:rsid w:val="000078CA"/>
    <w:rsid w:val="00007956"/>
    <w:rsid w:val="00007E5C"/>
    <w:rsid w:val="00010039"/>
    <w:rsid w:val="000103F6"/>
    <w:rsid w:val="0001041F"/>
    <w:rsid w:val="00010492"/>
    <w:rsid w:val="0001055B"/>
    <w:rsid w:val="000105E6"/>
    <w:rsid w:val="00010656"/>
    <w:rsid w:val="0001079E"/>
    <w:rsid w:val="000108BD"/>
    <w:rsid w:val="0001094B"/>
    <w:rsid w:val="00010B89"/>
    <w:rsid w:val="00010C87"/>
    <w:rsid w:val="000110E7"/>
    <w:rsid w:val="00011329"/>
    <w:rsid w:val="0001138A"/>
    <w:rsid w:val="00011474"/>
    <w:rsid w:val="00011568"/>
    <w:rsid w:val="00011587"/>
    <w:rsid w:val="00011623"/>
    <w:rsid w:val="0001165C"/>
    <w:rsid w:val="00011741"/>
    <w:rsid w:val="00011914"/>
    <w:rsid w:val="000119E4"/>
    <w:rsid w:val="00011D11"/>
    <w:rsid w:val="000120B4"/>
    <w:rsid w:val="0001219D"/>
    <w:rsid w:val="00012477"/>
    <w:rsid w:val="00012521"/>
    <w:rsid w:val="000125BF"/>
    <w:rsid w:val="000128B3"/>
    <w:rsid w:val="000128CA"/>
    <w:rsid w:val="00012BF8"/>
    <w:rsid w:val="00012D75"/>
    <w:rsid w:val="00012EF0"/>
    <w:rsid w:val="00012EF6"/>
    <w:rsid w:val="00012F12"/>
    <w:rsid w:val="00012FAF"/>
    <w:rsid w:val="00013013"/>
    <w:rsid w:val="00013266"/>
    <w:rsid w:val="000132DF"/>
    <w:rsid w:val="00013322"/>
    <w:rsid w:val="000137B6"/>
    <w:rsid w:val="00013990"/>
    <w:rsid w:val="00013AEF"/>
    <w:rsid w:val="00013B67"/>
    <w:rsid w:val="00013BC0"/>
    <w:rsid w:val="00013FF0"/>
    <w:rsid w:val="00013FF6"/>
    <w:rsid w:val="0001413F"/>
    <w:rsid w:val="00014195"/>
    <w:rsid w:val="000141C5"/>
    <w:rsid w:val="0001428E"/>
    <w:rsid w:val="00014487"/>
    <w:rsid w:val="0001453E"/>
    <w:rsid w:val="00014974"/>
    <w:rsid w:val="00014996"/>
    <w:rsid w:val="00014A9A"/>
    <w:rsid w:val="00014DC0"/>
    <w:rsid w:val="00014F7A"/>
    <w:rsid w:val="00015046"/>
    <w:rsid w:val="00015091"/>
    <w:rsid w:val="00015118"/>
    <w:rsid w:val="0001523A"/>
    <w:rsid w:val="0001559D"/>
    <w:rsid w:val="00015893"/>
    <w:rsid w:val="00015AB1"/>
    <w:rsid w:val="00015D94"/>
    <w:rsid w:val="00015F97"/>
    <w:rsid w:val="00016039"/>
    <w:rsid w:val="000160ED"/>
    <w:rsid w:val="000162FE"/>
    <w:rsid w:val="00016426"/>
    <w:rsid w:val="00016479"/>
    <w:rsid w:val="000164E5"/>
    <w:rsid w:val="00016548"/>
    <w:rsid w:val="00016604"/>
    <w:rsid w:val="00016719"/>
    <w:rsid w:val="000167D7"/>
    <w:rsid w:val="000168D9"/>
    <w:rsid w:val="000169D7"/>
    <w:rsid w:val="00016ADA"/>
    <w:rsid w:val="00016B5F"/>
    <w:rsid w:val="00016C8A"/>
    <w:rsid w:val="00016D90"/>
    <w:rsid w:val="00016F73"/>
    <w:rsid w:val="00017178"/>
    <w:rsid w:val="00017546"/>
    <w:rsid w:val="0001756F"/>
    <w:rsid w:val="00017716"/>
    <w:rsid w:val="000178EC"/>
    <w:rsid w:val="00017A39"/>
    <w:rsid w:val="00017BF8"/>
    <w:rsid w:val="00017EE4"/>
    <w:rsid w:val="00017F27"/>
    <w:rsid w:val="00020010"/>
    <w:rsid w:val="00020013"/>
    <w:rsid w:val="00020099"/>
    <w:rsid w:val="00020108"/>
    <w:rsid w:val="00020126"/>
    <w:rsid w:val="00020156"/>
    <w:rsid w:val="0002025D"/>
    <w:rsid w:val="00020410"/>
    <w:rsid w:val="00020425"/>
    <w:rsid w:val="00020524"/>
    <w:rsid w:val="00020A6B"/>
    <w:rsid w:val="00020BA2"/>
    <w:rsid w:val="00020BF6"/>
    <w:rsid w:val="0002104D"/>
    <w:rsid w:val="0002109E"/>
    <w:rsid w:val="0002125A"/>
    <w:rsid w:val="00021265"/>
    <w:rsid w:val="000213FC"/>
    <w:rsid w:val="0002146F"/>
    <w:rsid w:val="000216F6"/>
    <w:rsid w:val="0002177E"/>
    <w:rsid w:val="0002180D"/>
    <w:rsid w:val="00021926"/>
    <w:rsid w:val="000219D5"/>
    <w:rsid w:val="00021B23"/>
    <w:rsid w:val="00021E08"/>
    <w:rsid w:val="00021E5C"/>
    <w:rsid w:val="00022080"/>
    <w:rsid w:val="00022126"/>
    <w:rsid w:val="000226EE"/>
    <w:rsid w:val="0002271F"/>
    <w:rsid w:val="00022726"/>
    <w:rsid w:val="00022838"/>
    <w:rsid w:val="000228B8"/>
    <w:rsid w:val="000228D0"/>
    <w:rsid w:val="00022A53"/>
    <w:rsid w:val="00022BF2"/>
    <w:rsid w:val="00022E0A"/>
    <w:rsid w:val="00022E25"/>
    <w:rsid w:val="00022FD8"/>
    <w:rsid w:val="00023157"/>
    <w:rsid w:val="00023287"/>
    <w:rsid w:val="000232FC"/>
    <w:rsid w:val="0002336E"/>
    <w:rsid w:val="0002381B"/>
    <w:rsid w:val="00023C58"/>
    <w:rsid w:val="00023F96"/>
    <w:rsid w:val="000240E5"/>
    <w:rsid w:val="0002442E"/>
    <w:rsid w:val="00024537"/>
    <w:rsid w:val="00024556"/>
    <w:rsid w:val="00024582"/>
    <w:rsid w:val="0002480F"/>
    <w:rsid w:val="00024995"/>
    <w:rsid w:val="00024A8C"/>
    <w:rsid w:val="00024AA9"/>
    <w:rsid w:val="00024BE3"/>
    <w:rsid w:val="00024EA5"/>
    <w:rsid w:val="00025261"/>
    <w:rsid w:val="00025358"/>
    <w:rsid w:val="0002542E"/>
    <w:rsid w:val="000255FF"/>
    <w:rsid w:val="0002567D"/>
    <w:rsid w:val="000258C7"/>
    <w:rsid w:val="00025B81"/>
    <w:rsid w:val="00025CB3"/>
    <w:rsid w:val="00025F70"/>
    <w:rsid w:val="0002606D"/>
    <w:rsid w:val="000260B5"/>
    <w:rsid w:val="00026265"/>
    <w:rsid w:val="00026288"/>
    <w:rsid w:val="000262E3"/>
    <w:rsid w:val="00026505"/>
    <w:rsid w:val="0002666A"/>
    <w:rsid w:val="0002681D"/>
    <w:rsid w:val="000268D2"/>
    <w:rsid w:val="00026A53"/>
    <w:rsid w:val="00026B36"/>
    <w:rsid w:val="00026BD0"/>
    <w:rsid w:val="00026CA6"/>
    <w:rsid w:val="00026EDD"/>
    <w:rsid w:val="00026F86"/>
    <w:rsid w:val="00026FC1"/>
    <w:rsid w:val="00026FE4"/>
    <w:rsid w:val="00027308"/>
    <w:rsid w:val="000274C6"/>
    <w:rsid w:val="0002755F"/>
    <w:rsid w:val="0002757F"/>
    <w:rsid w:val="000276FD"/>
    <w:rsid w:val="00027818"/>
    <w:rsid w:val="00027890"/>
    <w:rsid w:val="000278F1"/>
    <w:rsid w:val="00027B1E"/>
    <w:rsid w:val="00027C26"/>
    <w:rsid w:val="00027C63"/>
    <w:rsid w:val="00027D30"/>
    <w:rsid w:val="00027DEE"/>
    <w:rsid w:val="00027E95"/>
    <w:rsid w:val="00027F51"/>
    <w:rsid w:val="00027FC0"/>
    <w:rsid w:val="00030106"/>
    <w:rsid w:val="000301D7"/>
    <w:rsid w:val="0003031B"/>
    <w:rsid w:val="00030394"/>
    <w:rsid w:val="000304E4"/>
    <w:rsid w:val="0003050B"/>
    <w:rsid w:val="000305D4"/>
    <w:rsid w:val="00030731"/>
    <w:rsid w:val="000308A3"/>
    <w:rsid w:val="000308C8"/>
    <w:rsid w:val="00030A7A"/>
    <w:rsid w:val="00030F7F"/>
    <w:rsid w:val="00031016"/>
    <w:rsid w:val="0003109F"/>
    <w:rsid w:val="000311A8"/>
    <w:rsid w:val="0003135B"/>
    <w:rsid w:val="0003141C"/>
    <w:rsid w:val="00031685"/>
    <w:rsid w:val="0003189E"/>
    <w:rsid w:val="00031B90"/>
    <w:rsid w:val="00031D6B"/>
    <w:rsid w:val="00031E5E"/>
    <w:rsid w:val="00031FFD"/>
    <w:rsid w:val="000322DA"/>
    <w:rsid w:val="0003238F"/>
    <w:rsid w:val="00032426"/>
    <w:rsid w:val="00032619"/>
    <w:rsid w:val="000326B4"/>
    <w:rsid w:val="000326DF"/>
    <w:rsid w:val="00032738"/>
    <w:rsid w:val="00032C18"/>
    <w:rsid w:val="00032C36"/>
    <w:rsid w:val="00032C4A"/>
    <w:rsid w:val="00032C6A"/>
    <w:rsid w:val="00032D34"/>
    <w:rsid w:val="00033135"/>
    <w:rsid w:val="000339D3"/>
    <w:rsid w:val="00033A97"/>
    <w:rsid w:val="00033CF3"/>
    <w:rsid w:val="00033CF6"/>
    <w:rsid w:val="00033E19"/>
    <w:rsid w:val="00033F20"/>
    <w:rsid w:val="00033FB5"/>
    <w:rsid w:val="00033FF2"/>
    <w:rsid w:val="0003408B"/>
    <w:rsid w:val="0003423A"/>
    <w:rsid w:val="00034292"/>
    <w:rsid w:val="00034412"/>
    <w:rsid w:val="000344DD"/>
    <w:rsid w:val="00034531"/>
    <w:rsid w:val="00034551"/>
    <w:rsid w:val="0003464A"/>
    <w:rsid w:val="0003474D"/>
    <w:rsid w:val="0003477F"/>
    <w:rsid w:val="00034808"/>
    <w:rsid w:val="0003480D"/>
    <w:rsid w:val="00034877"/>
    <w:rsid w:val="00034B2A"/>
    <w:rsid w:val="00034B42"/>
    <w:rsid w:val="00034CEE"/>
    <w:rsid w:val="00034E24"/>
    <w:rsid w:val="000350B8"/>
    <w:rsid w:val="0003539A"/>
    <w:rsid w:val="00035557"/>
    <w:rsid w:val="0003561C"/>
    <w:rsid w:val="0003567F"/>
    <w:rsid w:val="000356D2"/>
    <w:rsid w:val="000357E4"/>
    <w:rsid w:val="000358CA"/>
    <w:rsid w:val="00035967"/>
    <w:rsid w:val="00035AD1"/>
    <w:rsid w:val="00035AE6"/>
    <w:rsid w:val="00035B71"/>
    <w:rsid w:val="00035D6F"/>
    <w:rsid w:val="00035F76"/>
    <w:rsid w:val="00035FF7"/>
    <w:rsid w:val="00036160"/>
    <w:rsid w:val="0003618B"/>
    <w:rsid w:val="00036324"/>
    <w:rsid w:val="0003694A"/>
    <w:rsid w:val="00036AD8"/>
    <w:rsid w:val="00036B8E"/>
    <w:rsid w:val="00036D38"/>
    <w:rsid w:val="00036D7A"/>
    <w:rsid w:val="00036DEF"/>
    <w:rsid w:val="00036ECE"/>
    <w:rsid w:val="00036FC5"/>
    <w:rsid w:val="00037037"/>
    <w:rsid w:val="00037050"/>
    <w:rsid w:val="00037065"/>
    <w:rsid w:val="000372C9"/>
    <w:rsid w:val="00037302"/>
    <w:rsid w:val="0003739D"/>
    <w:rsid w:val="000373BA"/>
    <w:rsid w:val="0003742F"/>
    <w:rsid w:val="00037447"/>
    <w:rsid w:val="00037554"/>
    <w:rsid w:val="0003781E"/>
    <w:rsid w:val="00037A6D"/>
    <w:rsid w:val="00037AB3"/>
    <w:rsid w:val="00037B0E"/>
    <w:rsid w:val="00037B1F"/>
    <w:rsid w:val="00037B3C"/>
    <w:rsid w:val="00037CFC"/>
    <w:rsid w:val="00037D1D"/>
    <w:rsid w:val="00037D2F"/>
    <w:rsid w:val="0004003D"/>
    <w:rsid w:val="0004005D"/>
    <w:rsid w:val="000403B4"/>
    <w:rsid w:val="00040470"/>
    <w:rsid w:val="00040636"/>
    <w:rsid w:val="0004065D"/>
    <w:rsid w:val="000407E5"/>
    <w:rsid w:val="00040A92"/>
    <w:rsid w:val="00040ADF"/>
    <w:rsid w:val="00040C81"/>
    <w:rsid w:val="00040D7C"/>
    <w:rsid w:val="00040E4E"/>
    <w:rsid w:val="00040EBB"/>
    <w:rsid w:val="00040F11"/>
    <w:rsid w:val="00040FB4"/>
    <w:rsid w:val="00041225"/>
    <w:rsid w:val="00041227"/>
    <w:rsid w:val="000412DF"/>
    <w:rsid w:val="000413C8"/>
    <w:rsid w:val="000414E8"/>
    <w:rsid w:val="0004178C"/>
    <w:rsid w:val="00041807"/>
    <w:rsid w:val="00041979"/>
    <w:rsid w:val="000419F8"/>
    <w:rsid w:val="00041C28"/>
    <w:rsid w:val="00041CEB"/>
    <w:rsid w:val="00041D8E"/>
    <w:rsid w:val="00041F5D"/>
    <w:rsid w:val="0004200E"/>
    <w:rsid w:val="00042465"/>
    <w:rsid w:val="00042656"/>
    <w:rsid w:val="0004271B"/>
    <w:rsid w:val="0004276A"/>
    <w:rsid w:val="000427FA"/>
    <w:rsid w:val="0004282D"/>
    <w:rsid w:val="0004285D"/>
    <w:rsid w:val="00042B3E"/>
    <w:rsid w:val="00042E71"/>
    <w:rsid w:val="000432A1"/>
    <w:rsid w:val="000432FB"/>
    <w:rsid w:val="00043413"/>
    <w:rsid w:val="00043482"/>
    <w:rsid w:val="00043508"/>
    <w:rsid w:val="00043532"/>
    <w:rsid w:val="000435C4"/>
    <w:rsid w:val="0004360A"/>
    <w:rsid w:val="000438D4"/>
    <w:rsid w:val="00043A29"/>
    <w:rsid w:val="00043CAE"/>
    <w:rsid w:val="00043CB9"/>
    <w:rsid w:val="00043DA4"/>
    <w:rsid w:val="00044191"/>
    <w:rsid w:val="000441E9"/>
    <w:rsid w:val="000443A6"/>
    <w:rsid w:val="0004444B"/>
    <w:rsid w:val="000444C9"/>
    <w:rsid w:val="00044539"/>
    <w:rsid w:val="00044781"/>
    <w:rsid w:val="00044868"/>
    <w:rsid w:val="000449D1"/>
    <w:rsid w:val="00044DCE"/>
    <w:rsid w:val="000451C2"/>
    <w:rsid w:val="000454BB"/>
    <w:rsid w:val="00045532"/>
    <w:rsid w:val="00045A18"/>
    <w:rsid w:val="00045A1C"/>
    <w:rsid w:val="00045A84"/>
    <w:rsid w:val="00045B8D"/>
    <w:rsid w:val="00045C50"/>
    <w:rsid w:val="00045C55"/>
    <w:rsid w:val="00045CC5"/>
    <w:rsid w:val="00045D37"/>
    <w:rsid w:val="00045D9F"/>
    <w:rsid w:val="0004615D"/>
    <w:rsid w:val="0004620F"/>
    <w:rsid w:val="0004645C"/>
    <w:rsid w:val="000464AC"/>
    <w:rsid w:val="000464E5"/>
    <w:rsid w:val="0004658D"/>
    <w:rsid w:val="000466D2"/>
    <w:rsid w:val="000468B7"/>
    <w:rsid w:val="00046945"/>
    <w:rsid w:val="00046974"/>
    <w:rsid w:val="000469B9"/>
    <w:rsid w:val="00046A2B"/>
    <w:rsid w:val="00046B6A"/>
    <w:rsid w:val="00046BFC"/>
    <w:rsid w:val="00046DAF"/>
    <w:rsid w:val="00046F77"/>
    <w:rsid w:val="00046FD1"/>
    <w:rsid w:val="00047002"/>
    <w:rsid w:val="0004712B"/>
    <w:rsid w:val="000472D4"/>
    <w:rsid w:val="0004730D"/>
    <w:rsid w:val="00047575"/>
    <w:rsid w:val="000476FC"/>
    <w:rsid w:val="00047B9B"/>
    <w:rsid w:val="00047D3F"/>
    <w:rsid w:val="00047E54"/>
    <w:rsid w:val="00047E9E"/>
    <w:rsid w:val="00047F32"/>
    <w:rsid w:val="00047F96"/>
    <w:rsid w:val="00050024"/>
    <w:rsid w:val="000500AB"/>
    <w:rsid w:val="000500C0"/>
    <w:rsid w:val="000500EA"/>
    <w:rsid w:val="000500FE"/>
    <w:rsid w:val="00050159"/>
    <w:rsid w:val="0005017A"/>
    <w:rsid w:val="00050445"/>
    <w:rsid w:val="000504BE"/>
    <w:rsid w:val="000504DD"/>
    <w:rsid w:val="00050603"/>
    <w:rsid w:val="0005070D"/>
    <w:rsid w:val="00050A83"/>
    <w:rsid w:val="00050B06"/>
    <w:rsid w:val="00050B11"/>
    <w:rsid w:val="00050CD8"/>
    <w:rsid w:val="00050CE3"/>
    <w:rsid w:val="00050E85"/>
    <w:rsid w:val="00050F2E"/>
    <w:rsid w:val="00050F9F"/>
    <w:rsid w:val="000513D7"/>
    <w:rsid w:val="000515B4"/>
    <w:rsid w:val="000515F3"/>
    <w:rsid w:val="000516F4"/>
    <w:rsid w:val="00051708"/>
    <w:rsid w:val="000517AC"/>
    <w:rsid w:val="000517F0"/>
    <w:rsid w:val="000518D6"/>
    <w:rsid w:val="00051F8A"/>
    <w:rsid w:val="0005204A"/>
    <w:rsid w:val="00052412"/>
    <w:rsid w:val="000528E0"/>
    <w:rsid w:val="00052936"/>
    <w:rsid w:val="0005296A"/>
    <w:rsid w:val="00052970"/>
    <w:rsid w:val="00052B3F"/>
    <w:rsid w:val="00052C03"/>
    <w:rsid w:val="00052C62"/>
    <w:rsid w:val="00052DD3"/>
    <w:rsid w:val="00052F63"/>
    <w:rsid w:val="00052F96"/>
    <w:rsid w:val="00052FC4"/>
    <w:rsid w:val="0005316E"/>
    <w:rsid w:val="000531F1"/>
    <w:rsid w:val="0005326D"/>
    <w:rsid w:val="000533BD"/>
    <w:rsid w:val="0005353D"/>
    <w:rsid w:val="00053570"/>
    <w:rsid w:val="000536C7"/>
    <w:rsid w:val="0005389A"/>
    <w:rsid w:val="00053B13"/>
    <w:rsid w:val="00053BE6"/>
    <w:rsid w:val="00053D17"/>
    <w:rsid w:val="00053F24"/>
    <w:rsid w:val="00053F6C"/>
    <w:rsid w:val="00054352"/>
    <w:rsid w:val="00054450"/>
    <w:rsid w:val="00054841"/>
    <w:rsid w:val="000548D5"/>
    <w:rsid w:val="000548ED"/>
    <w:rsid w:val="00055061"/>
    <w:rsid w:val="000550DB"/>
    <w:rsid w:val="00055111"/>
    <w:rsid w:val="00055189"/>
    <w:rsid w:val="000553EF"/>
    <w:rsid w:val="0005544E"/>
    <w:rsid w:val="00055473"/>
    <w:rsid w:val="000556FA"/>
    <w:rsid w:val="00055713"/>
    <w:rsid w:val="0005574C"/>
    <w:rsid w:val="00055BCB"/>
    <w:rsid w:val="00055C6B"/>
    <w:rsid w:val="00055C81"/>
    <w:rsid w:val="00056061"/>
    <w:rsid w:val="000560DB"/>
    <w:rsid w:val="000561EA"/>
    <w:rsid w:val="0005653B"/>
    <w:rsid w:val="0005658D"/>
    <w:rsid w:val="00056693"/>
    <w:rsid w:val="000568FE"/>
    <w:rsid w:val="000569F0"/>
    <w:rsid w:val="00056F35"/>
    <w:rsid w:val="00057088"/>
    <w:rsid w:val="000570D1"/>
    <w:rsid w:val="000570E3"/>
    <w:rsid w:val="000570E9"/>
    <w:rsid w:val="00057271"/>
    <w:rsid w:val="00057334"/>
    <w:rsid w:val="0005741A"/>
    <w:rsid w:val="0005745E"/>
    <w:rsid w:val="000576AF"/>
    <w:rsid w:val="000577FB"/>
    <w:rsid w:val="00057B64"/>
    <w:rsid w:val="00057CB3"/>
    <w:rsid w:val="00057D03"/>
    <w:rsid w:val="00057E46"/>
    <w:rsid w:val="000600E7"/>
    <w:rsid w:val="000602D9"/>
    <w:rsid w:val="0006032D"/>
    <w:rsid w:val="00060580"/>
    <w:rsid w:val="00060615"/>
    <w:rsid w:val="000606AB"/>
    <w:rsid w:val="0006071D"/>
    <w:rsid w:val="00060755"/>
    <w:rsid w:val="0006079D"/>
    <w:rsid w:val="0006082C"/>
    <w:rsid w:val="00060944"/>
    <w:rsid w:val="00060D22"/>
    <w:rsid w:val="00060E9F"/>
    <w:rsid w:val="00060EA6"/>
    <w:rsid w:val="00060F0D"/>
    <w:rsid w:val="00060FA1"/>
    <w:rsid w:val="00060FD9"/>
    <w:rsid w:val="00061022"/>
    <w:rsid w:val="0006109D"/>
    <w:rsid w:val="000612CA"/>
    <w:rsid w:val="000613A9"/>
    <w:rsid w:val="000613EA"/>
    <w:rsid w:val="00061788"/>
    <w:rsid w:val="000617FF"/>
    <w:rsid w:val="0006196E"/>
    <w:rsid w:val="000619AB"/>
    <w:rsid w:val="00061C29"/>
    <w:rsid w:val="00061DDF"/>
    <w:rsid w:val="00061F45"/>
    <w:rsid w:val="000620C9"/>
    <w:rsid w:val="0006216A"/>
    <w:rsid w:val="000622EA"/>
    <w:rsid w:val="00062317"/>
    <w:rsid w:val="0006231F"/>
    <w:rsid w:val="0006234D"/>
    <w:rsid w:val="000624AC"/>
    <w:rsid w:val="000626CE"/>
    <w:rsid w:val="00062794"/>
    <w:rsid w:val="000627B1"/>
    <w:rsid w:val="000629A0"/>
    <w:rsid w:val="000629F0"/>
    <w:rsid w:val="000629F2"/>
    <w:rsid w:val="00062AC2"/>
    <w:rsid w:val="00062AF5"/>
    <w:rsid w:val="00062D40"/>
    <w:rsid w:val="00062D52"/>
    <w:rsid w:val="00062E77"/>
    <w:rsid w:val="00062F2C"/>
    <w:rsid w:val="00062F72"/>
    <w:rsid w:val="0006339C"/>
    <w:rsid w:val="00063462"/>
    <w:rsid w:val="000637B3"/>
    <w:rsid w:val="00063963"/>
    <w:rsid w:val="00063BF5"/>
    <w:rsid w:val="00063CDE"/>
    <w:rsid w:val="00063D51"/>
    <w:rsid w:val="00063EAA"/>
    <w:rsid w:val="00063F2B"/>
    <w:rsid w:val="00064032"/>
    <w:rsid w:val="00064221"/>
    <w:rsid w:val="000642B6"/>
    <w:rsid w:val="00064481"/>
    <w:rsid w:val="00064590"/>
    <w:rsid w:val="00064783"/>
    <w:rsid w:val="000647C2"/>
    <w:rsid w:val="0006488F"/>
    <w:rsid w:val="000648CE"/>
    <w:rsid w:val="00064984"/>
    <w:rsid w:val="00064A8F"/>
    <w:rsid w:val="00064CE2"/>
    <w:rsid w:val="00064EC1"/>
    <w:rsid w:val="00065003"/>
    <w:rsid w:val="0006507B"/>
    <w:rsid w:val="00065122"/>
    <w:rsid w:val="00065498"/>
    <w:rsid w:val="000655F2"/>
    <w:rsid w:val="0006574B"/>
    <w:rsid w:val="00065860"/>
    <w:rsid w:val="00065F66"/>
    <w:rsid w:val="00065FB5"/>
    <w:rsid w:val="0006607E"/>
    <w:rsid w:val="00066246"/>
    <w:rsid w:val="000662E8"/>
    <w:rsid w:val="00066332"/>
    <w:rsid w:val="0006651F"/>
    <w:rsid w:val="000669F1"/>
    <w:rsid w:val="00066A17"/>
    <w:rsid w:val="00066CA6"/>
    <w:rsid w:val="00067127"/>
    <w:rsid w:val="00067527"/>
    <w:rsid w:val="00067787"/>
    <w:rsid w:val="0006779B"/>
    <w:rsid w:val="00067973"/>
    <w:rsid w:val="00067997"/>
    <w:rsid w:val="000679D8"/>
    <w:rsid w:val="00067A4A"/>
    <w:rsid w:val="00067AAF"/>
    <w:rsid w:val="00067E99"/>
    <w:rsid w:val="00067F76"/>
    <w:rsid w:val="0007008D"/>
    <w:rsid w:val="00070211"/>
    <w:rsid w:val="0007021F"/>
    <w:rsid w:val="000702A8"/>
    <w:rsid w:val="000702BE"/>
    <w:rsid w:val="0007058B"/>
    <w:rsid w:val="0007066A"/>
    <w:rsid w:val="00070973"/>
    <w:rsid w:val="000709A0"/>
    <w:rsid w:val="00070AC8"/>
    <w:rsid w:val="00070E55"/>
    <w:rsid w:val="00071118"/>
    <w:rsid w:val="000711EB"/>
    <w:rsid w:val="00071216"/>
    <w:rsid w:val="000712C1"/>
    <w:rsid w:val="0007166F"/>
    <w:rsid w:val="0007193A"/>
    <w:rsid w:val="00071C58"/>
    <w:rsid w:val="00071CA9"/>
    <w:rsid w:val="00071EC0"/>
    <w:rsid w:val="00071F30"/>
    <w:rsid w:val="00071F37"/>
    <w:rsid w:val="00072188"/>
    <w:rsid w:val="000721B6"/>
    <w:rsid w:val="000722D7"/>
    <w:rsid w:val="000728D0"/>
    <w:rsid w:val="0007293E"/>
    <w:rsid w:val="000729C8"/>
    <w:rsid w:val="00072A25"/>
    <w:rsid w:val="00072AC0"/>
    <w:rsid w:val="00072AF4"/>
    <w:rsid w:val="00072BB6"/>
    <w:rsid w:val="00072C01"/>
    <w:rsid w:val="00072C5F"/>
    <w:rsid w:val="00072D4A"/>
    <w:rsid w:val="00072F4A"/>
    <w:rsid w:val="0007300B"/>
    <w:rsid w:val="00073042"/>
    <w:rsid w:val="00073051"/>
    <w:rsid w:val="00073315"/>
    <w:rsid w:val="000735C5"/>
    <w:rsid w:val="0007362D"/>
    <w:rsid w:val="0007364A"/>
    <w:rsid w:val="00073847"/>
    <w:rsid w:val="00073894"/>
    <w:rsid w:val="000738D7"/>
    <w:rsid w:val="00073A7A"/>
    <w:rsid w:val="00073B10"/>
    <w:rsid w:val="00073CAB"/>
    <w:rsid w:val="00073F00"/>
    <w:rsid w:val="0007403A"/>
    <w:rsid w:val="00074094"/>
    <w:rsid w:val="00074199"/>
    <w:rsid w:val="00074202"/>
    <w:rsid w:val="00074261"/>
    <w:rsid w:val="0007435B"/>
    <w:rsid w:val="00074389"/>
    <w:rsid w:val="00074546"/>
    <w:rsid w:val="000748E0"/>
    <w:rsid w:val="00074F62"/>
    <w:rsid w:val="000750A1"/>
    <w:rsid w:val="000750D8"/>
    <w:rsid w:val="000750F6"/>
    <w:rsid w:val="0007524B"/>
    <w:rsid w:val="0007533F"/>
    <w:rsid w:val="00075721"/>
    <w:rsid w:val="00075836"/>
    <w:rsid w:val="000759DD"/>
    <w:rsid w:val="00075A1D"/>
    <w:rsid w:val="00075A8B"/>
    <w:rsid w:val="00075AB7"/>
    <w:rsid w:val="00075C0E"/>
    <w:rsid w:val="00075C23"/>
    <w:rsid w:val="00075D45"/>
    <w:rsid w:val="00076187"/>
    <w:rsid w:val="00076234"/>
    <w:rsid w:val="000762B5"/>
    <w:rsid w:val="000762C5"/>
    <w:rsid w:val="000764C4"/>
    <w:rsid w:val="00076559"/>
    <w:rsid w:val="000768AF"/>
    <w:rsid w:val="0007698E"/>
    <w:rsid w:val="00076F33"/>
    <w:rsid w:val="00077071"/>
    <w:rsid w:val="00077121"/>
    <w:rsid w:val="00077229"/>
    <w:rsid w:val="000772E6"/>
    <w:rsid w:val="00077495"/>
    <w:rsid w:val="00077686"/>
    <w:rsid w:val="00077857"/>
    <w:rsid w:val="0007787D"/>
    <w:rsid w:val="00077A8C"/>
    <w:rsid w:val="00077AC8"/>
    <w:rsid w:val="00077C4B"/>
    <w:rsid w:val="00077D46"/>
    <w:rsid w:val="0008006D"/>
    <w:rsid w:val="00080216"/>
    <w:rsid w:val="00080241"/>
    <w:rsid w:val="000802CA"/>
    <w:rsid w:val="00080574"/>
    <w:rsid w:val="000805BE"/>
    <w:rsid w:val="000805F6"/>
    <w:rsid w:val="0008062D"/>
    <w:rsid w:val="000806BB"/>
    <w:rsid w:val="00080B14"/>
    <w:rsid w:val="00080BBE"/>
    <w:rsid w:val="00080C7D"/>
    <w:rsid w:val="00080CBF"/>
    <w:rsid w:val="00080CF0"/>
    <w:rsid w:val="00080DA3"/>
    <w:rsid w:val="00080F1D"/>
    <w:rsid w:val="0008110A"/>
    <w:rsid w:val="000813BB"/>
    <w:rsid w:val="000814FC"/>
    <w:rsid w:val="00081687"/>
    <w:rsid w:val="000816A4"/>
    <w:rsid w:val="00081756"/>
    <w:rsid w:val="00081778"/>
    <w:rsid w:val="000818A6"/>
    <w:rsid w:val="000818CA"/>
    <w:rsid w:val="000818DF"/>
    <w:rsid w:val="00081DB2"/>
    <w:rsid w:val="00081E87"/>
    <w:rsid w:val="00081F94"/>
    <w:rsid w:val="00081FB0"/>
    <w:rsid w:val="000826E1"/>
    <w:rsid w:val="00082844"/>
    <w:rsid w:val="000828F1"/>
    <w:rsid w:val="000829EB"/>
    <w:rsid w:val="00082C3C"/>
    <w:rsid w:val="00082D61"/>
    <w:rsid w:val="00082F18"/>
    <w:rsid w:val="00083001"/>
    <w:rsid w:val="000830A1"/>
    <w:rsid w:val="000831B5"/>
    <w:rsid w:val="000831D5"/>
    <w:rsid w:val="000837A9"/>
    <w:rsid w:val="000837FE"/>
    <w:rsid w:val="00083930"/>
    <w:rsid w:val="000839D1"/>
    <w:rsid w:val="00083D93"/>
    <w:rsid w:val="000841BE"/>
    <w:rsid w:val="000845E1"/>
    <w:rsid w:val="0008481D"/>
    <w:rsid w:val="00084839"/>
    <w:rsid w:val="0008494E"/>
    <w:rsid w:val="00084991"/>
    <w:rsid w:val="00085377"/>
    <w:rsid w:val="0008552F"/>
    <w:rsid w:val="00085676"/>
    <w:rsid w:val="00085C64"/>
    <w:rsid w:val="00085D6F"/>
    <w:rsid w:val="00085EA5"/>
    <w:rsid w:val="00085F7A"/>
    <w:rsid w:val="00085FE0"/>
    <w:rsid w:val="00086005"/>
    <w:rsid w:val="00086246"/>
    <w:rsid w:val="000862D8"/>
    <w:rsid w:val="000865BD"/>
    <w:rsid w:val="00086685"/>
    <w:rsid w:val="000866FF"/>
    <w:rsid w:val="00086A03"/>
    <w:rsid w:val="00086B32"/>
    <w:rsid w:val="00086D3F"/>
    <w:rsid w:val="00086EE7"/>
    <w:rsid w:val="000870B6"/>
    <w:rsid w:val="00087329"/>
    <w:rsid w:val="00087353"/>
    <w:rsid w:val="000874FC"/>
    <w:rsid w:val="00087567"/>
    <w:rsid w:val="0008783C"/>
    <w:rsid w:val="0008793A"/>
    <w:rsid w:val="00087AC5"/>
    <w:rsid w:val="00087AEE"/>
    <w:rsid w:val="00087F52"/>
    <w:rsid w:val="00087F6E"/>
    <w:rsid w:val="00087FA9"/>
    <w:rsid w:val="0009012F"/>
    <w:rsid w:val="00090131"/>
    <w:rsid w:val="0009016B"/>
    <w:rsid w:val="000902FB"/>
    <w:rsid w:val="00090393"/>
    <w:rsid w:val="000904B0"/>
    <w:rsid w:val="00090613"/>
    <w:rsid w:val="00090A07"/>
    <w:rsid w:val="00090BD1"/>
    <w:rsid w:val="0009121C"/>
    <w:rsid w:val="00091222"/>
    <w:rsid w:val="000913B5"/>
    <w:rsid w:val="00091529"/>
    <w:rsid w:val="000915B4"/>
    <w:rsid w:val="00091697"/>
    <w:rsid w:val="00091857"/>
    <w:rsid w:val="00091AD8"/>
    <w:rsid w:val="00091B54"/>
    <w:rsid w:val="00091C59"/>
    <w:rsid w:val="00091F55"/>
    <w:rsid w:val="00092035"/>
    <w:rsid w:val="00092370"/>
    <w:rsid w:val="00092934"/>
    <w:rsid w:val="00092A21"/>
    <w:rsid w:val="00092B4D"/>
    <w:rsid w:val="00092B86"/>
    <w:rsid w:val="00092BEC"/>
    <w:rsid w:val="00092C4F"/>
    <w:rsid w:val="00092D1E"/>
    <w:rsid w:val="00092D37"/>
    <w:rsid w:val="00092D6F"/>
    <w:rsid w:val="00092F52"/>
    <w:rsid w:val="00093306"/>
    <w:rsid w:val="000935F2"/>
    <w:rsid w:val="0009360A"/>
    <w:rsid w:val="0009367D"/>
    <w:rsid w:val="0009378C"/>
    <w:rsid w:val="000937AE"/>
    <w:rsid w:val="0009380A"/>
    <w:rsid w:val="0009395C"/>
    <w:rsid w:val="00093B82"/>
    <w:rsid w:val="00093B88"/>
    <w:rsid w:val="00093BF0"/>
    <w:rsid w:val="00093D9A"/>
    <w:rsid w:val="00093DB9"/>
    <w:rsid w:val="00093E65"/>
    <w:rsid w:val="00093EE1"/>
    <w:rsid w:val="00093FA2"/>
    <w:rsid w:val="000940D8"/>
    <w:rsid w:val="00094512"/>
    <w:rsid w:val="00094656"/>
    <w:rsid w:val="00094788"/>
    <w:rsid w:val="000948EA"/>
    <w:rsid w:val="000949F4"/>
    <w:rsid w:val="00094A4F"/>
    <w:rsid w:val="00094A74"/>
    <w:rsid w:val="00094AEB"/>
    <w:rsid w:val="00094CD2"/>
    <w:rsid w:val="00095052"/>
    <w:rsid w:val="0009510D"/>
    <w:rsid w:val="000953BD"/>
    <w:rsid w:val="000956B8"/>
    <w:rsid w:val="00095809"/>
    <w:rsid w:val="00095907"/>
    <w:rsid w:val="0009599F"/>
    <w:rsid w:val="00095D21"/>
    <w:rsid w:val="00095DF8"/>
    <w:rsid w:val="00095EE8"/>
    <w:rsid w:val="00095EEE"/>
    <w:rsid w:val="0009613C"/>
    <w:rsid w:val="0009616A"/>
    <w:rsid w:val="00096207"/>
    <w:rsid w:val="000963B7"/>
    <w:rsid w:val="00096577"/>
    <w:rsid w:val="0009664A"/>
    <w:rsid w:val="0009667A"/>
    <w:rsid w:val="000966B3"/>
    <w:rsid w:val="00096833"/>
    <w:rsid w:val="00096864"/>
    <w:rsid w:val="00096B52"/>
    <w:rsid w:val="00096BA1"/>
    <w:rsid w:val="00096D2F"/>
    <w:rsid w:val="00096E83"/>
    <w:rsid w:val="00096F86"/>
    <w:rsid w:val="00097093"/>
    <w:rsid w:val="0009712D"/>
    <w:rsid w:val="000972AD"/>
    <w:rsid w:val="00097462"/>
    <w:rsid w:val="00097612"/>
    <w:rsid w:val="000976FE"/>
    <w:rsid w:val="0009798F"/>
    <w:rsid w:val="00097A88"/>
    <w:rsid w:val="00097AA3"/>
    <w:rsid w:val="00097E3A"/>
    <w:rsid w:val="000A01CF"/>
    <w:rsid w:val="000A0246"/>
    <w:rsid w:val="000A0322"/>
    <w:rsid w:val="000A0C8D"/>
    <w:rsid w:val="000A0E30"/>
    <w:rsid w:val="000A0E88"/>
    <w:rsid w:val="000A0EEC"/>
    <w:rsid w:val="000A0F82"/>
    <w:rsid w:val="000A10BF"/>
    <w:rsid w:val="000A116D"/>
    <w:rsid w:val="000A11F7"/>
    <w:rsid w:val="000A1308"/>
    <w:rsid w:val="000A1488"/>
    <w:rsid w:val="000A1493"/>
    <w:rsid w:val="000A1B27"/>
    <w:rsid w:val="000A1B49"/>
    <w:rsid w:val="000A1B8C"/>
    <w:rsid w:val="000A1CC3"/>
    <w:rsid w:val="000A1CD6"/>
    <w:rsid w:val="000A1D1B"/>
    <w:rsid w:val="000A1EC9"/>
    <w:rsid w:val="000A1FA6"/>
    <w:rsid w:val="000A1FD3"/>
    <w:rsid w:val="000A249A"/>
    <w:rsid w:val="000A25B9"/>
    <w:rsid w:val="000A26E4"/>
    <w:rsid w:val="000A2784"/>
    <w:rsid w:val="000A278C"/>
    <w:rsid w:val="000A287D"/>
    <w:rsid w:val="000A2928"/>
    <w:rsid w:val="000A29A7"/>
    <w:rsid w:val="000A2ACD"/>
    <w:rsid w:val="000A2B65"/>
    <w:rsid w:val="000A2C3E"/>
    <w:rsid w:val="000A2CAA"/>
    <w:rsid w:val="000A2DA8"/>
    <w:rsid w:val="000A2ED2"/>
    <w:rsid w:val="000A2F1B"/>
    <w:rsid w:val="000A300A"/>
    <w:rsid w:val="000A314B"/>
    <w:rsid w:val="000A31C1"/>
    <w:rsid w:val="000A3276"/>
    <w:rsid w:val="000A32DD"/>
    <w:rsid w:val="000A3A06"/>
    <w:rsid w:val="000A3A86"/>
    <w:rsid w:val="000A3A91"/>
    <w:rsid w:val="000A3D48"/>
    <w:rsid w:val="000A3E02"/>
    <w:rsid w:val="000A3E67"/>
    <w:rsid w:val="000A412F"/>
    <w:rsid w:val="000A419E"/>
    <w:rsid w:val="000A438A"/>
    <w:rsid w:val="000A4414"/>
    <w:rsid w:val="000A4446"/>
    <w:rsid w:val="000A44EF"/>
    <w:rsid w:val="000A450C"/>
    <w:rsid w:val="000A456A"/>
    <w:rsid w:val="000A4800"/>
    <w:rsid w:val="000A4844"/>
    <w:rsid w:val="000A4A32"/>
    <w:rsid w:val="000A4BF7"/>
    <w:rsid w:val="000A4F86"/>
    <w:rsid w:val="000A50EA"/>
    <w:rsid w:val="000A52C8"/>
    <w:rsid w:val="000A557E"/>
    <w:rsid w:val="000A560E"/>
    <w:rsid w:val="000A5620"/>
    <w:rsid w:val="000A56C7"/>
    <w:rsid w:val="000A5879"/>
    <w:rsid w:val="000A58D2"/>
    <w:rsid w:val="000A59F1"/>
    <w:rsid w:val="000A5B46"/>
    <w:rsid w:val="000A5C47"/>
    <w:rsid w:val="000A5D4D"/>
    <w:rsid w:val="000A5D81"/>
    <w:rsid w:val="000A5F2E"/>
    <w:rsid w:val="000A61A9"/>
    <w:rsid w:val="000A6248"/>
    <w:rsid w:val="000A629E"/>
    <w:rsid w:val="000A647F"/>
    <w:rsid w:val="000A64D3"/>
    <w:rsid w:val="000A651F"/>
    <w:rsid w:val="000A65D5"/>
    <w:rsid w:val="000A65F0"/>
    <w:rsid w:val="000A68C7"/>
    <w:rsid w:val="000A6B30"/>
    <w:rsid w:val="000A6BBF"/>
    <w:rsid w:val="000A6D38"/>
    <w:rsid w:val="000A6E5E"/>
    <w:rsid w:val="000A6E80"/>
    <w:rsid w:val="000A6F08"/>
    <w:rsid w:val="000A703F"/>
    <w:rsid w:val="000A72BA"/>
    <w:rsid w:val="000A7496"/>
    <w:rsid w:val="000A74C6"/>
    <w:rsid w:val="000A755F"/>
    <w:rsid w:val="000A77AC"/>
    <w:rsid w:val="000A7974"/>
    <w:rsid w:val="000A79C9"/>
    <w:rsid w:val="000A7A6A"/>
    <w:rsid w:val="000A7C94"/>
    <w:rsid w:val="000A7C96"/>
    <w:rsid w:val="000A7DEF"/>
    <w:rsid w:val="000A7F23"/>
    <w:rsid w:val="000A7F66"/>
    <w:rsid w:val="000A7F76"/>
    <w:rsid w:val="000B0000"/>
    <w:rsid w:val="000B0304"/>
    <w:rsid w:val="000B038A"/>
    <w:rsid w:val="000B03C7"/>
    <w:rsid w:val="000B074B"/>
    <w:rsid w:val="000B0904"/>
    <w:rsid w:val="000B09F7"/>
    <w:rsid w:val="000B0C90"/>
    <w:rsid w:val="000B0CFC"/>
    <w:rsid w:val="000B0D42"/>
    <w:rsid w:val="000B0D5D"/>
    <w:rsid w:val="000B0D92"/>
    <w:rsid w:val="000B10B7"/>
    <w:rsid w:val="000B10DF"/>
    <w:rsid w:val="000B121E"/>
    <w:rsid w:val="000B1260"/>
    <w:rsid w:val="000B155F"/>
    <w:rsid w:val="000B16F8"/>
    <w:rsid w:val="000B17D5"/>
    <w:rsid w:val="000B19A3"/>
    <w:rsid w:val="000B1CFC"/>
    <w:rsid w:val="000B1D6A"/>
    <w:rsid w:val="000B1F17"/>
    <w:rsid w:val="000B2055"/>
    <w:rsid w:val="000B2060"/>
    <w:rsid w:val="000B21EA"/>
    <w:rsid w:val="000B2554"/>
    <w:rsid w:val="000B2728"/>
    <w:rsid w:val="000B2773"/>
    <w:rsid w:val="000B2BBE"/>
    <w:rsid w:val="000B2C47"/>
    <w:rsid w:val="000B2E9A"/>
    <w:rsid w:val="000B2F2E"/>
    <w:rsid w:val="000B2FD7"/>
    <w:rsid w:val="000B32D0"/>
    <w:rsid w:val="000B3330"/>
    <w:rsid w:val="000B34F5"/>
    <w:rsid w:val="000B38F3"/>
    <w:rsid w:val="000B3D28"/>
    <w:rsid w:val="000B3E42"/>
    <w:rsid w:val="000B3E50"/>
    <w:rsid w:val="000B3FD8"/>
    <w:rsid w:val="000B3FFE"/>
    <w:rsid w:val="000B4038"/>
    <w:rsid w:val="000B427B"/>
    <w:rsid w:val="000B428E"/>
    <w:rsid w:val="000B42AE"/>
    <w:rsid w:val="000B4353"/>
    <w:rsid w:val="000B4428"/>
    <w:rsid w:val="000B4455"/>
    <w:rsid w:val="000B44B7"/>
    <w:rsid w:val="000B481B"/>
    <w:rsid w:val="000B4907"/>
    <w:rsid w:val="000B49B4"/>
    <w:rsid w:val="000B4A46"/>
    <w:rsid w:val="000B4B17"/>
    <w:rsid w:val="000B4F54"/>
    <w:rsid w:val="000B5137"/>
    <w:rsid w:val="000B525D"/>
    <w:rsid w:val="000B52C8"/>
    <w:rsid w:val="000B55EC"/>
    <w:rsid w:val="000B56F3"/>
    <w:rsid w:val="000B5935"/>
    <w:rsid w:val="000B5A0E"/>
    <w:rsid w:val="000B5A4E"/>
    <w:rsid w:val="000B5A5E"/>
    <w:rsid w:val="000B5D77"/>
    <w:rsid w:val="000B5EA6"/>
    <w:rsid w:val="000B60B1"/>
    <w:rsid w:val="000B60E8"/>
    <w:rsid w:val="000B640A"/>
    <w:rsid w:val="000B6475"/>
    <w:rsid w:val="000B648C"/>
    <w:rsid w:val="000B6925"/>
    <w:rsid w:val="000B69D9"/>
    <w:rsid w:val="000B69F1"/>
    <w:rsid w:val="000B6B2F"/>
    <w:rsid w:val="000B6CF0"/>
    <w:rsid w:val="000B6DD2"/>
    <w:rsid w:val="000B7051"/>
    <w:rsid w:val="000B70A7"/>
    <w:rsid w:val="000B70C3"/>
    <w:rsid w:val="000B720C"/>
    <w:rsid w:val="000B72D0"/>
    <w:rsid w:val="000B73B6"/>
    <w:rsid w:val="000B75D8"/>
    <w:rsid w:val="000B7665"/>
    <w:rsid w:val="000B76D3"/>
    <w:rsid w:val="000B7753"/>
    <w:rsid w:val="000B7A79"/>
    <w:rsid w:val="000B7F75"/>
    <w:rsid w:val="000C006F"/>
    <w:rsid w:val="000C02CB"/>
    <w:rsid w:val="000C040A"/>
    <w:rsid w:val="000C0558"/>
    <w:rsid w:val="000C06CC"/>
    <w:rsid w:val="000C0973"/>
    <w:rsid w:val="000C0A06"/>
    <w:rsid w:val="000C0AE9"/>
    <w:rsid w:val="000C0DA1"/>
    <w:rsid w:val="000C0EE4"/>
    <w:rsid w:val="000C0F9C"/>
    <w:rsid w:val="000C0FC0"/>
    <w:rsid w:val="000C0FD6"/>
    <w:rsid w:val="000C1311"/>
    <w:rsid w:val="000C157A"/>
    <w:rsid w:val="000C1608"/>
    <w:rsid w:val="000C189C"/>
    <w:rsid w:val="000C192E"/>
    <w:rsid w:val="000C204F"/>
    <w:rsid w:val="000C20EE"/>
    <w:rsid w:val="000C2256"/>
    <w:rsid w:val="000C2387"/>
    <w:rsid w:val="000C241C"/>
    <w:rsid w:val="000C2594"/>
    <w:rsid w:val="000C25E5"/>
    <w:rsid w:val="000C2631"/>
    <w:rsid w:val="000C2645"/>
    <w:rsid w:val="000C28BA"/>
    <w:rsid w:val="000C2981"/>
    <w:rsid w:val="000C29FA"/>
    <w:rsid w:val="000C2B15"/>
    <w:rsid w:val="000C2CD5"/>
    <w:rsid w:val="000C2DF4"/>
    <w:rsid w:val="000C3005"/>
    <w:rsid w:val="000C3071"/>
    <w:rsid w:val="000C3611"/>
    <w:rsid w:val="000C3680"/>
    <w:rsid w:val="000C37FC"/>
    <w:rsid w:val="000C3944"/>
    <w:rsid w:val="000C398C"/>
    <w:rsid w:val="000C3B56"/>
    <w:rsid w:val="000C3C28"/>
    <w:rsid w:val="000C3C39"/>
    <w:rsid w:val="000C3D1D"/>
    <w:rsid w:val="000C3F49"/>
    <w:rsid w:val="000C427C"/>
    <w:rsid w:val="000C435E"/>
    <w:rsid w:val="000C470A"/>
    <w:rsid w:val="000C47B1"/>
    <w:rsid w:val="000C4844"/>
    <w:rsid w:val="000C486E"/>
    <w:rsid w:val="000C4949"/>
    <w:rsid w:val="000C4992"/>
    <w:rsid w:val="000C4D92"/>
    <w:rsid w:val="000C4E5B"/>
    <w:rsid w:val="000C4F64"/>
    <w:rsid w:val="000C511F"/>
    <w:rsid w:val="000C5257"/>
    <w:rsid w:val="000C5307"/>
    <w:rsid w:val="000C5412"/>
    <w:rsid w:val="000C557A"/>
    <w:rsid w:val="000C56AD"/>
    <w:rsid w:val="000C56C8"/>
    <w:rsid w:val="000C58D6"/>
    <w:rsid w:val="000C5B09"/>
    <w:rsid w:val="000C5E33"/>
    <w:rsid w:val="000C5F6C"/>
    <w:rsid w:val="000C5F88"/>
    <w:rsid w:val="000C5FEF"/>
    <w:rsid w:val="000C61ED"/>
    <w:rsid w:val="000C6384"/>
    <w:rsid w:val="000C6415"/>
    <w:rsid w:val="000C6685"/>
    <w:rsid w:val="000C6939"/>
    <w:rsid w:val="000C6AEC"/>
    <w:rsid w:val="000C6B52"/>
    <w:rsid w:val="000C6C12"/>
    <w:rsid w:val="000C7155"/>
    <w:rsid w:val="000C72EE"/>
    <w:rsid w:val="000C7466"/>
    <w:rsid w:val="000C769D"/>
    <w:rsid w:val="000C7AA0"/>
    <w:rsid w:val="000C7ADA"/>
    <w:rsid w:val="000C7B37"/>
    <w:rsid w:val="000C7B78"/>
    <w:rsid w:val="000C7C11"/>
    <w:rsid w:val="000C7C46"/>
    <w:rsid w:val="000C7D8C"/>
    <w:rsid w:val="000D00FE"/>
    <w:rsid w:val="000D02E1"/>
    <w:rsid w:val="000D052B"/>
    <w:rsid w:val="000D0682"/>
    <w:rsid w:val="000D068F"/>
    <w:rsid w:val="000D08C2"/>
    <w:rsid w:val="000D095B"/>
    <w:rsid w:val="000D09CD"/>
    <w:rsid w:val="000D0BA3"/>
    <w:rsid w:val="000D0BE0"/>
    <w:rsid w:val="000D0F4A"/>
    <w:rsid w:val="000D103E"/>
    <w:rsid w:val="000D12E2"/>
    <w:rsid w:val="000D1409"/>
    <w:rsid w:val="000D1464"/>
    <w:rsid w:val="000D15D8"/>
    <w:rsid w:val="000D1630"/>
    <w:rsid w:val="000D1641"/>
    <w:rsid w:val="000D16F9"/>
    <w:rsid w:val="000D17F4"/>
    <w:rsid w:val="000D19DF"/>
    <w:rsid w:val="000D1ACC"/>
    <w:rsid w:val="000D1B3A"/>
    <w:rsid w:val="000D1B52"/>
    <w:rsid w:val="000D1B63"/>
    <w:rsid w:val="000D1F50"/>
    <w:rsid w:val="000D2163"/>
    <w:rsid w:val="000D2374"/>
    <w:rsid w:val="000D2440"/>
    <w:rsid w:val="000D2491"/>
    <w:rsid w:val="000D24C6"/>
    <w:rsid w:val="000D24FA"/>
    <w:rsid w:val="000D2593"/>
    <w:rsid w:val="000D26F4"/>
    <w:rsid w:val="000D27D1"/>
    <w:rsid w:val="000D27F9"/>
    <w:rsid w:val="000D2938"/>
    <w:rsid w:val="000D2BF9"/>
    <w:rsid w:val="000D2C12"/>
    <w:rsid w:val="000D2CAC"/>
    <w:rsid w:val="000D2D8D"/>
    <w:rsid w:val="000D2DA3"/>
    <w:rsid w:val="000D2E86"/>
    <w:rsid w:val="000D3144"/>
    <w:rsid w:val="000D314B"/>
    <w:rsid w:val="000D316D"/>
    <w:rsid w:val="000D324B"/>
    <w:rsid w:val="000D3622"/>
    <w:rsid w:val="000D37A2"/>
    <w:rsid w:val="000D3A94"/>
    <w:rsid w:val="000D3A9F"/>
    <w:rsid w:val="000D3BCE"/>
    <w:rsid w:val="000D3CBA"/>
    <w:rsid w:val="000D3DEE"/>
    <w:rsid w:val="000D3EA2"/>
    <w:rsid w:val="000D406C"/>
    <w:rsid w:val="000D4327"/>
    <w:rsid w:val="000D4794"/>
    <w:rsid w:val="000D49F7"/>
    <w:rsid w:val="000D4A05"/>
    <w:rsid w:val="000D4A93"/>
    <w:rsid w:val="000D4B90"/>
    <w:rsid w:val="000D4BE1"/>
    <w:rsid w:val="000D4C1B"/>
    <w:rsid w:val="000D4D21"/>
    <w:rsid w:val="000D4EB6"/>
    <w:rsid w:val="000D4F7A"/>
    <w:rsid w:val="000D5047"/>
    <w:rsid w:val="000D5071"/>
    <w:rsid w:val="000D5169"/>
    <w:rsid w:val="000D530E"/>
    <w:rsid w:val="000D53E2"/>
    <w:rsid w:val="000D5523"/>
    <w:rsid w:val="000D562E"/>
    <w:rsid w:val="000D585E"/>
    <w:rsid w:val="000D591C"/>
    <w:rsid w:val="000D5B5A"/>
    <w:rsid w:val="000D5D90"/>
    <w:rsid w:val="000D61A4"/>
    <w:rsid w:val="000D626E"/>
    <w:rsid w:val="000D6493"/>
    <w:rsid w:val="000D6510"/>
    <w:rsid w:val="000D6537"/>
    <w:rsid w:val="000D66E4"/>
    <w:rsid w:val="000D675D"/>
    <w:rsid w:val="000D6763"/>
    <w:rsid w:val="000D686E"/>
    <w:rsid w:val="000D69EC"/>
    <w:rsid w:val="000D6C2C"/>
    <w:rsid w:val="000D6E1D"/>
    <w:rsid w:val="000D6E49"/>
    <w:rsid w:val="000D6F82"/>
    <w:rsid w:val="000D7193"/>
    <w:rsid w:val="000D71E9"/>
    <w:rsid w:val="000D7240"/>
    <w:rsid w:val="000D7878"/>
    <w:rsid w:val="000D79FC"/>
    <w:rsid w:val="000D7A39"/>
    <w:rsid w:val="000D7A80"/>
    <w:rsid w:val="000D7B0B"/>
    <w:rsid w:val="000D7C07"/>
    <w:rsid w:val="000D7C4F"/>
    <w:rsid w:val="000D7C66"/>
    <w:rsid w:val="000D7CDF"/>
    <w:rsid w:val="000D7D57"/>
    <w:rsid w:val="000D7E0E"/>
    <w:rsid w:val="000D7E1B"/>
    <w:rsid w:val="000E00E6"/>
    <w:rsid w:val="000E010A"/>
    <w:rsid w:val="000E034C"/>
    <w:rsid w:val="000E0380"/>
    <w:rsid w:val="000E03DC"/>
    <w:rsid w:val="000E03F2"/>
    <w:rsid w:val="000E07E9"/>
    <w:rsid w:val="000E09F4"/>
    <w:rsid w:val="000E0CFA"/>
    <w:rsid w:val="000E0D32"/>
    <w:rsid w:val="000E0D56"/>
    <w:rsid w:val="000E0E88"/>
    <w:rsid w:val="000E0EEA"/>
    <w:rsid w:val="000E0F26"/>
    <w:rsid w:val="000E106F"/>
    <w:rsid w:val="000E1113"/>
    <w:rsid w:val="000E1124"/>
    <w:rsid w:val="000E1267"/>
    <w:rsid w:val="000E1529"/>
    <w:rsid w:val="000E17BC"/>
    <w:rsid w:val="000E1870"/>
    <w:rsid w:val="000E1A68"/>
    <w:rsid w:val="000E1C10"/>
    <w:rsid w:val="000E1E95"/>
    <w:rsid w:val="000E1F62"/>
    <w:rsid w:val="000E20F2"/>
    <w:rsid w:val="000E216E"/>
    <w:rsid w:val="000E21DA"/>
    <w:rsid w:val="000E2369"/>
    <w:rsid w:val="000E23CC"/>
    <w:rsid w:val="000E24CD"/>
    <w:rsid w:val="000E2574"/>
    <w:rsid w:val="000E266D"/>
    <w:rsid w:val="000E2756"/>
    <w:rsid w:val="000E2928"/>
    <w:rsid w:val="000E2D7C"/>
    <w:rsid w:val="000E31B1"/>
    <w:rsid w:val="000E34D4"/>
    <w:rsid w:val="000E35A9"/>
    <w:rsid w:val="000E35D7"/>
    <w:rsid w:val="000E37F1"/>
    <w:rsid w:val="000E38B3"/>
    <w:rsid w:val="000E3A12"/>
    <w:rsid w:val="000E3AA0"/>
    <w:rsid w:val="000E3B1C"/>
    <w:rsid w:val="000E3C97"/>
    <w:rsid w:val="000E3D5C"/>
    <w:rsid w:val="000E3E7B"/>
    <w:rsid w:val="000E3EAC"/>
    <w:rsid w:val="000E4052"/>
    <w:rsid w:val="000E42E3"/>
    <w:rsid w:val="000E43F5"/>
    <w:rsid w:val="000E4449"/>
    <w:rsid w:val="000E4A3A"/>
    <w:rsid w:val="000E4C47"/>
    <w:rsid w:val="000E4D36"/>
    <w:rsid w:val="000E4EFC"/>
    <w:rsid w:val="000E4F59"/>
    <w:rsid w:val="000E5035"/>
    <w:rsid w:val="000E51F6"/>
    <w:rsid w:val="000E53E2"/>
    <w:rsid w:val="000E5531"/>
    <w:rsid w:val="000E5A20"/>
    <w:rsid w:val="000E5A2E"/>
    <w:rsid w:val="000E5A9E"/>
    <w:rsid w:val="000E5A9F"/>
    <w:rsid w:val="000E5CD5"/>
    <w:rsid w:val="000E5D9F"/>
    <w:rsid w:val="000E5E1D"/>
    <w:rsid w:val="000E5E24"/>
    <w:rsid w:val="000E5F28"/>
    <w:rsid w:val="000E5FD7"/>
    <w:rsid w:val="000E61FD"/>
    <w:rsid w:val="000E6296"/>
    <w:rsid w:val="000E6355"/>
    <w:rsid w:val="000E6410"/>
    <w:rsid w:val="000E642F"/>
    <w:rsid w:val="000E645C"/>
    <w:rsid w:val="000E678B"/>
    <w:rsid w:val="000E67BF"/>
    <w:rsid w:val="000E6918"/>
    <w:rsid w:val="000E6962"/>
    <w:rsid w:val="000E6C49"/>
    <w:rsid w:val="000E6D61"/>
    <w:rsid w:val="000E6E46"/>
    <w:rsid w:val="000E7016"/>
    <w:rsid w:val="000E7085"/>
    <w:rsid w:val="000E729C"/>
    <w:rsid w:val="000E729F"/>
    <w:rsid w:val="000E75F7"/>
    <w:rsid w:val="000E77C1"/>
    <w:rsid w:val="000E7D56"/>
    <w:rsid w:val="000E7DF4"/>
    <w:rsid w:val="000E7E54"/>
    <w:rsid w:val="000F01BE"/>
    <w:rsid w:val="000F0283"/>
    <w:rsid w:val="000F02C4"/>
    <w:rsid w:val="000F046C"/>
    <w:rsid w:val="000F04E0"/>
    <w:rsid w:val="000F0B95"/>
    <w:rsid w:val="000F0DFC"/>
    <w:rsid w:val="000F0E01"/>
    <w:rsid w:val="000F0E0C"/>
    <w:rsid w:val="000F105E"/>
    <w:rsid w:val="000F1076"/>
    <w:rsid w:val="000F11DE"/>
    <w:rsid w:val="000F1223"/>
    <w:rsid w:val="000F127D"/>
    <w:rsid w:val="000F1472"/>
    <w:rsid w:val="000F15D2"/>
    <w:rsid w:val="000F1600"/>
    <w:rsid w:val="000F1650"/>
    <w:rsid w:val="000F18EA"/>
    <w:rsid w:val="000F1A4B"/>
    <w:rsid w:val="000F1A7F"/>
    <w:rsid w:val="000F1B48"/>
    <w:rsid w:val="000F1C67"/>
    <w:rsid w:val="000F1D83"/>
    <w:rsid w:val="000F1D84"/>
    <w:rsid w:val="000F1ED4"/>
    <w:rsid w:val="000F204A"/>
    <w:rsid w:val="000F2210"/>
    <w:rsid w:val="000F22ED"/>
    <w:rsid w:val="000F2402"/>
    <w:rsid w:val="000F25E4"/>
    <w:rsid w:val="000F28D5"/>
    <w:rsid w:val="000F2CBC"/>
    <w:rsid w:val="000F2DBA"/>
    <w:rsid w:val="000F2E01"/>
    <w:rsid w:val="000F2E4E"/>
    <w:rsid w:val="000F304B"/>
    <w:rsid w:val="000F3136"/>
    <w:rsid w:val="000F33FD"/>
    <w:rsid w:val="000F340F"/>
    <w:rsid w:val="000F3551"/>
    <w:rsid w:val="000F3828"/>
    <w:rsid w:val="000F399F"/>
    <w:rsid w:val="000F3B8B"/>
    <w:rsid w:val="000F3C04"/>
    <w:rsid w:val="000F3D02"/>
    <w:rsid w:val="000F43F9"/>
    <w:rsid w:val="000F440E"/>
    <w:rsid w:val="000F45CF"/>
    <w:rsid w:val="000F46C3"/>
    <w:rsid w:val="000F4733"/>
    <w:rsid w:val="000F4903"/>
    <w:rsid w:val="000F49EA"/>
    <w:rsid w:val="000F4C63"/>
    <w:rsid w:val="000F4E5B"/>
    <w:rsid w:val="000F4F58"/>
    <w:rsid w:val="000F4FE0"/>
    <w:rsid w:val="000F5018"/>
    <w:rsid w:val="000F504A"/>
    <w:rsid w:val="000F5080"/>
    <w:rsid w:val="000F50DD"/>
    <w:rsid w:val="000F512C"/>
    <w:rsid w:val="000F51B3"/>
    <w:rsid w:val="000F52D5"/>
    <w:rsid w:val="000F52DC"/>
    <w:rsid w:val="000F5656"/>
    <w:rsid w:val="000F56B5"/>
    <w:rsid w:val="000F588B"/>
    <w:rsid w:val="000F5899"/>
    <w:rsid w:val="000F5A54"/>
    <w:rsid w:val="000F5C57"/>
    <w:rsid w:val="000F5C5E"/>
    <w:rsid w:val="000F5D05"/>
    <w:rsid w:val="000F5D3D"/>
    <w:rsid w:val="000F5DE6"/>
    <w:rsid w:val="000F5E73"/>
    <w:rsid w:val="000F5EC7"/>
    <w:rsid w:val="000F5FDB"/>
    <w:rsid w:val="000F62C3"/>
    <w:rsid w:val="000F648C"/>
    <w:rsid w:val="000F6496"/>
    <w:rsid w:val="000F64B5"/>
    <w:rsid w:val="000F6522"/>
    <w:rsid w:val="000F661A"/>
    <w:rsid w:val="000F6A7E"/>
    <w:rsid w:val="000F6C36"/>
    <w:rsid w:val="000F6ED5"/>
    <w:rsid w:val="000F72F9"/>
    <w:rsid w:val="000F7396"/>
    <w:rsid w:val="000F7657"/>
    <w:rsid w:val="000F7677"/>
    <w:rsid w:val="000F76C7"/>
    <w:rsid w:val="000F7879"/>
    <w:rsid w:val="000F7987"/>
    <w:rsid w:val="000F7A48"/>
    <w:rsid w:val="000F7A6D"/>
    <w:rsid w:val="000F7B87"/>
    <w:rsid w:val="000F7ED8"/>
    <w:rsid w:val="000F7F15"/>
    <w:rsid w:val="0010014A"/>
    <w:rsid w:val="00100175"/>
    <w:rsid w:val="001003AE"/>
    <w:rsid w:val="0010040D"/>
    <w:rsid w:val="0010051C"/>
    <w:rsid w:val="0010064E"/>
    <w:rsid w:val="00100664"/>
    <w:rsid w:val="0010079F"/>
    <w:rsid w:val="001008F6"/>
    <w:rsid w:val="00100944"/>
    <w:rsid w:val="00100A4C"/>
    <w:rsid w:val="00100EFC"/>
    <w:rsid w:val="00100F10"/>
    <w:rsid w:val="0010101B"/>
    <w:rsid w:val="00101194"/>
    <w:rsid w:val="001013CA"/>
    <w:rsid w:val="00101487"/>
    <w:rsid w:val="00101630"/>
    <w:rsid w:val="00101742"/>
    <w:rsid w:val="001017D8"/>
    <w:rsid w:val="0010186D"/>
    <w:rsid w:val="00101C11"/>
    <w:rsid w:val="00101C88"/>
    <w:rsid w:val="00101DE4"/>
    <w:rsid w:val="00102444"/>
    <w:rsid w:val="001024C6"/>
    <w:rsid w:val="00102551"/>
    <w:rsid w:val="001025F8"/>
    <w:rsid w:val="00102944"/>
    <w:rsid w:val="001029BD"/>
    <w:rsid w:val="00102B40"/>
    <w:rsid w:val="00102B66"/>
    <w:rsid w:val="00102BE9"/>
    <w:rsid w:val="00102C06"/>
    <w:rsid w:val="00102C34"/>
    <w:rsid w:val="00102D73"/>
    <w:rsid w:val="00102EC2"/>
    <w:rsid w:val="00102F26"/>
    <w:rsid w:val="0010316B"/>
    <w:rsid w:val="0010317D"/>
    <w:rsid w:val="0010327B"/>
    <w:rsid w:val="00103374"/>
    <w:rsid w:val="001035C4"/>
    <w:rsid w:val="0010363B"/>
    <w:rsid w:val="0010366C"/>
    <w:rsid w:val="0010377A"/>
    <w:rsid w:val="0010385D"/>
    <w:rsid w:val="00103903"/>
    <w:rsid w:val="00103993"/>
    <w:rsid w:val="001039A7"/>
    <w:rsid w:val="00103B7A"/>
    <w:rsid w:val="00103D3E"/>
    <w:rsid w:val="00103D5A"/>
    <w:rsid w:val="00103DDD"/>
    <w:rsid w:val="001041B2"/>
    <w:rsid w:val="00104424"/>
    <w:rsid w:val="0010448B"/>
    <w:rsid w:val="00104596"/>
    <w:rsid w:val="00104875"/>
    <w:rsid w:val="0010490E"/>
    <w:rsid w:val="00104A16"/>
    <w:rsid w:val="001050F6"/>
    <w:rsid w:val="0010521F"/>
    <w:rsid w:val="001052A0"/>
    <w:rsid w:val="0010541C"/>
    <w:rsid w:val="00105709"/>
    <w:rsid w:val="00105A4E"/>
    <w:rsid w:val="00105D1E"/>
    <w:rsid w:val="00105D5C"/>
    <w:rsid w:val="00105E24"/>
    <w:rsid w:val="00105E34"/>
    <w:rsid w:val="0010603E"/>
    <w:rsid w:val="001060DC"/>
    <w:rsid w:val="0010625A"/>
    <w:rsid w:val="0010626B"/>
    <w:rsid w:val="0010661E"/>
    <w:rsid w:val="00106684"/>
    <w:rsid w:val="001066D0"/>
    <w:rsid w:val="00106A85"/>
    <w:rsid w:val="00106B1F"/>
    <w:rsid w:val="00106B5D"/>
    <w:rsid w:val="00106D2E"/>
    <w:rsid w:val="00106E24"/>
    <w:rsid w:val="00106E56"/>
    <w:rsid w:val="0010701A"/>
    <w:rsid w:val="00107435"/>
    <w:rsid w:val="00107524"/>
    <w:rsid w:val="00107541"/>
    <w:rsid w:val="001075DE"/>
    <w:rsid w:val="0010761D"/>
    <w:rsid w:val="001077E3"/>
    <w:rsid w:val="001078AA"/>
    <w:rsid w:val="001078C8"/>
    <w:rsid w:val="00107959"/>
    <w:rsid w:val="00107A1E"/>
    <w:rsid w:val="00107A32"/>
    <w:rsid w:val="00107B0B"/>
    <w:rsid w:val="00107B67"/>
    <w:rsid w:val="00107CB2"/>
    <w:rsid w:val="00107DCD"/>
    <w:rsid w:val="00107EF0"/>
    <w:rsid w:val="00110073"/>
    <w:rsid w:val="00110396"/>
    <w:rsid w:val="0011039A"/>
    <w:rsid w:val="001104BB"/>
    <w:rsid w:val="00110792"/>
    <w:rsid w:val="001108D9"/>
    <w:rsid w:val="00110914"/>
    <w:rsid w:val="00110AAB"/>
    <w:rsid w:val="00110BD4"/>
    <w:rsid w:val="00110D0D"/>
    <w:rsid w:val="00110D3C"/>
    <w:rsid w:val="00110D52"/>
    <w:rsid w:val="0011112F"/>
    <w:rsid w:val="001111DA"/>
    <w:rsid w:val="0011134A"/>
    <w:rsid w:val="0011138E"/>
    <w:rsid w:val="00111417"/>
    <w:rsid w:val="0011143D"/>
    <w:rsid w:val="001116B7"/>
    <w:rsid w:val="00111764"/>
    <w:rsid w:val="00111C05"/>
    <w:rsid w:val="00111F4A"/>
    <w:rsid w:val="001120BE"/>
    <w:rsid w:val="00112259"/>
    <w:rsid w:val="00112564"/>
    <w:rsid w:val="001125EE"/>
    <w:rsid w:val="00112983"/>
    <w:rsid w:val="00112A01"/>
    <w:rsid w:val="00112EBA"/>
    <w:rsid w:val="00112F54"/>
    <w:rsid w:val="00112F57"/>
    <w:rsid w:val="001131A9"/>
    <w:rsid w:val="0011329D"/>
    <w:rsid w:val="00113550"/>
    <w:rsid w:val="001137E6"/>
    <w:rsid w:val="0011388F"/>
    <w:rsid w:val="00113B96"/>
    <w:rsid w:val="00113B9C"/>
    <w:rsid w:val="00113BBC"/>
    <w:rsid w:val="00113C60"/>
    <w:rsid w:val="00113CB2"/>
    <w:rsid w:val="00113CF8"/>
    <w:rsid w:val="00113DC7"/>
    <w:rsid w:val="00113E68"/>
    <w:rsid w:val="001144BE"/>
    <w:rsid w:val="00114787"/>
    <w:rsid w:val="001147A7"/>
    <w:rsid w:val="00114871"/>
    <w:rsid w:val="00114C3B"/>
    <w:rsid w:val="00114D0D"/>
    <w:rsid w:val="00114DEC"/>
    <w:rsid w:val="00114F32"/>
    <w:rsid w:val="00114F43"/>
    <w:rsid w:val="00115158"/>
    <w:rsid w:val="001153A7"/>
    <w:rsid w:val="001153F3"/>
    <w:rsid w:val="00115691"/>
    <w:rsid w:val="001159AC"/>
    <w:rsid w:val="00115A29"/>
    <w:rsid w:val="00115AB7"/>
    <w:rsid w:val="00115C3C"/>
    <w:rsid w:val="00115C59"/>
    <w:rsid w:val="00115E1A"/>
    <w:rsid w:val="0011658C"/>
    <w:rsid w:val="00116711"/>
    <w:rsid w:val="00116ACE"/>
    <w:rsid w:val="00116B0A"/>
    <w:rsid w:val="00116BDF"/>
    <w:rsid w:val="00116DA6"/>
    <w:rsid w:val="00116F3F"/>
    <w:rsid w:val="00117039"/>
    <w:rsid w:val="00117184"/>
    <w:rsid w:val="001173DF"/>
    <w:rsid w:val="001175F6"/>
    <w:rsid w:val="00117627"/>
    <w:rsid w:val="00117679"/>
    <w:rsid w:val="00117684"/>
    <w:rsid w:val="001178EA"/>
    <w:rsid w:val="00117BA0"/>
    <w:rsid w:val="00117CC4"/>
    <w:rsid w:val="00117EB4"/>
    <w:rsid w:val="00117F04"/>
    <w:rsid w:val="00120168"/>
    <w:rsid w:val="001205EC"/>
    <w:rsid w:val="00120774"/>
    <w:rsid w:val="0012086B"/>
    <w:rsid w:val="001208B6"/>
    <w:rsid w:val="001208ED"/>
    <w:rsid w:val="00120A5A"/>
    <w:rsid w:val="00120AC2"/>
    <w:rsid w:val="00120B70"/>
    <w:rsid w:val="00120E0F"/>
    <w:rsid w:val="00120EB5"/>
    <w:rsid w:val="00121109"/>
    <w:rsid w:val="00121227"/>
    <w:rsid w:val="0012131B"/>
    <w:rsid w:val="00121465"/>
    <w:rsid w:val="0012155B"/>
    <w:rsid w:val="0012172C"/>
    <w:rsid w:val="00121A72"/>
    <w:rsid w:val="00121AC4"/>
    <w:rsid w:val="00121B79"/>
    <w:rsid w:val="00121FF8"/>
    <w:rsid w:val="00122051"/>
    <w:rsid w:val="001220FA"/>
    <w:rsid w:val="001221CD"/>
    <w:rsid w:val="0012230D"/>
    <w:rsid w:val="00122404"/>
    <w:rsid w:val="0012251E"/>
    <w:rsid w:val="00122568"/>
    <w:rsid w:val="0012259E"/>
    <w:rsid w:val="0012266B"/>
    <w:rsid w:val="001227A1"/>
    <w:rsid w:val="001229DB"/>
    <w:rsid w:val="00122AE3"/>
    <w:rsid w:val="00122B8D"/>
    <w:rsid w:val="00122E60"/>
    <w:rsid w:val="00122EE1"/>
    <w:rsid w:val="00122EF4"/>
    <w:rsid w:val="00122F21"/>
    <w:rsid w:val="00123055"/>
    <w:rsid w:val="001230F9"/>
    <w:rsid w:val="0012314D"/>
    <w:rsid w:val="001231E9"/>
    <w:rsid w:val="00123276"/>
    <w:rsid w:val="001233C9"/>
    <w:rsid w:val="00123645"/>
    <w:rsid w:val="00123658"/>
    <w:rsid w:val="001237AF"/>
    <w:rsid w:val="0012397A"/>
    <w:rsid w:val="00123AB9"/>
    <w:rsid w:val="00123F72"/>
    <w:rsid w:val="00123F9E"/>
    <w:rsid w:val="0012413F"/>
    <w:rsid w:val="001241C7"/>
    <w:rsid w:val="001241D4"/>
    <w:rsid w:val="00124365"/>
    <w:rsid w:val="001243C1"/>
    <w:rsid w:val="00124455"/>
    <w:rsid w:val="0012449C"/>
    <w:rsid w:val="001247EB"/>
    <w:rsid w:val="00124B9A"/>
    <w:rsid w:val="00124C58"/>
    <w:rsid w:val="00124F3C"/>
    <w:rsid w:val="001252C9"/>
    <w:rsid w:val="0012559D"/>
    <w:rsid w:val="001256BA"/>
    <w:rsid w:val="00125AA6"/>
    <w:rsid w:val="00125B61"/>
    <w:rsid w:val="00125C56"/>
    <w:rsid w:val="00125F7D"/>
    <w:rsid w:val="00126122"/>
    <w:rsid w:val="0012613C"/>
    <w:rsid w:val="00126243"/>
    <w:rsid w:val="001262B9"/>
    <w:rsid w:val="00126A89"/>
    <w:rsid w:val="00126A8E"/>
    <w:rsid w:val="00126B3D"/>
    <w:rsid w:val="00126DEF"/>
    <w:rsid w:val="00126F36"/>
    <w:rsid w:val="00126F7C"/>
    <w:rsid w:val="0012701F"/>
    <w:rsid w:val="00127044"/>
    <w:rsid w:val="00127613"/>
    <w:rsid w:val="00127BBC"/>
    <w:rsid w:val="00127F66"/>
    <w:rsid w:val="0013004E"/>
    <w:rsid w:val="00130095"/>
    <w:rsid w:val="001302F2"/>
    <w:rsid w:val="00130302"/>
    <w:rsid w:val="0013035D"/>
    <w:rsid w:val="00130471"/>
    <w:rsid w:val="00130533"/>
    <w:rsid w:val="0013057A"/>
    <w:rsid w:val="001305F5"/>
    <w:rsid w:val="001306C8"/>
    <w:rsid w:val="001306F2"/>
    <w:rsid w:val="0013074F"/>
    <w:rsid w:val="0013082C"/>
    <w:rsid w:val="0013098A"/>
    <w:rsid w:val="00130A71"/>
    <w:rsid w:val="00130F1E"/>
    <w:rsid w:val="001310E9"/>
    <w:rsid w:val="0013111E"/>
    <w:rsid w:val="001312CD"/>
    <w:rsid w:val="001312F8"/>
    <w:rsid w:val="00131373"/>
    <w:rsid w:val="00131445"/>
    <w:rsid w:val="00131486"/>
    <w:rsid w:val="001314D2"/>
    <w:rsid w:val="001318BD"/>
    <w:rsid w:val="00131AB1"/>
    <w:rsid w:val="00131D45"/>
    <w:rsid w:val="00131D54"/>
    <w:rsid w:val="00131EDB"/>
    <w:rsid w:val="001320F0"/>
    <w:rsid w:val="00132174"/>
    <w:rsid w:val="00132231"/>
    <w:rsid w:val="00132599"/>
    <w:rsid w:val="001325D7"/>
    <w:rsid w:val="00132649"/>
    <w:rsid w:val="00132774"/>
    <w:rsid w:val="001327CF"/>
    <w:rsid w:val="0013299D"/>
    <w:rsid w:val="00132C2B"/>
    <w:rsid w:val="00132C5F"/>
    <w:rsid w:val="00132D27"/>
    <w:rsid w:val="00132E0D"/>
    <w:rsid w:val="00132E0F"/>
    <w:rsid w:val="00132E8B"/>
    <w:rsid w:val="00132EC0"/>
    <w:rsid w:val="001330DB"/>
    <w:rsid w:val="001331D5"/>
    <w:rsid w:val="00133296"/>
    <w:rsid w:val="00133337"/>
    <w:rsid w:val="001336E0"/>
    <w:rsid w:val="00133ABF"/>
    <w:rsid w:val="00133ADA"/>
    <w:rsid w:val="00133C15"/>
    <w:rsid w:val="00133C61"/>
    <w:rsid w:val="00133C8A"/>
    <w:rsid w:val="00133F34"/>
    <w:rsid w:val="001343D4"/>
    <w:rsid w:val="001343E1"/>
    <w:rsid w:val="001344FD"/>
    <w:rsid w:val="00134530"/>
    <w:rsid w:val="0013484F"/>
    <w:rsid w:val="00134893"/>
    <w:rsid w:val="00134A8B"/>
    <w:rsid w:val="00134E86"/>
    <w:rsid w:val="001350D0"/>
    <w:rsid w:val="001351F7"/>
    <w:rsid w:val="00135273"/>
    <w:rsid w:val="001353F4"/>
    <w:rsid w:val="00135411"/>
    <w:rsid w:val="0013541D"/>
    <w:rsid w:val="00135A76"/>
    <w:rsid w:val="00135B4A"/>
    <w:rsid w:val="00135DEA"/>
    <w:rsid w:val="00135E48"/>
    <w:rsid w:val="00135F5C"/>
    <w:rsid w:val="00135FC9"/>
    <w:rsid w:val="00136157"/>
    <w:rsid w:val="00136290"/>
    <w:rsid w:val="00136317"/>
    <w:rsid w:val="001363EA"/>
    <w:rsid w:val="001366BA"/>
    <w:rsid w:val="00136803"/>
    <w:rsid w:val="0013681C"/>
    <w:rsid w:val="0013684B"/>
    <w:rsid w:val="00136CC2"/>
    <w:rsid w:val="00136D2D"/>
    <w:rsid w:val="00137059"/>
    <w:rsid w:val="0013705C"/>
    <w:rsid w:val="00137076"/>
    <w:rsid w:val="00137430"/>
    <w:rsid w:val="001374A7"/>
    <w:rsid w:val="001375A6"/>
    <w:rsid w:val="001375B9"/>
    <w:rsid w:val="001375BD"/>
    <w:rsid w:val="001376F1"/>
    <w:rsid w:val="00137880"/>
    <w:rsid w:val="00137955"/>
    <w:rsid w:val="001379E1"/>
    <w:rsid w:val="00137C97"/>
    <w:rsid w:val="00137CD1"/>
    <w:rsid w:val="00137CED"/>
    <w:rsid w:val="00137EBF"/>
    <w:rsid w:val="00140103"/>
    <w:rsid w:val="001401C2"/>
    <w:rsid w:val="00140271"/>
    <w:rsid w:val="001405D9"/>
    <w:rsid w:val="00140620"/>
    <w:rsid w:val="00140779"/>
    <w:rsid w:val="00140C09"/>
    <w:rsid w:val="00140C6D"/>
    <w:rsid w:val="00140C83"/>
    <w:rsid w:val="00140D3D"/>
    <w:rsid w:val="00140FAD"/>
    <w:rsid w:val="00141192"/>
    <w:rsid w:val="0014148A"/>
    <w:rsid w:val="00141605"/>
    <w:rsid w:val="001416A0"/>
    <w:rsid w:val="001416FB"/>
    <w:rsid w:val="001418BD"/>
    <w:rsid w:val="001418C0"/>
    <w:rsid w:val="00141B7B"/>
    <w:rsid w:val="00141DB9"/>
    <w:rsid w:val="00142076"/>
    <w:rsid w:val="001421C3"/>
    <w:rsid w:val="00142283"/>
    <w:rsid w:val="001424DB"/>
    <w:rsid w:val="001427E5"/>
    <w:rsid w:val="0014283E"/>
    <w:rsid w:val="001428AE"/>
    <w:rsid w:val="00142C0D"/>
    <w:rsid w:val="00142DE5"/>
    <w:rsid w:val="00143478"/>
    <w:rsid w:val="0014361D"/>
    <w:rsid w:val="00143752"/>
    <w:rsid w:val="00143CE6"/>
    <w:rsid w:val="00143E5F"/>
    <w:rsid w:val="00143F2F"/>
    <w:rsid w:val="001440FD"/>
    <w:rsid w:val="001446A8"/>
    <w:rsid w:val="0014482A"/>
    <w:rsid w:val="001448DE"/>
    <w:rsid w:val="00144990"/>
    <w:rsid w:val="00144AC6"/>
    <w:rsid w:val="00144AD5"/>
    <w:rsid w:val="00144ADD"/>
    <w:rsid w:val="00144B7C"/>
    <w:rsid w:val="00144BE6"/>
    <w:rsid w:val="00144CAB"/>
    <w:rsid w:val="001451BA"/>
    <w:rsid w:val="00145231"/>
    <w:rsid w:val="001453C7"/>
    <w:rsid w:val="0014559C"/>
    <w:rsid w:val="00145A30"/>
    <w:rsid w:val="00145A39"/>
    <w:rsid w:val="00145EB6"/>
    <w:rsid w:val="00146277"/>
    <w:rsid w:val="00146287"/>
    <w:rsid w:val="001462FD"/>
    <w:rsid w:val="001464E4"/>
    <w:rsid w:val="001464F4"/>
    <w:rsid w:val="0014652A"/>
    <w:rsid w:val="00146624"/>
    <w:rsid w:val="001466D4"/>
    <w:rsid w:val="00146726"/>
    <w:rsid w:val="00146A47"/>
    <w:rsid w:val="00146B47"/>
    <w:rsid w:val="00146EFA"/>
    <w:rsid w:val="00146F08"/>
    <w:rsid w:val="00147325"/>
    <w:rsid w:val="001473BD"/>
    <w:rsid w:val="0014743B"/>
    <w:rsid w:val="0015004C"/>
    <w:rsid w:val="001502C6"/>
    <w:rsid w:val="00150376"/>
    <w:rsid w:val="0015070D"/>
    <w:rsid w:val="001507DC"/>
    <w:rsid w:val="00150927"/>
    <w:rsid w:val="00150BC1"/>
    <w:rsid w:val="00150BE9"/>
    <w:rsid w:val="00150F3E"/>
    <w:rsid w:val="001510AE"/>
    <w:rsid w:val="00151175"/>
    <w:rsid w:val="00151220"/>
    <w:rsid w:val="001514D1"/>
    <w:rsid w:val="00151B19"/>
    <w:rsid w:val="00151C61"/>
    <w:rsid w:val="00151C66"/>
    <w:rsid w:val="00151C77"/>
    <w:rsid w:val="00151CE6"/>
    <w:rsid w:val="00151DBD"/>
    <w:rsid w:val="00151E2A"/>
    <w:rsid w:val="00151FB0"/>
    <w:rsid w:val="00152268"/>
    <w:rsid w:val="00152786"/>
    <w:rsid w:val="00152B09"/>
    <w:rsid w:val="00152C1D"/>
    <w:rsid w:val="00152C61"/>
    <w:rsid w:val="00152D2B"/>
    <w:rsid w:val="00152F73"/>
    <w:rsid w:val="001531D6"/>
    <w:rsid w:val="001533AB"/>
    <w:rsid w:val="001533FC"/>
    <w:rsid w:val="00153415"/>
    <w:rsid w:val="0015343F"/>
    <w:rsid w:val="00153589"/>
    <w:rsid w:val="0015358A"/>
    <w:rsid w:val="00153747"/>
    <w:rsid w:val="00153809"/>
    <w:rsid w:val="001538A4"/>
    <w:rsid w:val="00153984"/>
    <w:rsid w:val="00153A2E"/>
    <w:rsid w:val="00153C2F"/>
    <w:rsid w:val="00153C47"/>
    <w:rsid w:val="00153CA8"/>
    <w:rsid w:val="001542F7"/>
    <w:rsid w:val="001542FC"/>
    <w:rsid w:val="00154593"/>
    <w:rsid w:val="001546AA"/>
    <w:rsid w:val="001546C2"/>
    <w:rsid w:val="00154906"/>
    <w:rsid w:val="00154ACD"/>
    <w:rsid w:val="00154B6E"/>
    <w:rsid w:val="00154B73"/>
    <w:rsid w:val="00154C3E"/>
    <w:rsid w:val="00154DBD"/>
    <w:rsid w:val="00154F3B"/>
    <w:rsid w:val="00155265"/>
    <w:rsid w:val="00155434"/>
    <w:rsid w:val="0015550B"/>
    <w:rsid w:val="001559BB"/>
    <w:rsid w:val="00155A6A"/>
    <w:rsid w:val="00155AE7"/>
    <w:rsid w:val="00155BDA"/>
    <w:rsid w:val="00155D7B"/>
    <w:rsid w:val="00155FB1"/>
    <w:rsid w:val="00156236"/>
    <w:rsid w:val="0015641D"/>
    <w:rsid w:val="0015642E"/>
    <w:rsid w:val="00156460"/>
    <w:rsid w:val="001566E1"/>
    <w:rsid w:val="001566E4"/>
    <w:rsid w:val="001568C2"/>
    <w:rsid w:val="0015695F"/>
    <w:rsid w:val="00156B6E"/>
    <w:rsid w:val="00156CA0"/>
    <w:rsid w:val="00156E7F"/>
    <w:rsid w:val="00156FA7"/>
    <w:rsid w:val="00156FFA"/>
    <w:rsid w:val="00157174"/>
    <w:rsid w:val="001572D2"/>
    <w:rsid w:val="001573CD"/>
    <w:rsid w:val="00157422"/>
    <w:rsid w:val="0015745E"/>
    <w:rsid w:val="001574E0"/>
    <w:rsid w:val="00157557"/>
    <w:rsid w:val="00157669"/>
    <w:rsid w:val="00157700"/>
    <w:rsid w:val="001577A6"/>
    <w:rsid w:val="001578AD"/>
    <w:rsid w:val="001601DC"/>
    <w:rsid w:val="0016023A"/>
    <w:rsid w:val="00160469"/>
    <w:rsid w:val="00160C62"/>
    <w:rsid w:val="00160C85"/>
    <w:rsid w:val="00160E02"/>
    <w:rsid w:val="00160E39"/>
    <w:rsid w:val="00160E61"/>
    <w:rsid w:val="00160FD1"/>
    <w:rsid w:val="00161177"/>
    <w:rsid w:val="001612BE"/>
    <w:rsid w:val="001613C1"/>
    <w:rsid w:val="001613F0"/>
    <w:rsid w:val="00161455"/>
    <w:rsid w:val="00161596"/>
    <w:rsid w:val="001615B3"/>
    <w:rsid w:val="00161662"/>
    <w:rsid w:val="001616DB"/>
    <w:rsid w:val="00161709"/>
    <w:rsid w:val="00161899"/>
    <w:rsid w:val="001618D3"/>
    <w:rsid w:val="00161A90"/>
    <w:rsid w:val="00161AC3"/>
    <w:rsid w:val="00161C8C"/>
    <w:rsid w:val="00161D10"/>
    <w:rsid w:val="00161E00"/>
    <w:rsid w:val="00161EB2"/>
    <w:rsid w:val="00161FDC"/>
    <w:rsid w:val="001624FD"/>
    <w:rsid w:val="0016258C"/>
    <w:rsid w:val="00162909"/>
    <w:rsid w:val="00162AFB"/>
    <w:rsid w:val="00162C03"/>
    <w:rsid w:val="00162DBF"/>
    <w:rsid w:val="00162E21"/>
    <w:rsid w:val="00162F17"/>
    <w:rsid w:val="00163308"/>
    <w:rsid w:val="0016337C"/>
    <w:rsid w:val="0016352F"/>
    <w:rsid w:val="0016354D"/>
    <w:rsid w:val="0016357C"/>
    <w:rsid w:val="001637CE"/>
    <w:rsid w:val="00163B7A"/>
    <w:rsid w:val="00163C72"/>
    <w:rsid w:val="00163F0D"/>
    <w:rsid w:val="0016428F"/>
    <w:rsid w:val="0016449F"/>
    <w:rsid w:val="0016455C"/>
    <w:rsid w:val="0016475E"/>
    <w:rsid w:val="00164814"/>
    <w:rsid w:val="00164991"/>
    <w:rsid w:val="00164A84"/>
    <w:rsid w:val="00164B8D"/>
    <w:rsid w:val="00164CF8"/>
    <w:rsid w:val="00164D32"/>
    <w:rsid w:val="00164E3F"/>
    <w:rsid w:val="00164E40"/>
    <w:rsid w:val="00164F26"/>
    <w:rsid w:val="0016503A"/>
    <w:rsid w:val="00165188"/>
    <w:rsid w:val="0016522E"/>
    <w:rsid w:val="001652E5"/>
    <w:rsid w:val="00165321"/>
    <w:rsid w:val="001653AE"/>
    <w:rsid w:val="00165501"/>
    <w:rsid w:val="00165558"/>
    <w:rsid w:val="0016586A"/>
    <w:rsid w:val="0016599B"/>
    <w:rsid w:val="00165B2D"/>
    <w:rsid w:val="00165B2E"/>
    <w:rsid w:val="00165B7B"/>
    <w:rsid w:val="00165BF3"/>
    <w:rsid w:val="00165C87"/>
    <w:rsid w:val="00165D27"/>
    <w:rsid w:val="00165F84"/>
    <w:rsid w:val="00166221"/>
    <w:rsid w:val="00166374"/>
    <w:rsid w:val="001663F3"/>
    <w:rsid w:val="001664A1"/>
    <w:rsid w:val="00166881"/>
    <w:rsid w:val="00166BD7"/>
    <w:rsid w:val="00166C01"/>
    <w:rsid w:val="00166C48"/>
    <w:rsid w:val="00166D63"/>
    <w:rsid w:val="00166D98"/>
    <w:rsid w:val="00166DC5"/>
    <w:rsid w:val="00166FD9"/>
    <w:rsid w:val="001671ED"/>
    <w:rsid w:val="001673F6"/>
    <w:rsid w:val="00167690"/>
    <w:rsid w:val="00167790"/>
    <w:rsid w:val="00167896"/>
    <w:rsid w:val="0016797B"/>
    <w:rsid w:val="00167B56"/>
    <w:rsid w:val="0017002F"/>
    <w:rsid w:val="001702BE"/>
    <w:rsid w:val="0017089B"/>
    <w:rsid w:val="0017091A"/>
    <w:rsid w:val="0017092A"/>
    <w:rsid w:val="001709E8"/>
    <w:rsid w:val="00170A69"/>
    <w:rsid w:val="00170C23"/>
    <w:rsid w:val="00170D5B"/>
    <w:rsid w:val="00170E12"/>
    <w:rsid w:val="001710E5"/>
    <w:rsid w:val="00171105"/>
    <w:rsid w:val="0017115D"/>
    <w:rsid w:val="00171221"/>
    <w:rsid w:val="001713D4"/>
    <w:rsid w:val="0017144A"/>
    <w:rsid w:val="0017153C"/>
    <w:rsid w:val="001718B3"/>
    <w:rsid w:val="0017192F"/>
    <w:rsid w:val="00171B25"/>
    <w:rsid w:val="00171E96"/>
    <w:rsid w:val="0017268D"/>
    <w:rsid w:val="001726D9"/>
    <w:rsid w:val="001726ED"/>
    <w:rsid w:val="0017270F"/>
    <w:rsid w:val="00172756"/>
    <w:rsid w:val="001729FE"/>
    <w:rsid w:val="00172B8F"/>
    <w:rsid w:val="00172C00"/>
    <w:rsid w:val="00172E69"/>
    <w:rsid w:val="00172EC1"/>
    <w:rsid w:val="00172FA5"/>
    <w:rsid w:val="00172FC5"/>
    <w:rsid w:val="001730A0"/>
    <w:rsid w:val="00173396"/>
    <w:rsid w:val="001733B0"/>
    <w:rsid w:val="00173618"/>
    <w:rsid w:val="00173686"/>
    <w:rsid w:val="001736C4"/>
    <w:rsid w:val="001736F8"/>
    <w:rsid w:val="0017395C"/>
    <w:rsid w:val="001739FF"/>
    <w:rsid w:val="00173A4D"/>
    <w:rsid w:val="00173AC7"/>
    <w:rsid w:val="00173ACA"/>
    <w:rsid w:val="00173BFC"/>
    <w:rsid w:val="00173D85"/>
    <w:rsid w:val="00173E52"/>
    <w:rsid w:val="001742B4"/>
    <w:rsid w:val="00174385"/>
    <w:rsid w:val="001744A7"/>
    <w:rsid w:val="00174537"/>
    <w:rsid w:val="0017479A"/>
    <w:rsid w:val="001747CC"/>
    <w:rsid w:val="001748C8"/>
    <w:rsid w:val="001749B5"/>
    <w:rsid w:val="00174B06"/>
    <w:rsid w:val="00174BB4"/>
    <w:rsid w:val="00174D51"/>
    <w:rsid w:val="00174D58"/>
    <w:rsid w:val="00174F10"/>
    <w:rsid w:val="00174FD4"/>
    <w:rsid w:val="00175116"/>
    <w:rsid w:val="0017512D"/>
    <w:rsid w:val="00175137"/>
    <w:rsid w:val="001751BB"/>
    <w:rsid w:val="00175286"/>
    <w:rsid w:val="001752F0"/>
    <w:rsid w:val="00175429"/>
    <w:rsid w:val="00175567"/>
    <w:rsid w:val="00175A9A"/>
    <w:rsid w:val="00175B0B"/>
    <w:rsid w:val="00175BCF"/>
    <w:rsid w:val="00175DB5"/>
    <w:rsid w:val="00175EF3"/>
    <w:rsid w:val="00175F95"/>
    <w:rsid w:val="00175FCE"/>
    <w:rsid w:val="0017602A"/>
    <w:rsid w:val="001760A6"/>
    <w:rsid w:val="0017611D"/>
    <w:rsid w:val="001761B0"/>
    <w:rsid w:val="00176291"/>
    <w:rsid w:val="0017649C"/>
    <w:rsid w:val="001768B1"/>
    <w:rsid w:val="00176902"/>
    <w:rsid w:val="0017694C"/>
    <w:rsid w:val="00176BC8"/>
    <w:rsid w:val="00176BD1"/>
    <w:rsid w:val="00176C8B"/>
    <w:rsid w:val="00176E6E"/>
    <w:rsid w:val="001771EF"/>
    <w:rsid w:val="001771F5"/>
    <w:rsid w:val="001772A6"/>
    <w:rsid w:val="001772FE"/>
    <w:rsid w:val="0017742A"/>
    <w:rsid w:val="0017743F"/>
    <w:rsid w:val="00177445"/>
    <w:rsid w:val="00177462"/>
    <w:rsid w:val="00177627"/>
    <w:rsid w:val="00177650"/>
    <w:rsid w:val="001777C5"/>
    <w:rsid w:val="00177862"/>
    <w:rsid w:val="001778A9"/>
    <w:rsid w:val="00177B0F"/>
    <w:rsid w:val="00177B8D"/>
    <w:rsid w:val="00177B8F"/>
    <w:rsid w:val="00177CB2"/>
    <w:rsid w:val="00177D59"/>
    <w:rsid w:val="00177E99"/>
    <w:rsid w:val="00180016"/>
    <w:rsid w:val="00180108"/>
    <w:rsid w:val="001801E7"/>
    <w:rsid w:val="00180241"/>
    <w:rsid w:val="001802F5"/>
    <w:rsid w:val="0018052D"/>
    <w:rsid w:val="00180570"/>
    <w:rsid w:val="001806D7"/>
    <w:rsid w:val="00180709"/>
    <w:rsid w:val="00180864"/>
    <w:rsid w:val="001808B6"/>
    <w:rsid w:val="001809AB"/>
    <w:rsid w:val="00180D36"/>
    <w:rsid w:val="00180D3B"/>
    <w:rsid w:val="00181094"/>
    <w:rsid w:val="00181467"/>
    <w:rsid w:val="00181546"/>
    <w:rsid w:val="00181783"/>
    <w:rsid w:val="0018184A"/>
    <w:rsid w:val="00181966"/>
    <w:rsid w:val="001819AC"/>
    <w:rsid w:val="00181AEE"/>
    <w:rsid w:val="00181BB7"/>
    <w:rsid w:val="00181BC1"/>
    <w:rsid w:val="00181CD1"/>
    <w:rsid w:val="00181CFD"/>
    <w:rsid w:val="00181D59"/>
    <w:rsid w:val="00181D77"/>
    <w:rsid w:val="00182294"/>
    <w:rsid w:val="001825ED"/>
    <w:rsid w:val="00182666"/>
    <w:rsid w:val="001827D0"/>
    <w:rsid w:val="00182885"/>
    <w:rsid w:val="00182BC6"/>
    <w:rsid w:val="00182CA3"/>
    <w:rsid w:val="00182E28"/>
    <w:rsid w:val="00182E82"/>
    <w:rsid w:val="00182EEC"/>
    <w:rsid w:val="00183209"/>
    <w:rsid w:val="00183380"/>
    <w:rsid w:val="001834F6"/>
    <w:rsid w:val="001835EE"/>
    <w:rsid w:val="00183636"/>
    <w:rsid w:val="001836DA"/>
    <w:rsid w:val="00183776"/>
    <w:rsid w:val="00183971"/>
    <w:rsid w:val="00183979"/>
    <w:rsid w:val="00183A1E"/>
    <w:rsid w:val="00183BAE"/>
    <w:rsid w:val="00183C47"/>
    <w:rsid w:val="00183CA1"/>
    <w:rsid w:val="00183D3B"/>
    <w:rsid w:val="00183D93"/>
    <w:rsid w:val="00183E09"/>
    <w:rsid w:val="001840A9"/>
    <w:rsid w:val="001841A2"/>
    <w:rsid w:val="00184273"/>
    <w:rsid w:val="001845D5"/>
    <w:rsid w:val="001845DC"/>
    <w:rsid w:val="001846A4"/>
    <w:rsid w:val="001848D3"/>
    <w:rsid w:val="00184A2D"/>
    <w:rsid w:val="00184B96"/>
    <w:rsid w:val="00184BAE"/>
    <w:rsid w:val="00184C97"/>
    <w:rsid w:val="00184DE5"/>
    <w:rsid w:val="00184E9B"/>
    <w:rsid w:val="00184EFE"/>
    <w:rsid w:val="0018503B"/>
    <w:rsid w:val="0018522B"/>
    <w:rsid w:val="001855A7"/>
    <w:rsid w:val="00185703"/>
    <w:rsid w:val="0018573D"/>
    <w:rsid w:val="001858D8"/>
    <w:rsid w:val="001858ED"/>
    <w:rsid w:val="00185A75"/>
    <w:rsid w:val="00185A77"/>
    <w:rsid w:val="00185A81"/>
    <w:rsid w:val="00185B94"/>
    <w:rsid w:val="00185C34"/>
    <w:rsid w:val="00185E15"/>
    <w:rsid w:val="00185E64"/>
    <w:rsid w:val="00185EA3"/>
    <w:rsid w:val="00185FF7"/>
    <w:rsid w:val="00186495"/>
    <w:rsid w:val="0018656E"/>
    <w:rsid w:val="0018673F"/>
    <w:rsid w:val="0018675F"/>
    <w:rsid w:val="00186965"/>
    <w:rsid w:val="00186B34"/>
    <w:rsid w:val="00186C90"/>
    <w:rsid w:val="00186D01"/>
    <w:rsid w:val="00186D26"/>
    <w:rsid w:val="00186DEC"/>
    <w:rsid w:val="00186E1A"/>
    <w:rsid w:val="00186FA9"/>
    <w:rsid w:val="00187067"/>
    <w:rsid w:val="00187172"/>
    <w:rsid w:val="001871B8"/>
    <w:rsid w:val="001878CA"/>
    <w:rsid w:val="00187944"/>
    <w:rsid w:val="00187AB8"/>
    <w:rsid w:val="00187B34"/>
    <w:rsid w:val="001901CB"/>
    <w:rsid w:val="00190263"/>
    <w:rsid w:val="00190281"/>
    <w:rsid w:val="001902C0"/>
    <w:rsid w:val="0019031D"/>
    <w:rsid w:val="0019035D"/>
    <w:rsid w:val="001903D0"/>
    <w:rsid w:val="001903E4"/>
    <w:rsid w:val="00190482"/>
    <w:rsid w:val="001904DE"/>
    <w:rsid w:val="00190560"/>
    <w:rsid w:val="00190620"/>
    <w:rsid w:val="0019076E"/>
    <w:rsid w:val="00190787"/>
    <w:rsid w:val="001907E9"/>
    <w:rsid w:val="001908B5"/>
    <w:rsid w:val="001908C7"/>
    <w:rsid w:val="00190914"/>
    <w:rsid w:val="00190943"/>
    <w:rsid w:val="001909EC"/>
    <w:rsid w:val="00190BDD"/>
    <w:rsid w:val="00190D02"/>
    <w:rsid w:val="00190D90"/>
    <w:rsid w:val="001910DC"/>
    <w:rsid w:val="001913F2"/>
    <w:rsid w:val="00191430"/>
    <w:rsid w:val="0019167C"/>
    <w:rsid w:val="001916C8"/>
    <w:rsid w:val="00191BEB"/>
    <w:rsid w:val="00191DDA"/>
    <w:rsid w:val="00192164"/>
    <w:rsid w:val="001922C0"/>
    <w:rsid w:val="001925D5"/>
    <w:rsid w:val="001927CE"/>
    <w:rsid w:val="0019294B"/>
    <w:rsid w:val="0019296E"/>
    <w:rsid w:val="0019297F"/>
    <w:rsid w:val="00192C2D"/>
    <w:rsid w:val="00192EE3"/>
    <w:rsid w:val="00193181"/>
    <w:rsid w:val="00193314"/>
    <w:rsid w:val="0019336B"/>
    <w:rsid w:val="00193544"/>
    <w:rsid w:val="0019362A"/>
    <w:rsid w:val="0019362F"/>
    <w:rsid w:val="001936E7"/>
    <w:rsid w:val="00193C1B"/>
    <w:rsid w:val="00193C9C"/>
    <w:rsid w:val="00193D32"/>
    <w:rsid w:val="00193D50"/>
    <w:rsid w:val="00193F32"/>
    <w:rsid w:val="0019434A"/>
    <w:rsid w:val="00194380"/>
    <w:rsid w:val="00194473"/>
    <w:rsid w:val="0019474E"/>
    <w:rsid w:val="00194992"/>
    <w:rsid w:val="00194D90"/>
    <w:rsid w:val="00194EA4"/>
    <w:rsid w:val="00194EB4"/>
    <w:rsid w:val="00194EEC"/>
    <w:rsid w:val="001951B1"/>
    <w:rsid w:val="00195354"/>
    <w:rsid w:val="00195728"/>
    <w:rsid w:val="0019573E"/>
    <w:rsid w:val="00195885"/>
    <w:rsid w:val="00195A50"/>
    <w:rsid w:val="00195B4C"/>
    <w:rsid w:val="00195E82"/>
    <w:rsid w:val="0019601A"/>
    <w:rsid w:val="001960A6"/>
    <w:rsid w:val="0019620C"/>
    <w:rsid w:val="00196349"/>
    <w:rsid w:val="001963FB"/>
    <w:rsid w:val="0019649D"/>
    <w:rsid w:val="001964A5"/>
    <w:rsid w:val="0019653E"/>
    <w:rsid w:val="001967E4"/>
    <w:rsid w:val="00196921"/>
    <w:rsid w:val="00196F76"/>
    <w:rsid w:val="001970C0"/>
    <w:rsid w:val="0019743F"/>
    <w:rsid w:val="0019757F"/>
    <w:rsid w:val="00197783"/>
    <w:rsid w:val="001977AA"/>
    <w:rsid w:val="00197A50"/>
    <w:rsid w:val="00197D6A"/>
    <w:rsid w:val="00197E0E"/>
    <w:rsid w:val="00197E90"/>
    <w:rsid w:val="00197F25"/>
    <w:rsid w:val="001A0156"/>
    <w:rsid w:val="001A021F"/>
    <w:rsid w:val="001A0605"/>
    <w:rsid w:val="001A06DF"/>
    <w:rsid w:val="001A06F2"/>
    <w:rsid w:val="001A076A"/>
    <w:rsid w:val="001A077E"/>
    <w:rsid w:val="001A07B4"/>
    <w:rsid w:val="001A0985"/>
    <w:rsid w:val="001A0C35"/>
    <w:rsid w:val="001A0C57"/>
    <w:rsid w:val="001A0C77"/>
    <w:rsid w:val="001A0D68"/>
    <w:rsid w:val="001A0D73"/>
    <w:rsid w:val="001A0E13"/>
    <w:rsid w:val="001A0F57"/>
    <w:rsid w:val="001A1023"/>
    <w:rsid w:val="001A1117"/>
    <w:rsid w:val="001A1121"/>
    <w:rsid w:val="001A115D"/>
    <w:rsid w:val="001A1334"/>
    <w:rsid w:val="001A1345"/>
    <w:rsid w:val="001A1799"/>
    <w:rsid w:val="001A1863"/>
    <w:rsid w:val="001A1CB7"/>
    <w:rsid w:val="001A1D03"/>
    <w:rsid w:val="001A1D65"/>
    <w:rsid w:val="001A1D71"/>
    <w:rsid w:val="001A1F63"/>
    <w:rsid w:val="001A202D"/>
    <w:rsid w:val="001A219A"/>
    <w:rsid w:val="001A2476"/>
    <w:rsid w:val="001A24AA"/>
    <w:rsid w:val="001A24C0"/>
    <w:rsid w:val="001A24DC"/>
    <w:rsid w:val="001A2638"/>
    <w:rsid w:val="001A2834"/>
    <w:rsid w:val="001A2989"/>
    <w:rsid w:val="001A29A3"/>
    <w:rsid w:val="001A2BF7"/>
    <w:rsid w:val="001A2C90"/>
    <w:rsid w:val="001A2E3D"/>
    <w:rsid w:val="001A2F1C"/>
    <w:rsid w:val="001A2F23"/>
    <w:rsid w:val="001A2F79"/>
    <w:rsid w:val="001A30B7"/>
    <w:rsid w:val="001A3155"/>
    <w:rsid w:val="001A31E0"/>
    <w:rsid w:val="001A31EB"/>
    <w:rsid w:val="001A31F9"/>
    <w:rsid w:val="001A357F"/>
    <w:rsid w:val="001A372E"/>
    <w:rsid w:val="001A390B"/>
    <w:rsid w:val="001A391A"/>
    <w:rsid w:val="001A39BB"/>
    <w:rsid w:val="001A3AEC"/>
    <w:rsid w:val="001A3DB4"/>
    <w:rsid w:val="001A3FF5"/>
    <w:rsid w:val="001A40A5"/>
    <w:rsid w:val="001A4185"/>
    <w:rsid w:val="001A420B"/>
    <w:rsid w:val="001A423F"/>
    <w:rsid w:val="001A483B"/>
    <w:rsid w:val="001A49C0"/>
    <w:rsid w:val="001A4B5D"/>
    <w:rsid w:val="001A4B97"/>
    <w:rsid w:val="001A4BB6"/>
    <w:rsid w:val="001A4F7D"/>
    <w:rsid w:val="001A507D"/>
    <w:rsid w:val="001A51EB"/>
    <w:rsid w:val="001A528D"/>
    <w:rsid w:val="001A529E"/>
    <w:rsid w:val="001A5417"/>
    <w:rsid w:val="001A55BF"/>
    <w:rsid w:val="001A55D8"/>
    <w:rsid w:val="001A566E"/>
    <w:rsid w:val="001A5675"/>
    <w:rsid w:val="001A5777"/>
    <w:rsid w:val="001A57B1"/>
    <w:rsid w:val="001A59DA"/>
    <w:rsid w:val="001A5A6C"/>
    <w:rsid w:val="001A5BC6"/>
    <w:rsid w:val="001A5C6C"/>
    <w:rsid w:val="001A5D94"/>
    <w:rsid w:val="001A5E16"/>
    <w:rsid w:val="001A61F7"/>
    <w:rsid w:val="001A6226"/>
    <w:rsid w:val="001A669D"/>
    <w:rsid w:val="001A6749"/>
    <w:rsid w:val="001A6780"/>
    <w:rsid w:val="001A678B"/>
    <w:rsid w:val="001A6995"/>
    <w:rsid w:val="001A6A71"/>
    <w:rsid w:val="001A6B91"/>
    <w:rsid w:val="001A6D4E"/>
    <w:rsid w:val="001A6D74"/>
    <w:rsid w:val="001A7118"/>
    <w:rsid w:val="001A75C8"/>
    <w:rsid w:val="001A7A1E"/>
    <w:rsid w:val="001A7AA0"/>
    <w:rsid w:val="001A7B42"/>
    <w:rsid w:val="001A7B5A"/>
    <w:rsid w:val="001A7BB0"/>
    <w:rsid w:val="001A7D8F"/>
    <w:rsid w:val="001A7E77"/>
    <w:rsid w:val="001A7E81"/>
    <w:rsid w:val="001B00B9"/>
    <w:rsid w:val="001B01D9"/>
    <w:rsid w:val="001B02E8"/>
    <w:rsid w:val="001B03F6"/>
    <w:rsid w:val="001B04E0"/>
    <w:rsid w:val="001B053B"/>
    <w:rsid w:val="001B0541"/>
    <w:rsid w:val="001B0553"/>
    <w:rsid w:val="001B05C7"/>
    <w:rsid w:val="001B061F"/>
    <w:rsid w:val="001B0658"/>
    <w:rsid w:val="001B0987"/>
    <w:rsid w:val="001B0997"/>
    <w:rsid w:val="001B09C3"/>
    <w:rsid w:val="001B0A24"/>
    <w:rsid w:val="001B0AE8"/>
    <w:rsid w:val="001B0BA6"/>
    <w:rsid w:val="001B0DE1"/>
    <w:rsid w:val="001B0F14"/>
    <w:rsid w:val="001B1160"/>
    <w:rsid w:val="001B120A"/>
    <w:rsid w:val="001B12FB"/>
    <w:rsid w:val="001B134F"/>
    <w:rsid w:val="001B1439"/>
    <w:rsid w:val="001B17E7"/>
    <w:rsid w:val="001B17F3"/>
    <w:rsid w:val="001B19D1"/>
    <w:rsid w:val="001B1ACE"/>
    <w:rsid w:val="001B1B53"/>
    <w:rsid w:val="001B1C2A"/>
    <w:rsid w:val="001B1C50"/>
    <w:rsid w:val="001B1C61"/>
    <w:rsid w:val="001B1D87"/>
    <w:rsid w:val="001B1D96"/>
    <w:rsid w:val="001B1DDD"/>
    <w:rsid w:val="001B1E74"/>
    <w:rsid w:val="001B1EF9"/>
    <w:rsid w:val="001B2202"/>
    <w:rsid w:val="001B2336"/>
    <w:rsid w:val="001B25D8"/>
    <w:rsid w:val="001B278E"/>
    <w:rsid w:val="001B2837"/>
    <w:rsid w:val="001B2904"/>
    <w:rsid w:val="001B29B1"/>
    <w:rsid w:val="001B2A1E"/>
    <w:rsid w:val="001B2A2F"/>
    <w:rsid w:val="001B2A97"/>
    <w:rsid w:val="001B2C44"/>
    <w:rsid w:val="001B2CD4"/>
    <w:rsid w:val="001B2E53"/>
    <w:rsid w:val="001B2E8C"/>
    <w:rsid w:val="001B3150"/>
    <w:rsid w:val="001B3249"/>
    <w:rsid w:val="001B340A"/>
    <w:rsid w:val="001B355B"/>
    <w:rsid w:val="001B38DA"/>
    <w:rsid w:val="001B3956"/>
    <w:rsid w:val="001B3A42"/>
    <w:rsid w:val="001B3B43"/>
    <w:rsid w:val="001B3CC1"/>
    <w:rsid w:val="001B3D8A"/>
    <w:rsid w:val="001B3E03"/>
    <w:rsid w:val="001B3EDF"/>
    <w:rsid w:val="001B3F53"/>
    <w:rsid w:val="001B40DA"/>
    <w:rsid w:val="001B4225"/>
    <w:rsid w:val="001B453C"/>
    <w:rsid w:val="001B4541"/>
    <w:rsid w:val="001B472E"/>
    <w:rsid w:val="001B4A8E"/>
    <w:rsid w:val="001B4A9F"/>
    <w:rsid w:val="001B4AC5"/>
    <w:rsid w:val="001B4B59"/>
    <w:rsid w:val="001B4D1E"/>
    <w:rsid w:val="001B4D24"/>
    <w:rsid w:val="001B4D6C"/>
    <w:rsid w:val="001B4E4E"/>
    <w:rsid w:val="001B4EBD"/>
    <w:rsid w:val="001B4F72"/>
    <w:rsid w:val="001B4FD4"/>
    <w:rsid w:val="001B4FFF"/>
    <w:rsid w:val="001B51FE"/>
    <w:rsid w:val="001B52AA"/>
    <w:rsid w:val="001B564F"/>
    <w:rsid w:val="001B566E"/>
    <w:rsid w:val="001B5D72"/>
    <w:rsid w:val="001B5DAB"/>
    <w:rsid w:val="001B60B8"/>
    <w:rsid w:val="001B627D"/>
    <w:rsid w:val="001B6519"/>
    <w:rsid w:val="001B6532"/>
    <w:rsid w:val="001B6706"/>
    <w:rsid w:val="001B68F5"/>
    <w:rsid w:val="001B6A0C"/>
    <w:rsid w:val="001B6A96"/>
    <w:rsid w:val="001B6B32"/>
    <w:rsid w:val="001B705B"/>
    <w:rsid w:val="001B7093"/>
    <w:rsid w:val="001B712C"/>
    <w:rsid w:val="001B7199"/>
    <w:rsid w:val="001B72CF"/>
    <w:rsid w:val="001B72E0"/>
    <w:rsid w:val="001B7329"/>
    <w:rsid w:val="001B747A"/>
    <w:rsid w:val="001B74F0"/>
    <w:rsid w:val="001B7592"/>
    <w:rsid w:val="001B75EA"/>
    <w:rsid w:val="001B76A0"/>
    <w:rsid w:val="001B78C1"/>
    <w:rsid w:val="001B78C8"/>
    <w:rsid w:val="001B799F"/>
    <w:rsid w:val="001B7B37"/>
    <w:rsid w:val="001B7BEF"/>
    <w:rsid w:val="001B7D43"/>
    <w:rsid w:val="001C0087"/>
    <w:rsid w:val="001C01D8"/>
    <w:rsid w:val="001C01FA"/>
    <w:rsid w:val="001C02BF"/>
    <w:rsid w:val="001C081E"/>
    <w:rsid w:val="001C0888"/>
    <w:rsid w:val="001C0912"/>
    <w:rsid w:val="001C09B2"/>
    <w:rsid w:val="001C0AD1"/>
    <w:rsid w:val="001C0C6F"/>
    <w:rsid w:val="001C0D5B"/>
    <w:rsid w:val="001C0D93"/>
    <w:rsid w:val="001C132D"/>
    <w:rsid w:val="001C140E"/>
    <w:rsid w:val="001C148B"/>
    <w:rsid w:val="001C154A"/>
    <w:rsid w:val="001C156F"/>
    <w:rsid w:val="001C1662"/>
    <w:rsid w:val="001C1735"/>
    <w:rsid w:val="001C174A"/>
    <w:rsid w:val="001C177C"/>
    <w:rsid w:val="001C17B2"/>
    <w:rsid w:val="001C1A8E"/>
    <w:rsid w:val="001C1ABD"/>
    <w:rsid w:val="001C1BCC"/>
    <w:rsid w:val="001C1D05"/>
    <w:rsid w:val="001C1ED3"/>
    <w:rsid w:val="001C2059"/>
    <w:rsid w:val="001C21BB"/>
    <w:rsid w:val="001C242D"/>
    <w:rsid w:val="001C25B8"/>
    <w:rsid w:val="001C2859"/>
    <w:rsid w:val="001C28A0"/>
    <w:rsid w:val="001C2A17"/>
    <w:rsid w:val="001C2A48"/>
    <w:rsid w:val="001C2CB4"/>
    <w:rsid w:val="001C2FC7"/>
    <w:rsid w:val="001C3107"/>
    <w:rsid w:val="001C31E9"/>
    <w:rsid w:val="001C3277"/>
    <w:rsid w:val="001C330C"/>
    <w:rsid w:val="001C3575"/>
    <w:rsid w:val="001C35C9"/>
    <w:rsid w:val="001C388E"/>
    <w:rsid w:val="001C38FA"/>
    <w:rsid w:val="001C3942"/>
    <w:rsid w:val="001C3A70"/>
    <w:rsid w:val="001C3A96"/>
    <w:rsid w:val="001C3B22"/>
    <w:rsid w:val="001C3B33"/>
    <w:rsid w:val="001C3CA1"/>
    <w:rsid w:val="001C3E26"/>
    <w:rsid w:val="001C3EC8"/>
    <w:rsid w:val="001C4125"/>
    <w:rsid w:val="001C4189"/>
    <w:rsid w:val="001C439C"/>
    <w:rsid w:val="001C440D"/>
    <w:rsid w:val="001C44F8"/>
    <w:rsid w:val="001C456F"/>
    <w:rsid w:val="001C4686"/>
    <w:rsid w:val="001C4718"/>
    <w:rsid w:val="001C47AC"/>
    <w:rsid w:val="001C47B6"/>
    <w:rsid w:val="001C4892"/>
    <w:rsid w:val="001C49A3"/>
    <w:rsid w:val="001C4A3E"/>
    <w:rsid w:val="001C4A66"/>
    <w:rsid w:val="001C4A7B"/>
    <w:rsid w:val="001C4F6F"/>
    <w:rsid w:val="001C501F"/>
    <w:rsid w:val="001C51E6"/>
    <w:rsid w:val="001C5258"/>
    <w:rsid w:val="001C5585"/>
    <w:rsid w:val="001C5679"/>
    <w:rsid w:val="001C5682"/>
    <w:rsid w:val="001C57A1"/>
    <w:rsid w:val="001C57CB"/>
    <w:rsid w:val="001C57DC"/>
    <w:rsid w:val="001C57FC"/>
    <w:rsid w:val="001C5997"/>
    <w:rsid w:val="001C59CC"/>
    <w:rsid w:val="001C5B23"/>
    <w:rsid w:val="001C5B65"/>
    <w:rsid w:val="001C5BB8"/>
    <w:rsid w:val="001C5E0D"/>
    <w:rsid w:val="001C5F5D"/>
    <w:rsid w:val="001C5FA5"/>
    <w:rsid w:val="001C60E9"/>
    <w:rsid w:val="001C618C"/>
    <w:rsid w:val="001C61BA"/>
    <w:rsid w:val="001C6280"/>
    <w:rsid w:val="001C6389"/>
    <w:rsid w:val="001C6905"/>
    <w:rsid w:val="001C69E3"/>
    <w:rsid w:val="001C6B9A"/>
    <w:rsid w:val="001C6BCD"/>
    <w:rsid w:val="001C6C00"/>
    <w:rsid w:val="001C6C35"/>
    <w:rsid w:val="001C6CD3"/>
    <w:rsid w:val="001C6DFD"/>
    <w:rsid w:val="001C6EB2"/>
    <w:rsid w:val="001C6EBD"/>
    <w:rsid w:val="001C724E"/>
    <w:rsid w:val="001C7344"/>
    <w:rsid w:val="001C73B9"/>
    <w:rsid w:val="001C744E"/>
    <w:rsid w:val="001C79F5"/>
    <w:rsid w:val="001C7AB6"/>
    <w:rsid w:val="001C7B21"/>
    <w:rsid w:val="001C7C26"/>
    <w:rsid w:val="001C7E1E"/>
    <w:rsid w:val="001C7F7F"/>
    <w:rsid w:val="001D01B7"/>
    <w:rsid w:val="001D023C"/>
    <w:rsid w:val="001D02C7"/>
    <w:rsid w:val="001D04A3"/>
    <w:rsid w:val="001D060B"/>
    <w:rsid w:val="001D07C4"/>
    <w:rsid w:val="001D0A01"/>
    <w:rsid w:val="001D0A36"/>
    <w:rsid w:val="001D0A43"/>
    <w:rsid w:val="001D0AD2"/>
    <w:rsid w:val="001D0C35"/>
    <w:rsid w:val="001D0DC9"/>
    <w:rsid w:val="001D0E96"/>
    <w:rsid w:val="001D0FA6"/>
    <w:rsid w:val="001D1005"/>
    <w:rsid w:val="001D131F"/>
    <w:rsid w:val="001D1764"/>
    <w:rsid w:val="001D19D8"/>
    <w:rsid w:val="001D1BA3"/>
    <w:rsid w:val="001D1CD0"/>
    <w:rsid w:val="001D1E3E"/>
    <w:rsid w:val="001D2143"/>
    <w:rsid w:val="001D21B5"/>
    <w:rsid w:val="001D22C0"/>
    <w:rsid w:val="001D2707"/>
    <w:rsid w:val="001D2719"/>
    <w:rsid w:val="001D2810"/>
    <w:rsid w:val="001D2A6B"/>
    <w:rsid w:val="001D2EAB"/>
    <w:rsid w:val="001D2FBB"/>
    <w:rsid w:val="001D2FFF"/>
    <w:rsid w:val="001D31AF"/>
    <w:rsid w:val="001D3213"/>
    <w:rsid w:val="001D3284"/>
    <w:rsid w:val="001D32C0"/>
    <w:rsid w:val="001D3342"/>
    <w:rsid w:val="001D33B2"/>
    <w:rsid w:val="001D35A6"/>
    <w:rsid w:val="001D3705"/>
    <w:rsid w:val="001D3A64"/>
    <w:rsid w:val="001D3A95"/>
    <w:rsid w:val="001D3BF7"/>
    <w:rsid w:val="001D3C9F"/>
    <w:rsid w:val="001D3D33"/>
    <w:rsid w:val="001D3F83"/>
    <w:rsid w:val="001D42F0"/>
    <w:rsid w:val="001D4370"/>
    <w:rsid w:val="001D44AA"/>
    <w:rsid w:val="001D46E6"/>
    <w:rsid w:val="001D4811"/>
    <w:rsid w:val="001D4859"/>
    <w:rsid w:val="001D4886"/>
    <w:rsid w:val="001D4896"/>
    <w:rsid w:val="001D4915"/>
    <w:rsid w:val="001D4B0E"/>
    <w:rsid w:val="001D4C23"/>
    <w:rsid w:val="001D50E9"/>
    <w:rsid w:val="001D5170"/>
    <w:rsid w:val="001D554E"/>
    <w:rsid w:val="001D559E"/>
    <w:rsid w:val="001D565D"/>
    <w:rsid w:val="001D565F"/>
    <w:rsid w:val="001D5793"/>
    <w:rsid w:val="001D5795"/>
    <w:rsid w:val="001D584C"/>
    <w:rsid w:val="001D5874"/>
    <w:rsid w:val="001D5A1C"/>
    <w:rsid w:val="001D5E71"/>
    <w:rsid w:val="001D5E76"/>
    <w:rsid w:val="001D6154"/>
    <w:rsid w:val="001D6157"/>
    <w:rsid w:val="001D618B"/>
    <w:rsid w:val="001D622C"/>
    <w:rsid w:val="001D6285"/>
    <w:rsid w:val="001D6327"/>
    <w:rsid w:val="001D63F9"/>
    <w:rsid w:val="001D64D2"/>
    <w:rsid w:val="001D664C"/>
    <w:rsid w:val="001D667D"/>
    <w:rsid w:val="001D6696"/>
    <w:rsid w:val="001D686D"/>
    <w:rsid w:val="001D69E2"/>
    <w:rsid w:val="001D6C5E"/>
    <w:rsid w:val="001D6C90"/>
    <w:rsid w:val="001D6D0D"/>
    <w:rsid w:val="001D6F93"/>
    <w:rsid w:val="001D701C"/>
    <w:rsid w:val="001D70F8"/>
    <w:rsid w:val="001D7296"/>
    <w:rsid w:val="001D7324"/>
    <w:rsid w:val="001D736D"/>
    <w:rsid w:val="001D74A7"/>
    <w:rsid w:val="001D7791"/>
    <w:rsid w:val="001D77BF"/>
    <w:rsid w:val="001D78A9"/>
    <w:rsid w:val="001D7934"/>
    <w:rsid w:val="001D7957"/>
    <w:rsid w:val="001D7AE1"/>
    <w:rsid w:val="001D7CCC"/>
    <w:rsid w:val="001D7E11"/>
    <w:rsid w:val="001D7E9B"/>
    <w:rsid w:val="001D7F87"/>
    <w:rsid w:val="001E01FC"/>
    <w:rsid w:val="001E022C"/>
    <w:rsid w:val="001E04DE"/>
    <w:rsid w:val="001E06C6"/>
    <w:rsid w:val="001E0819"/>
    <w:rsid w:val="001E08A4"/>
    <w:rsid w:val="001E0AAE"/>
    <w:rsid w:val="001E0B8F"/>
    <w:rsid w:val="001E0C2D"/>
    <w:rsid w:val="001E0DD9"/>
    <w:rsid w:val="001E0F46"/>
    <w:rsid w:val="001E0FCB"/>
    <w:rsid w:val="001E10D3"/>
    <w:rsid w:val="001E10FC"/>
    <w:rsid w:val="001E13F0"/>
    <w:rsid w:val="001E1410"/>
    <w:rsid w:val="001E15CC"/>
    <w:rsid w:val="001E15F2"/>
    <w:rsid w:val="001E16FD"/>
    <w:rsid w:val="001E1BB5"/>
    <w:rsid w:val="001E1BFB"/>
    <w:rsid w:val="001E1BFD"/>
    <w:rsid w:val="001E1D01"/>
    <w:rsid w:val="001E1D5C"/>
    <w:rsid w:val="001E1DB6"/>
    <w:rsid w:val="001E1E54"/>
    <w:rsid w:val="001E1EB7"/>
    <w:rsid w:val="001E2067"/>
    <w:rsid w:val="001E2121"/>
    <w:rsid w:val="001E22F7"/>
    <w:rsid w:val="001E23CF"/>
    <w:rsid w:val="001E23F9"/>
    <w:rsid w:val="001E27B0"/>
    <w:rsid w:val="001E2854"/>
    <w:rsid w:val="001E2ACC"/>
    <w:rsid w:val="001E2B61"/>
    <w:rsid w:val="001E2B8E"/>
    <w:rsid w:val="001E2CCB"/>
    <w:rsid w:val="001E2DEC"/>
    <w:rsid w:val="001E3031"/>
    <w:rsid w:val="001E319D"/>
    <w:rsid w:val="001E37DF"/>
    <w:rsid w:val="001E3834"/>
    <w:rsid w:val="001E387B"/>
    <w:rsid w:val="001E3B30"/>
    <w:rsid w:val="001E3C19"/>
    <w:rsid w:val="001E3C9C"/>
    <w:rsid w:val="001E3EBC"/>
    <w:rsid w:val="001E3EC9"/>
    <w:rsid w:val="001E3EF2"/>
    <w:rsid w:val="001E3F0C"/>
    <w:rsid w:val="001E3F1E"/>
    <w:rsid w:val="001E3F5A"/>
    <w:rsid w:val="001E4191"/>
    <w:rsid w:val="001E422F"/>
    <w:rsid w:val="001E42D2"/>
    <w:rsid w:val="001E4372"/>
    <w:rsid w:val="001E4488"/>
    <w:rsid w:val="001E44A7"/>
    <w:rsid w:val="001E4582"/>
    <w:rsid w:val="001E465F"/>
    <w:rsid w:val="001E46DB"/>
    <w:rsid w:val="001E480C"/>
    <w:rsid w:val="001E4849"/>
    <w:rsid w:val="001E4959"/>
    <w:rsid w:val="001E4D8C"/>
    <w:rsid w:val="001E4DC1"/>
    <w:rsid w:val="001E4ED3"/>
    <w:rsid w:val="001E5001"/>
    <w:rsid w:val="001E5387"/>
    <w:rsid w:val="001E53B4"/>
    <w:rsid w:val="001E550D"/>
    <w:rsid w:val="001E5706"/>
    <w:rsid w:val="001E5765"/>
    <w:rsid w:val="001E577A"/>
    <w:rsid w:val="001E58B1"/>
    <w:rsid w:val="001E5906"/>
    <w:rsid w:val="001E5997"/>
    <w:rsid w:val="001E5A02"/>
    <w:rsid w:val="001E5B1D"/>
    <w:rsid w:val="001E5B85"/>
    <w:rsid w:val="001E5CAF"/>
    <w:rsid w:val="001E60C6"/>
    <w:rsid w:val="001E61AD"/>
    <w:rsid w:val="001E63AF"/>
    <w:rsid w:val="001E6447"/>
    <w:rsid w:val="001E664D"/>
    <w:rsid w:val="001E66EE"/>
    <w:rsid w:val="001E674F"/>
    <w:rsid w:val="001E6816"/>
    <w:rsid w:val="001E68A7"/>
    <w:rsid w:val="001E6E45"/>
    <w:rsid w:val="001E6ECB"/>
    <w:rsid w:val="001E6EF5"/>
    <w:rsid w:val="001E6F3D"/>
    <w:rsid w:val="001E6F3E"/>
    <w:rsid w:val="001E7187"/>
    <w:rsid w:val="001E71EC"/>
    <w:rsid w:val="001E7212"/>
    <w:rsid w:val="001E7265"/>
    <w:rsid w:val="001E7335"/>
    <w:rsid w:val="001E74E3"/>
    <w:rsid w:val="001E752C"/>
    <w:rsid w:val="001E7601"/>
    <w:rsid w:val="001E76B8"/>
    <w:rsid w:val="001E7883"/>
    <w:rsid w:val="001E7A12"/>
    <w:rsid w:val="001E7A68"/>
    <w:rsid w:val="001E7CE5"/>
    <w:rsid w:val="001E7EC9"/>
    <w:rsid w:val="001E7FD0"/>
    <w:rsid w:val="001F0055"/>
    <w:rsid w:val="001F01BC"/>
    <w:rsid w:val="001F0253"/>
    <w:rsid w:val="001F03F2"/>
    <w:rsid w:val="001F07D9"/>
    <w:rsid w:val="001F088D"/>
    <w:rsid w:val="001F0ADE"/>
    <w:rsid w:val="001F0B5E"/>
    <w:rsid w:val="001F0B83"/>
    <w:rsid w:val="001F0D39"/>
    <w:rsid w:val="001F0DE8"/>
    <w:rsid w:val="001F10AE"/>
    <w:rsid w:val="001F11A6"/>
    <w:rsid w:val="001F133A"/>
    <w:rsid w:val="001F13A4"/>
    <w:rsid w:val="001F1730"/>
    <w:rsid w:val="001F180C"/>
    <w:rsid w:val="001F1ACC"/>
    <w:rsid w:val="001F1BED"/>
    <w:rsid w:val="001F1BF9"/>
    <w:rsid w:val="001F1C76"/>
    <w:rsid w:val="001F1D95"/>
    <w:rsid w:val="001F1DA6"/>
    <w:rsid w:val="001F1E6F"/>
    <w:rsid w:val="001F2008"/>
    <w:rsid w:val="001F2068"/>
    <w:rsid w:val="001F23B5"/>
    <w:rsid w:val="001F2428"/>
    <w:rsid w:val="001F2495"/>
    <w:rsid w:val="001F2798"/>
    <w:rsid w:val="001F2902"/>
    <w:rsid w:val="001F299B"/>
    <w:rsid w:val="001F2BE3"/>
    <w:rsid w:val="001F2C85"/>
    <w:rsid w:val="001F2D81"/>
    <w:rsid w:val="001F32DA"/>
    <w:rsid w:val="001F33EF"/>
    <w:rsid w:val="001F3538"/>
    <w:rsid w:val="001F361D"/>
    <w:rsid w:val="001F3722"/>
    <w:rsid w:val="001F3739"/>
    <w:rsid w:val="001F37A0"/>
    <w:rsid w:val="001F37DC"/>
    <w:rsid w:val="001F3A7B"/>
    <w:rsid w:val="001F3BEA"/>
    <w:rsid w:val="001F3F36"/>
    <w:rsid w:val="001F3F5A"/>
    <w:rsid w:val="001F4097"/>
    <w:rsid w:val="001F4230"/>
    <w:rsid w:val="001F4277"/>
    <w:rsid w:val="001F43DD"/>
    <w:rsid w:val="001F4490"/>
    <w:rsid w:val="001F467C"/>
    <w:rsid w:val="001F494C"/>
    <w:rsid w:val="001F4AB9"/>
    <w:rsid w:val="001F4B10"/>
    <w:rsid w:val="001F4BDE"/>
    <w:rsid w:val="001F4C3D"/>
    <w:rsid w:val="001F4C9B"/>
    <w:rsid w:val="001F4D2D"/>
    <w:rsid w:val="001F4D3D"/>
    <w:rsid w:val="001F4D9B"/>
    <w:rsid w:val="001F4FF2"/>
    <w:rsid w:val="001F5299"/>
    <w:rsid w:val="001F5344"/>
    <w:rsid w:val="001F53EF"/>
    <w:rsid w:val="001F5516"/>
    <w:rsid w:val="001F5560"/>
    <w:rsid w:val="001F5AC9"/>
    <w:rsid w:val="001F5AF0"/>
    <w:rsid w:val="001F5C18"/>
    <w:rsid w:val="001F5DB1"/>
    <w:rsid w:val="001F5E8F"/>
    <w:rsid w:val="001F6111"/>
    <w:rsid w:val="001F6126"/>
    <w:rsid w:val="001F61CB"/>
    <w:rsid w:val="001F6264"/>
    <w:rsid w:val="001F6410"/>
    <w:rsid w:val="001F64AC"/>
    <w:rsid w:val="001F654E"/>
    <w:rsid w:val="001F658C"/>
    <w:rsid w:val="001F6632"/>
    <w:rsid w:val="001F675C"/>
    <w:rsid w:val="001F6849"/>
    <w:rsid w:val="001F6AD8"/>
    <w:rsid w:val="001F6C95"/>
    <w:rsid w:val="001F6F3B"/>
    <w:rsid w:val="001F6F3E"/>
    <w:rsid w:val="001F6F44"/>
    <w:rsid w:val="001F7135"/>
    <w:rsid w:val="001F732B"/>
    <w:rsid w:val="001F7466"/>
    <w:rsid w:val="001F7485"/>
    <w:rsid w:val="001F7545"/>
    <w:rsid w:val="001F7563"/>
    <w:rsid w:val="001F7731"/>
    <w:rsid w:val="001F779C"/>
    <w:rsid w:val="001F7AC5"/>
    <w:rsid w:val="001F7CB9"/>
    <w:rsid w:val="001F7CBA"/>
    <w:rsid w:val="001F7CD5"/>
    <w:rsid w:val="001F7D93"/>
    <w:rsid w:val="001F7E12"/>
    <w:rsid w:val="001F7E20"/>
    <w:rsid w:val="001F7FDB"/>
    <w:rsid w:val="001F7FF3"/>
    <w:rsid w:val="00200049"/>
    <w:rsid w:val="002001A6"/>
    <w:rsid w:val="00200219"/>
    <w:rsid w:val="0020039D"/>
    <w:rsid w:val="002003AD"/>
    <w:rsid w:val="0020050C"/>
    <w:rsid w:val="00200575"/>
    <w:rsid w:val="0020074C"/>
    <w:rsid w:val="00200A0D"/>
    <w:rsid w:val="00200CAB"/>
    <w:rsid w:val="00200DCE"/>
    <w:rsid w:val="00201057"/>
    <w:rsid w:val="002011F3"/>
    <w:rsid w:val="0020125C"/>
    <w:rsid w:val="002012C3"/>
    <w:rsid w:val="00201326"/>
    <w:rsid w:val="00201555"/>
    <w:rsid w:val="00201784"/>
    <w:rsid w:val="002017F5"/>
    <w:rsid w:val="00201956"/>
    <w:rsid w:val="002019BA"/>
    <w:rsid w:val="00201A4F"/>
    <w:rsid w:val="00201A72"/>
    <w:rsid w:val="00201AA6"/>
    <w:rsid w:val="00201CFC"/>
    <w:rsid w:val="00201E11"/>
    <w:rsid w:val="00201E9B"/>
    <w:rsid w:val="00202079"/>
    <w:rsid w:val="002022B3"/>
    <w:rsid w:val="00202310"/>
    <w:rsid w:val="00202637"/>
    <w:rsid w:val="00202688"/>
    <w:rsid w:val="002028A0"/>
    <w:rsid w:val="00202A41"/>
    <w:rsid w:val="00202AAD"/>
    <w:rsid w:val="00202C41"/>
    <w:rsid w:val="00202D32"/>
    <w:rsid w:val="00202DEA"/>
    <w:rsid w:val="002030B7"/>
    <w:rsid w:val="002030B9"/>
    <w:rsid w:val="002030F7"/>
    <w:rsid w:val="00203124"/>
    <w:rsid w:val="0020327F"/>
    <w:rsid w:val="002032BF"/>
    <w:rsid w:val="00203751"/>
    <w:rsid w:val="0020375D"/>
    <w:rsid w:val="00203825"/>
    <w:rsid w:val="00203950"/>
    <w:rsid w:val="00203A3D"/>
    <w:rsid w:val="00203D16"/>
    <w:rsid w:val="00203ECA"/>
    <w:rsid w:val="002042D2"/>
    <w:rsid w:val="002043A4"/>
    <w:rsid w:val="002043EB"/>
    <w:rsid w:val="00204503"/>
    <w:rsid w:val="00204722"/>
    <w:rsid w:val="0020480D"/>
    <w:rsid w:val="00204839"/>
    <w:rsid w:val="00204843"/>
    <w:rsid w:val="00204AAF"/>
    <w:rsid w:val="00204CAA"/>
    <w:rsid w:val="00204D2C"/>
    <w:rsid w:val="00204DDA"/>
    <w:rsid w:val="00204FE5"/>
    <w:rsid w:val="00205084"/>
    <w:rsid w:val="002050F5"/>
    <w:rsid w:val="00205258"/>
    <w:rsid w:val="00205262"/>
    <w:rsid w:val="002052C1"/>
    <w:rsid w:val="00205419"/>
    <w:rsid w:val="0020541C"/>
    <w:rsid w:val="0020545A"/>
    <w:rsid w:val="0020549A"/>
    <w:rsid w:val="002054B4"/>
    <w:rsid w:val="002055B7"/>
    <w:rsid w:val="0020571D"/>
    <w:rsid w:val="0020571E"/>
    <w:rsid w:val="002057E1"/>
    <w:rsid w:val="0020584A"/>
    <w:rsid w:val="00205E46"/>
    <w:rsid w:val="00205EB2"/>
    <w:rsid w:val="00205F79"/>
    <w:rsid w:val="00206040"/>
    <w:rsid w:val="00206087"/>
    <w:rsid w:val="002060BB"/>
    <w:rsid w:val="002061FB"/>
    <w:rsid w:val="00206294"/>
    <w:rsid w:val="00206434"/>
    <w:rsid w:val="00206465"/>
    <w:rsid w:val="002065A3"/>
    <w:rsid w:val="0020667A"/>
    <w:rsid w:val="00206742"/>
    <w:rsid w:val="002067EC"/>
    <w:rsid w:val="00206955"/>
    <w:rsid w:val="00206EFF"/>
    <w:rsid w:val="00206F3F"/>
    <w:rsid w:val="00206FA1"/>
    <w:rsid w:val="0020711D"/>
    <w:rsid w:val="00207131"/>
    <w:rsid w:val="0020713D"/>
    <w:rsid w:val="002072C8"/>
    <w:rsid w:val="002073FD"/>
    <w:rsid w:val="00207407"/>
    <w:rsid w:val="0020759D"/>
    <w:rsid w:val="002076E3"/>
    <w:rsid w:val="00207A60"/>
    <w:rsid w:val="00207F59"/>
    <w:rsid w:val="00207F8A"/>
    <w:rsid w:val="002100BE"/>
    <w:rsid w:val="002100DA"/>
    <w:rsid w:val="00210110"/>
    <w:rsid w:val="002101AA"/>
    <w:rsid w:val="002101B5"/>
    <w:rsid w:val="002101C4"/>
    <w:rsid w:val="002104B8"/>
    <w:rsid w:val="002105FA"/>
    <w:rsid w:val="0021090B"/>
    <w:rsid w:val="0021098D"/>
    <w:rsid w:val="002109E3"/>
    <w:rsid w:val="00210A7F"/>
    <w:rsid w:val="00210B3D"/>
    <w:rsid w:val="00210C5A"/>
    <w:rsid w:val="00210E95"/>
    <w:rsid w:val="0021103C"/>
    <w:rsid w:val="0021111E"/>
    <w:rsid w:val="0021116A"/>
    <w:rsid w:val="002111A2"/>
    <w:rsid w:val="00211202"/>
    <w:rsid w:val="00211247"/>
    <w:rsid w:val="0021149E"/>
    <w:rsid w:val="00211553"/>
    <w:rsid w:val="0021159D"/>
    <w:rsid w:val="0021160D"/>
    <w:rsid w:val="002116AF"/>
    <w:rsid w:val="002118EE"/>
    <w:rsid w:val="00211A22"/>
    <w:rsid w:val="00211BCF"/>
    <w:rsid w:val="00211DC3"/>
    <w:rsid w:val="002121D9"/>
    <w:rsid w:val="00212389"/>
    <w:rsid w:val="00212727"/>
    <w:rsid w:val="00212965"/>
    <w:rsid w:val="00212A72"/>
    <w:rsid w:val="00212EB6"/>
    <w:rsid w:val="00212EBC"/>
    <w:rsid w:val="00212FA1"/>
    <w:rsid w:val="00213018"/>
    <w:rsid w:val="0021305A"/>
    <w:rsid w:val="0021305D"/>
    <w:rsid w:val="002131FC"/>
    <w:rsid w:val="0021356A"/>
    <w:rsid w:val="002135E6"/>
    <w:rsid w:val="002137B6"/>
    <w:rsid w:val="00213822"/>
    <w:rsid w:val="0021396C"/>
    <w:rsid w:val="0021398B"/>
    <w:rsid w:val="00213BDD"/>
    <w:rsid w:val="00213E71"/>
    <w:rsid w:val="00214184"/>
    <w:rsid w:val="002141EA"/>
    <w:rsid w:val="0021436E"/>
    <w:rsid w:val="002143E8"/>
    <w:rsid w:val="0021458C"/>
    <w:rsid w:val="00214606"/>
    <w:rsid w:val="00214703"/>
    <w:rsid w:val="002147EF"/>
    <w:rsid w:val="002149C6"/>
    <w:rsid w:val="00214C60"/>
    <w:rsid w:val="00214CA7"/>
    <w:rsid w:val="00214D81"/>
    <w:rsid w:val="00214EC4"/>
    <w:rsid w:val="00214EE3"/>
    <w:rsid w:val="00215184"/>
    <w:rsid w:val="002151E6"/>
    <w:rsid w:val="002152FA"/>
    <w:rsid w:val="002153F4"/>
    <w:rsid w:val="002155B1"/>
    <w:rsid w:val="002155B6"/>
    <w:rsid w:val="002157C0"/>
    <w:rsid w:val="002157E4"/>
    <w:rsid w:val="00215910"/>
    <w:rsid w:val="00215AD8"/>
    <w:rsid w:val="00215AFB"/>
    <w:rsid w:val="00215B33"/>
    <w:rsid w:val="00215B76"/>
    <w:rsid w:val="00215DEA"/>
    <w:rsid w:val="00215E76"/>
    <w:rsid w:val="00215FEE"/>
    <w:rsid w:val="0021607B"/>
    <w:rsid w:val="002161E1"/>
    <w:rsid w:val="00216416"/>
    <w:rsid w:val="0021665A"/>
    <w:rsid w:val="0021666A"/>
    <w:rsid w:val="002167AA"/>
    <w:rsid w:val="00216FCC"/>
    <w:rsid w:val="00217071"/>
    <w:rsid w:val="00217090"/>
    <w:rsid w:val="002170DB"/>
    <w:rsid w:val="002173C4"/>
    <w:rsid w:val="00217428"/>
    <w:rsid w:val="002174A9"/>
    <w:rsid w:val="002176E1"/>
    <w:rsid w:val="00217BE5"/>
    <w:rsid w:val="00217C2E"/>
    <w:rsid w:val="00217E5F"/>
    <w:rsid w:val="00217F2E"/>
    <w:rsid w:val="0022004A"/>
    <w:rsid w:val="002200D8"/>
    <w:rsid w:val="00220395"/>
    <w:rsid w:val="00220524"/>
    <w:rsid w:val="00220869"/>
    <w:rsid w:val="00220997"/>
    <w:rsid w:val="00220B92"/>
    <w:rsid w:val="00220BF5"/>
    <w:rsid w:val="00220D3D"/>
    <w:rsid w:val="00220DF6"/>
    <w:rsid w:val="00220E82"/>
    <w:rsid w:val="00220EC3"/>
    <w:rsid w:val="002210FB"/>
    <w:rsid w:val="00221316"/>
    <w:rsid w:val="002214E3"/>
    <w:rsid w:val="00221560"/>
    <w:rsid w:val="00221734"/>
    <w:rsid w:val="0022174B"/>
    <w:rsid w:val="00221788"/>
    <w:rsid w:val="002217BE"/>
    <w:rsid w:val="0022181B"/>
    <w:rsid w:val="00221976"/>
    <w:rsid w:val="00221C32"/>
    <w:rsid w:val="00221F93"/>
    <w:rsid w:val="002220E3"/>
    <w:rsid w:val="00222105"/>
    <w:rsid w:val="00222161"/>
    <w:rsid w:val="0022219A"/>
    <w:rsid w:val="00222456"/>
    <w:rsid w:val="002228CA"/>
    <w:rsid w:val="0022291B"/>
    <w:rsid w:val="00222A20"/>
    <w:rsid w:val="00222A9D"/>
    <w:rsid w:val="00222CC7"/>
    <w:rsid w:val="00222D26"/>
    <w:rsid w:val="00222D3F"/>
    <w:rsid w:val="00222E25"/>
    <w:rsid w:val="002231F0"/>
    <w:rsid w:val="00223334"/>
    <w:rsid w:val="00223419"/>
    <w:rsid w:val="00223493"/>
    <w:rsid w:val="002234D2"/>
    <w:rsid w:val="002234EE"/>
    <w:rsid w:val="002235D3"/>
    <w:rsid w:val="0022365F"/>
    <w:rsid w:val="00223664"/>
    <w:rsid w:val="00223803"/>
    <w:rsid w:val="00223830"/>
    <w:rsid w:val="00223841"/>
    <w:rsid w:val="0022389F"/>
    <w:rsid w:val="002238E6"/>
    <w:rsid w:val="00223A56"/>
    <w:rsid w:val="00223B9E"/>
    <w:rsid w:val="00223DB4"/>
    <w:rsid w:val="00223EC4"/>
    <w:rsid w:val="00223F82"/>
    <w:rsid w:val="00224170"/>
    <w:rsid w:val="00224230"/>
    <w:rsid w:val="00224871"/>
    <w:rsid w:val="00224A07"/>
    <w:rsid w:val="00224C9C"/>
    <w:rsid w:val="00224DA3"/>
    <w:rsid w:val="00224E43"/>
    <w:rsid w:val="00224EB7"/>
    <w:rsid w:val="002250D6"/>
    <w:rsid w:val="00225245"/>
    <w:rsid w:val="00225538"/>
    <w:rsid w:val="0022562F"/>
    <w:rsid w:val="00225833"/>
    <w:rsid w:val="002259C8"/>
    <w:rsid w:val="002259D0"/>
    <w:rsid w:val="00225EE0"/>
    <w:rsid w:val="00225F64"/>
    <w:rsid w:val="00225F9B"/>
    <w:rsid w:val="00226095"/>
    <w:rsid w:val="00226163"/>
    <w:rsid w:val="00226383"/>
    <w:rsid w:val="002263B2"/>
    <w:rsid w:val="002264D0"/>
    <w:rsid w:val="0022658A"/>
    <w:rsid w:val="002265CD"/>
    <w:rsid w:val="002266C5"/>
    <w:rsid w:val="00226799"/>
    <w:rsid w:val="00226AC2"/>
    <w:rsid w:val="00226B17"/>
    <w:rsid w:val="00226B3A"/>
    <w:rsid w:val="00226C00"/>
    <w:rsid w:val="00226C66"/>
    <w:rsid w:val="00227039"/>
    <w:rsid w:val="00227048"/>
    <w:rsid w:val="0022704E"/>
    <w:rsid w:val="00227142"/>
    <w:rsid w:val="002272A6"/>
    <w:rsid w:val="0022730F"/>
    <w:rsid w:val="00227419"/>
    <w:rsid w:val="002274D2"/>
    <w:rsid w:val="00227508"/>
    <w:rsid w:val="0022770C"/>
    <w:rsid w:val="002277C8"/>
    <w:rsid w:val="00227803"/>
    <w:rsid w:val="00227873"/>
    <w:rsid w:val="00227B89"/>
    <w:rsid w:val="00227CCA"/>
    <w:rsid w:val="00227E27"/>
    <w:rsid w:val="00227EE0"/>
    <w:rsid w:val="00227F43"/>
    <w:rsid w:val="002300CA"/>
    <w:rsid w:val="0023011C"/>
    <w:rsid w:val="00230321"/>
    <w:rsid w:val="0023073D"/>
    <w:rsid w:val="002307C9"/>
    <w:rsid w:val="00230B7F"/>
    <w:rsid w:val="00230BF6"/>
    <w:rsid w:val="00230E73"/>
    <w:rsid w:val="00230EAA"/>
    <w:rsid w:val="00230F26"/>
    <w:rsid w:val="00231030"/>
    <w:rsid w:val="002313B8"/>
    <w:rsid w:val="0023161E"/>
    <w:rsid w:val="0023164B"/>
    <w:rsid w:val="00231671"/>
    <w:rsid w:val="0023174E"/>
    <w:rsid w:val="00231769"/>
    <w:rsid w:val="002319BF"/>
    <w:rsid w:val="00231A71"/>
    <w:rsid w:val="00231BBF"/>
    <w:rsid w:val="00231E13"/>
    <w:rsid w:val="00231F78"/>
    <w:rsid w:val="00231FB6"/>
    <w:rsid w:val="00232044"/>
    <w:rsid w:val="002323C3"/>
    <w:rsid w:val="00232415"/>
    <w:rsid w:val="00232421"/>
    <w:rsid w:val="002324C0"/>
    <w:rsid w:val="002324E3"/>
    <w:rsid w:val="0023277F"/>
    <w:rsid w:val="0023281B"/>
    <w:rsid w:val="0023293F"/>
    <w:rsid w:val="00232A08"/>
    <w:rsid w:val="00232A4E"/>
    <w:rsid w:val="00232DD5"/>
    <w:rsid w:val="00232DEE"/>
    <w:rsid w:val="00232ECB"/>
    <w:rsid w:val="00232F16"/>
    <w:rsid w:val="002330BA"/>
    <w:rsid w:val="0023327F"/>
    <w:rsid w:val="002332FA"/>
    <w:rsid w:val="00233318"/>
    <w:rsid w:val="00233448"/>
    <w:rsid w:val="0023347A"/>
    <w:rsid w:val="0023359A"/>
    <w:rsid w:val="002337D3"/>
    <w:rsid w:val="00233876"/>
    <w:rsid w:val="00233879"/>
    <w:rsid w:val="002338BA"/>
    <w:rsid w:val="00233979"/>
    <w:rsid w:val="00233CAC"/>
    <w:rsid w:val="00233E34"/>
    <w:rsid w:val="00233E77"/>
    <w:rsid w:val="00233EBF"/>
    <w:rsid w:val="00233F02"/>
    <w:rsid w:val="00233FA3"/>
    <w:rsid w:val="00234284"/>
    <w:rsid w:val="002342F4"/>
    <w:rsid w:val="0023432F"/>
    <w:rsid w:val="00234352"/>
    <w:rsid w:val="00234640"/>
    <w:rsid w:val="002346A2"/>
    <w:rsid w:val="00234BAB"/>
    <w:rsid w:val="00234C8B"/>
    <w:rsid w:val="00234EB1"/>
    <w:rsid w:val="002352D6"/>
    <w:rsid w:val="002353A6"/>
    <w:rsid w:val="002353C3"/>
    <w:rsid w:val="002353D1"/>
    <w:rsid w:val="00235679"/>
    <w:rsid w:val="00235952"/>
    <w:rsid w:val="002359FD"/>
    <w:rsid w:val="00235B25"/>
    <w:rsid w:val="00235B74"/>
    <w:rsid w:val="00235D5D"/>
    <w:rsid w:val="00236133"/>
    <w:rsid w:val="002369AD"/>
    <w:rsid w:val="002369DB"/>
    <w:rsid w:val="00236A01"/>
    <w:rsid w:val="00236D16"/>
    <w:rsid w:val="00236F5A"/>
    <w:rsid w:val="00236FFE"/>
    <w:rsid w:val="00237071"/>
    <w:rsid w:val="0023745C"/>
    <w:rsid w:val="002374E8"/>
    <w:rsid w:val="002375EC"/>
    <w:rsid w:val="0023761D"/>
    <w:rsid w:val="002379D9"/>
    <w:rsid w:val="002379F5"/>
    <w:rsid w:val="00237A7C"/>
    <w:rsid w:val="00237A8D"/>
    <w:rsid w:val="00237BDB"/>
    <w:rsid w:val="00237CB8"/>
    <w:rsid w:val="00237D9A"/>
    <w:rsid w:val="00237DF3"/>
    <w:rsid w:val="00237FF6"/>
    <w:rsid w:val="00240106"/>
    <w:rsid w:val="002402BE"/>
    <w:rsid w:val="0024064A"/>
    <w:rsid w:val="002408DF"/>
    <w:rsid w:val="00240B03"/>
    <w:rsid w:val="00240C04"/>
    <w:rsid w:val="00240C98"/>
    <w:rsid w:val="002411A2"/>
    <w:rsid w:val="002411C7"/>
    <w:rsid w:val="0024121D"/>
    <w:rsid w:val="002412AB"/>
    <w:rsid w:val="002414EF"/>
    <w:rsid w:val="00241908"/>
    <w:rsid w:val="00241A9B"/>
    <w:rsid w:val="00241CE6"/>
    <w:rsid w:val="0024204E"/>
    <w:rsid w:val="00242085"/>
    <w:rsid w:val="00242302"/>
    <w:rsid w:val="002423A5"/>
    <w:rsid w:val="00242519"/>
    <w:rsid w:val="002425A7"/>
    <w:rsid w:val="002429AC"/>
    <w:rsid w:val="00242BBA"/>
    <w:rsid w:val="00242C6B"/>
    <w:rsid w:val="00242CF6"/>
    <w:rsid w:val="00242F4E"/>
    <w:rsid w:val="002432F4"/>
    <w:rsid w:val="00243507"/>
    <w:rsid w:val="0024353D"/>
    <w:rsid w:val="0024355B"/>
    <w:rsid w:val="00243902"/>
    <w:rsid w:val="00243CD2"/>
    <w:rsid w:val="00243E29"/>
    <w:rsid w:val="0024408F"/>
    <w:rsid w:val="002440F9"/>
    <w:rsid w:val="002441A6"/>
    <w:rsid w:val="0024426B"/>
    <w:rsid w:val="002446E8"/>
    <w:rsid w:val="002446E9"/>
    <w:rsid w:val="0024473C"/>
    <w:rsid w:val="002448CB"/>
    <w:rsid w:val="00244CCE"/>
    <w:rsid w:val="00244F30"/>
    <w:rsid w:val="00245129"/>
    <w:rsid w:val="002452A0"/>
    <w:rsid w:val="002452E4"/>
    <w:rsid w:val="00245317"/>
    <w:rsid w:val="00245426"/>
    <w:rsid w:val="00245452"/>
    <w:rsid w:val="00245636"/>
    <w:rsid w:val="002456B1"/>
    <w:rsid w:val="00245744"/>
    <w:rsid w:val="00245A0A"/>
    <w:rsid w:val="00245ABD"/>
    <w:rsid w:val="00245B05"/>
    <w:rsid w:val="00245D8D"/>
    <w:rsid w:val="00245E72"/>
    <w:rsid w:val="002462DB"/>
    <w:rsid w:val="00246343"/>
    <w:rsid w:val="002463A6"/>
    <w:rsid w:val="00246557"/>
    <w:rsid w:val="00246691"/>
    <w:rsid w:val="0024676A"/>
    <w:rsid w:val="00246964"/>
    <w:rsid w:val="002469DD"/>
    <w:rsid w:val="00246ACF"/>
    <w:rsid w:val="00246ADB"/>
    <w:rsid w:val="00246BE6"/>
    <w:rsid w:val="00246C66"/>
    <w:rsid w:val="00246FAA"/>
    <w:rsid w:val="00246FBD"/>
    <w:rsid w:val="00247295"/>
    <w:rsid w:val="0024729D"/>
    <w:rsid w:val="002473F9"/>
    <w:rsid w:val="00247400"/>
    <w:rsid w:val="00247510"/>
    <w:rsid w:val="00247527"/>
    <w:rsid w:val="00247793"/>
    <w:rsid w:val="002477E0"/>
    <w:rsid w:val="002478F8"/>
    <w:rsid w:val="00247C24"/>
    <w:rsid w:val="00247C90"/>
    <w:rsid w:val="00247D1B"/>
    <w:rsid w:val="00247E6F"/>
    <w:rsid w:val="00247F28"/>
    <w:rsid w:val="002500F6"/>
    <w:rsid w:val="002503D3"/>
    <w:rsid w:val="002504B2"/>
    <w:rsid w:val="0025060B"/>
    <w:rsid w:val="0025085E"/>
    <w:rsid w:val="002508CC"/>
    <w:rsid w:val="00250D01"/>
    <w:rsid w:val="00250D6C"/>
    <w:rsid w:val="00250E13"/>
    <w:rsid w:val="00250E40"/>
    <w:rsid w:val="00250E86"/>
    <w:rsid w:val="00250EC4"/>
    <w:rsid w:val="00250ED7"/>
    <w:rsid w:val="00250FCC"/>
    <w:rsid w:val="00251046"/>
    <w:rsid w:val="002510B8"/>
    <w:rsid w:val="00251128"/>
    <w:rsid w:val="002511A2"/>
    <w:rsid w:val="00251253"/>
    <w:rsid w:val="002512E8"/>
    <w:rsid w:val="002513DB"/>
    <w:rsid w:val="0025155E"/>
    <w:rsid w:val="00251679"/>
    <w:rsid w:val="002517A5"/>
    <w:rsid w:val="00251C3D"/>
    <w:rsid w:val="00251D17"/>
    <w:rsid w:val="00251F6C"/>
    <w:rsid w:val="00252015"/>
    <w:rsid w:val="00252153"/>
    <w:rsid w:val="00252231"/>
    <w:rsid w:val="00252342"/>
    <w:rsid w:val="0025241D"/>
    <w:rsid w:val="0025249C"/>
    <w:rsid w:val="0025296A"/>
    <w:rsid w:val="00252A96"/>
    <w:rsid w:val="00252AF7"/>
    <w:rsid w:val="00252CB2"/>
    <w:rsid w:val="00252EEB"/>
    <w:rsid w:val="00252F01"/>
    <w:rsid w:val="00252F22"/>
    <w:rsid w:val="00253005"/>
    <w:rsid w:val="00253013"/>
    <w:rsid w:val="002535B9"/>
    <w:rsid w:val="00253618"/>
    <w:rsid w:val="0025386C"/>
    <w:rsid w:val="002539ED"/>
    <w:rsid w:val="00253A5B"/>
    <w:rsid w:val="00253A7D"/>
    <w:rsid w:val="00253B48"/>
    <w:rsid w:val="00253CB6"/>
    <w:rsid w:val="00253D18"/>
    <w:rsid w:val="00253D4F"/>
    <w:rsid w:val="00254076"/>
    <w:rsid w:val="00254150"/>
    <w:rsid w:val="0025428E"/>
    <w:rsid w:val="002542D6"/>
    <w:rsid w:val="002543BC"/>
    <w:rsid w:val="0025440D"/>
    <w:rsid w:val="0025444B"/>
    <w:rsid w:val="0025450E"/>
    <w:rsid w:val="0025454E"/>
    <w:rsid w:val="002546B8"/>
    <w:rsid w:val="00254B5A"/>
    <w:rsid w:val="00254BD0"/>
    <w:rsid w:val="00254CDB"/>
    <w:rsid w:val="00254D55"/>
    <w:rsid w:val="00254D60"/>
    <w:rsid w:val="00254ED5"/>
    <w:rsid w:val="00255152"/>
    <w:rsid w:val="00255228"/>
    <w:rsid w:val="00255391"/>
    <w:rsid w:val="002554A0"/>
    <w:rsid w:val="002554D1"/>
    <w:rsid w:val="00255535"/>
    <w:rsid w:val="0025554E"/>
    <w:rsid w:val="0025558C"/>
    <w:rsid w:val="002555B3"/>
    <w:rsid w:val="002555CB"/>
    <w:rsid w:val="00255648"/>
    <w:rsid w:val="00255711"/>
    <w:rsid w:val="0025581C"/>
    <w:rsid w:val="00255899"/>
    <w:rsid w:val="00255B7C"/>
    <w:rsid w:val="00255BE3"/>
    <w:rsid w:val="00255CEE"/>
    <w:rsid w:val="00255D0E"/>
    <w:rsid w:val="00255E18"/>
    <w:rsid w:val="00255FC4"/>
    <w:rsid w:val="002566A7"/>
    <w:rsid w:val="00256802"/>
    <w:rsid w:val="00256820"/>
    <w:rsid w:val="00256AE7"/>
    <w:rsid w:val="00256B08"/>
    <w:rsid w:val="00256B5B"/>
    <w:rsid w:val="00256BEE"/>
    <w:rsid w:val="00256DBB"/>
    <w:rsid w:val="00256E2E"/>
    <w:rsid w:val="00256F57"/>
    <w:rsid w:val="00257055"/>
    <w:rsid w:val="00257177"/>
    <w:rsid w:val="002571C4"/>
    <w:rsid w:val="002574AE"/>
    <w:rsid w:val="00257554"/>
    <w:rsid w:val="0025799D"/>
    <w:rsid w:val="00257A95"/>
    <w:rsid w:val="00257C2A"/>
    <w:rsid w:val="00257C48"/>
    <w:rsid w:val="00257CB9"/>
    <w:rsid w:val="00257E87"/>
    <w:rsid w:val="00257F39"/>
    <w:rsid w:val="002600C0"/>
    <w:rsid w:val="00260126"/>
    <w:rsid w:val="002603FD"/>
    <w:rsid w:val="00260549"/>
    <w:rsid w:val="0026072C"/>
    <w:rsid w:val="00260734"/>
    <w:rsid w:val="00260766"/>
    <w:rsid w:val="002607AF"/>
    <w:rsid w:val="002608B2"/>
    <w:rsid w:val="002609E6"/>
    <w:rsid w:val="00260A66"/>
    <w:rsid w:val="00260A74"/>
    <w:rsid w:val="00260D8F"/>
    <w:rsid w:val="00260E21"/>
    <w:rsid w:val="00260EC7"/>
    <w:rsid w:val="00260FB8"/>
    <w:rsid w:val="002615A4"/>
    <w:rsid w:val="0026161E"/>
    <w:rsid w:val="00261804"/>
    <w:rsid w:val="00261A4C"/>
    <w:rsid w:val="00261A73"/>
    <w:rsid w:val="00261AD8"/>
    <w:rsid w:val="00261BB4"/>
    <w:rsid w:val="00261DB8"/>
    <w:rsid w:val="00261E5F"/>
    <w:rsid w:val="0026200E"/>
    <w:rsid w:val="0026231C"/>
    <w:rsid w:val="002624D4"/>
    <w:rsid w:val="00262750"/>
    <w:rsid w:val="002627A1"/>
    <w:rsid w:val="002627F7"/>
    <w:rsid w:val="00262C29"/>
    <w:rsid w:val="00262FAA"/>
    <w:rsid w:val="00262FED"/>
    <w:rsid w:val="00263050"/>
    <w:rsid w:val="00263180"/>
    <w:rsid w:val="002632EE"/>
    <w:rsid w:val="002634AB"/>
    <w:rsid w:val="0026389C"/>
    <w:rsid w:val="002638F4"/>
    <w:rsid w:val="002639A8"/>
    <w:rsid w:val="00263ACE"/>
    <w:rsid w:val="00263C06"/>
    <w:rsid w:val="00263E74"/>
    <w:rsid w:val="00263F69"/>
    <w:rsid w:val="002643EB"/>
    <w:rsid w:val="00264D84"/>
    <w:rsid w:val="00264E1F"/>
    <w:rsid w:val="00264E47"/>
    <w:rsid w:val="00264EA6"/>
    <w:rsid w:val="00265046"/>
    <w:rsid w:val="00265265"/>
    <w:rsid w:val="002652C9"/>
    <w:rsid w:val="00265405"/>
    <w:rsid w:val="002654D6"/>
    <w:rsid w:val="002657B8"/>
    <w:rsid w:val="0026580E"/>
    <w:rsid w:val="0026591D"/>
    <w:rsid w:val="0026597D"/>
    <w:rsid w:val="00265A64"/>
    <w:rsid w:val="00265B72"/>
    <w:rsid w:val="00265C6A"/>
    <w:rsid w:val="00265D09"/>
    <w:rsid w:val="00265DFB"/>
    <w:rsid w:val="002662A4"/>
    <w:rsid w:val="002667C3"/>
    <w:rsid w:val="00266826"/>
    <w:rsid w:val="00266898"/>
    <w:rsid w:val="002668D1"/>
    <w:rsid w:val="0026698B"/>
    <w:rsid w:val="00266ABA"/>
    <w:rsid w:val="00266E36"/>
    <w:rsid w:val="00266E8A"/>
    <w:rsid w:val="002671DF"/>
    <w:rsid w:val="0026723B"/>
    <w:rsid w:val="0026729D"/>
    <w:rsid w:val="0026760A"/>
    <w:rsid w:val="0026767E"/>
    <w:rsid w:val="00267753"/>
    <w:rsid w:val="002677D8"/>
    <w:rsid w:val="002679A6"/>
    <w:rsid w:val="00267CE6"/>
    <w:rsid w:val="00267D65"/>
    <w:rsid w:val="00267E57"/>
    <w:rsid w:val="00267EF0"/>
    <w:rsid w:val="00267F36"/>
    <w:rsid w:val="00267F3C"/>
    <w:rsid w:val="00270223"/>
    <w:rsid w:val="002704C5"/>
    <w:rsid w:val="002705A9"/>
    <w:rsid w:val="002705BC"/>
    <w:rsid w:val="002706C6"/>
    <w:rsid w:val="002706FE"/>
    <w:rsid w:val="0027090C"/>
    <w:rsid w:val="00270978"/>
    <w:rsid w:val="00270B73"/>
    <w:rsid w:val="00270BD1"/>
    <w:rsid w:val="00270E86"/>
    <w:rsid w:val="00271484"/>
    <w:rsid w:val="0027160C"/>
    <w:rsid w:val="00271699"/>
    <w:rsid w:val="00271886"/>
    <w:rsid w:val="0027190A"/>
    <w:rsid w:val="002719DF"/>
    <w:rsid w:val="00271A4A"/>
    <w:rsid w:val="00271B47"/>
    <w:rsid w:val="00271DEC"/>
    <w:rsid w:val="002720D0"/>
    <w:rsid w:val="00272196"/>
    <w:rsid w:val="002721C3"/>
    <w:rsid w:val="00272580"/>
    <w:rsid w:val="00272584"/>
    <w:rsid w:val="0027287B"/>
    <w:rsid w:val="0027289B"/>
    <w:rsid w:val="002728B5"/>
    <w:rsid w:val="00272994"/>
    <w:rsid w:val="00272BC7"/>
    <w:rsid w:val="00272C44"/>
    <w:rsid w:val="00272DA8"/>
    <w:rsid w:val="00272F20"/>
    <w:rsid w:val="00272FF4"/>
    <w:rsid w:val="00273285"/>
    <w:rsid w:val="0027349D"/>
    <w:rsid w:val="002734D2"/>
    <w:rsid w:val="00273687"/>
    <w:rsid w:val="00273781"/>
    <w:rsid w:val="00273911"/>
    <w:rsid w:val="00273AF0"/>
    <w:rsid w:val="00273AFE"/>
    <w:rsid w:val="00273B03"/>
    <w:rsid w:val="00273BC6"/>
    <w:rsid w:val="00273E08"/>
    <w:rsid w:val="00273EAD"/>
    <w:rsid w:val="00273FB3"/>
    <w:rsid w:val="0027401E"/>
    <w:rsid w:val="0027422C"/>
    <w:rsid w:val="002743E9"/>
    <w:rsid w:val="0027445E"/>
    <w:rsid w:val="002744EA"/>
    <w:rsid w:val="0027454A"/>
    <w:rsid w:val="002745D6"/>
    <w:rsid w:val="0027477A"/>
    <w:rsid w:val="00274CF6"/>
    <w:rsid w:val="00274F02"/>
    <w:rsid w:val="002751D1"/>
    <w:rsid w:val="00275209"/>
    <w:rsid w:val="00275385"/>
    <w:rsid w:val="0027581C"/>
    <w:rsid w:val="002759A9"/>
    <w:rsid w:val="00275A45"/>
    <w:rsid w:val="00275AEA"/>
    <w:rsid w:val="00275B48"/>
    <w:rsid w:val="00275E56"/>
    <w:rsid w:val="00275F1B"/>
    <w:rsid w:val="00276285"/>
    <w:rsid w:val="00276381"/>
    <w:rsid w:val="00276433"/>
    <w:rsid w:val="002764A9"/>
    <w:rsid w:val="00276507"/>
    <w:rsid w:val="00276A41"/>
    <w:rsid w:val="00276A52"/>
    <w:rsid w:val="00276B25"/>
    <w:rsid w:val="00276C82"/>
    <w:rsid w:val="00276CC3"/>
    <w:rsid w:val="00276DA7"/>
    <w:rsid w:val="00277521"/>
    <w:rsid w:val="00277624"/>
    <w:rsid w:val="00277789"/>
    <w:rsid w:val="00277807"/>
    <w:rsid w:val="002778BF"/>
    <w:rsid w:val="002779B7"/>
    <w:rsid w:val="00277BC6"/>
    <w:rsid w:val="00277D15"/>
    <w:rsid w:val="00277D8E"/>
    <w:rsid w:val="00277DC7"/>
    <w:rsid w:val="0028031F"/>
    <w:rsid w:val="0028036F"/>
    <w:rsid w:val="002804C6"/>
    <w:rsid w:val="0028052D"/>
    <w:rsid w:val="002806F1"/>
    <w:rsid w:val="0028071E"/>
    <w:rsid w:val="00280730"/>
    <w:rsid w:val="00280AF5"/>
    <w:rsid w:val="00280B0B"/>
    <w:rsid w:val="0028135D"/>
    <w:rsid w:val="00281455"/>
    <w:rsid w:val="0028150D"/>
    <w:rsid w:val="002816A1"/>
    <w:rsid w:val="002818A4"/>
    <w:rsid w:val="00281906"/>
    <w:rsid w:val="00281A16"/>
    <w:rsid w:val="00281F0D"/>
    <w:rsid w:val="00281F12"/>
    <w:rsid w:val="002820AE"/>
    <w:rsid w:val="0028233F"/>
    <w:rsid w:val="002824A2"/>
    <w:rsid w:val="002824CB"/>
    <w:rsid w:val="0028252D"/>
    <w:rsid w:val="002826F4"/>
    <w:rsid w:val="0028276E"/>
    <w:rsid w:val="00282BE9"/>
    <w:rsid w:val="00282DF1"/>
    <w:rsid w:val="00282ECB"/>
    <w:rsid w:val="002830BD"/>
    <w:rsid w:val="0028311C"/>
    <w:rsid w:val="00283230"/>
    <w:rsid w:val="00283239"/>
    <w:rsid w:val="00283248"/>
    <w:rsid w:val="0028327B"/>
    <w:rsid w:val="00283701"/>
    <w:rsid w:val="002837E5"/>
    <w:rsid w:val="0028389C"/>
    <w:rsid w:val="002838B3"/>
    <w:rsid w:val="00283C53"/>
    <w:rsid w:val="00283C7E"/>
    <w:rsid w:val="00283DE2"/>
    <w:rsid w:val="00283F71"/>
    <w:rsid w:val="00284340"/>
    <w:rsid w:val="0028434B"/>
    <w:rsid w:val="0028454C"/>
    <w:rsid w:val="002845EA"/>
    <w:rsid w:val="00284669"/>
    <w:rsid w:val="00284AD6"/>
    <w:rsid w:val="00284B97"/>
    <w:rsid w:val="00284E8C"/>
    <w:rsid w:val="00284E8D"/>
    <w:rsid w:val="00284FA4"/>
    <w:rsid w:val="0028511D"/>
    <w:rsid w:val="002852F3"/>
    <w:rsid w:val="0028531B"/>
    <w:rsid w:val="002853C9"/>
    <w:rsid w:val="00285700"/>
    <w:rsid w:val="00285831"/>
    <w:rsid w:val="00285850"/>
    <w:rsid w:val="00285953"/>
    <w:rsid w:val="00285B96"/>
    <w:rsid w:val="00285C43"/>
    <w:rsid w:val="00285E3B"/>
    <w:rsid w:val="00285FD5"/>
    <w:rsid w:val="00286048"/>
    <w:rsid w:val="00286176"/>
    <w:rsid w:val="002863D9"/>
    <w:rsid w:val="002864D9"/>
    <w:rsid w:val="002865ED"/>
    <w:rsid w:val="00286A14"/>
    <w:rsid w:val="00286B24"/>
    <w:rsid w:val="00286B32"/>
    <w:rsid w:val="00287C1A"/>
    <w:rsid w:val="00287CED"/>
    <w:rsid w:val="00287DE6"/>
    <w:rsid w:val="00287E78"/>
    <w:rsid w:val="00287F87"/>
    <w:rsid w:val="0029001E"/>
    <w:rsid w:val="002901EB"/>
    <w:rsid w:val="0029020D"/>
    <w:rsid w:val="002902B5"/>
    <w:rsid w:val="0029043B"/>
    <w:rsid w:val="002905CE"/>
    <w:rsid w:val="00290619"/>
    <w:rsid w:val="00290667"/>
    <w:rsid w:val="00290676"/>
    <w:rsid w:val="0029074D"/>
    <w:rsid w:val="00290887"/>
    <w:rsid w:val="00290931"/>
    <w:rsid w:val="00290948"/>
    <w:rsid w:val="00290970"/>
    <w:rsid w:val="00290981"/>
    <w:rsid w:val="00290BC9"/>
    <w:rsid w:val="00290C2F"/>
    <w:rsid w:val="00290DD1"/>
    <w:rsid w:val="00291176"/>
    <w:rsid w:val="0029117D"/>
    <w:rsid w:val="002911E6"/>
    <w:rsid w:val="00291355"/>
    <w:rsid w:val="002913CC"/>
    <w:rsid w:val="0029142A"/>
    <w:rsid w:val="00291462"/>
    <w:rsid w:val="00291480"/>
    <w:rsid w:val="002914B2"/>
    <w:rsid w:val="00291572"/>
    <w:rsid w:val="002917A5"/>
    <w:rsid w:val="00291985"/>
    <w:rsid w:val="002919B3"/>
    <w:rsid w:val="00291C8A"/>
    <w:rsid w:val="00291D9E"/>
    <w:rsid w:val="00291FAB"/>
    <w:rsid w:val="002920E1"/>
    <w:rsid w:val="00292229"/>
    <w:rsid w:val="00292334"/>
    <w:rsid w:val="002924BF"/>
    <w:rsid w:val="00292B07"/>
    <w:rsid w:val="00292C44"/>
    <w:rsid w:val="00292C81"/>
    <w:rsid w:val="00292CB1"/>
    <w:rsid w:val="00292FD3"/>
    <w:rsid w:val="00293138"/>
    <w:rsid w:val="0029348D"/>
    <w:rsid w:val="00293A46"/>
    <w:rsid w:val="00293A9A"/>
    <w:rsid w:val="00293CF8"/>
    <w:rsid w:val="00293D25"/>
    <w:rsid w:val="00293E36"/>
    <w:rsid w:val="00293F62"/>
    <w:rsid w:val="00294027"/>
    <w:rsid w:val="002940C8"/>
    <w:rsid w:val="002941D1"/>
    <w:rsid w:val="002941D2"/>
    <w:rsid w:val="0029427F"/>
    <w:rsid w:val="002946F5"/>
    <w:rsid w:val="00294807"/>
    <w:rsid w:val="002948D4"/>
    <w:rsid w:val="00294A70"/>
    <w:rsid w:val="00294ACA"/>
    <w:rsid w:val="00294D86"/>
    <w:rsid w:val="00294E7D"/>
    <w:rsid w:val="0029512F"/>
    <w:rsid w:val="002951DE"/>
    <w:rsid w:val="00295238"/>
    <w:rsid w:val="00295490"/>
    <w:rsid w:val="002954F4"/>
    <w:rsid w:val="0029551A"/>
    <w:rsid w:val="0029559C"/>
    <w:rsid w:val="00295633"/>
    <w:rsid w:val="00295638"/>
    <w:rsid w:val="00295790"/>
    <w:rsid w:val="002957F8"/>
    <w:rsid w:val="00295A44"/>
    <w:rsid w:val="00295B6E"/>
    <w:rsid w:val="00295EFF"/>
    <w:rsid w:val="00296123"/>
    <w:rsid w:val="0029614C"/>
    <w:rsid w:val="0029615B"/>
    <w:rsid w:val="002961F9"/>
    <w:rsid w:val="00296209"/>
    <w:rsid w:val="002964C3"/>
    <w:rsid w:val="002965F9"/>
    <w:rsid w:val="0029697B"/>
    <w:rsid w:val="00296B92"/>
    <w:rsid w:val="00296BD2"/>
    <w:rsid w:val="00296C27"/>
    <w:rsid w:val="00296DF6"/>
    <w:rsid w:val="00296E5A"/>
    <w:rsid w:val="002971A4"/>
    <w:rsid w:val="00297341"/>
    <w:rsid w:val="002973AA"/>
    <w:rsid w:val="00297459"/>
    <w:rsid w:val="00297745"/>
    <w:rsid w:val="00297A67"/>
    <w:rsid w:val="00297B3E"/>
    <w:rsid w:val="00297B82"/>
    <w:rsid w:val="00297D7A"/>
    <w:rsid w:val="00297DD5"/>
    <w:rsid w:val="00297F70"/>
    <w:rsid w:val="00297FFB"/>
    <w:rsid w:val="002A000F"/>
    <w:rsid w:val="002A005C"/>
    <w:rsid w:val="002A0197"/>
    <w:rsid w:val="002A019A"/>
    <w:rsid w:val="002A0207"/>
    <w:rsid w:val="002A0426"/>
    <w:rsid w:val="002A0497"/>
    <w:rsid w:val="002A04B4"/>
    <w:rsid w:val="002A04D9"/>
    <w:rsid w:val="002A054A"/>
    <w:rsid w:val="002A0580"/>
    <w:rsid w:val="002A0585"/>
    <w:rsid w:val="002A06C1"/>
    <w:rsid w:val="002A0C7B"/>
    <w:rsid w:val="002A0FD8"/>
    <w:rsid w:val="002A1237"/>
    <w:rsid w:val="002A145B"/>
    <w:rsid w:val="002A1617"/>
    <w:rsid w:val="002A17CE"/>
    <w:rsid w:val="002A1830"/>
    <w:rsid w:val="002A18BE"/>
    <w:rsid w:val="002A1983"/>
    <w:rsid w:val="002A1A53"/>
    <w:rsid w:val="002A1AC0"/>
    <w:rsid w:val="002A1E96"/>
    <w:rsid w:val="002A2063"/>
    <w:rsid w:val="002A2190"/>
    <w:rsid w:val="002A21EE"/>
    <w:rsid w:val="002A2253"/>
    <w:rsid w:val="002A2358"/>
    <w:rsid w:val="002A2509"/>
    <w:rsid w:val="002A255F"/>
    <w:rsid w:val="002A277E"/>
    <w:rsid w:val="002A2AB3"/>
    <w:rsid w:val="002A2CAC"/>
    <w:rsid w:val="002A2D5B"/>
    <w:rsid w:val="002A2DD5"/>
    <w:rsid w:val="002A2E05"/>
    <w:rsid w:val="002A2EA7"/>
    <w:rsid w:val="002A2F71"/>
    <w:rsid w:val="002A30A2"/>
    <w:rsid w:val="002A346B"/>
    <w:rsid w:val="002A349F"/>
    <w:rsid w:val="002A3569"/>
    <w:rsid w:val="002A35C4"/>
    <w:rsid w:val="002A36F6"/>
    <w:rsid w:val="002A3779"/>
    <w:rsid w:val="002A3C23"/>
    <w:rsid w:val="002A3D93"/>
    <w:rsid w:val="002A3F63"/>
    <w:rsid w:val="002A4084"/>
    <w:rsid w:val="002A4291"/>
    <w:rsid w:val="002A43C4"/>
    <w:rsid w:val="002A44F4"/>
    <w:rsid w:val="002A4A05"/>
    <w:rsid w:val="002A4AD6"/>
    <w:rsid w:val="002A4BE2"/>
    <w:rsid w:val="002A4CA9"/>
    <w:rsid w:val="002A4D26"/>
    <w:rsid w:val="002A4DB0"/>
    <w:rsid w:val="002A4DB7"/>
    <w:rsid w:val="002A4E65"/>
    <w:rsid w:val="002A4F72"/>
    <w:rsid w:val="002A501E"/>
    <w:rsid w:val="002A506A"/>
    <w:rsid w:val="002A5198"/>
    <w:rsid w:val="002A5413"/>
    <w:rsid w:val="002A55D9"/>
    <w:rsid w:val="002A5609"/>
    <w:rsid w:val="002A571F"/>
    <w:rsid w:val="002A587B"/>
    <w:rsid w:val="002A5B3F"/>
    <w:rsid w:val="002A5C79"/>
    <w:rsid w:val="002A5DE0"/>
    <w:rsid w:val="002A5E4F"/>
    <w:rsid w:val="002A5EED"/>
    <w:rsid w:val="002A5FC0"/>
    <w:rsid w:val="002A6121"/>
    <w:rsid w:val="002A62C9"/>
    <w:rsid w:val="002A63F1"/>
    <w:rsid w:val="002A65AD"/>
    <w:rsid w:val="002A696A"/>
    <w:rsid w:val="002A697C"/>
    <w:rsid w:val="002A6A8A"/>
    <w:rsid w:val="002A6DC1"/>
    <w:rsid w:val="002A6F3E"/>
    <w:rsid w:val="002A713E"/>
    <w:rsid w:val="002A7196"/>
    <w:rsid w:val="002A742E"/>
    <w:rsid w:val="002A7525"/>
    <w:rsid w:val="002A76AE"/>
    <w:rsid w:val="002A7752"/>
    <w:rsid w:val="002A7813"/>
    <w:rsid w:val="002A7835"/>
    <w:rsid w:val="002A78C2"/>
    <w:rsid w:val="002A790B"/>
    <w:rsid w:val="002A7CA8"/>
    <w:rsid w:val="002A7E21"/>
    <w:rsid w:val="002A7FF3"/>
    <w:rsid w:val="002B01A8"/>
    <w:rsid w:val="002B020D"/>
    <w:rsid w:val="002B03C8"/>
    <w:rsid w:val="002B0590"/>
    <w:rsid w:val="002B060C"/>
    <w:rsid w:val="002B0629"/>
    <w:rsid w:val="002B06E6"/>
    <w:rsid w:val="002B0824"/>
    <w:rsid w:val="002B096A"/>
    <w:rsid w:val="002B0A8F"/>
    <w:rsid w:val="002B0B50"/>
    <w:rsid w:val="002B0D80"/>
    <w:rsid w:val="002B0D82"/>
    <w:rsid w:val="002B0E76"/>
    <w:rsid w:val="002B1043"/>
    <w:rsid w:val="002B1340"/>
    <w:rsid w:val="002B1384"/>
    <w:rsid w:val="002B16C7"/>
    <w:rsid w:val="002B170A"/>
    <w:rsid w:val="002B173F"/>
    <w:rsid w:val="002B183A"/>
    <w:rsid w:val="002B1877"/>
    <w:rsid w:val="002B18A5"/>
    <w:rsid w:val="002B1982"/>
    <w:rsid w:val="002B1B26"/>
    <w:rsid w:val="002B1B7F"/>
    <w:rsid w:val="002B2096"/>
    <w:rsid w:val="002B2319"/>
    <w:rsid w:val="002B236E"/>
    <w:rsid w:val="002B25BA"/>
    <w:rsid w:val="002B25D4"/>
    <w:rsid w:val="002B29A2"/>
    <w:rsid w:val="002B2AE0"/>
    <w:rsid w:val="002B2BCD"/>
    <w:rsid w:val="002B2C0A"/>
    <w:rsid w:val="002B2DCC"/>
    <w:rsid w:val="002B2DE4"/>
    <w:rsid w:val="002B2F55"/>
    <w:rsid w:val="002B3011"/>
    <w:rsid w:val="002B3129"/>
    <w:rsid w:val="002B355B"/>
    <w:rsid w:val="002B3681"/>
    <w:rsid w:val="002B370D"/>
    <w:rsid w:val="002B3714"/>
    <w:rsid w:val="002B384F"/>
    <w:rsid w:val="002B3A4F"/>
    <w:rsid w:val="002B3C95"/>
    <w:rsid w:val="002B3D77"/>
    <w:rsid w:val="002B3FD0"/>
    <w:rsid w:val="002B4191"/>
    <w:rsid w:val="002B4289"/>
    <w:rsid w:val="002B4509"/>
    <w:rsid w:val="002B46A8"/>
    <w:rsid w:val="002B4996"/>
    <w:rsid w:val="002B4A58"/>
    <w:rsid w:val="002B4AF5"/>
    <w:rsid w:val="002B4BAB"/>
    <w:rsid w:val="002B4CB4"/>
    <w:rsid w:val="002B4EE0"/>
    <w:rsid w:val="002B4F9A"/>
    <w:rsid w:val="002B4FC2"/>
    <w:rsid w:val="002B4FD0"/>
    <w:rsid w:val="002B50A2"/>
    <w:rsid w:val="002B5101"/>
    <w:rsid w:val="002B518F"/>
    <w:rsid w:val="002B52B4"/>
    <w:rsid w:val="002B5451"/>
    <w:rsid w:val="002B551D"/>
    <w:rsid w:val="002B583C"/>
    <w:rsid w:val="002B5957"/>
    <w:rsid w:val="002B5C8C"/>
    <w:rsid w:val="002B5EA1"/>
    <w:rsid w:val="002B5EDE"/>
    <w:rsid w:val="002B6254"/>
    <w:rsid w:val="002B6256"/>
    <w:rsid w:val="002B6279"/>
    <w:rsid w:val="002B637B"/>
    <w:rsid w:val="002B667C"/>
    <w:rsid w:val="002B66C2"/>
    <w:rsid w:val="002B6A2A"/>
    <w:rsid w:val="002B6ACF"/>
    <w:rsid w:val="002B6B18"/>
    <w:rsid w:val="002B764D"/>
    <w:rsid w:val="002B7672"/>
    <w:rsid w:val="002B7872"/>
    <w:rsid w:val="002B794B"/>
    <w:rsid w:val="002B7A38"/>
    <w:rsid w:val="002B7A59"/>
    <w:rsid w:val="002B7D54"/>
    <w:rsid w:val="002B7E65"/>
    <w:rsid w:val="002B7F24"/>
    <w:rsid w:val="002C0104"/>
    <w:rsid w:val="002C01E3"/>
    <w:rsid w:val="002C03FE"/>
    <w:rsid w:val="002C0428"/>
    <w:rsid w:val="002C042C"/>
    <w:rsid w:val="002C075F"/>
    <w:rsid w:val="002C07E9"/>
    <w:rsid w:val="002C08EC"/>
    <w:rsid w:val="002C0A83"/>
    <w:rsid w:val="002C0E62"/>
    <w:rsid w:val="002C0EF9"/>
    <w:rsid w:val="002C11CA"/>
    <w:rsid w:val="002C131C"/>
    <w:rsid w:val="002C1422"/>
    <w:rsid w:val="002C15F7"/>
    <w:rsid w:val="002C1706"/>
    <w:rsid w:val="002C17C0"/>
    <w:rsid w:val="002C1DAC"/>
    <w:rsid w:val="002C2074"/>
    <w:rsid w:val="002C20BA"/>
    <w:rsid w:val="002C23AE"/>
    <w:rsid w:val="002C2BE2"/>
    <w:rsid w:val="002C2ED0"/>
    <w:rsid w:val="002C2F97"/>
    <w:rsid w:val="002C3013"/>
    <w:rsid w:val="002C30AC"/>
    <w:rsid w:val="002C30BF"/>
    <w:rsid w:val="002C313C"/>
    <w:rsid w:val="002C32F0"/>
    <w:rsid w:val="002C334E"/>
    <w:rsid w:val="002C3584"/>
    <w:rsid w:val="002C3688"/>
    <w:rsid w:val="002C36B5"/>
    <w:rsid w:val="002C36D9"/>
    <w:rsid w:val="002C3756"/>
    <w:rsid w:val="002C38C7"/>
    <w:rsid w:val="002C39B0"/>
    <w:rsid w:val="002C3AC9"/>
    <w:rsid w:val="002C3B12"/>
    <w:rsid w:val="002C3B2B"/>
    <w:rsid w:val="002C3BE6"/>
    <w:rsid w:val="002C3F9E"/>
    <w:rsid w:val="002C40EF"/>
    <w:rsid w:val="002C4229"/>
    <w:rsid w:val="002C458C"/>
    <w:rsid w:val="002C45E8"/>
    <w:rsid w:val="002C4628"/>
    <w:rsid w:val="002C49FD"/>
    <w:rsid w:val="002C4B09"/>
    <w:rsid w:val="002C4B58"/>
    <w:rsid w:val="002C4BD9"/>
    <w:rsid w:val="002C4CD7"/>
    <w:rsid w:val="002C4D72"/>
    <w:rsid w:val="002C4E12"/>
    <w:rsid w:val="002C4E9B"/>
    <w:rsid w:val="002C4F89"/>
    <w:rsid w:val="002C5085"/>
    <w:rsid w:val="002C5259"/>
    <w:rsid w:val="002C543C"/>
    <w:rsid w:val="002C550C"/>
    <w:rsid w:val="002C55DC"/>
    <w:rsid w:val="002C56B2"/>
    <w:rsid w:val="002C56DC"/>
    <w:rsid w:val="002C5832"/>
    <w:rsid w:val="002C5907"/>
    <w:rsid w:val="002C5D5F"/>
    <w:rsid w:val="002C5DAF"/>
    <w:rsid w:val="002C5F72"/>
    <w:rsid w:val="002C6003"/>
    <w:rsid w:val="002C621B"/>
    <w:rsid w:val="002C6463"/>
    <w:rsid w:val="002C6535"/>
    <w:rsid w:val="002C6623"/>
    <w:rsid w:val="002C6C59"/>
    <w:rsid w:val="002C6C5C"/>
    <w:rsid w:val="002C6CAC"/>
    <w:rsid w:val="002C6DD0"/>
    <w:rsid w:val="002C6E1E"/>
    <w:rsid w:val="002C6EF5"/>
    <w:rsid w:val="002C6FFE"/>
    <w:rsid w:val="002C70CE"/>
    <w:rsid w:val="002C70D3"/>
    <w:rsid w:val="002C7166"/>
    <w:rsid w:val="002C722C"/>
    <w:rsid w:val="002C752A"/>
    <w:rsid w:val="002C765B"/>
    <w:rsid w:val="002C76F3"/>
    <w:rsid w:val="002C7702"/>
    <w:rsid w:val="002C77AF"/>
    <w:rsid w:val="002C7855"/>
    <w:rsid w:val="002C7C97"/>
    <w:rsid w:val="002C7CB8"/>
    <w:rsid w:val="002C7D20"/>
    <w:rsid w:val="002C7D5A"/>
    <w:rsid w:val="002D0053"/>
    <w:rsid w:val="002D00CD"/>
    <w:rsid w:val="002D017D"/>
    <w:rsid w:val="002D040B"/>
    <w:rsid w:val="002D04BB"/>
    <w:rsid w:val="002D0603"/>
    <w:rsid w:val="002D060C"/>
    <w:rsid w:val="002D0631"/>
    <w:rsid w:val="002D06CB"/>
    <w:rsid w:val="002D0838"/>
    <w:rsid w:val="002D089D"/>
    <w:rsid w:val="002D0947"/>
    <w:rsid w:val="002D0AB7"/>
    <w:rsid w:val="002D0AC7"/>
    <w:rsid w:val="002D0AC8"/>
    <w:rsid w:val="002D0B8D"/>
    <w:rsid w:val="002D0D9B"/>
    <w:rsid w:val="002D1146"/>
    <w:rsid w:val="002D14A3"/>
    <w:rsid w:val="002D1597"/>
    <w:rsid w:val="002D1649"/>
    <w:rsid w:val="002D16CC"/>
    <w:rsid w:val="002D17E2"/>
    <w:rsid w:val="002D188C"/>
    <w:rsid w:val="002D19F2"/>
    <w:rsid w:val="002D1B1D"/>
    <w:rsid w:val="002D1D27"/>
    <w:rsid w:val="002D1EB1"/>
    <w:rsid w:val="002D1EE5"/>
    <w:rsid w:val="002D1F79"/>
    <w:rsid w:val="002D1F8D"/>
    <w:rsid w:val="002D1F9E"/>
    <w:rsid w:val="002D21E7"/>
    <w:rsid w:val="002D228F"/>
    <w:rsid w:val="002D2360"/>
    <w:rsid w:val="002D27AA"/>
    <w:rsid w:val="002D2A47"/>
    <w:rsid w:val="002D2AEA"/>
    <w:rsid w:val="002D2B1E"/>
    <w:rsid w:val="002D2BAA"/>
    <w:rsid w:val="002D2D62"/>
    <w:rsid w:val="002D2D95"/>
    <w:rsid w:val="002D2D9E"/>
    <w:rsid w:val="002D2E4C"/>
    <w:rsid w:val="002D305C"/>
    <w:rsid w:val="002D3382"/>
    <w:rsid w:val="002D36F8"/>
    <w:rsid w:val="002D375B"/>
    <w:rsid w:val="002D39FE"/>
    <w:rsid w:val="002D3A16"/>
    <w:rsid w:val="002D3B2E"/>
    <w:rsid w:val="002D3BEB"/>
    <w:rsid w:val="002D4468"/>
    <w:rsid w:val="002D4815"/>
    <w:rsid w:val="002D4875"/>
    <w:rsid w:val="002D4943"/>
    <w:rsid w:val="002D499C"/>
    <w:rsid w:val="002D49A7"/>
    <w:rsid w:val="002D4BD4"/>
    <w:rsid w:val="002D4D52"/>
    <w:rsid w:val="002D4EEA"/>
    <w:rsid w:val="002D4FC5"/>
    <w:rsid w:val="002D5097"/>
    <w:rsid w:val="002D50A8"/>
    <w:rsid w:val="002D50DD"/>
    <w:rsid w:val="002D50EA"/>
    <w:rsid w:val="002D52E5"/>
    <w:rsid w:val="002D5381"/>
    <w:rsid w:val="002D55E4"/>
    <w:rsid w:val="002D565F"/>
    <w:rsid w:val="002D57DE"/>
    <w:rsid w:val="002D58FC"/>
    <w:rsid w:val="002D5D34"/>
    <w:rsid w:val="002D5DA2"/>
    <w:rsid w:val="002D5F3E"/>
    <w:rsid w:val="002D5F4E"/>
    <w:rsid w:val="002D5F56"/>
    <w:rsid w:val="002D6248"/>
    <w:rsid w:val="002D62BF"/>
    <w:rsid w:val="002D63BF"/>
    <w:rsid w:val="002D6427"/>
    <w:rsid w:val="002D648B"/>
    <w:rsid w:val="002D65CE"/>
    <w:rsid w:val="002D66A9"/>
    <w:rsid w:val="002D68AD"/>
    <w:rsid w:val="002D690D"/>
    <w:rsid w:val="002D6A9A"/>
    <w:rsid w:val="002D6E8E"/>
    <w:rsid w:val="002D702D"/>
    <w:rsid w:val="002D742F"/>
    <w:rsid w:val="002D75B2"/>
    <w:rsid w:val="002D75DA"/>
    <w:rsid w:val="002D76C3"/>
    <w:rsid w:val="002D79A7"/>
    <w:rsid w:val="002D7AEF"/>
    <w:rsid w:val="002D7C2B"/>
    <w:rsid w:val="002D7DB6"/>
    <w:rsid w:val="002D7DED"/>
    <w:rsid w:val="002D7EA2"/>
    <w:rsid w:val="002D7EFF"/>
    <w:rsid w:val="002E0205"/>
    <w:rsid w:val="002E020B"/>
    <w:rsid w:val="002E0251"/>
    <w:rsid w:val="002E032F"/>
    <w:rsid w:val="002E033A"/>
    <w:rsid w:val="002E037F"/>
    <w:rsid w:val="002E0753"/>
    <w:rsid w:val="002E0841"/>
    <w:rsid w:val="002E09C5"/>
    <w:rsid w:val="002E09F6"/>
    <w:rsid w:val="002E0E89"/>
    <w:rsid w:val="002E0FBC"/>
    <w:rsid w:val="002E1346"/>
    <w:rsid w:val="002E13F4"/>
    <w:rsid w:val="002E1571"/>
    <w:rsid w:val="002E15A6"/>
    <w:rsid w:val="002E15CF"/>
    <w:rsid w:val="002E15EE"/>
    <w:rsid w:val="002E18F6"/>
    <w:rsid w:val="002E198B"/>
    <w:rsid w:val="002E19EE"/>
    <w:rsid w:val="002E1F16"/>
    <w:rsid w:val="002E2209"/>
    <w:rsid w:val="002E225A"/>
    <w:rsid w:val="002E242F"/>
    <w:rsid w:val="002E243D"/>
    <w:rsid w:val="002E2462"/>
    <w:rsid w:val="002E2528"/>
    <w:rsid w:val="002E2570"/>
    <w:rsid w:val="002E26CD"/>
    <w:rsid w:val="002E2858"/>
    <w:rsid w:val="002E2B97"/>
    <w:rsid w:val="002E3077"/>
    <w:rsid w:val="002E3241"/>
    <w:rsid w:val="002E32B6"/>
    <w:rsid w:val="002E3359"/>
    <w:rsid w:val="002E3B4E"/>
    <w:rsid w:val="002E3D95"/>
    <w:rsid w:val="002E3F45"/>
    <w:rsid w:val="002E3FA2"/>
    <w:rsid w:val="002E3FCB"/>
    <w:rsid w:val="002E3FEE"/>
    <w:rsid w:val="002E4023"/>
    <w:rsid w:val="002E40BB"/>
    <w:rsid w:val="002E4178"/>
    <w:rsid w:val="002E4271"/>
    <w:rsid w:val="002E43B9"/>
    <w:rsid w:val="002E440D"/>
    <w:rsid w:val="002E445E"/>
    <w:rsid w:val="002E454D"/>
    <w:rsid w:val="002E45F9"/>
    <w:rsid w:val="002E46A1"/>
    <w:rsid w:val="002E47D6"/>
    <w:rsid w:val="002E4829"/>
    <w:rsid w:val="002E4A03"/>
    <w:rsid w:val="002E4E8D"/>
    <w:rsid w:val="002E4EE4"/>
    <w:rsid w:val="002E541C"/>
    <w:rsid w:val="002E54AB"/>
    <w:rsid w:val="002E562F"/>
    <w:rsid w:val="002E5745"/>
    <w:rsid w:val="002E57F3"/>
    <w:rsid w:val="002E5923"/>
    <w:rsid w:val="002E592F"/>
    <w:rsid w:val="002E59CA"/>
    <w:rsid w:val="002E5D87"/>
    <w:rsid w:val="002E60B0"/>
    <w:rsid w:val="002E60CB"/>
    <w:rsid w:val="002E64AB"/>
    <w:rsid w:val="002E652A"/>
    <w:rsid w:val="002E68C8"/>
    <w:rsid w:val="002E6A17"/>
    <w:rsid w:val="002E6AEA"/>
    <w:rsid w:val="002E6BC0"/>
    <w:rsid w:val="002E6C91"/>
    <w:rsid w:val="002E6CDD"/>
    <w:rsid w:val="002E6D81"/>
    <w:rsid w:val="002E6EEF"/>
    <w:rsid w:val="002E7002"/>
    <w:rsid w:val="002E7046"/>
    <w:rsid w:val="002E707F"/>
    <w:rsid w:val="002E7317"/>
    <w:rsid w:val="002E7458"/>
    <w:rsid w:val="002E7562"/>
    <w:rsid w:val="002E7695"/>
    <w:rsid w:val="002E7775"/>
    <w:rsid w:val="002E7A60"/>
    <w:rsid w:val="002E7AD2"/>
    <w:rsid w:val="002E7AE8"/>
    <w:rsid w:val="002E7BFA"/>
    <w:rsid w:val="002E7CAA"/>
    <w:rsid w:val="002E7D8F"/>
    <w:rsid w:val="002E7DEE"/>
    <w:rsid w:val="002F0173"/>
    <w:rsid w:val="002F02A6"/>
    <w:rsid w:val="002F02ED"/>
    <w:rsid w:val="002F0353"/>
    <w:rsid w:val="002F04C7"/>
    <w:rsid w:val="002F050D"/>
    <w:rsid w:val="002F05D0"/>
    <w:rsid w:val="002F06B2"/>
    <w:rsid w:val="002F0825"/>
    <w:rsid w:val="002F0BF0"/>
    <w:rsid w:val="002F1252"/>
    <w:rsid w:val="002F1309"/>
    <w:rsid w:val="002F1316"/>
    <w:rsid w:val="002F1399"/>
    <w:rsid w:val="002F1758"/>
    <w:rsid w:val="002F17D4"/>
    <w:rsid w:val="002F185E"/>
    <w:rsid w:val="002F18F2"/>
    <w:rsid w:val="002F1B1F"/>
    <w:rsid w:val="002F1CB9"/>
    <w:rsid w:val="002F1E20"/>
    <w:rsid w:val="002F1EB0"/>
    <w:rsid w:val="002F1F5F"/>
    <w:rsid w:val="002F22EF"/>
    <w:rsid w:val="002F2385"/>
    <w:rsid w:val="002F251C"/>
    <w:rsid w:val="002F254A"/>
    <w:rsid w:val="002F25BC"/>
    <w:rsid w:val="002F2766"/>
    <w:rsid w:val="002F2806"/>
    <w:rsid w:val="002F287D"/>
    <w:rsid w:val="002F2A08"/>
    <w:rsid w:val="002F2C5F"/>
    <w:rsid w:val="002F2DF3"/>
    <w:rsid w:val="002F2EE2"/>
    <w:rsid w:val="002F2EF6"/>
    <w:rsid w:val="002F2F45"/>
    <w:rsid w:val="002F301E"/>
    <w:rsid w:val="002F309F"/>
    <w:rsid w:val="002F3124"/>
    <w:rsid w:val="002F32FB"/>
    <w:rsid w:val="002F3373"/>
    <w:rsid w:val="002F33DB"/>
    <w:rsid w:val="002F3545"/>
    <w:rsid w:val="002F36E8"/>
    <w:rsid w:val="002F36F3"/>
    <w:rsid w:val="002F3789"/>
    <w:rsid w:val="002F39F2"/>
    <w:rsid w:val="002F3A9E"/>
    <w:rsid w:val="002F3B90"/>
    <w:rsid w:val="002F3BE7"/>
    <w:rsid w:val="002F43EA"/>
    <w:rsid w:val="002F45E7"/>
    <w:rsid w:val="002F4613"/>
    <w:rsid w:val="002F47C2"/>
    <w:rsid w:val="002F4998"/>
    <w:rsid w:val="002F4C62"/>
    <w:rsid w:val="002F4D27"/>
    <w:rsid w:val="002F4D5C"/>
    <w:rsid w:val="002F4E1F"/>
    <w:rsid w:val="002F52D0"/>
    <w:rsid w:val="002F52E4"/>
    <w:rsid w:val="002F5376"/>
    <w:rsid w:val="002F55AF"/>
    <w:rsid w:val="002F55C8"/>
    <w:rsid w:val="002F5611"/>
    <w:rsid w:val="002F5689"/>
    <w:rsid w:val="002F573D"/>
    <w:rsid w:val="002F57B0"/>
    <w:rsid w:val="002F586B"/>
    <w:rsid w:val="002F59FD"/>
    <w:rsid w:val="002F5D57"/>
    <w:rsid w:val="002F5E5D"/>
    <w:rsid w:val="002F5ECA"/>
    <w:rsid w:val="002F5F09"/>
    <w:rsid w:val="002F5F49"/>
    <w:rsid w:val="002F5F5E"/>
    <w:rsid w:val="002F5F85"/>
    <w:rsid w:val="002F622A"/>
    <w:rsid w:val="002F625B"/>
    <w:rsid w:val="002F6283"/>
    <w:rsid w:val="002F6521"/>
    <w:rsid w:val="002F6591"/>
    <w:rsid w:val="002F65F3"/>
    <w:rsid w:val="002F6670"/>
    <w:rsid w:val="002F668A"/>
    <w:rsid w:val="002F67E0"/>
    <w:rsid w:val="002F6808"/>
    <w:rsid w:val="002F693F"/>
    <w:rsid w:val="002F6A26"/>
    <w:rsid w:val="002F6AF3"/>
    <w:rsid w:val="002F6B05"/>
    <w:rsid w:val="002F6EC8"/>
    <w:rsid w:val="002F719C"/>
    <w:rsid w:val="002F71C7"/>
    <w:rsid w:val="002F7345"/>
    <w:rsid w:val="002F74FA"/>
    <w:rsid w:val="002F75C2"/>
    <w:rsid w:val="002F7C54"/>
    <w:rsid w:val="002F7D4A"/>
    <w:rsid w:val="002F7E42"/>
    <w:rsid w:val="002F7E96"/>
    <w:rsid w:val="003000A0"/>
    <w:rsid w:val="003001DB"/>
    <w:rsid w:val="00300550"/>
    <w:rsid w:val="00300594"/>
    <w:rsid w:val="003005A2"/>
    <w:rsid w:val="003008CC"/>
    <w:rsid w:val="00300C88"/>
    <w:rsid w:val="00300FA1"/>
    <w:rsid w:val="00300FF1"/>
    <w:rsid w:val="003010B8"/>
    <w:rsid w:val="00301129"/>
    <w:rsid w:val="0030115A"/>
    <w:rsid w:val="003012F3"/>
    <w:rsid w:val="00301359"/>
    <w:rsid w:val="0030146F"/>
    <w:rsid w:val="003014BB"/>
    <w:rsid w:val="00301532"/>
    <w:rsid w:val="0030161F"/>
    <w:rsid w:val="0030171B"/>
    <w:rsid w:val="00301763"/>
    <w:rsid w:val="003017E2"/>
    <w:rsid w:val="0030182B"/>
    <w:rsid w:val="0030187A"/>
    <w:rsid w:val="003018BD"/>
    <w:rsid w:val="0030193C"/>
    <w:rsid w:val="00301AB1"/>
    <w:rsid w:val="00301AE2"/>
    <w:rsid w:val="00301C49"/>
    <w:rsid w:val="00301E6C"/>
    <w:rsid w:val="00302252"/>
    <w:rsid w:val="00302275"/>
    <w:rsid w:val="00302495"/>
    <w:rsid w:val="00302631"/>
    <w:rsid w:val="0030268B"/>
    <w:rsid w:val="0030268C"/>
    <w:rsid w:val="003026A6"/>
    <w:rsid w:val="00302846"/>
    <w:rsid w:val="003028A0"/>
    <w:rsid w:val="00302C02"/>
    <w:rsid w:val="00302C88"/>
    <w:rsid w:val="00302D1C"/>
    <w:rsid w:val="00302EA0"/>
    <w:rsid w:val="003030E0"/>
    <w:rsid w:val="00303211"/>
    <w:rsid w:val="00303643"/>
    <w:rsid w:val="003037CD"/>
    <w:rsid w:val="00303C60"/>
    <w:rsid w:val="00303F12"/>
    <w:rsid w:val="00304000"/>
    <w:rsid w:val="00304143"/>
    <w:rsid w:val="0030420E"/>
    <w:rsid w:val="0030440C"/>
    <w:rsid w:val="00304581"/>
    <w:rsid w:val="00304607"/>
    <w:rsid w:val="00304649"/>
    <w:rsid w:val="0030469E"/>
    <w:rsid w:val="0030494B"/>
    <w:rsid w:val="00304AB7"/>
    <w:rsid w:val="00304B0E"/>
    <w:rsid w:val="00304BCE"/>
    <w:rsid w:val="00304D14"/>
    <w:rsid w:val="00304EEA"/>
    <w:rsid w:val="00304FB8"/>
    <w:rsid w:val="00304FBB"/>
    <w:rsid w:val="00304FE6"/>
    <w:rsid w:val="003052A5"/>
    <w:rsid w:val="003052B4"/>
    <w:rsid w:val="00305526"/>
    <w:rsid w:val="00305571"/>
    <w:rsid w:val="00305612"/>
    <w:rsid w:val="00305672"/>
    <w:rsid w:val="003059E2"/>
    <w:rsid w:val="00305B32"/>
    <w:rsid w:val="00305B63"/>
    <w:rsid w:val="00305B7F"/>
    <w:rsid w:val="00305BE8"/>
    <w:rsid w:val="00305C50"/>
    <w:rsid w:val="00305C92"/>
    <w:rsid w:val="00305DAB"/>
    <w:rsid w:val="00305F17"/>
    <w:rsid w:val="00305FFB"/>
    <w:rsid w:val="0030600D"/>
    <w:rsid w:val="00306102"/>
    <w:rsid w:val="00306266"/>
    <w:rsid w:val="0030637F"/>
    <w:rsid w:val="003063AB"/>
    <w:rsid w:val="00306487"/>
    <w:rsid w:val="0030667C"/>
    <w:rsid w:val="00306687"/>
    <w:rsid w:val="003068DE"/>
    <w:rsid w:val="00306A13"/>
    <w:rsid w:val="00306C09"/>
    <w:rsid w:val="00306CB2"/>
    <w:rsid w:val="00306DAC"/>
    <w:rsid w:val="00306E1D"/>
    <w:rsid w:val="00306ECC"/>
    <w:rsid w:val="00307227"/>
    <w:rsid w:val="0030722C"/>
    <w:rsid w:val="00307299"/>
    <w:rsid w:val="00307490"/>
    <w:rsid w:val="00307745"/>
    <w:rsid w:val="003078B1"/>
    <w:rsid w:val="00307A95"/>
    <w:rsid w:val="00307B16"/>
    <w:rsid w:val="00307BF6"/>
    <w:rsid w:val="00307C79"/>
    <w:rsid w:val="00307CC3"/>
    <w:rsid w:val="0031010E"/>
    <w:rsid w:val="00310153"/>
    <w:rsid w:val="0031029C"/>
    <w:rsid w:val="003103BD"/>
    <w:rsid w:val="003103C0"/>
    <w:rsid w:val="00310405"/>
    <w:rsid w:val="00310755"/>
    <w:rsid w:val="003108D3"/>
    <w:rsid w:val="00310904"/>
    <w:rsid w:val="00310B9B"/>
    <w:rsid w:val="00310BEE"/>
    <w:rsid w:val="00310C3F"/>
    <w:rsid w:val="00310DA9"/>
    <w:rsid w:val="00310E61"/>
    <w:rsid w:val="00311024"/>
    <w:rsid w:val="00311078"/>
    <w:rsid w:val="0031119E"/>
    <w:rsid w:val="00311315"/>
    <w:rsid w:val="00311334"/>
    <w:rsid w:val="0031144B"/>
    <w:rsid w:val="00311765"/>
    <w:rsid w:val="00311A04"/>
    <w:rsid w:val="00311A39"/>
    <w:rsid w:val="00311B58"/>
    <w:rsid w:val="00311BF1"/>
    <w:rsid w:val="00311CA7"/>
    <w:rsid w:val="00311DF5"/>
    <w:rsid w:val="00311EE0"/>
    <w:rsid w:val="00311F49"/>
    <w:rsid w:val="0031201D"/>
    <w:rsid w:val="0031202B"/>
    <w:rsid w:val="00312033"/>
    <w:rsid w:val="00312132"/>
    <w:rsid w:val="0031215F"/>
    <w:rsid w:val="00312581"/>
    <w:rsid w:val="00312715"/>
    <w:rsid w:val="00312726"/>
    <w:rsid w:val="003128CE"/>
    <w:rsid w:val="003129EF"/>
    <w:rsid w:val="00312A8A"/>
    <w:rsid w:val="00312D2C"/>
    <w:rsid w:val="00312E61"/>
    <w:rsid w:val="003130EC"/>
    <w:rsid w:val="003130FC"/>
    <w:rsid w:val="00313540"/>
    <w:rsid w:val="0031357A"/>
    <w:rsid w:val="003136CC"/>
    <w:rsid w:val="003138A3"/>
    <w:rsid w:val="003138EB"/>
    <w:rsid w:val="00313957"/>
    <w:rsid w:val="003139A5"/>
    <w:rsid w:val="00313A2E"/>
    <w:rsid w:val="00313A6A"/>
    <w:rsid w:val="00313C9A"/>
    <w:rsid w:val="00313D16"/>
    <w:rsid w:val="00313D9A"/>
    <w:rsid w:val="003140D2"/>
    <w:rsid w:val="003140EC"/>
    <w:rsid w:val="0031438F"/>
    <w:rsid w:val="003143DF"/>
    <w:rsid w:val="00314616"/>
    <w:rsid w:val="003148C1"/>
    <w:rsid w:val="00314C91"/>
    <w:rsid w:val="00314F1D"/>
    <w:rsid w:val="003150D1"/>
    <w:rsid w:val="0031517D"/>
    <w:rsid w:val="003152DC"/>
    <w:rsid w:val="003154AD"/>
    <w:rsid w:val="003154D9"/>
    <w:rsid w:val="00315727"/>
    <w:rsid w:val="00315902"/>
    <w:rsid w:val="00315CA4"/>
    <w:rsid w:val="00315FB2"/>
    <w:rsid w:val="00316149"/>
    <w:rsid w:val="00316199"/>
    <w:rsid w:val="0031634C"/>
    <w:rsid w:val="0031639F"/>
    <w:rsid w:val="0031679E"/>
    <w:rsid w:val="003167AE"/>
    <w:rsid w:val="0031690E"/>
    <w:rsid w:val="00316935"/>
    <w:rsid w:val="00316A2E"/>
    <w:rsid w:val="00316A45"/>
    <w:rsid w:val="00316B28"/>
    <w:rsid w:val="00316B33"/>
    <w:rsid w:val="00316F94"/>
    <w:rsid w:val="00317071"/>
    <w:rsid w:val="0031709B"/>
    <w:rsid w:val="00317186"/>
    <w:rsid w:val="0031749B"/>
    <w:rsid w:val="003175C5"/>
    <w:rsid w:val="00317714"/>
    <w:rsid w:val="003178A2"/>
    <w:rsid w:val="00317955"/>
    <w:rsid w:val="003179C5"/>
    <w:rsid w:val="00317A04"/>
    <w:rsid w:val="00317CEF"/>
    <w:rsid w:val="00317D6A"/>
    <w:rsid w:val="00317DF0"/>
    <w:rsid w:val="0032000A"/>
    <w:rsid w:val="00320374"/>
    <w:rsid w:val="003204F8"/>
    <w:rsid w:val="0032063F"/>
    <w:rsid w:val="003207A0"/>
    <w:rsid w:val="003207A6"/>
    <w:rsid w:val="0032095B"/>
    <w:rsid w:val="00320A17"/>
    <w:rsid w:val="00320A65"/>
    <w:rsid w:val="00320AE2"/>
    <w:rsid w:val="00320C2C"/>
    <w:rsid w:val="0032106A"/>
    <w:rsid w:val="0032113F"/>
    <w:rsid w:val="003212AB"/>
    <w:rsid w:val="003212D7"/>
    <w:rsid w:val="003213FF"/>
    <w:rsid w:val="0032155F"/>
    <w:rsid w:val="00321667"/>
    <w:rsid w:val="00321CB1"/>
    <w:rsid w:val="00321EB2"/>
    <w:rsid w:val="003220C1"/>
    <w:rsid w:val="00322346"/>
    <w:rsid w:val="00322360"/>
    <w:rsid w:val="00322484"/>
    <w:rsid w:val="0032258B"/>
    <w:rsid w:val="003226D9"/>
    <w:rsid w:val="0032292C"/>
    <w:rsid w:val="00322C19"/>
    <w:rsid w:val="00322D09"/>
    <w:rsid w:val="00322D33"/>
    <w:rsid w:val="00322DA9"/>
    <w:rsid w:val="00322F2F"/>
    <w:rsid w:val="00322FF1"/>
    <w:rsid w:val="0032315F"/>
    <w:rsid w:val="0032316F"/>
    <w:rsid w:val="0032336C"/>
    <w:rsid w:val="00323384"/>
    <w:rsid w:val="003235CD"/>
    <w:rsid w:val="00323682"/>
    <w:rsid w:val="0032387B"/>
    <w:rsid w:val="003238A8"/>
    <w:rsid w:val="00323A82"/>
    <w:rsid w:val="00323AF6"/>
    <w:rsid w:val="00323B61"/>
    <w:rsid w:val="00323C32"/>
    <w:rsid w:val="00323D5E"/>
    <w:rsid w:val="00323E3F"/>
    <w:rsid w:val="00323E43"/>
    <w:rsid w:val="00323E52"/>
    <w:rsid w:val="00323E70"/>
    <w:rsid w:val="003240E1"/>
    <w:rsid w:val="0032421E"/>
    <w:rsid w:val="0032438A"/>
    <w:rsid w:val="00324817"/>
    <w:rsid w:val="00324DBB"/>
    <w:rsid w:val="00324E0D"/>
    <w:rsid w:val="00325094"/>
    <w:rsid w:val="003251C2"/>
    <w:rsid w:val="00325294"/>
    <w:rsid w:val="003252FA"/>
    <w:rsid w:val="00325509"/>
    <w:rsid w:val="003255A0"/>
    <w:rsid w:val="00325650"/>
    <w:rsid w:val="003257D0"/>
    <w:rsid w:val="00325AF1"/>
    <w:rsid w:val="00325B82"/>
    <w:rsid w:val="00325C18"/>
    <w:rsid w:val="00325CFE"/>
    <w:rsid w:val="00325D69"/>
    <w:rsid w:val="00325F4D"/>
    <w:rsid w:val="00325FA0"/>
    <w:rsid w:val="00325FF2"/>
    <w:rsid w:val="0032658E"/>
    <w:rsid w:val="00326746"/>
    <w:rsid w:val="00326BBE"/>
    <w:rsid w:val="00326D7E"/>
    <w:rsid w:val="00326F1C"/>
    <w:rsid w:val="0032704B"/>
    <w:rsid w:val="00327162"/>
    <w:rsid w:val="003273C4"/>
    <w:rsid w:val="003274B9"/>
    <w:rsid w:val="003275CA"/>
    <w:rsid w:val="00327633"/>
    <w:rsid w:val="00327702"/>
    <w:rsid w:val="00327854"/>
    <w:rsid w:val="00327961"/>
    <w:rsid w:val="00327A03"/>
    <w:rsid w:val="00327AB0"/>
    <w:rsid w:val="00327BE2"/>
    <w:rsid w:val="00327C17"/>
    <w:rsid w:val="00327C42"/>
    <w:rsid w:val="00327C94"/>
    <w:rsid w:val="003300F9"/>
    <w:rsid w:val="0033018F"/>
    <w:rsid w:val="00330398"/>
    <w:rsid w:val="0033041F"/>
    <w:rsid w:val="00330469"/>
    <w:rsid w:val="0033050F"/>
    <w:rsid w:val="003306AA"/>
    <w:rsid w:val="003308AD"/>
    <w:rsid w:val="00330999"/>
    <w:rsid w:val="0033099F"/>
    <w:rsid w:val="003309F3"/>
    <w:rsid w:val="00330A0A"/>
    <w:rsid w:val="00330CF6"/>
    <w:rsid w:val="00330E24"/>
    <w:rsid w:val="00330E7E"/>
    <w:rsid w:val="00330EED"/>
    <w:rsid w:val="00330F4D"/>
    <w:rsid w:val="0033101F"/>
    <w:rsid w:val="003313BF"/>
    <w:rsid w:val="0033157B"/>
    <w:rsid w:val="003316EE"/>
    <w:rsid w:val="00331742"/>
    <w:rsid w:val="00331A34"/>
    <w:rsid w:val="00331BC9"/>
    <w:rsid w:val="00331C43"/>
    <w:rsid w:val="00331CB5"/>
    <w:rsid w:val="00331F81"/>
    <w:rsid w:val="00331FC2"/>
    <w:rsid w:val="00332083"/>
    <w:rsid w:val="003321AC"/>
    <w:rsid w:val="00332435"/>
    <w:rsid w:val="00332585"/>
    <w:rsid w:val="00332702"/>
    <w:rsid w:val="00332847"/>
    <w:rsid w:val="00332875"/>
    <w:rsid w:val="003328A9"/>
    <w:rsid w:val="003328C3"/>
    <w:rsid w:val="0033290F"/>
    <w:rsid w:val="003329F9"/>
    <w:rsid w:val="00332AC7"/>
    <w:rsid w:val="00332ADB"/>
    <w:rsid w:val="00332D4A"/>
    <w:rsid w:val="00332D96"/>
    <w:rsid w:val="00332EBF"/>
    <w:rsid w:val="003331BC"/>
    <w:rsid w:val="0033342B"/>
    <w:rsid w:val="00333788"/>
    <w:rsid w:val="003337DC"/>
    <w:rsid w:val="00333851"/>
    <w:rsid w:val="00333929"/>
    <w:rsid w:val="00333AAE"/>
    <w:rsid w:val="00333BF6"/>
    <w:rsid w:val="00333D04"/>
    <w:rsid w:val="0033409F"/>
    <w:rsid w:val="003341DE"/>
    <w:rsid w:val="003344FD"/>
    <w:rsid w:val="003345A2"/>
    <w:rsid w:val="0033477D"/>
    <w:rsid w:val="00334851"/>
    <w:rsid w:val="003348E1"/>
    <w:rsid w:val="00334957"/>
    <w:rsid w:val="003349B6"/>
    <w:rsid w:val="00334A78"/>
    <w:rsid w:val="00334BC7"/>
    <w:rsid w:val="00334D1F"/>
    <w:rsid w:val="003350A5"/>
    <w:rsid w:val="0033542C"/>
    <w:rsid w:val="00335762"/>
    <w:rsid w:val="0033576F"/>
    <w:rsid w:val="00335959"/>
    <w:rsid w:val="003359D1"/>
    <w:rsid w:val="00335C52"/>
    <w:rsid w:val="00335C73"/>
    <w:rsid w:val="00335C8F"/>
    <w:rsid w:val="00335E12"/>
    <w:rsid w:val="00335E6A"/>
    <w:rsid w:val="00335FAE"/>
    <w:rsid w:val="003360C5"/>
    <w:rsid w:val="00336115"/>
    <w:rsid w:val="003364A7"/>
    <w:rsid w:val="00336621"/>
    <w:rsid w:val="0033666E"/>
    <w:rsid w:val="0033680E"/>
    <w:rsid w:val="00336AFF"/>
    <w:rsid w:val="00336B5D"/>
    <w:rsid w:val="00336CBE"/>
    <w:rsid w:val="00336FFE"/>
    <w:rsid w:val="003370B8"/>
    <w:rsid w:val="003371B5"/>
    <w:rsid w:val="0033733F"/>
    <w:rsid w:val="0033781D"/>
    <w:rsid w:val="00337953"/>
    <w:rsid w:val="00337977"/>
    <w:rsid w:val="003379A9"/>
    <w:rsid w:val="003379C4"/>
    <w:rsid w:val="00337A65"/>
    <w:rsid w:val="00337BAF"/>
    <w:rsid w:val="00337EB7"/>
    <w:rsid w:val="00340181"/>
    <w:rsid w:val="00340341"/>
    <w:rsid w:val="0034035F"/>
    <w:rsid w:val="00340379"/>
    <w:rsid w:val="00340440"/>
    <w:rsid w:val="003404B7"/>
    <w:rsid w:val="00340646"/>
    <w:rsid w:val="003406EF"/>
    <w:rsid w:val="00340C0C"/>
    <w:rsid w:val="00340DD4"/>
    <w:rsid w:val="003411C8"/>
    <w:rsid w:val="003412BA"/>
    <w:rsid w:val="0034132F"/>
    <w:rsid w:val="003415F0"/>
    <w:rsid w:val="003417AB"/>
    <w:rsid w:val="003417CB"/>
    <w:rsid w:val="003418A4"/>
    <w:rsid w:val="003418D4"/>
    <w:rsid w:val="0034198A"/>
    <w:rsid w:val="003419DC"/>
    <w:rsid w:val="003419F9"/>
    <w:rsid w:val="00341DA8"/>
    <w:rsid w:val="0034213B"/>
    <w:rsid w:val="00342213"/>
    <w:rsid w:val="00342315"/>
    <w:rsid w:val="003423B1"/>
    <w:rsid w:val="0034252D"/>
    <w:rsid w:val="00342531"/>
    <w:rsid w:val="003425DF"/>
    <w:rsid w:val="003428DC"/>
    <w:rsid w:val="00342A12"/>
    <w:rsid w:val="00342E09"/>
    <w:rsid w:val="00342E17"/>
    <w:rsid w:val="00342E64"/>
    <w:rsid w:val="0034337A"/>
    <w:rsid w:val="0034346D"/>
    <w:rsid w:val="003435A9"/>
    <w:rsid w:val="00343780"/>
    <w:rsid w:val="003438F4"/>
    <w:rsid w:val="00343A23"/>
    <w:rsid w:val="00343A9E"/>
    <w:rsid w:val="00343B7C"/>
    <w:rsid w:val="00343C5E"/>
    <w:rsid w:val="00343CE4"/>
    <w:rsid w:val="00343E85"/>
    <w:rsid w:val="00343EBB"/>
    <w:rsid w:val="00344112"/>
    <w:rsid w:val="0034415F"/>
    <w:rsid w:val="0034432F"/>
    <w:rsid w:val="0034457C"/>
    <w:rsid w:val="003445BB"/>
    <w:rsid w:val="003445C7"/>
    <w:rsid w:val="00344649"/>
    <w:rsid w:val="0034485C"/>
    <w:rsid w:val="003448D7"/>
    <w:rsid w:val="00344AFC"/>
    <w:rsid w:val="00344B4E"/>
    <w:rsid w:val="00344BBB"/>
    <w:rsid w:val="00344C2D"/>
    <w:rsid w:val="00344C31"/>
    <w:rsid w:val="00344D51"/>
    <w:rsid w:val="00344F59"/>
    <w:rsid w:val="00344FE8"/>
    <w:rsid w:val="0034513B"/>
    <w:rsid w:val="003451A3"/>
    <w:rsid w:val="00345205"/>
    <w:rsid w:val="00345496"/>
    <w:rsid w:val="003454B9"/>
    <w:rsid w:val="003454D6"/>
    <w:rsid w:val="00345716"/>
    <w:rsid w:val="00345ACF"/>
    <w:rsid w:val="00345BCF"/>
    <w:rsid w:val="00345C28"/>
    <w:rsid w:val="00345CF6"/>
    <w:rsid w:val="00345F2F"/>
    <w:rsid w:val="00345F6A"/>
    <w:rsid w:val="00345FE5"/>
    <w:rsid w:val="00346190"/>
    <w:rsid w:val="00346197"/>
    <w:rsid w:val="003466F9"/>
    <w:rsid w:val="003467C8"/>
    <w:rsid w:val="00346977"/>
    <w:rsid w:val="00346E53"/>
    <w:rsid w:val="00346FB3"/>
    <w:rsid w:val="00347051"/>
    <w:rsid w:val="003470AA"/>
    <w:rsid w:val="003475CC"/>
    <w:rsid w:val="003475F5"/>
    <w:rsid w:val="00347940"/>
    <w:rsid w:val="003479B2"/>
    <w:rsid w:val="003479E5"/>
    <w:rsid w:val="00347A92"/>
    <w:rsid w:val="00347AF3"/>
    <w:rsid w:val="00347B9D"/>
    <w:rsid w:val="00347C32"/>
    <w:rsid w:val="00347C71"/>
    <w:rsid w:val="00347D0D"/>
    <w:rsid w:val="00347DCB"/>
    <w:rsid w:val="00347DF0"/>
    <w:rsid w:val="00350039"/>
    <w:rsid w:val="00350092"/>
    <w:rsid w:val="00350094"/>
    <w:rsid w:val="0035019D"/>
    <w:rsid w:val="003501E7"/>
    <w:rsid w:val="003504E4"/>
    <w:rsid w:val="00350768"/>
    <w:rsid w:val="003507E9"/>
    <w:rsid w:val="00350886"/>
    <w:rsid w:val="00350BA5"/>
    <w:rsid w:val="00350BAA"/>
    <w:rsid w:val="00350DB3"/>
    <w:rsid w:val="00350EA6"/>
    <w:rsid w:val="00350EB4"/>
    <w:rsid w:val="00350F15"/>
    <w:rsid w:val="00350F28"/>
    <w:rsid w:val="00350F53"/>
    <w:rsid w:val="0035101F"/>
    <w:rsid w:val="00351036"/>
    <w:rsid w:val="003515E9"/>
    <w:rsid w:val="003515FF"/>
    <w:rsid w:val="00351895"/>
    <w:rsid w:val="003518DE"/>
    <w:rsid w:val="00351903"/>
    <w:rsid w:val="003519AD"/>
    <w:rsid w:val="00351BE3"/>
    <w:rsid w:val="00351CE6"/>
    <w:rsid w:val="00351E0E"/>
    <w:rsid w:val="00351E13"/>
    <w:rsid w:val="00351F0D"/>
    <w:rsid w:val="00351F7D"/>
    <w:rsid w:val="003521B8"/>
    <w:rsid w:val="00352204"/>
    <w:rsid w:val="00352326"/>
    <w:rsid w:val="003523F2"/>
    <w:rsid w:val="003525E8"/>
    <w:rsid w:val="003526F8"/>
    <w:rsid w:val="00352829"/>
    <w:rsid w:val="00352983"/>
    <w:rsid w:val="00352B2A"/>
    <w:rsid w:val="00352B5D"/>
    <w:rsid w:val="00352BA7"/>
    <w:rsid w:val="00352C72"/>
    <w:rsid w:val="00352F52"/>
    <w:rsid w:val="0035309D"/>
    <w:rsid w:val="003530A1"/>
    <w:rsid w:val="00353121"/>
    <w:rsid w:val="003532B4"/>
    <w:rsid w:val="00353324"/>
    <w:rsid w:val="00353365"/>
    <w:rsid w:val="003533F3"/>
    <w:rsid w:val="00353570"/>
    <w:rsid w:val="0035387B"/>
    <w:rsid w:val="00353C40"/>
    <w:rsid w:val="00353CAE"/>
    <w:rsid w:val="00353E2B"/>
    <w:rsid w:val="00353E99"/>
    <w:rsid w:val="00353EB4"/>
    <w:rsid w:val="00353F23"/>
    <w:rsid w:val="00353F6B"/>
    <w:rsid w:val="00354344"/>
    <w:rsid w:val="00354555"/>
    <w:rsid w:val="003546A3"/>
    <w:rsid w:val="00354C9F"/>
    <w:rsid w:val="00354D62"/>
    <w:rsid w:val="00354DDF"/>
    <w:rsid w:val="00354E97"/>
    <w:rsid w:val="00354EB4"/>
    <w:rsid w:val="00354FD7"/>
    <w:rsid w:val="0035511B"/>
    <w:rsid w:val="00355129"/>
    <w:rsid w:val="003552F9"/>
    <w:rsid w:val="00355345"/>
    <w:rsid w:val="003553D7"/>
    <w:rsid w:val="003555DB"/>
    <w:rsid w:val="00355731"/>
    <w:rsid w:val="0035577A"/>
    <w:rsid w:val="0035578F"/>
    <w:rsid w:val="00355969"/>
    <w:rsid w:val="00355A49"/>
    <w:rsid w:val="00355B38"/>
    <w:rsid w:val="00355BA9"/>
    <w:rsid w:val="0035602D"/>
    <w:rsid w:val="0035609B"/>
    <w:rsid w:val="00356140"/>
    <w:rsid w:val="00356446"/>
    <w:rsid w:val="00356565"/>
    <w:rsid w:val="0035667F"/>
    <w:rsid w:val="00356B06"/>
    <w:rsid w:val="00356D29"/>
    <w:rsid w:val="00356F21"/>
    <w:rsid w:val="00356FF0"/>
    <w:rsid w:val="0035709E"/>
    <w:rsid w:val="00357125"/>
    <w:rsid w:val="00357135"/>
    <w:rsid w:val="0035716D"/>
    <w:rsid w:val="003571C2"/>
    <w:rsid w:val="0035723D"/>
    <w:rsid w:val="0035727F"/>
    <w:rsid w:val="003572E6"/>
    <w:rsid w:val="00357568"/>
    <w:rsid w:val="00357588"/>
    <w:rsid w:val="003575D4"/>
    <w:rsid w:val="00357627"/>
    <w:rsid w:val="0035771E"/>
    <w:rsid w:val="003577A8"/>
    <w:rsid w:val="00357A10"/>
    <w:rsid w:val="00357AA7"/>
    <w:rsid w:val="00357B00"/>
    <w:rsid w:val="00357B7E"/>
    <w:rsid w:val="00357BCD"/>
    <w:rsid w:val="00357C2A"/>
    <w:rsid w:val="00357CA6"/>
    <w:rsid w:val="00357E00"/>
    <w:rsid w:val="0036001A"/>
    <w:rsid w:val="00360056"/>
    <w:rsid w:val="0036007D"/>
    <w:rsid w:val="003601E8"/>
    <w:rsid w:val="00360291"/>
    <w:rsid w:val="0036052B"/>
    <w:rsid w:val="00360671"/>
    <w:rsid w:val="0036076B"/>
    <w:rsid w:val="00360807"/>
    <w:rsid w:val="00360879"/>
    <w:rsid w:val="00360AD6"/>
    <w:rsid w:val="00360B72"/>
    <w:rsid w:val="00360EB4"/>
    <w:rsid w:val="00360F73"/>
    <w:rsid w:val="00361048"/>
    <w:rsid w:val="0036128C"/>
    <w:rsid w:val="00361351"/>
    <w:rsid w:val="003616B4"/>
    <w:rsid w:val="00361959"/>
    <w:rsid w:val="00361A68"/>
    <w:rsid w:val="00361A6F"/>
    <w:rsid w:val="00362020"/>
    <w:rsid w:val="003625B8"/>
    <w:rsid w:val="003626A8"/>
    <w:rsid w:val="00362700"/>
    <w:rsid w:val="00362C41"/>
    <w:rsid w:val="00362DD3"/>
    <w:rsid w:val="00363022"/>
    <w:rsid w:val="0036304E"/>
    <w:rsid w:val="00363059"/>
    <w:rsid w:val="003631AD"/>
    <w:rsid w:val="003631C6"/>
    <w:rsid w:val="003634EC"/>
    <w:rsid w:val="0036369D"/>
    <w:rsid w:val="0036375C"/>
    <w:rsid w:val="00363A3F"/>
    <w:rsid w:val="00363AF4"/>
    <w:rsid w:val="00363B86"/>
    <w:rsid w:val="003640A7"/>
    <w:rsid w:val="003640C7"/>
    <w:rsid w:val="003640C9"/>
    <w:rsid w:val="00364156"/>
    <w:rsid w:val="00364354"/>
    <w:rsid w:val="00364454"/>
    <w:rsid w:val="00364496"/>
    <w:rsid w:val="0036451D"/>
    <w:rsid w:val="00364748"/>
    <w:rsid w:val="00364749"/>
    <w:rsid w:val="00364752"/>
    <w:rsid w:val="003647A1"/>
    <w:rsid w:val="00364AEC"/>
    <w:rsid w:val="00364B7F"/>
    <w:rsid w:val="00364BB7"/>
    <w:rsid w:val="00364E17"/>
    <w:rsid w:val="00364E25"/>
    <w:rsid w:val="00364EA3"/>
    <w:rsid w:val="00364EAC"/>
    <w:rsid w:val="00365447"/>
    <w:rsid w:val="00365AC0"/>
    <w:rsid w:val="00365D20"/>
    <w:rsid w:val="00365DB9"/>
    <w:rsid w:val="00365F6E"/>
    <w:rsid w:val="00365FE2"/>
    <w:rsid w:val="00366043"/>
    <w:rsid w:val="003660BF"/>
    <w:rsid w:val="0036618A"/>
    <w:rsid w:val="00366479"/>
    <w:rsid w:val="0036660E"/>
    <w:rsid w:val="00366730"/>
    <w:rsid w:val="0036678D"/>
    <w:rsid w:val="00366BB7"/>
    <w:rsid w:val="00366DA8"/>
    <w:rsid w:val="00366F2D"/>
    <w:rsid w:val="0036748F"/>
    <w:rsid w:val="003674E0"/>
    <w:rsid w:val="003675FA"/>
    <w:rsid w:val="0036760D"/>
    <w:rsid w:val="00367788"/>
    <w:rsid w:val="003678BD"/>
    <w:rsid w:val="003678E3"/>
    <w:rsid w:val="0036794E"/>
    <w:rsid w:val="00367950"/>
    <w:rsid w:val="00367953"/>
    <w:rsid w:val="00367A68"/>
    <w:rsid w:val="00367DE9"/>
    <w:rsid w:val="00367E7C"/>
    <w:rsid w:val="003700BF"/>
    <w:rsid w:val="003700D5"/>
    <w:rsid w:val="003700FC"/>
    <w:rsid w:val="003705B4"/>
    <w:rsid w:val="00370797"/>
    <w:rsid w:val="00370873"/>
    <w:rsid w:val="0037087F"/>
    <w:rsid w:val="00370A03"/>
    <w:rsid w:val="00370A54"/>
    <w:rsid w:val="00370A8B"/>
    <w:rsid w:val="00370ABA"/>
    <w:rsid w:val="00370C2D"/>
    <w:rsid w:val="00370D2E"/>
    <w:rsid w:val="00370F42"/>
    <w:rsid w:val="00370F9B"/>
    <w:rsid w:val="00370FB1"/>
    <w:rsid w:val="00371060"/>
    <w:rsid w:val="0037108F"/>
    <w:rsid w:val="003710CA"/>
    <w:rsid w:val="00371249"/>
    <w:rsid w:val="00371455"/>
    <w:rsid w:val="00371739"/>
    <w:rsid w:val="0037175F"/>
    <w:rsid w:val="00371941"/>
    <w:rsid w:val="00371A45"/>
    <w:rsid w:val="00371E0D"/>
    <w:rsid w:val="00371F8D"/>
    <w:rsid w:val="00371FCF"/>
    <w:rsid w:val="00372340"/>
    <w:rsid w:val="00372349"/>
    <w:rsid w:val="00372381"/>
    <w:rsid w:val="00372440"/>
    <w:rsid w:val="003725E1"/>
    <w:rsid w:val="00372765"/>
    <w:rsid w:val="00372AF8"/>
    <w:rsid w:val="00372BB1"/>
    <w:rsid w:val="00372C21"/>
    <w:rsid w:val="00372C48"/>
    <w:rsid w:val="00372D2F"/>
    <w:rsid w:val="00372D55"/>
    <w:rsid w:val="00372DF5"/>
    <w:rsid w:val="00372E1B"/>
    <w:rsid w:val="00372EF9"/>
    <w:rsid w:val="00372FD7"/>
    <w:rsid w:val="003731BF"/>
    <w:rsid w:val="00373257"/>
    <w:rsid w:val="00373337"/>
    <w:rsid w:val="003734BE"/>
    <w:rsid w:val="003735BB"/>
    <w:rsid w:val="003735E9"/>
    <w:rsid w:val="003736D4"/>
    <w:rsid w:val="003739B2"/>
    <w:rsid w:val="00373ACA"/>
    <w:rsid w:val="00373D76"/>
    <w:rsid w:val="00373F1B"/>
    <w:rsid w:val="0037406E"/>
    <w:rsid w:val="00374094"/>
    <w:rsid w:val="00374143"/>
    <w:rsid w:val="003744A3"/>
    <w:rsid w:val="003744A9"/>
    <w:rsid w:val="00374556"/>
    <w:rsid w:val="0037474E"/>
    <w:rsid w:val="00374934"/>
    <w:rsid w:val="00374BA9"/>
    <w:rsid w:val="00374DF5"/>
    <w:rsid w:val="00374EAF"/>
    <w:rsid w:val="00374F75"/>
    <w:rsid w:val="0037502F"/>
    <w:rsid w:val="00375105"/>
    <w:rsid w:val="00375328"/>
    <w:rsid w:val="0037546A"/>
    <w:rsid w:val="0037552A"/>
    <w:rsid w:val="0037559F"/>
    <w:rsid w:val="0037569D"/>
    <w:rsid w:val="00375755"/>
    <w:rsid w:val="003757B3"/>
    <w:rsid w:val="00375D0F"/>
    <w:rsid w:val="00375F8F"/>
    <w:rsid w:val="00376042"/>
    <w:rsid w:val="00376315"/>
    <w:rsid w:val="0037631C"/>
    <w:rsid w:val="0037648E"/>
    <w:rsid w:val="003765CF"/>
    <w:rsid w:val="0037661B"/>
    <w:rsid w:val="0037667F"/>
    <w:rsid w:val="00376699"/>
    <w:rsid w:val="00376729"/>
    <w:rsid w:val="0037692E"/>
    <w:rsid w:val="00376C66"/>
    <w:rsid w:val="00376C88"/>
    <w:rsid w:val="00376EAD"/>
    <w:rsid w:val="00376ED1"/>
    <w:rsid w:val="00376F16"/>
    <w:rsid w:val="00377054"/>
    <w:rsid w:val="003771BA"/>
    <w:rsid w:val="003771C0"/>
    <w:rsid w:val="003771FA"/>
    <w:rsid w:val="00377339"/>
    <w:rsid w:val="00377422"/>
    <w:rsid w:val="0037744B"/>
    <w:rsid w:val="0037746A"/>
    <w:rsid w:val="003775A2"/>
    <w:rsid w:val="003776CE"/>
    <w:rsid w:val="003778B4"/>
    <w:rsid w:val="003778BC"/>
    <w:rsid w:val="00377DB6"/>
    <w:rsid w:val="00377E2A"/>
    <w:rsid w:val="00377F26"/>
    <w:rsid w:val="003801EB"/>
    <w:rsid w:val="00380584"/>
    <w:rsid w:val="003805E4"/>
    <w:rsid w:val="00380715"/>
    <w:rsid w:val="00380719"/>
    <w:rsid w:val="00380C25"/>
    <w:rsid w:val="00380E8C"/>
    <w:rsid w:val="003811AF"/>
    <w:rsid w:val="003812D3"/>
    <w:rsid w:val="003812DF"/>
    <w:rsid w:val="0038134B"/>
    <w:rsid w:val="003813C5"/>
    <w:rsid w:val="0038142D"/>
    <w:rsid w:val="0038146C"/>
    <w:rsid w:val="003814EF"/>
    <w:rsid w:val="0038150B"/>
    <w:rsid w:val="00381598"/>
    <w:rsid w:val="0038163C"/>
    <w:rsid w:val="0038170C"/>
    <w:rsid w:val="0038171B"/>
    <w:rsid w:val="00381758"/>
    <w:rsid w:val="003817C5"/>
    <w:rsid w:val="003818E9"/>
    <w:rsid w:val="003818EE"/>
    <w:rsid w:val="00381936"/>
    <w:rsid w:val="00381A15"/>
    <w:rsid w:val="00381BBB"/>
    <w:rsid w:val="00381EBA"/>
    <w:rsid w:val="00381FD4"/>
    <w:rsid w:val="003821D9"/>
    <w:rsid w:val="003823CE"/>
    <w:rsid w:val="0038240B"/>
    <w:rsid w:val="00382457"/>
    <w:rsid w:val="00382609"/>
    <w:rsid w:val="0038299F"/>
    <w:rsid w:val="00382BBC"/>
    <w:rsid w:val="00382D19"/>
    <w:rsid w:val="00383174"/>
    <w:rsid w:val="0038332A"/>
    <w:rsid w:val="0038392A"/>
    <w:rsid w:val="00383BA1"/>
    <w:rsid w:val="00383C13"/>
    <w:rsid w:val="00383C5D"/>
    <w:rsid w:val="00383C7F"/>
    <w:rsid w:val="00383D33"/>
    <w:rsid w:val="00383DDF"/>
    <w:rsid w:val="0038406F"/>
    <w:rsid w:val="0038423B"/>
    <w:rsid w:val="00384278"/>
    <w:rsid w:val="003843DB"/>
    <w:rsid w:val="00384588"/>
    <w:rsid w:val="003846EB"/>
    <w:rsid w:val="00384737"/>
    <w:rsid w:val="00384967"/>
    <w:rsid w:val="003849F8"/>
    <w:rsid w:val="00384C1D"/>
    <w:rsid w:val="00384FC7"/>
    <w:rsid w:val="0038511B"/>
    <w:rsid w:val="003851CE"/>
    <w:rsid w:val="0038540C"/>
    <w:rsid w:val="003854B3"/>
    <w:rsid w:val="003857B3"/>
    <w:rsid w:val="00385A4C"/>
    <w:rsid w:val="00385C4F"/>
    <w:rsid w:val="00385C55"/>
    <w:rsid w:val="00385FB2"/>
    <w:rsid w:val="00386124"/>
    <w:rsid w:val="0038629C"/>
    <w:rsid w:val="003862D7"/>
    <w:rsid w:val="003864D5"/>
    <w:rsid w:val="0038654B"/>
    <w:rsid w:val="00386650"/>
    <w:rsid w:val="00386B49"/>
    <w:rsid w:val="00386B64"/>
    <w:rsid w:val="00386BD0"/>
    <w:rsid w:val="00386CF9"/>
    <w:rsid w:val="00386D42"/>
    <w:rsid w:val="00386DD3"/>
    <w:rsid w:val="00386DF3"/>
    <w:rsid w:val="00386F7F"/>
    <w:rsid w:val="00387036"/>
    <w:rsid w:val="0038705F"/>
    <w:rsid w:val="003872A3"/>
    <w:rsid w:val="003873C6"/>
    <w:rsid w:val="00387608"/>
    <w:rsid w:val="003877ED"/>
    <w:rsid w:val="003877F8"/>
    <w:rsid w:val="0038788D"/>
    <w:rsid w:val="0038792E"/>
    <w:rsid w:val="0038794C"/>
    <w:rsid w:val="00387A49"/>
    <w:rsid w:val="00387B7C"/>
    <w:rsid w:val="00387E17"/>
    <w:rsid w:val="00387E42"/>
    <w:rsid w:val="00387EDF"/>
    <w:rsid w:val="00387EE5"/>
    <w:rsid w:val="00387F31"/>
    <w:rsid w:val="003901C2"/>
    <w:rsid w:val="003901D6"/>
    <w:rsid w:val="00390435"/>
    <w:rsid w:val="00390567"/>
    <w:rsid w:val="00390774"/>
    <w:rsid w:val="0039079E"/>
    <w:rsid w:val="003907CB"/>
    <w:rsid w:val="003908D1"/>
    <w:rsid w:val="003909A2"/>
    <w:rsid w:val="00390A3B"/>
    <w:rsid w:val="00390C21"/>
    <w:rsid w:val="00390D79"/>
    <w:rsid w:val="00391002"/>
    <w:rsid w:val="00391118"/>
    <w:rsid w:val="0039130E"/>
    <w:rsid w:val="00391343"/>
    <w:rsid w:val="003916E0"/>
    <w:rsid w:val="003917A6"/>
    <w:rsid w:val="003917EB"/>
    <w:rsid w:val="00391924"/>
    <w:rsid w:val="00391A00"/>
    <w:rsid w:val="00391DF0"/>
    <w:rsid w:val="0039210C"/>
    <w:rsid w:val="00392429"/>
    <w:rsid w:val="00392534"/>
    <w:rsid w:val="00392542"/>
    <w:rsid w:val="00392634"/>
    <w:rsid w:val="0039265C"/>
    <w:rsid w:val="00392717"/>
    <w:rsid w:val="00392773"/>
    <w:rsid w:val="003927D1"/>
    <w:rsid w:val="00392836"/>
    <w:rsid w:val="003929A4"/>
    <w:rsid w:val="003929AC"/>
    <w:rsid w:val="00392A65"/>
    <w:rsid w:val="00392BB7"/>
    <w:rsid w:val="00392CA7"/>
    <w:rsid w:val="00392E2B"/>
    <w:rsid w:val="00392E9B"/>
    <w:rsid w:val="00392EB8"/>
    <w:rsid w:val="003931F9"/>
    <w:rsid w:val="003934CB"/>
    <w:rsid w:val="0039376A"/>
    <w:rsid w:val="003938E8"/>
    <w:rsid w:val="0039393E"/>
    <w:rsid w:val="00393949"/>
    <w:rsid w:val="00393B8F"/>
    <w:rsid w:val="00393EC3"/>
    <w:rsid w:val="00393F55"/>
    <w:rsid w:val="0039440A"/>
    <w:rsid w:val="003944DE"/>
    <w:rsid w:val="00394515"/>
    <w:rsid w:val="003947DB"/>
    <w:rsid w:val="00394841"/>
    <w:rsid w:val="0039498A"/>
    <w:rsid w:val="00394B15"/>
    <w:rsid w:val="00394B19"/>
    <w:rsid w:val="00394B71"/>
    <w:rsid w:val="00394D73"/>
    <w:rsid w:val="00394DDA"/>
    <w:rsid w:val="00395114"/>
    <w:rsid w:val="0039513A"/>
    <w:rsid w:val="00395151"/>
    <w:rsid w:val="0039516C"/>
    <w:rsid w:val="003951DA"/>
    <w:rsid w:val="00395238"/>
    <w:rsid w:val="0039553E"/>
    <w:rsid w:val="00395618"/>
    <w:rsid w:val="00395C71"/>
    <w:rsid w:val="00395D1C"/>
    <w:rsid w:val="00395FA8"/>
    <w:rsid w:val="0039636A"/>
    <w:rsid w:val="003963B6"/>
    <w:rsid w:val="00396551"/>
    <w:rsid w:val="003966F6"/>
    <w:rsid w:val="00396760"/>
    <w:rsid w:val="0039677D"/>
    <w:rsid w:val="003968AB"/>
    <w:rsid w:val="003968F8"/>
    <w:rsid w:val="00396A8D"/>
    <w:rsid w:val="00396C87"/>
    <w:rsid w:val="00396C88"/>
    <w:rsid w:val="00396D0F"/>
    <w:rsid w:val="00396E49"/>
    <w:rsid w:val="00397067"/>
    <w:rsid w:val="003972FE"/>
    <w:rsid w:val="0039746D"/>
    <w:rsid w:val="0039747C"/>
    <w:rsid w:val="00397665"/>
    <w:rsid w:val="0039780C"/>
    <w:rsid w:val="003978A6"/>
    <w:rsid w:val="00397931"/>
    <w:rsid w:val="00397AA1"/>
    <w:rsid w:val="00397C27"/>
    <w:rsid w:val="00397CD2"/>
    <w:rsid w:val="00397E48"/>
    <w:rsid w:val="00397E4B"/>
    <w:rsid w:val="00397F16"/>
    <w:rsid w:val="00397F9C"/>
    <w:rsid w:val="003A00E2"/>
    <w:rsid w:val="003A03EA"/>
    <w:rsid w:val="003A0465"/>
    <w:rsid w:val="003A04AA"/>
    <w:rsid w:val="003A04BA"/>
    <w:rsid w:val="003A062D"/>
    <w:rsid w:val="003A0660"/>
    <w:rsid w:val="003A073B"/>
    <w:rsid w:val="003A078E"/>
    <w:rsid w:val="003A0797"/>
    <w:rsid w:val="003A0844"/>
    <w:rsid w:val="003A088F"/>
    <w:rsid w:val="003A0AB0"/>
    <w:rsid w:val="003A0C66"/>
    <w:rsid w:val="003A0C82"/>
    <w:rsid w:val="003A0D52"/>
    <w:rsid w:val="003A0D5D"/>
    <w:rsid w:val="003A0D5F"/>
    <w:rsid w:val="003A0E04"/>
    <w:rsid w:val="003A0F11"/>
    <w:rsid w:val="003A107A"/>
    <w:rsid w:val="003A11A5"/>
    <w:rsid w:val="003A127E"/>
    <w:rsid w:val="003A1657"/>
    <w:rsid w:val="003A1678"/>
    <w:rsid w:val="003A169C"/>
    <w:rsid w:val="003A16A7"/>
    <w:rsid w:val="003A16CF"/>
    <w:rsid w:val="003A1A8C"/>
    <w:rsid w:val="003A1AA3"/>
    <w:rsid w:val="003A1AAB"/>
    <w:rsid w:val="003A1CA7"/>
    <w:rsid w:val="003A1E54"/>
    <w:rsid w:val="003A1EEF"/>
    <w:rsid w:val="003A1F34"/>
    <w:rsid w:val="003A23B8"/>
    <w:rsid w:val="003A287B"/>
    <w:rsid w:val="003A2958"/>
    <w:rsid w:val="003A2B55"/>
    <w:rsid w:val="003A2B8B"/>
    <w:rsid w:val="003A2CC6"/>
    <w:rsid w:val="003A2ED1"/>
    <w:rsid w:val="003A2F14"/>
    <w:rsid w:val="003A3017"/>
    <w:rsid w:val="003A31DE"/>
    <w:rsid w:val="003A34A8"/>
    <w:rsid w:val="003A3540"/>
    <w:rsid w:val="003A3591"/>
    <w:rsid w:val="003A3740"/>
    <w:rsid w:val="003A379F"/>
    <w:rsid w:val="003A3899"/>
    <w:rsid w:val="003A39B6"/>
    <w:rsid w:val="003A3B88"/>
    <w:rsid w:val="003A3D10"/>
    <w:rsid w:val="003A3D9E"/>
    <w:rsid w:val="003A3DF4"/>
    <w:rsid w:val="003A4063"/>
    <w:rsid w:val="003A40EB"/>
    <w:rsid w:val="003A421D"/>
    <w:rsid w:val="003A4481"/>
    <w:rsid w:val="003A47C6"/>
    <w:rsid w:val="003A4945"/>
    <w:rsid w:val="003A4A8B"/>
    <w:rsid w:val="003A4B84"/>
    <w:rsid w:val="003A4C47"/>
    <w:rsid w:val="003A4C8C"/>
    <w:rsid w:val="003A4E73"/>
    <w:rsid w:val="003A4F9D"/>
    <w:rsid w:val="003A4FB0"/>
    <w:rsid w:val="003A5067"/>
    <w:rsid w:val="003A537F"/>
    <w:rsid w:val="003A555C"/>
    <w:rsid w:val="003A57A6"/>
    <w:rsid w:val="003A5867"/>
    <w:rsid w:val="003A5907"/>
    <w:rsid w:val="003A5EBB"/>
    <w:rsid w:val="003A632C"/>
    <w:rsid w:val="003A64C6"/>
    <w:rsid w:val="003A64F9"/>
    <w:rsid w:val="003A652E"/>
    <w:rsid w:val="003A65D5"/>
    <w:rsid w:val="003A66B0"/>
    <w:rsid w:val="003A6724"/>
    <w:rsid w:val="003A6842"/>
    <w:rsid w:val="003A6901"/>
    <w:rsid w:val="003A6997"/>
    <w:rsid w:val="003A6D3F"/>
    <w:rsid w:val="003A6E1A"/>
    <w:rsid w:val="003A6F26"/>
    <w:rsid w:val="003A7092"/>
    <w:rsid w:val="003A72DA"/>
    <w:rsid w:val="003A73AC"/>
    <w:rsid w:val="003A7554"/>
    <w:rsid w:val="003A79D6"/>
    <w:rsid w:val="003A7A94"/>
    <w:rsid w:val="003A7BBF"/>
    <w:rsid w:val="003A7E56"/>
    <w:rsid w:val="003A7F51"/>
    <w:rsid w:val="003B017C"/>
    <w:rsid w:val="003B0483"/>
    <w:rsid w:val="003B086C"/>
    <w:rsid w:val="003B094D"/>
    <w:rsid w:val="003B095E"/>
    <w:rsid w:val="003B0A9C"/>
    <w:rsid w:val="003B0B1C"/>
    <w:rsid w:val="003B0BA1"/>
    <w:rsid w:val="003B0C3E"/>
    <w:rsid w:val="003B0CAE"/>
    <w:rsid w:val="003B0CD2"/>
    <w:rsid w:val="003B0D39"/>
    <w:rsid w:val="003B0F97"/>
    <w:rsid w:val="003B11D2"/>
    <w:rsid w:val="003B13BD"/>
    <w:rsid w:val="003B1512"/>
    <w:rsid w:val="003B1598"/>
    <w:rsid w:val="003B1631"/>
    <w:rsid w:val="003B1676"/>
    <w:rsid w:val="003B17C2"/>
    <w:rsid w:val="003B182F"/>
    <w:rsid w:val="003B1955"/>
    <w:rsid w:val="003B1BCF"/>
    <w:rsid w:val="003B1DBD"/>
    <w:rsid w:val="003B23EA"/>
    <w:rsid w:val="003B249F"/>
    <w:rsid w:val="003B24D6"/>
    <w:rsid w:val="003B260D"/>
    <w:rsid w:val="003B275E"/>
    <w:rsid w:val="003B2BE6"/>
    <w:rsid w:val="003B2DD1"/>
    <w:rsid w:val="003B2E0E"/>
    <w:rsid w:val="003B302E"/>
    <w:rsid w:val="003B308D"/>
    <w:rsid w:val="003B3371"/>
    <w:rsid w:val="003B3525"/>
    <w:rsid w:val="003B37AA"/>
    <w:rsid w:val="003B3895"/>
    <w:rsid w:val="003B3B74"/>
    <w:rsid w:val="003B3D86"/>
    <w:rsid w:val="003B3FB0"/>
    <w:rsid w:val="003B41E5"/>
    <w:rsid w:val="003B423A"/>
    <w:rsid w:val="003B42D3"/>
    <w:rsid w:val="003B44E9"/>
    <w:rsid w:val="003B4599"/>
    <w:rsid w:val="003B4693"/>
    <w:rsid w:val="003B4712"/>
    <w:rsid w:val="003B4844"/>
    <w:rsid w:val="003B48EE"/>
    <w:rsid w:val="003B49C6"/>
    <w:rsid w:val="003B4CE4"/>
    <w:rsid w:val="003B4DA4"/>
    <w:rsid w:val="003B4DC0"/>
    <w:rsid w:val="003B4FCA"/>
    <w:rsid w:val="003B5053"/>
    <w:rsid w:val="003B50E5"/>
    <w:rsid w:val="003B5282"/>
    <w:rsid w:val="003B535F"/>
    <w:rsid w:val="003B5416"/>
    <w:rsid w:val="003B5772"/>
    <w:rsid w:val="003B5AF9"/>
    <w:rsid w:val="003B5D32"/>
    <w:rsid w:val="003B5F99"/>
    <w:rsid w:val="003B6052"/>
    <w:rsid w:val="003B60F3"/>
    <w:rsid w:val="003B61B7"/>
    <w:rsid w:val="003B6285"/>
    <w:rsid w:val="003B62BF"/>
    <w:rsid w:val="003B64DB"/>
    <w:rsid w:val="003B6606"/>
    <w:rsid w:val="003B68FB"/>
    <w:rsid w:val="003B6A8D"/>
    <w:rsid w:val="003B6F21"/>
    <w:rsid w:val="003B7021"/>
    <w:rsid w:val="003B72D6"/>
    <w:rsid w:val="003B731D"/>
    <w:rsid w:val="003B778F"/>
    <w:rsid w:val="003B7B94"/>
    <w:rsid w:val="003B7CCF"/>
    <w:rsid w:val="003B7CE1"/>
    <w:rsid w:val="003B7D14"/>
    <w:rsid w:val="003B7D50"/>
    <w:rsid w:val="003B7D86"/>
    <w:rsid w:val="003B7DF8"/>
    <w:rsid w:val="003B7E28"/>
    <w:rsid w:val="003B7FBF"/>
    <w:rsid w:val="003C0067"/>
    <w:rsid w:val="003C0165"/>
    <w:rsid w:val="003C0216"/>
    <w:rsid w:val="003C02AE"/>
    <w:rsid w:val="003C02BD"/>
    <w:rsid w:val="003C02C7"/>
    <w:rsid w:val="003C0448"/>
    <w:rsid w:val="003C04A4"/>
    <w:rsid w:val="003C067A"/>
    <w:rsid w:val="003C08E1"/>
    <w:rsid w:val="003C0951"/>
    <w:rsid w:val="003C0970"/>
    <w:rsid w:val="003C0AA6"/>
    <w:rsid w:val="003C0DB6"/>
    <w:rsid w:val="003C0E01"/>
    <w:rsid w:val="003C0ED6"/>
    <w:rsid w:val="003C0F2D"/>
    <w:rsid w:val="003C1379"/>
    <w:rsid w:val="003C137E"/>
    <w:rsid w:val="003C1416"/>
    <w:rsid w:val="003C141E"/>
    <w:rsid w:val="003C1518"/>
    <w:rsid w:val="003C1740"/>
    <w:rsid w:val="003C19F9"/>
    <w:rsid w:val="003C1AB8"/>
    <w:rsid w:val="003C1ACE"/>
    <w:rsid w:val="003C1AE2"/>
    <w:rsid w:val="003C1B8B"/>
    <w:rsid w:val="003C1E53"/>
    <w:rsid w:val="003C1F53"/>
    <w:rsid w:val="003C21B4"/>
    <w:rsid w:val="003C236D"/>
    <w:rsid w:val="003C2438"/>
    <w:rsid w:val="003C2475"/>
    <w:rsid w:val="003C269C"/>
    <w:rsid w:val="003C290A"/>
    <w:rsid w:val="003C291C"/>
    <w:rsid w:val="003C2924"/>
    <w:rsid w:val="003C2A13"/>
    <w:rsid w:val="003C2A6E"/>
    <w:rsid w:val="003C2ADB"/>
    <w:rsid w:val="003C2AEC"/>
    <w:rsid w:val="003C2EBD"/>
    <w:rsid w:val="003C2EE0"/>
    <w:rsid w:val="003C301C"/>
    <w:rsid w:val="003C31E3"/>
    <w:rsid w:val="003C3233"/>
    <w:rsid w:val="003C3608"/>
    <w:rsid w:val="003C378D"/>
    <w:rsid w:val="003C3857"/>
    <w:rsid w:val="003C385B"/>
    <w:rsid w:val="003C3946"/>
    <w:rsid w:val="003C3A38"/>
    <w:rsid w:val="003C3A5D"/>
    <w:rsid w:val="003C3A68"/>
    <w:rsid w:val="003C3A7E"/>
    <w:rsid w:val="003C3BA1"/>
    <w:rsid w:val="003C3C93"/>
    <w:rsid w:val="003C3D54"/>
    <w:rsid w:val="003C3F58"/>
    <w:rsid w:val="003C3FB9"/>
    <w:rsid w:val="003C4059"/>
    <w:rsid w:val="003C4276"/>
    <w:rsid w:val="003C4347"/>
    <w:rsid w:val="003C443E"/>
    <w:rsid w:val="003C455A"/>
    <w:rsid w:val="003C46AD"/>
    <w:rsid w:val="003C46FE"/>
    <w:rsid w:val="003C4928"/>
    <w:rsid w:val="003C4960"/>
    <w:rsid w:val="003C4C53"/>
    <w:rsid w:val="003C4EF1"/>
    <w:rsid w:val="003C4F8F"/>
    <w:rsid w:val="003C5126"/>
    <w:rsid w:val="003C548A"/>
    <w:rsid w:val="003C54BF"/>
    <w:rsid w:val="003C5864"/>
    <w:rsid w:val="003C5C94"/>
    <w:rsid w:val="003C5E54"/>
    <w:rsid w:val="003C63D6"/>
    <w:rsid w:val="003C63E8"/>
    <w:rsid w:val="003C6656"/>
    <w:rsid w:val="003C6708"/>
    <w:rsid w:val="003C67B4"/>
    <w:rsid w:val="003C688F"/>
    <w:rsid w:val="003C6977"/>
    <w:rsid w:val="003C6ABD"/>
    <w:rsid w:val="003C6B59"/>
    <w:rsid w:val="003C6CCA"/>
    <w:rsid w:val="003C6DC2"/>
    <w:rsid w:val="003C6EDC"/>
    <w:rsid w:val="003C7386"/>
    <w:rsid w:val="003C7433"/>
    <w:rsid w:val="003C7456"/>
    <w:rsid w:val="003C7471"/>
    <w:rsid w:val="003C7615"/>
    <w:rsid w:val="003C78D4"/>
    <w:rsid w:val="003C79AF"/>
    <w:rsid w:val="003C7BF1"/>
    <w:rsid w:val="003C7F18"/>
    <w:rsid w:val="003C7FCE"/>
    <w:rsid w:val="003D0190"/>
    <w:rsid w:val="003D0433"/>
    <w:rsid w:val="003D055B"/>
    <w:rsid w:val="003D0560"/>
    <w:rsid w:val="003D0781"/>
    <w:rsid w:val="003D07B7"/>
    <w:rsid w:val="003D0A2B"/>
    <w:rsid w:val="003D0CA5"/>
    <w:rsid w:val="003D13FE"/>
    <w:rsid w:val="003D16FC"/>
    <w:rsid w:val="003D1A7D"/>
    <w:rsid w:val="003D1A93"/>
    <w:rsid w:val="003D1B14"/>
    <w:rsid w:val="003D1BD8"/>
    <w:rsid w:val="003D1C5B"/>
    <w:rsid w:val="003D1CAA"/>
    <w:rsid w:val="003D1E4B"/>
    <w:rsid w:val="003D1F0B"/>
    <w:rsid w:val="003D1FE8"/>
    <w:rsid w:val="003D24E9"/>
    <w:rsid w:val="003D251E"/>
    <w:rsid w:val="003D25E3"/>
    <w:rsid w:val="003D2675"/>
    <w:rsid w:val="003D277D"/>
    <w:rsid w:val="003D299E"/>
    <w:rsid w:val="003D2B9B"/>
    <w:rsid w:val="003D2BCD"/>
    <w:rsid w:val="003D2C06"/>
    <w:rsid w:val="003D2CD9"/>
    <w:rsid w:val="003D3173"/>
    <w:rsid w:val="003D3417"/>
    <w:rsid w:val="003D3432"/>
    <w:rsid w:val="003D343F"/>
    <w:rsid w:val="003D3577"/>
    <w:rsid w:val="003D359D"/>
    <w:rsid w:val="003D35DB"/>
    <w:rsid w:val="003D3718"/>
    <w:rsid w:val="003D3B25"/>
    <w:rsid w:val="003D3B35"/>
    <w:rsid w:val="003D3D27"/>
    <w:rsid w:val="003D3D37"/>
    <w:rsid w:val="003D3D53"/>
    <w:rsid w:val="003D3DA4"/>
    <w:rsid w:val="003D3ED7"/>
    <w:rsid w:val="003D3F8B"/>
    <w:rsid w:val="003D4298"/>
    <w:rsid w:val="003D4417"/>
    <w:rsid w:val="003D44FA"/>
    <w:rsid w:val="003D4878"/>
    <w:rsid w:val="003D491E"/>
    <w:rsid w:val="003D4FBA"/>
    <w:rsid w:val="003D553A"/>
    <w:rsid w:val="003D55E1"/>
    <w:rsid w:val="003D57B0"/>
    <w:rsid w:val="003D59EA"/>
    <w:rsid w:val="003D5A9B"/>
    <w:rsid w:val="003D5B70"/>
    <w:rsid w:val="003D5CCE"/>
    <w:rsid w:val="003D5F68"/>
    <w:rsid w:val="003D5F8C"/>
    <w:rsid w:val="003D61C9"/>
    <w:rsid w:val="003D6209"/>
    <w:rsid w:val="003D641A"/>
    <w:rsid w:val="003D6561"/>
    <w:rsid w:val="003D6565"/>
    <w:rsid w:val="003D6808"/>
    <w:rsid w:val="003D68C2"/>
    <w:rsid w:val="003D6A81"/>
    <w:rsid w:val="003D6ACC"/>
    <w:rsid w:val="003D6B31"/>
    <w:rsid w:val="003D6B33"/>
    <w:rsid w:val="003D6ECC"/>
    <w:rsid w:val="003D6F15"/>
    <w:rsid w:val="003D6F44"/>
    <w:rsid w:val="003D7007"/>
    <w:rsid w:val="003D70E2"/>
    <w:rsid w:val="003D71EB"/>
    <w:rsid w:val="003D735F"/>
    <w:rsid w:val="003D739C"/>
    <w:rsid w:val="003D74E7"/>
    <w:rsid w:val="003D7898"/>
    <w:rsid w:val="003D799C"/>
    <w:rsid w:val="003D79BC"/>
    <w:rsid w:val="003D7AEC"/>
    <w:rsid w:val="003D7D5D"/>
    <w:rsid w:val="003E0372"/>
    <w:rsid w:val="003E06A4"/>
    <w:rsid w:val="003E0A1E"/>
    <w:rsid w:val="003E0A41"/>
    <w:rsid w:val="003E0AA7"/>
    <w:rsid w:val="003E0AE1"/>
    <w:rsid w:val="003E0D02"/>
    <w:rsid w:val="003E1164"/>
    <w:rsid w:val="003E116A"/>
    <w:rsid w:val="003E15F1"/>
    <w:rsid w:val="003E161E"/>
    <w:rsid w:val="003E1755"/>
    <w:rsid w:val="003E1919"/>
    <w:rsid w:val="003E1AE2"/>
    <w:rsid w:val="003E1B13"/>
    <w:rsid w:val="003E1B26"/>
    <w:rsid w:val="003E1B86"/>
    <w:rsid w:val="003E1BDD"/>
    <w:rsid w:val="003E1CD3"/>
    <w:rsid w:val="003E1DF0"/>
    <w:rsid w:val="003E2114"/>
    <w:rsid w:val="003E2142"/>
    <w:rsid w:val="003E22CB"/>
    <w:rsid w:val="003E2343"/>
    <w:rsid w:val="003E23EA"/>
    <w:rsid w:val="003E2534"/>
    <w:rsid w:val="003E2770"/>
    <w:rsid w:val="003E2851"/>
    <w:rsid w:val="003E288B"/>
    <w:rsid w:val="003E290F"/>
    <w:rsid w:val="003E2973"/>
    <w:rsid w:val="003E29C9"/>
    <w:rsid w:val="003E2CFF"/>
    <w:rsid w:val="003E2E39"/>
    <w:rsid w:val="003E30BD"/>
    <w:rsid w:val="003E314D"/>
    <w:rsid w:val="003E31A3"/>
    <w:rsid w:val="003E33A5"/>
    <w:rsid w:val="003E35C1"/>
    <w:rsid w:val="003E368D"/>
    <w:rsid w:val="003E37CC"/>
    <w:rsid w:val="003E3866"/>
    <w:rsid w:val="003E3917"/>
    <w:rsid w:val="003E3A6A"/>
    <w:rsid w:val="003E3A7B"/>
    <w:rsid w:val="003E3C5B"/>
    <w:rsid w:val="003E3C7A"/>
    <w:rsid w:val="003E3CA4"/>
    <w:rsid w:val="003E3E6B"/>
    <w:rsid w:val="003E3E90"/>
    <w:rsid w:val="003E3EB0"/>
    <w:rsid w:val="003E3F2E"/>
    <w:rsid w:val="003E406B"/>
    <w:rsid w:val="003E4102"/>
    <w:rsid w:val="003E4204"/>
    <w:rsid w:val="003E4249"/>
    <w:rsid w:val="003E43FC"/>
    <w:rsid w:val="003E47BD"/>
    <w:rsid w:val="003E4901"/>
    <w:rsid w:val="003E4ABF"/>
    <w:rsid w:val="003E4E60"/>
    <w:rsid w:val="003E4F96"/>
    <w:rsid w:val="003E526F"/>
    <w:rsid w:val="003E5338"/>
    <w:rsid w:val="003E547A"/>
    <w:rsid w:val="003E55FC"/>
    <w:rsid w:val="003E5990"/>
    <w:rsid w:val="003E59F1"/>
    <w:rsid w:val="003E5A37"/>
    <w:rsid w:val="003E5B57"/>
    <w:rsid w:val="003E5B67"/>
    <w:rsid w:val="003E5CCA"/>
    <w:rsid w:val="003E5DE5"/>
    <w:rsid w:val="003E5E8D"/>
    <w:rsid w:val="003E6113"/>
    <w:rsid w:val="003E619F"/>
    <w:rsid w:val="003E61FD"/>
    <w:rsid w:val="003E6431"/>
    <w:rsid w:val="003E6664"/>
    <w:rsid w:val="003E6780"/>
    <w:rsid w:val="003E678C"/>
    <w:rsid w:val="003E69AB"/>
    <w:rsid w:val="003E6A5E"/>
    <w:rsid w:val="003E6C9A"/>
    <w:rsid w:val="003E6D67"/>
    <w:rsid w:val="003E6EF3"/>
    <w:rsid w:val="003E6FD6"/>
    <w:rsid w:val="003E7103"/>
    <w:rsid w:val="003E7131"/>
    <w:rsid w:val="003E722D"/>
    <w:rsid w:val="003E726F"/>
    <w:rsid w:val="003E7487"/>
    <w:rsid w:val="003E74C1"/>
    <w:rsid w:val="003E755F"/>
    <w:rsid w:val="003E76BE"/>
    <w:rsid w:val="003E76CF"/>
    <w:rsid w:val="003E7773"/>
    <w:rsid w:val="003E77AB"/>
    <w:rsid w:val="003E7982"/>
    <w:rsid w:val="003E7D0C"/>
    <w:rsid w:val="003E7D6A"/>
    <w:rsid w:val="003E7F16"/>
    <w:rsid w:val="003F0070"/>
    <w:rsid w:val="003F0167"/>
    <w:rsid w:val="003F029A"/>
    <w:rsid w:val="003F0479"/>
    <w:rsid w:val="003F048E"/>
    <w:rsid w:val="003F053C"/>
    <w:rsid w:val="003F053D"/>
    <w:rsid w:val="003F080C"/>
    <w:rsid w:val="003F08CF"/>
    <w:rsid w:val="003F0B9C"/>
    <w:rsid w:val="003F0BF4"/>
    <w:rsid w:val="003F0D2C"/>
    <w:rsid w:val="003F115E"/>
    <w:rsid w:val="003F1257"/>
    <w:rsid w:val="003F13FF"/>
    <w:rsid w:val="003F14C2"/>
    <w:rsid w:val="003F161D"/>
    <w:rsid w:val="003F173D"/>
    <w:rsid w:val="003F17EE"/>
    <w:rsid w:val="003F180A"/>
    <w:rsid w:val="003F192A"/>
    <w:rsid w:val="003F1954"/>
    <w:rsid w:val="003F1B11"/>
    <w:rsid w:val="003F1C22"/>
    <w:rsid w:val="003F2177"/>
    <w:rsid w:val="003F2210"/>
    <w:rsid w:val="003F2270"/>
    <w:rsid w:val="003F24A8"/>
    <w:rsid w:val="003F256A"/>
    <w:rsid w:val="003F2678"/>
    <w:rsid w:val="003F26A9"/>
    <w:rsid w:val="003F26E8"/>
    <w:rsid w:val="003F2773"/>
    <w:rsid w:val="003F27F6"/>
    <w:rsid w:val="003F285C"/>
    <w:rsid w:val="003F2B47"/>
    <w:rsid w:val="003F2F16"/>
    <w:rsid w:val="003F2FD7"/>
    <w:rsid w:val="003F30A7"/>
    <w:rsid w:val="003F319D"/>
    <w:rsid w:val="003F3213"/>
    <w:rsid w:val="003F3216"/>
    <w:rsid w:val="003F3996"/>
    <w:rsid w:val="003F39E9"/>
    <w:rsid w:val="003F3A02"/>
    <w:rsid w:val="003F3A93"/>
    <w:rsid w:val="003F3B76"/>
    <w:rsid w:val="003F3DE6"/>
    <w:rsid w:val="003F401F"/>
    <w:rsid w:val="003F40A3"/>
    <w:rsid w:val="003F40F9"/>
    <w:rsid w:val="003F418D"/>
    <w:rsid w:val="003F41DD"/>
    <w:rsid w:val="003F43B8"/>
    <w:rsid w:val="003F449D"/>
    <w:rsid w:val="003F4632"/>
    <w:rsid w:val="003F4844"/>
    <w:rsid w:val="003F4BD3"/>
    <w:rsid w:val="003F4E86"/>
    <w:rsid w:val="003F4F42"/>
    <w:rsid w:val="003F4F47"/>
    <w:rsid w:val="003F502E"/>
    <w:rsid w:val="003F52CC"/>
    <w:rsid w:val="003F52E8"/>
    <w:rsid w:val="003F535C"/>
    <w:rsid w:val="003F53EE"/>
    <w:rsid w:val="003F5470"/>
    <w:rsid w:val="003F5590"/>
    <w:rsid w:val="003F559C"/>
    <w:rsid w:val="003F5772"/>
    <w:rsid w:val="003F590C"/>
    <w:rsid w:val="003F5B7E"/>
    <w:rsid w:val="003F5E1D"/>
    <w:rsid w:val="003F61DA"/>
    <w:rsid w:val="003F6232"/>
    <w:rsid w:val="003F639C"/>
    <w:rsid w:val="003F653F"/>
    <w:rsid w:val="003F665A"/>
    <w:rsid w:val="003F667A"/>
    <w:rsid w:val="003F6686"/>
    <w:rsid w:val="003F67E9"/>
    <w:rsid w:val="003F6872"/>
    <w:rsid w:val="003F6AF2"/>
    <w:rsid w:val="003F6B23"/>
    <w:rsid w:val="003F6CC5"/>
    <w:rsid w:val="003F6D8F"/>
    <w:rsid w:val="003F6E08"/>
    <w:rsid w:val="003F6E37"/>
    <w:rsid w:val="003F6EB6"/>
    <w:rsid w:val="003F6F12"/>
    <w:rsid w:val="003F6F9B"/>
    <w:rsid w:val="003F704B"/>
    <w:rsid w:val="003F7196"/>
    <w:rsid w:val="003F71BC"/>
    <w:rsid w:val="003F7209"/>
    <w:rsid w:val="003F7338"/>
    <w:rsid w:val="003F73D4"/>
    <w:rsid w:val="003F7406"/>
    <w:rsid w:val="003F7568"/>
    <w:rsid w:val="003F76B7"/>
    <w:rsid w:val="003F7752"/>
    <w:rsid w:val="003F7784"/>
    <w:rsid w:val="003F7C44"/>
    <w:rsid w:val="003F7C77"/>
    <w:rsid w:val="003F7C7E"/>
    <w:rsid w:val="003F7E77"/>
    <w:rsid w:val="00400025"/>
    <w:rsid w:val="0040007E"/>
    <w:rsid w:val="004001C8"/>
    <w:rsid w:val="004002A4"/>
    <w:rsid w:val="00400352"/>
    <w:rsid w:val="00400521"/>
    <w:rsid w:val="0040057A"/>
    <w:rsid w:val="004005AE"/>
    <w:rsid w:val="004006A3"/>
    <w:rsid w:val="004008AF"/>
    <w:rsid w:val="00400A24"/>
    <w:rsid w:val="00400A5F"/>
    <w:rsid w:val="00400A92"/>
    <w:rsid w:val="00400AA9"/>
    <w:rsid w:val="00400B5F"/>
    <w:rsid w:val="00400C1A"/>
    <w:rsid w:val="00400CC7"/>
    <w:rsid w:val="00400E62"/>
    <w:rsid w:val="00400FEA"/>
    <w:rsid w:val="00401022"/>
    <w:rsid w:val="004010A6"/>
    <w:rsid w:val="004011C1"/>
    <w:rsid w:val="0040120B"/>
    <w:rsid w:val="004012AC"/>
    <w:rsid w:val="004012B4"/>
    <w:rsid w:val="004013A3"/>
    <w:rsid w:val="00401533"/>
    <w:rsid w:val="00401539"/>
    <w:rsid w:val="0040159B"/>
    <w:rsid w:val="004017C7"/>
    <w:rsid w:val="0040187A"/>
    <w:rsid w:val="004018AA"/>
    <w:rsid w:val="0040199D"/>
    <w:rsid w:val="004019BD"/>
    <w:rsid w:val="004019DA"/>
    <w:rsid w:val="00401BA8"/>
    <w:rsid w:val="00401CD4"/>
    <w:rsid w:val="00401D9E"/>
    <w:rsid w:val="00401DBF"/>
    <w:rsid w:val="00401EF4"/>
    <w:rsid w:val="00401FAB"/>
    <w:rsid w:val="004020F0"/>
    <w:rsid w:val="004021D4"/>
    <w:rsid w:val="004021F6"/>
    <w:rsid w:val="00402231"/>
    <w:rsid w:val="0040225B"/>
    <w:rsid w:val="0040230D"/>
    <w:rsid w:val="00402C57"/>
    <w:rsid w:val="00402F00"/>
    <w:rsid w:val="00402FD4"/>
    <w:rsid w:val="004033D9"/>
    <w:rsid w:val="00403441"/>
    <w:rsid w:val="004034E3"/>
    <w:rsid w:val="00403562"/>
    <w:rsid w:val="0040364C"/>
    <w:rsid w:val="004037EA"/>
    <w:rsid w:val="00403A3F"/>
    <w:rsid w:val="00403A4D"/>
    <w:rsid w:val="00403F85"/>
    <w:rsid w:val="00403FC4"/>
    <w:rsid w:val="00404053"/>
    <w:rsid w:val="00404243"/>
    <w:rsid w:val="004042A9"/>
    <w:rsid w:val="00404383"/>
    <w:rsid w:val="004043AF"/>
    <w:rsid w:val="00404412"/>
    <w:rsid w:val="0040463D"/>
    <w:rsid w:val="0040464B"/>
    <w:rsid w:val="0040465B"/>
    <w:rsid w:val="00404770"/>
    <w:rsid w:val="0040496A"/>
    <w:rsid w:val="004049D4"/>
    <w:rsid w:val="00404A16"/>
    <w:rsid w:val="00404A94"/>
    <w:rsid w:val="00404B39"/>
    <w:rsid w:val="00404B46"/>
    <w:rsid w:val="00404BDB"/>
    <w:rsid w:val="00404D80"/>
    <w:rsid w:val="00404D9A"/>
    <w:rsid w:val="00404F49"/>
    <w:rsid w:val="00405012"/>
    <w:rsid w:val="0040506E"/>
    <w:rsid w:val="004051A4"/>
    <w:rsid w:val="00405334"/>
    <w:rsid w:val="004053DF"/>
    <w:rsid w:val="00405437"/>
    <w:rsid w:val="0040551F"/>
    <w:rsid w:val="0040597C"/>
    <w:rsid w:val="00405A63"/>
    <w:rsid w:val="00405B4C"/>
    <w:rsid w:val="00405DB9"/>
    <w:rsid w:val="0040616A"/>
    <w:rsid w:val="0040634E"/>
    <w:rsid w:val="00406371"/>
    <w:rsid w:val="00406727"/>
    <w:rsid w:val="00406763"/>
    <w:rsid w:val="0040694F"/>
    <w:rsid w:val="004069A1"/>
    <w:rsid w:val="004071DA"/>
    <w:rsid w:val="0040737C"/>
    <w:rsid w:val="00407380"/>
    <w:rsid w:val="00407421"/>
    <w:rsid w:val="00407485"/>
    <w:rsid w:val="004074D7"/>
    <w:rsid w:val="004076EA"/>
    <w:rsid w:val="0040771F"/>
    <w:rsid w:val="0040779A"/>
    <w:rsid w:val="004079D7"/>
    <w:rsid w:val="00407A8B"/>
    <w:rsid w:val="00407A97"/>
    <w:rsid w:val="00407AE9"/>
    <w:rsid w:val="00407B15"/>
    <w:rsid w:val="00407DBA"/>
    <w:rsid w:val="00407DE0"/>
    <w:rsid w:val="00407E1A"/>
    <w:rsid w:val="00407F04"/>
    <w:rsid w:val="00407F52"/>
    <w:rsid w:val="00410616"/>
    <w:rsid w:val="0041083D"/>
    <w:rsid w:val="004109A9"/>
    <w:rsid w:val="00410AA4"/>
    <w:rsid w:val="00410AC5"/>
    <w:rsid w:val="00410B2B"/>
    <w:rsid w:val="00410D66"/>
    <w:rsid w:val="00410FA0"/>
    <w:rsid w:val="00411044"/>
    <w:rsid w:val="00411178"/>
    <w:rsid w:val="004111F7"/>
    <w:rsid w:val="004115C3"/>
    <w:rsid w:val="00411746"/>
    <w:rsid w:val="00411C4F"/>
    <w:rsid w:val="00411CF9"/>
    <w:rsid w:val="00411DEB"/>
    <w:rsid w:val="0041217D"/>
    <w:rsid w:val="0041238E"/>
    <w:rsid w:val="00412464"/>
    <w:rsid w:val="004125C6"/>
    <w:rsid w:val="004126E3"/>
    <w:rsid w:val="0041275F"/>
    <w:rsid w:val="004127F8"/>
    <w:rsid w:val="004128AD"/>
    <w:rsid w:val="004128D1"/>
    <w:rsid w:val="004128ED"/>
    <w:rsid w:val="00412CA4"/>
    <w:rsid w:val="00412D80"/>
    <w:rsid w:val="00412DAC"/>
    <w:rsid w:val="00412E2A"/>
    <w:rsid w:val="00412E70"/>
    <w:rsid w:val="00412EBD"/>
    <w:rsid w:val="00412EFE"/>
    <w:rsid w:val="00412F0E"/>
    <w:rsid w:val="00412FBE"/>
    <w:rsid w:val="00413102"/>
    <w:rsid w:val="00413202"/>
    <w:rsid w:val="00413284"/>
    <w:rsid w:val="004133A0"/>
    <w:rsid w:val="004137B0"/>
    <w:rsid w:val="00413F64"/>
    <w:rsid w:val="004140A7"/>
    <w:rsid w:val="004140E7"/>
    <w:rsid w:val="0041417D"/>
    <w:rsid w:val="00414440"/>
    <w:rsid w:val="004144C0"/>
    <w:rsid w:val="004144C9"/>
    <w:rsid w:val="00414526"/>
    <w:rsid w:val="0041458A"/>
    <w:rsid w:val="00414746"/>
    <w:rsid w:val="00414755"/>
    <w:rsid w:val="004147A8"/>
    <w:rsid w:val="004147F5"/>
    <w:rsid w:val="00414A79"/>
    <w:rsid w:val="00414E72"/>
    <w:rsid w:val="00414F10"/>
    <w:rsid w:val="004150E8"/>
    <w:rsid w:val="004152DC"/>
    <w:rsid w:val="0041536C"/>
    <w:rsid w:val="0041538B"/>
    <w:rsid w:val="00415450"/>
    <w:rsid w:val="00415575"/>
    <w:rsid w:val="004155BC"/>
    <w:rsid w:val="004157AB"/>
    <w:rsid w:val="004159C9"/>
    <w:rsid w:val="00415A4A"/>
    <w:rsid w:val="00415EFF"/>
    <w:rsid w:val="00415FD2"/>
    <w:rsid w:val="0041633F"/>
    <w:rsid w:val="0041648F"/>
    <w:rsid w:val="00416C85"/>
    <w:rsid w:val="00416CDB"/>
    <w:rsid w:val="00416D73"/>
    <w:rsid w:val="00416D84"/>
    <w:rsid w:val="00416E86"/>
    <w:rsid w:val="00416F04"/>
    <w:rsid w:val="00417027"/>
    <w:rsid w:val="0041711B"/>
    <w:rsid w:val="00417153"/>
    <w:rsid w:val="004174C8"/>
    <w:rsid w:val="00417664"/>
    <w:rsid w:val="0041774A"/>
    <w:rsid w:val="004179EE"/>
    <w:rsid w:val="00417B14"/>
    <w:rsid w:val="00417C35"/>
    <w:rsid w:val="0042001A"/>
    <w:rsid w:val="00420142"/>
    <w:rsid w:val="004202BA"/>
    <w:rsid w:val="004204C1"/>
    <w:rsid w:val="00420724"/>
    <w:rsid w:val="00420B66"/>
    <w:rsid w:val="00420C04"/>
    <w:rsid w:val="00420C09"/>
    <w:rsid w:val="00420F64"/>
    <w:rsid w:val="00421286"/>
    <w:rsid w:val="00421390"/>
    <w:rsid w:val="004214E5"/>
    <w:rsid w:val="004216AA"/>
    <w:rsid w:val="004217DB"/>
    <w:rsid w:val="00421966"/>
    <w:rsid w:val="00421A89"/>
    <w:rsid w:val="00421B37"/>
    <w:rsid w:val="00421BA8"/>
    <w:rsid w:val="00421DC1"/>
    <w:rsid w:val="00421EBC"/>
    <w:rsid w:val="00421F19"/>
    <w:rsid w:val="00421F3C"/>
    <w:rsid w:val="00422167"/>
    <w:rsid w:val="00422231"/>
    <w:rsid w:val="00422335"/>
    <w:rsid w:val="0042233A"/>
    <w:rsid w:val="00422708"/>
    <w:rsid w:val="004227C9"/>
    <w:rsid w:val="00422938"/>
    <w:rsid w:val="00422A34"/>
    <w:rsid w:val="00422AB7"/>
    <w:rsid w:val="00422CAE"/>
    <w:rsid w:val="00422D2E"/>
    <w:rsid w:val="00423041"/>
    <w:rsid w:val="0042304B"/>
    <w:rsid w:val="0042307B"/>
    <w:rsid w:val="00423198"/>
    <w:rsid w:val="00423285"/>
    <w:rsid w:val="00423604"/>
    <w:rsid w:val="004239C2"/>
    <w:rsid w:val="00423A5E"/>
    <w:rsid w:val="00423CA9"/>
    <w:rsid w:val="00423EE0"/>
    <w:rsid w:val="00423F56"/>
    <w:rsid w:val="00424008"/>
    <w:rsid w:val="00424084"/>
    <w:rsid w:val="004241D5"/>
    <w:rsid w:val="004242A6"/>
    <w:rsid w:val="004242AA"/>
    <w:rsid w:val="0042442E"/>
    <w:rsid w:val="004247C5"/>
    <w:rsid w:val="004247C6"/>
    <w:rsid w:val="004247D4"/>
    <w:rsid w:val="00424A17"/>
    <w:rsid w:val="00424A1B"/>
    <w:rsid w:val="00424C84"/>
    <w:rsid w:val="00424CAA"/>
    <w:rsid w:val="00424F13"/>
    <w:rsid w:val="004251A4"/>
    <w:rsid w:val="00425380"/>
    <w:rsid w:val="0042538F"/>
    <w:rsid w:val="00425515"/>
    <w:rsid w:val="004255EE"/>
    <w:rsid w:val="00425610"/>
    <w:rsid w:val="004258A8"/>
    <w:rsid w:val="00425A0A"/>
    <w:rsid w:val="00425CF4"/>
    <w:rsid w:val="00425D37"/>
    <w:rsid w:val="004260AB"/>
    <w:rsid w:val="00426311"/>
    <w:rsid w:val="00426468"/>
    <w:rsid w:val="00426562"/>
    <w:rsid w:val="00426847"/>
    <w:rsid w:val="0042689F"/>
    <w:rsid w:val="004269DD"/>
    <w:rsid w:val="00426D05"/>
    <w:rsid w:val="004271F4"/>
    <w:rsid w:val="0042726C"/>
    <w:rsid w:val="004273AD"/>
    <w:rsid w:val="0042747A"/>
    <w:rsid w:val="0042757F"/>
    <w:rsid w:val="00427581"/>
    <w:rsid w:val="004276B5"/>
    <w:rsid w:val="00427807"/>
    <w:rsid w:val="004278A3"/>
    <w:rsid w:val="00427970"/>
    <w:rsid w:val="004279B1"/>
    <w:rsid w:val="00427AC5"/>
    <w:rsid w:val="00427B2B"/>
    <w:rsid w:val="00427C42"/>
    <w:rsid w:val="00427FF0"/>
    <w:rsid w:val="004303B4"/>
    <w:rsid w:val="004305A2"/>
    <w:rsid w:val="004305AE"/>
    <w:rsid w:val="00430620"/>
    <w:rsid w:val="0043062C"/>
    <w:rsid w:val="004306F3"/>
    <w:rsid w:val="00430757"/>
    <w:rsid w:val="0043079C"/>
    <w:rsid w:val="004308E6"/>
    <w:rsid w:val="0043095F"/>
    <w:rsid w:val="004309CF"/>
    <w:rsid w:val="004309D4"/>
    <w:rsid w:val="00430A68"/>
    <w:rsid w:val="00430B67"/>
    <w:rsid w:val="00430C21"/>
    <w:rsid w:val="00430C7E"/>
    <w:rsid w:val="00431336"/>
    <w:rsid w:val="00431339"/>
    <w:rsid w:val="00431478"/>
    <w:rsid w:val="004316BA"/>
    <w:rsid w:val="00431800"/>
    <w:rsid w:val="0043185E"/>
    <w:rsid w:val="004319E8"/>
    <w:rsid w:val="00431AD7"/>
    <w:rsid w:val="00431AD8"/>
    <w:rsid w:val="00431C48"/>
    <w:rsid w:val="00431C6A"/>
    <w:rsid w:val="00431D35"/>
    <w:rsid w:val="00431F21"/>
    <w:rsid w:val="00432352"/>
    <w:rsid w:val="004323AF"/>
    <w:rsid w:val="004323DB"/>
    <w:rsid w:val="00432487"/>
    <w:rsid w:val="0043264E"/>
    <w:rsid w:val="00432883"/>
    <w:rsid w:val="004328A8"/>
    <w:rsid w:val="00432B7D"/>
    <w:rsid w:val="00432C83"/>
    <w:rsid w:val="00432D0A"/>
    <w:rsid w:val="00432D32"/>
    <w:rsid w:val="00432EE7"/>
    <w:rsid w:val="004330D4"/>
    <w:rsid w:val="0043335A"/>
    <w:rsid w:val="00433541"/>
    <w:rsid w:val="0043361D"/>
    <w:rsid w:val="0043367D"/>
    <w:rsid w:val="00433701"/>
    <w:rsid w:val="00433871"/>
    <w:rsid w:val="00433902"/>
    <w:rsid w:val="00433995"/>
    <w:rsid w:val="004339D6"/>
    <w:rsid w:val="00433A87"/>
    <w:rsid w:val="00433C93"/>
    <w:rsid w:val="00433CA1"/>
    <w:rsid w:val="00433E77"/>
    <w:rsid w:val="00433EB0"/>
    <w:rsid w:val="004341B0"/>
    <w:rsid w:val="004342B8"/>
    <w:rsid w:val="004342FB"/>
    <w:rsid w:val="00434375"/>
    <w:rsid w:val="0043455A"/>
    <w:rsid w:val="00434868"/>
    <w:rsid w:val="0043490C"/>
    <w:rsid w:val="0043498A"/>
    <w:rsid w:val="004349DD"/>
    <w:rsid w:val="00434E2D"/>
    <w:rsid w:val="00434F48"/>
    <w:rsid w:val="00434FC5"/>
    <w:rsid w:val="00434FDB"/>
    <w:rsid w:val="00435069"/>
    <w:rsid w:val="00435075"/>
    <w:rsid w:val="00435297"/>
    <w:rsid w:val="0043529D"/>
    <w:rsid w:val="00435781"/>
    <w:rsid w:val="004358A3"/>
    <w:rsid w:val="00435910"/>
    <w:rsid w:val="00435B42"/>
    <w:rsid w:val="00435BB8"/>
    <w:rsid w:val="00435E6B"/>
    <w:rsid w:val="00435FA5"/>
    <w:rsid w:val="00436019"/>
    <w:rsid w:val="004360B0"/>
    <w:rsid w:val="00436514"/>
    <w:rsid w:val="0043698C"/>
    <w:rsid w:val="00436FE6"/>
    <w:rsid w:val="00437265"/>
    <w:rsid w:val="004372A5"/>
    <w:rsid w:val="00437448"/>
    <w:rsid w:val="00437558"/>
    <w:rsid w:val="00437612"/>
    <w:rsid w:val="00437669"/>
    <w:rsid w:val="00437713"/>
    <w:rsid w:val="00437808"/>
    <w:rsid w:val="00437AE0"/>
    <w:rsid w:val="00437C2B"/>
    <w:rsid w:val="00437EFD"/>
    <w:rsid w:val="00437FBB"/>
    <w:rsid w:val="00440090"/>
    <w:rsid w:val="004401DB"/>
    <w:rsid w:val="00440414"/>
    <w:rsid w:val="004404A0"/>
    <w:rsid w:val="004404E9"/>
    <w:rsid w:val="004407D2"/>
    <w:rsid w:val="004407FB"/>
    <w:rsid w:val="00440970"/>
    <w:rsid w:val="004409F2"/>
    <w:rsid w:val="00440A1E"/>
    <w:rsid w:val="00440A21"/>
    <w:rsid w:val="00440B4F"/>
    <w:rsid w:val="00440BA2"/>
    <w:rsid w:val="00440D85"/>
    <w:rsid w:val="00440E72"/>
    <w:rsid w:val="00440EAA"/>
    <w:rsid w:val="00440F77"/>
    <w:rsid w:val="004412B9"/>
    <w:rsid w:val="004413C8"/>
    <w:rsid w:val="00441489"/>
    <w:rsid w:val="004414BD"/>
    <w:rsid w:val="004414E9"/>
    <w:rsid w:val="00441689"/>
    <w:rsid w:val="004417B4"/>
    <w:rsid w:val="004419DC"/>
    <w:rsid w:val="00441BAF"/>
    <w:rsid w:val="00441BCB"/>
    <w:rsid w:val="00441BD7"/>
    <w:rsid w:val="00441BD8"/>
    <w:rsid w:val="00441C39"/>
    <w:rsid w:val="00441EBF"/>
    <w:rsid w:val="00442079"/>
    <w:rsid w:val="004423F7"/>
    <w:rsid w:val="00442703"/>
    <w:rsid w:val="004427D1"/>
    <w:rsid w:val="00442802"/>
    <w:rsid w:val="00442893"/>
    <w:rsid w:val="00442A49"/>
    <w:rsid w:val="00442AA3"/>
    <w:rsid w:val="00442B6F"/>
    <w:rsid w:val="00442D08"/>
    <w:rsid w:val="00442EE1"/>
    <w:rsid w:val="0044317D"/>
    <w:rsid w:val="00443204"/>
    <w:rsid w:val="004432D3"/>
    <w:rsid w:val="0044355C"/>
    <w:rsid w:val="00443661"/>
    <w:rsid w:val="004436AC"/>
    <w:rsid w:val="004438DB"/>
    <w:rsid w:val="00443C4C"/>
    <w:rsid w:val="00443C9D"/>
    <w:rsid w:val="00443D6A"/>
    <w:rsid w:val="00443E35"/>
    <w:rsid w:val="00443E60"/>
    <w:rsid w:val="004440FD"/>
    <w:rsid w:val="0044425A"/>
    <w:rsid w:val="00444291"/>
    <w:rsid w:val="004442B6"/>
    <w:rsid w:val="004442E2"/>
    <w:rsid w:val="00444479"/>
    <w:rsid w:val="004445C5"/>
    <w:rsid w:val="004445E5"/>
    <w:rsid w:val="004447ED"/>
    <w:rsid w:val="004449ED"/>
    <w:rsid w:val="00444ACE"/>
    <w:rsid w:val="00444D48"/>
    <w:rsid w:val="00444DB1"/>
    <w:rsid w:val="00444DF1"/>
    <w:rsid w:val="0044509E"/>
    <w:rsid w:val="00445230"/>
    <w:rsid w:val="004452B8"/>
    <w:rsid w:val="004454FD"/>
    <w:rsid w:val="00445602"/>
    <w:rsid w:val="004456C4"/>
    <w:rsid w:val="004457E7"/>
    <w:rsid w:val="00445822"/>
    <w:rsid w:val="004458F6"/>
    <w:rsid w:val="00445B81"/>
    <w:rsid w:val="00446064"/>
    <w:rsid w:val="004465AC"/>
    <w:rsid w:val="00446798"/>
    <w:rsid w:val="004467EF"/>
    <w:rsid w:val="0044690B"/>
    <w:rsid w:val="00446A66"/>
    <w:rsid w:val="00446BBE"/>
    <w:rsid w:val="00446D21"/>
    <w:rsid w:val="00446F8A"/>
    <w:rsid w:val="0044706D"/>
    <w:rsid w:val="004471F9"/>
    <w:rsid w:val="00447215"/>
    <w:rsid w:val="00447231"/>
    <w:rsid w:val="0044729E"/>
    <w:rsid w:val="0044730D"/>
    <w:rsid w:val="004474FA"/>
    <w:rsid w:val="0044769E"/>
    <w:rsid w:val="004476FC"/>
    <w:rsid w:val="00447732"/>
    <w:rsid w:val="004477C5"/>
    <w:rsid w:val="0044782C"/>
    <w:rsid w:val="00447914"/>
    <w:rsid w:val="00447B3B"/>
    <w:rsid w:val="00447B56"/>
    <w:rsid w:val="00447C2C"/>
    <w:rsid w:val="00447D08"/>
    <w:rsid w:val="00447F5A"/>
    <w:rsid w:val="00450371"/>
    <w:rsid w:val="00450425"/>
    <w:rsid w:val="0045069E"/>
    <w:rsid w:val="004508BE"/>
    <w:rsid w:val="00450920"/>
    <w:rsid w:val="0045093D"/>
    <w:rsid w:val="00450A44"/>
    <w:rsid w:val="00450A96"/>
    <w:rsid w:val="00450B1E"/>
    <w:rsid w:val="00450E45"/>
    <w:rsid w:val="00451195"/>
    <w:rsid w:val="004511B3"/>
    <w:rsid w:val="004514FE"/>
    <w:rsid w:val="00451645"/>
    <w:rsid w:val="0045174F"/>
    <w:rsid w:val="00451B41"/>
    <w:rsid w:val="00451C63"/>
    <w:rsid w:val="00451D60"/>
    <w:rsid w:val="004520F9"/>
    <w:rsid w:val="0045215E"/>
    <w:rsid w:val="004521A4"/>
    <w:rsid w:val="00452549"/>
    <w:rsid w:val="0045274A"/>
    <w:rsid w:val="004527C8"/>
    <w:rsid w:val="0045284E"/>
    <w:rsid w:val="0045294A"/>
    <w:rsid w:val="00452B4F"/>
    <w:rsid w:val="00452E9D"/>
    <w:rsid w:val="004530EB"/>
    <w:rsid w:val="00453159"/>
    <w:rsid w:val="0045326E"/>
    <w:rsid w:val="0045338F"/>
    <w:rsid w:val="004534EB"/>
    <w:rsid w:val="00453788"/>
    <w:rsid w:val="004539BF"/>
    <w:rsid w:val="004539F2"/>
    <w:rsid w:val="00453B8B"/>
    <w:rsid w:val="00453B98"/>
    <w:rsid w:val="00453D98"/>
    <w:rsid w:val="004543F2"/>
    <w:rsid w:val="00454400"/>
    <w:rsid w:val="004547BA"/>
    <w:rsid w:val="0045491B"/>
    <w:rsid w:val="00454F1C"/>
    <w:rsid w:val="00454F86"/>
    <w:rsid w:val="00454F8E"/>
    <w:rsid w:val="00454FDE"/>
    <w:rsid w:val="00455044"/>
    <w:rsid w:val="00455068"/>
    <w:rsid w:val="00455166"/>
    <w:rsid w:val="0045517D"/>
    <w:rsid w:val="004552C5"/>
    <w:rsid w:val="004553A3"/>
    <w:rsid w:val="00455563"/>
    <w:rsid w:val="004555D6"/>
    <w:rsid w:val="00455A06"/>
    <w:rsid w:val="00455BED"/>
    <w:rsid w:val="00455C1A"/>
    <w:rsid w:val="00455CB5"/>
    <w:rsid w:val="00456284"/>
    <w:rsid w:val="00456641"/>
    <w:rsid w:val="004566F6"/>
    <w:rsid w:val="00456A4E"/>
    <w:rsid w:val="004572B5"/>
    <w:rsid w:val="0045738D"/>
    <w:rsid w:val="0045741B"/>
    <w:rsid w:val="0045744A"/>
    <w:rsid w:val="00457561"/>
    <w:rsid w:val="004575F1"/>
    <w:rsid w:val="00457645"/>
    <w:rsid w:val="00457BDA"/>
    <w:rsid w:val="00457DBF"/>
    <w:rsid w:val="00457E19"/>
    <w:rsid w:val="00457F1D"/>
    <w:rsid w:val="0045A2CC"/>
    <w:rsid w:val="00460275"/>
    <w:rsid w:val="0046041C"/>
    <w:rsid w:val="004604BC"/>
    <w:rsid w:val="004607C8"/>
    <w:rsid w:val="004609EE"/>
    <w:rsid w:val="00460A8E"/>
    <w:rsid w:val="00460EA5"/>
    <w:rsid w:val="00460EC0"/>
    <w:rsid w:val="00460F21"/>
    <w:rsid w:val="00461149"/>
    <w:rsid w:val="0046121F"/>
    <w:rsid w:val="004612D6"/>
    <w:rsid w:val="00461395"/>
    <w:rsid w:val="004614F7"/>
    <w:rsid w:val="004614FC"/>
    <w:rsid w:val="00461592"/>
    <w:rsid w:val="00461690"/>
    <w:rsid w:val="00461719"/>
    <w:rsid w:val="00461776"/>
    <w:rsid w:val="00461ABF"/>
    <w:rsid w:val="00461B10"/>
    <w:rsid w:val="00461BC1"/>
    <w:rsid w:val="00461BDA"/>
    <w:rsid w:val="00461CF6"/>
    <w:rsid w:val="00461DF4"/>
    <w:rsid w:val="00462223"/>
    <w:rsid w:val="00462325"/>
    <w:rsid w:val="0046247F"/>
    <w:rsid w:val="00462480"/>
    <w:rsid w:val="00462549"/>
    <w:rsid w:val="004626AA"/>
    <w:rsid w:val="00462778"/>
    <w:rsid w:val="00462793"/>
    <w:rsid w:val="0046286A"/>
    <w:rsid w:val="004628E7"/>
    <w:rsid w:val="00462987"/>
    <w:rsid w:val="00462A72"/>
    <w:rsid w:val="00462B99"/>
    <w:rsid w:val="00462C95"/>
    <w:rsid w:val="00462EE2"/>
    <w:rsid w:val="004630A1"/>
    <w:rsid w:val="00463156"/>
    <w:rsid w:val="004633DB"/>
    <w:rsid w:val="004634A9"/>
    <w:rsid w:val="0046370E"/>
    <w:rsid w:val="00463838"/>
    <w:rsid w:val="004638D7"/>
    <w:rsid w:val="00463992"/>
    <w:rsid w:val="00463B77"/>
    <w:rsid w:val="00463D2D"/>
    <w:rsid w:val="00463D78"/>
    <w:rsid w:val="00463DB8"/>
    <w:rsid w:val="004640E8"/>
    <w:rsid w:val="0046436F"/>
    <w:rsid w:val="0046439C"/>
    <w:rsid w:val="0046473B"/>
    <w:rsid w:val="00464787"/>
    <w:rsid w:val="0046492D"/>
    <w:rsid w:val="00464C83"/>
    <w:rsid w:val="00464D7D"/>
    <w:rsid w:val="00464D95"/>
    <w:rsid w:val="00464DEF"/>
    <w:rsid w:val="00464EAF"/>
    <w:rsid w:val="00464F6C"/>
    <w:rsid w:val="004650A9"/>
    <w:rsid w:val="004651B1"/>
    <w:rsid w:val="00465254"/>
    <w:rsid w:val="0046527F"/>
    <w:rsid w:val="00465379"/>
    <w:rsid w:val="004654D6"/>
    <w:rsid w:val="00465548"/>
    <w:rsid w:val="004656B0"/>
    <w:rsid w:val="00465765"/>
    <w:rsid w:val="00465AB0"/>
    <w:rsid w:val="00465D88"/>
    <w:rsid w:val="00465DF0"/>
    <w:rsid w:val="00465F3A"/>
    <w:rsid w:val="004660AB"/>
    <w:rsid w:val="004660AE"/>
    <w:rsid w:val="00466247"/>
    <w:rsid w:val="00466250"/>
    <w:rsid w:val="0046627F"/>
    <w:rsid w:val="004664C7"/>
    <w:rsid w:val="004668A5"/>
    <w:rsid w:val="00466F86"/>
    <w:rsid w:val="00466FCB"/>
    <w:rsid w:val="00466FD2"/>
    <w:rsid w:val="0046717F"/>
    <w:rsid w:val="004671EF"/>
    <w:rsid w:val="0046734D"/>
    <w:rsid w:val="00467537"/>
    <w:rsid w:val="0046778D"/>
    <w:rsid w:val="00467855"/>
    <w:rsid w:val="004678B7"/>
    <w:rsid w:val="004679F5"/>
    <w:rsid w:val="00467A62"/>
    <w:rsid w:val="00467AE8"/>
    <w:rsid w:val="00467ECC"/>
    <w:rsid w:val="00467EDB"/>
    <w:rsid w:val="00467FFB"/>
    <w:rsid w:val="00470169"/>
    <w:rsid w:val="00470171"/>
    <w:rsid w:val="004701E8"/>
    <w:rsid w:val="00470277"/>
    <w:rsid w:val="0047029C"/>
    <w:rsid w:val="0047040E"/>
    <w:rsid w:val="004705EE"/>
    <w:rsid w:val="00470676"/>
    <w:rsid w:val="004706E9"/>
    <w:rsid w:val="004708B7"/>
    <w:rsid w:val="0047098F"/>
    <w:rsid w:val="00470CB7"/>
    <w:rsid w:val="00470DB2"/>
    <w:rsid w:val="0047104A"/>
    <w:rsid w:val="00471243"/>
    <w:rsid w:val="00471303"/>
    <w:rsid w:val="004715E1"/>
    <w:rsid w:val="0047179E"/>
    <w:rsid w:val="00471819"/>
    <w:rsid w:val="0047199C"/>
    <w:rsid w:val="00471BE2"/>
    <w:rsid w:val="00471BF5"/>
    <w:rsid w:val="00471C13"/>
    <w:rsid w:val="00471C2C"/>
    <w:rsid w:val="00471C61"/>
    <w:rsid w:val="00471CA3"/>
    <w:rsid w:val="00471D0A"/>
    <w:rsid w:val="00471D0D"/>
    <w:rsid w:val="00471E2E"/>
    <w:rsid w:val="00471F8B"/>
    <w:rsid w:val="0047229F"/>
    <w:rsid w:val="00472406"/>
    <w:rsid w:val="00472504"/>
    <w:rsid w:val="00472929"/>
    <w:rsid w:val="00472B21"/>
    <w:rsid w:val="00472B83"/>
    <w:rsid w:val="00472B94"/>
    <w:rsid w:val="00472CB7"/>
    <w:rsid w:val="00472D07"/>
    <w:rsid w:val="00472DB6"/>
    <w:rsid w:val="00472E85"/>
    <w:rsid w:val="00473037"/>
    <w:rsid w:val="0047303D"/>
    <w:rsid w:val="004730C9"/>
    <w:rsid w:val="0047318A"/>
    <w:rsid w:val="00473223"/>
    <w:rsid w:val="00473303"/>
    <w:rsid w:val="0047345E"/>
    <w:rsid w:val="004734B0"/>
    <w:rsid w:val="00473687"/>
    <w:rsid w:val="00473804"/>
    <w:rsid w:val="004738A0"/>
    <w:rsid w:val="00473935"/>
    <w:rsid w:val="00473A1B"/>
    <w:rsid w:val="00473A1C"/>
    <w:rsid w:val="00473A73"/>
    <w:rsid w:val="00473ADF"/>
    <w:rsid w:val="00473C96"/>
    <w:rsid w:val="00473D7F"/>
    <w:rsid w:val="0047422F"/>
    <w:rsid w:val="0047424B"/>
    <w:rsid w:val="004742EA"/>
    <w:rsid w:val="004742F6"/>
    <w:rsid w:val="00474313"/>
    <w:rsid w:val="0047443C"/>
    <w:rsid w:val="00474503"/>
    <w:rsid w:val="004745FC"/>
    <w:rsid w:val="004747D1"/>
    <w:rsid w:val="0047485D"/>
    <w:rsid w:val="0047495B"/>
    <w:rsid w:val="00474CFF"/>
    <w:rsid w:val="00474D2F"/>
    <w:rsid w:val="00474D61"/>
    <w:rsid w:val="00474E01"/>
    <w:rsid w:val="00474F91"/>
    <w:rsid w:val="00475010"/>
    <w:rsid w:val="004753A1"/>
    <w:rsid w:val="004755FE"/>
    <w:rsid w:val="00475921"/>
    <w:rsid w:val="004759B0"/>
    <w:rsid w:val="00475A59"/>
    <w:rsid w:val="00475A9F"/>
    <w:rsid w:val="00475CC4"/>
    <w:rsid w:val="00475DF6"/>
    <w:rsid w:val="00475EB4"/>
    <w:rsid w:val="00475FEC"/>
    <w:rsid w:val="00476060"/>
    <w:rsid w:val="00476888"/>
    <w:rsid w:val="004768F7"/>
    <w:rsid w:val="004769D0"/>
    <w:rsid w:val="00476C1F"/>
    <w:rsid w:val="00476CFD"/>
    <w:rsid w:val="00476DE0"/>
    <w:rsid w:val="004770CD"/>
    <w:rsid w:val="004771F4"/>
    <w:rsid w:val="004775DF"/>
    <w:rsid w:val="004778A8"/>
    <w:rsid w:val="00477D62"/>
    <w:rsid w:val="00477E41"/>
    <w:rsid w:val="00477F2F"/>
    <w:rsid w:val="004800E7"/>
    <w:rsid w:val="004802C3"/>
    <w:rsid w:val="0048058C"/>
    <w:rsid w:val="0048092B"/>
    <w:rsid w:val="0048098F"/>
    <w:rsid w:val="00480A51"/>
    <w:rsid w:val="00480AD0"/>
    <w:rsid w:val="00480B36"/>
    <w:rsid w:val="00480DE3"/>
    <w:rsid w:val="00481075"/>
    <w:rsid w:val="004811C2"/>
    <w:rsid w:val="00481332"/>
    <w:rsid w:val="004814C9"/>
    <w:rsid w:val="00481A08"/>
    <w:rsid w:val="00481C1E"/>
    <w:rsid w:val="00481CBE"/>
    <w:rsid w:val="004820A6"/>
    <w:rsid w:val="004821B5"/>
    <w:rsid w:val="00482342"/>
    <w:rsid w:val="004823B9"/>
    <w:rsid w:val="0048248E"/>
    <w:rsid w:val="0048271E"/>
    <w:rsid w:val="004827C7"/>
    <w:rsid w:val="00482804"/>
    <w:rsid w:val="00482A68"/>
    <w:rsid w:val="00482B47"/>
    <w:rsid w:val="00482BB6"/>
    <w:rsid w:val="00482CF5"/>
    <w:rsid w:val="00482D9F"/>
    <w:rsid w:val="00482DB1"/>
    <w:rsid w:val="0048307C"/>
    <w:rsid w:val="004831F8"/>
    <w:rsid w:val="0048323E"/>
    <w:rsid w:val="00483377"/>
    <w:rsid w:val="00483473"/>
    <w:rsid w:val="004836A0"/>
    <w:rsid w:val="004836E9"/>
    <w:rsid w:val="004837B6"/>
    <w:rsid w:val="00483880"/>
    <w:rsid w:val="00483E53"/>
    <w:rsid w:val="00483E8F"/>
    <w:rsid w:val="00483F4B"/>
    <w:rsid w:val="00484096"/>
    <w:rsid w:val="004841E5"/>
    <w:rsid w:val="004842A0"/>
    <w:rsid w:val="00484385"/>
    <w:rsid w:val="004844FD"/>
    <w:rsid w:val="0048479E"/>
    <w:rsid w:val="00484AB0"/>
    <w:rsid w:val="00484DC5"/>
    <w:rsid w:val="00485293"/>
    <w:rsid w:val="00485333"/>
    <w:rsid w:val="00485341"/>
    <w:rsid w:val="00485573"/>
    <w:rsid w:val="00485675"/>
    <w:rsid w:val="004856CD"/>
    <w:rsid w:val="00485834"/>
    <w:rsid w:val="00485887"/>
    <w:rsid w:val="00485A0A"/>
    <w:rsid w:val="00485CD9"/>
    <w:rsid w:val="00485CE8"/>
    <w:rsid w:val="00485D49"/>
    <w:rsid w:val="00485DD2"/>
    <w:rsid w:val="0048611A"/>
    <w:rsid w:val="0048617F"/>
    <w:rsid w:val="00486255"/>
    <w:rsid w:val="0048629D"/>
    <w:rsid w:val="004864E8"/>
    <w:rsid w:val="00486533"/>
    <w:rsid w:val="00486706"/>
    <w:rsid w:val="004867B4"/>
    <w:rsid w:val="0048689E"/>
    <w:rsid w:val="00486901"/>
    <w:rsid w:val="00486BB1"/>
    <w:rsid w:val="00486C43"/>
    <w:rsid w:val="00486C74"/>
    <w:rsid w:val="00486DD1"/>
    <w:rsid w:val="00486E4B"/>
    <w:rsid w:val="00486EFB"/>
    <w:rsid w:val="00486FDC"/>
    <w:rsid w:val="004871DF"/>
    <w:rsid w:val="00487342"/>
    <w:rsid w:val="004873D9"/>
    <w:rsid w:val="00487627"/>
    <w:rsid w:val="00487715"/>
    <w:rsid w:val="00487771"/>
    <w:rsid w:val="00487783"/>
    <w:rsid w:val="0048789C"/>
    <w:rsid w:val="004878B6"/>
    <w:rsid w:val="00487929"/>
    <w:rsid w:val="00487974"/>
    <w:rsid w:val="00487978"/>
    <w:rsid w:val="004879E9"/>
    <w:rsid w:val="00487C83"/>
    <w:rsid w:val="00487C85"/>
    <w:rsid w:val="00487CBB"/>
    <w:rsid w:val="00487CDA"/>
    <w:rsid w:val="00487D45"/>
    <w:rsid w:val="00487E2C"/>
    <w:rsid w:val="00487EEE"/>
    <w:rsid w:val="00490167"/>
    <w:rsid w:val="004901DB"/>
    <w:rsid w:val="00490241"/>
    <w:rsid w:val="00490483"/>
    <w:rsid w:val="00490494"/>
    <w:rsid w:val="00490602"/>
    <w:rsid w:val="00490669"/>
    <w:rsid w:val="004906CA"/>
    <w:rsid w:val="004907E7"/>
    <w:rsid w:val="004909DC"/>
    <w:rsid w:val="00490CEA"/>
    <w:rsid w:val="00490DC4"/>
    <w:rsid w:val="00490EF5"/>
    <w:rsid w:val="00490F4E"/>
    <w:rsid w:val="00490F82"/>
    <w:rsid w:val="0049106D"/>
    <w:rsid w:val="00491133"/>
    <w:rsid w:val="00491680"/>
    <w:rsid w:val="00491690"/>
    <w:rsid w:val="004916A4"/>
    <w:rsid w:val="0049178A"/>
    <w:rsid w:val="004917FE"/>
    <w:rsid w:val="004918CF"/>
    <w:rsid w:val="00491A16"/>
    <w:rsid w:val="00491AA3"/>
    <w:rsid w:val="00491B6B"/>
    <w:rsid w:val="00491C5C"/>
    <w:rsid w:val="00491C96"/>
    <w:rsid w:val="00491D67"/>
    <w:rsid w:val="00491DEC"/>
    <w:rsid w:val="00491E20"/>
    <w:rsid w:val="0049210F"/>
    <w:rsid w:val="00492170"/>
    <w:rsid w:val="0049217A"/>
    <w:rsid w:val="00492182"/>
    <w:rsid w:val="004923C2"/>
    <w:rsid w:val="00492560"/>
    <w:rsid w:val="0049259D"/>
    <w:rsid w:val="004925EB"/>
    <w:rsid w:val="0049264E"/>
    <w:rsid w:val="00492BA6"/>
    <w:rsid w:val="00492D33"/>
    <w:rsid w:val="00492E64"/>
    <w:rsid w:val="00492E9F"/>
    <w:rsid w:val="0049329F"/>
    <w:rsid w:val="00493442"/>
    <w:rsid w:val="00493566"/>
    <w:rsid w:val="004935E5"/>
    <w:rsid w:val="00493618"/>
    <w:rsid w:val="00493A32"/>
    <w:rsid w:val="00493D38"/>
    <w:rsid w:val="00494051"/>
    <w:rsid w:val="00494185"/>
    <w:rsid w:val="0049435A"/>
    <w:rsid w:val="004943DB"/>
    <w:rsid w:val="00494426"/>
    <w:rsid w:val="004946F9"/>
    <w:rsid w:val="00494776"/>
    <w:rsid w:val="00494BA7"/>
    <w:rsid w:val="00494C0E"/>
    <w:rsid w:val="00494D7B"/>
    <w:rsid w:val="00494F5F"/>
    <w:rsid w:val="00494F64"/>
    <w:rsid w:val="00494F70"/>
    <w:rsid w:val="00494FDB"/>
    <w:rsid w:val="00495079"/>
    <w:rsid w:val="0049517F"/>
    <w:rsid w:val="004951EC"/>
    <w:rsid w:val="004952CE"/>
    <w:rsid w:val="00495360"/>
    <w:rsid w:val="004957C3"/>
    <w:rsid w:val="00495B09"/>
    <w:rsid w:val="00495B3C"/>
    <w:rsid w:val="00495CBD"/>
    <w:rsid w:val="00495D53"/>
    <w:rsid w:val="004960C0"/>
    <w:rsid w:val="00496108"/>
    <w:rsid w:val="0049616B"/>
    <w:rsid w:val="00496326"/>
    <w:rsid w:val="004966C7"/>
    <w:rsid w:val="004969DB"/>
    <w:rsid w:val="00496B81"/>
    <w:rsid w:val="00496C28"/>
    <w:rsid w:val="00496C2F"/>
    <w:rsid w:val="00496D0A"/>
    <w:rsid w:val="00496E8A"/>
    <w:rsid w:val="00496FB3"/>
    <w:rsid w:val="0049730D"/>
    <w:rsid w:val="0049741E"/>
    <w:rsid w:val="004974B6"/>
    <w:rsid w:val="004975E6"/>
    <w:rsid w:val="004977C2"/>
    <w:rsid w:val="0049782F"/>
    <w:rsid w:val="00497851"/>
    <w:rsid w:val="00497A2D"/>
    <w:rsid w:val="00497B53"/>
    <w:rsid w:val="00497B85"/>
    <w:rsid w:val="00497B9F"/>
    <w:rsid w:val="00497BD6"/>
    <w:rsid w:val="00497CCD"/>
    <w:rsid w:val="00497DA5"/>
    <w:rsid w:val="00497DD2"/>
    <w:rsid w:val="00497DF0"/>
    <w:rsid w:val="004A0070"/>
    <w:rsid w:val="004A00C8"/>
    <w:rsid w:val="004A019C"/>
    <w:rsid w:val="004A030D"/>
    <w:rsid w:val="004A0327"/>
    <w:rsid w:val="004A045E"/>
    <w:rsid w:val="004A04B8"/>
    <w:rsid w:val="004A0754"/>
    <w:rsid w:val="004A0817"/>
    <w:rsid w:val="004A088E"/>
    <w:rsid w:val="004A09E7"/>
    <w:rsid w:val="004A0AB8"/>
    <w:rsid w:val="004A0AB9"/>
    <w:rsid w:val="004A0D5D"/>
    <w:rsid w:val="004A0E83"/>
    <w:rsid w:val="004A0EB5"/>
    <w:rsid w:val="004A0F5D"/>
    <w:rsid w:val="004A10CF"/>
    <w:rsid w:val="004A11CC"/>
    <w:rsid w:val="004A1413"/>
    <w:rsid w:val="004A153C"/>
    <w:rsid w:val="004A1570"/>
    <w:rsid w:val="004A15BC"/>
    <w:rsid w:val="004A161E"/>
    <w:rsid w:val="004A164F"/>
    <w:rsid w:val="004A1926"/>
    <w:rsid w:val="004A1F86"/>
    <w:rsid w:val="004A1F89"/>
    <w:rsid w:val="004A2084"/>
    <w:rsid w:val="004A2101"/>
    <w:rsid w:val="004A21BD"/>
    <w:rsid w:val="004A2376"/>
    <w:rsid w:val="004A246C"/>
    <w:rsid w:val="004A282C"/>
    <w:rsid w:val="004A2843"/>
    <w:rsid w:val="004A28B6"/>
    <w:rsid w:val="004A29C8"/>
    <w:rsid w:val="004A2AFF"/>
    <w:rsid w:val="004A2F3E"/>
    <w:rsid w:val="004A2F86"/>
    <w:rsid w:val="004A3034"/>
    <w:rsid w:val="004A32C3"/>
    <w:rsid w:val="004A330E"/>
    <w:rsid w:val="004A3454"/>
    <w:rsid w:val="004A385E"/>
    <w:rsid w:val="004A3A0B"/>
    <w:rsid w:val="004A3C1F"/>
    <w:rsid w:val="004A3C4A"/>
    <w:rsid w:val="004A3CBB"/>
    <w:rsid w:val="004A3D38"/>
    <w:rsid w:val="004A3E21"/>
    <w:rsid w:val="004A4128"/>
    <w:rsid w:val="004A4226"/>
    <w:rsid w:val="004A4283"/>
    <w:rsid w:val="004A42BD"/>
    <w:rsid w:val="004A42CB"/>
    <w:rsid w:val="004A430B"/>
    <w:rsid w:val="004A4372"/>
    <w:rsid w:val="004A43C6"/>
    <w:rsid w:val="004A4430"/>
    <w:rsid w:val="004A444B"/>
    <w:rsid w:val="004A4550"/>
    <w:rsid w:val="004A4785"/>
    <w:rsid w:val="004A48C3"/>
    <w:rsid w:val="004A4D1C"/>
    <w:rsid w:val="004A4D62"/>
    <w:rsid w:val="004A4DA4"/>
    <w:rsid w:val="004A4F12"/>
    <w:rsid w:val="004A4FAD"/>
    <w:rsid w:val="004A4FDF"/>
    <w:rsid w:val="004A5007"/>
    <w:rsid w:val="004A5059"/>
    <w:rsid w:val="004A5210"/>
    <w:rsid w:val="004A5489"/>
    <w:rsid w:val="004A56EA"/>
    <w:rsid w:val="004A5738"/>
    <w:rsid w:val="004A57BD"/>
    <w:rsid w:val="004A57D3"/>
    <w:rsid w:val="004A5A7F"/>
    <w:rsid w:val="004A5E73"/>
    <w:rsid w:val="004A5F9F"/>
    <w:rsid w:val="004A6045"/>
    <w:rsid w:val="004A60D5"/>
    <w:rsid w:val="004A61B4"/>
    <w:rsid w:val="004A61D0"/>
    <w:rsid w:val="004A6227"/>
    <w:rsid w:val="004A630B"/>
    <w:rsid w:val="004A63D2"/>
    <w:rsid w:val="004A6631"/>
    <w:rsid w:val="004A6842"/>
    <w:rsid w:val="004A6C48"/>
    <w:rsid w:val="004A6C8F"/>
    <w:rsid w:val="004A6EEF"/>
    <w:rsid w:val="004A71F3"/>
    <w:rsid w:val="004A73D1"/>
    <w:rsid w:val="004A74C9"/>
    <w:rsid w:val="004A77EF"/>
    <w:rsid w:val="004A782A"/>
    <w:rsid w:val="004A79C1"/>
    <w:rsid w:val="004A7A52"/>
    <w:rsid w:val="004A7D85"/>
    <w:rsid w:val="004A7D88"/>
    <w:rsid w:val="004A7FB8"/>
    <w:rsid w:val="004B00F9"/>
    <w:rsid w:val="004B017A"/>
    <w:rsid w:val="004B01CB"/>
    <w:rsid w:val="004B02F5"/>
    <w:rsid w:val="004B0546"/>
    <w:rsid w:val="004B089E"/>
    <w:rsid w:val="004B0BF2"/>
    <w:rsid w:val="004B0C5F"/>
    <w:rsid w:val="004B0D4D"/>
    <w:rsid w:val="004B12A6"/>
    <w:rsid w:val="004B139F"/>
    <w:rsid w:val="004B13E4"/>
    <w:rsid w:val="004B143F"/>
    <w:rsid w:val="004B156B"/>
    <w:rsid w:val="004B1691"/>
    <w:rsid w:val="004B16F2"/>
    <w:rsid w:val="004B19FE"/>
    <w:rsid w:val="004B1BE4"/>
    <w:rsid w:val="004B1F4C"/>
    <w:rsid w:val="004B201E"/>
    <w:rsid w:val="004B209F"/>
    <w:rsid w:val="004B211E"/>
    <w:rsid w:val="004B238D"/>
    <w:rsid w:val="004B24E4"/>
    <w:rsid w:val="004B261F"/>
    <w:rsid w:val="004B2A4D"/>
    <w:rsid w:val="004B2D6D"/>
    <w:rsid w:val="004B2D6E"/>
    <w:rsid w:val="004B2EB5"/>
    <w:rsid w:val="004B2F45"/>
    <w:rsid w:val="004B3048"/>
    <w:rsid w:val="004B30C4"/>
    <w:rsid w:val="004B3127"/>
    <w:rsid w:val="004B312B"/>
    <w:rsid w:val="004B33C2"/>
    <w:rsid w:val="004B358B"/>
    <w:rsid w:val="004B3626"/>
    <w:rsid w:val="004B36AC"/>
    <w:rsid w:val="004B3A46"/>
    <w:rsid w:val="004B3DE3"/>
    <w:rsid w:val="004B3FB0"/>
    <w:rsid w:val="004B40A2"/>
    <w:rsid w:val="004B4151"/>
    <w:rsid w:val="004B420B"/>
    <w:rsid w:val="004B4214"/>
    <w:rsid w:val="004B42BE"/>
    <w:rsid w:val="004B4338"/>
    <w:rsid w:val="004B4416"/>
    <w:rsid w:val="004B44FE"/>
    <w:rsid w:val="004B4536"/>
    <w:rsid w:val="004B4725"/>
    <w:rsid w:val="004B473F"/>
    <w:rsid w:val="004B475E"/>
    <w:rsid w:val="004B4850"/>
    <w:rsid w:val="004B4977"/>
    <w:rsid w:val="004B4994"/>
    <w:rsid w:val="004B49A5"/>
    <w:rsid w:val="004B4A72"/>
    <w:rsid w:val="004B4B91"/>
    <w:rsid w:val="004B4EC7"/>
    <w:rsid w:val="004B4F6D"/>
    <w:rsid w:val="004B5306"/>
    <w:rsid w:val="004B5786"/>
    <w:rsid w:val="004B5B87"/>
    <w:rsid w:val="004B5DED"/>
    <w:rsid w:val="004B5E56"/>
    <w:rsid w:val="004B6160"/>
    <w:rsid w:val="004B61D4"/>
    <w:rsid w:val="004B62A3"/>
    <w:rsid w:val="004B62A4"/>
    <w:rsid w:val="004B65CE"/>
    <w:rsid w:val="004B66BE"/>
    <w:rsid w:val="004B689D"/>
    <w:rsid w:val="004B68F3"/>
    <w:rsid w:val="004B6AFC"/>
    <w:rsid w:val="004B6CC3"/>
    <w:rsid w:val="004B6CF0"/>
    <w:rsid w:val="004B71DB"/>
    <w:rsid w:val="004B76AF"/>
    <w:rsid w:val="004B789D"/>
    <w:rsid w:val="004B7A3A"/>
    <w:rsid w:val="004B7AC3"/>
    <w:rsid w:val="004B7E88"/>
    <w:rsid w:val="004B7F60"/>
    <w:rsid w:val="004C0068"/>
    <w:rsid w:val="004C02AA"/>
    <w:rsid w:val="004C079C"/>
    <w:rsid w:val="004C081D"/>
    <w:rsid w:val="004C0989"/>
    <w:rsid w:val="004C0B52"/>
    <w:rsid w:val="004C0C2D"/>
    <w:rsid w:val="004C0C46"/>
    <w:rsid w:val="004C0E4C"/>
    <w:rsid w:val="004C0E97"/>
    <w:rsid w:val="004C0E9B"/>
    <w:rsid w:val="004C0EC5"/>
    <w:rsid w:val="004C0FC8"/>
    <w:rsid w:val="004C109E"/>
    <w:rsid w:val="004C1169"/>
    <w:rsid w:val="004C124C"/>
    <w:rsid w:val="004C12AD"/>
    <w:rsid w:val="004C12C7"/>
    <w:rsid w:val="004C1399"/>
    <w:rsid w:val="004C1415"/>
    <w:rsid w:val="004C1445"/>
    <w:rsid w:val="004C149E"/>
    <w:rsid w:val="004C162F"/>
    <w:rsid w:val="004C17F3"/>
    <w:rsid w:val="004C1905"/>
    <w:rsid w:val="004C1B44"/>
    <w:rsid w:val="004C1CB7"/>
    <w:rsid w:val="004C1FD4"/>
    <w:rsid w:val="004C219D"/>
    <w:rsid w:val="004C21FE"/>
    <w:rsid w:val="004C2604"/>
    <w:rsid w:val="004C27C7"/>
    <w:rsid w:val="004C2808"/>
    <w:rsid w:val="004C2934"/>
    <w:rsid w:val="004C2AA3"/>
    <w:rsid w:val="004C2AD9"/>
    <w:rsid w:val="004C2EA7"/>
    <w:rsid w:val="004C31AA"/>
    <w:rsid w:val="004C3666"/>
    <w:rsid w:val="004C397A"/>
    <w:rsid w:val="004C3BC6"/>
    <w:rsid w:val="004C3C42"/>
    <w:rsid w:val="004C3E1D"/>
    <w:rsid w:val="004C3F2B"/>
    <w:rsid w:val="004C3F3F"/>
    <w:rsid w:val="004C43A7"/>
    <w:rsid w:val="004C447E"/>
    <w:rsid w:val="004C48AF"/>
    <w:rsid w:val="004C48C8"/>
    <w:rsid w:val="004C48E5"/>
    <w:rsid w:val="004C4C02"/>
    <w:rsid w:val="004C4DD5"/>
    <w:rsid w:val="004C4E10"/>
    <w:rsid w:val="004C4F34"/>
    <w:rsid w:val="004C4FA9"/>
    <w:rsid w:val="004C505D"/>
    <w:rsid w:val="004C50CD"/>
    <w:rsid w:val="004C51FE"/>
    <w:rsid w:val="004C5317"/>
    <w:rsid w:val="004C5600"/>
    <w:rsid w:val="004C5782"/>
    <w:rsid w:val="004C5872"/>
    <w:rsid w:val="004C597E"/>
    <w:rsid w:val="004C598D"/>
    <w:rsid w:val="004C5BAD"/>
    <w:rsid w:val="004C5DEB"/>
    <w:rsid w:val="004C5DEC"/>
    <w:rsid w:val="004C5E70"/>
    <w:rsid w:val="004C5ECB"/>
    <w:rsid w:val="004C60B1"/>
    <w:rsid w:val="004C630A"/>
    <w:rsid w:val="004C640E"/>
    <w:rsid w:val="004C65F7"/>
    <w:rsid w:val="004C6FC8"/>
    <w:rsid w:val="004C7089"/>
    <w:rsid w:val="004C759C"/>
    <w:rsid w:val="004C75C0"/>
    <w:rsid w:val="004C7765"/>
    <w:rsid w:val="004C7ADC"/>
    <w:rsid w:val="004C7B45"/>
    <w:rsid w:val="004C7D2B"/>
    <w:rsid w:val="004C7F38"/>
    <w:rsid w:val="004C7FCE"/>
    <w:rsid w:val="004D03A9"/>
    <w:rsid w:val="004D03C9"/>
    <w:rsid w:val="004D0457"/>
    <w:rsid w:val="004D0473"/>
    <w:rsid w:val="004D0596"/>
    <w:rsid w:val="004D060C"/>
    <w:rsid w:val="004D07D9"/>
    <w:rsid w:val="004D0834"/>
    <w:rsid w:val="004D0886"/>
    <w:rsid w:val="004D0EA5"/>
    <w:rsid w:val="004D10B5"/>
    <w:rsid w:val="004D10D9"/>
    <w:rsid w:val="004D13EA"/>
    <w:rsid w:val="004D1465"/>
    <w:rsid w:val="004D14B8"/>
    <w:rsid w:val="004D1538"/>
    <w:rsid w:val="004D16E6"/>
    <w:rsid w:val="004D1719"/>
    <w:rsid w:val="004D18D5"/>
    <w:rsid w:val="004D19C0"/>
    <w:rsid w:val="004D1B87"/>
    <w:rsid w:val="004D1BDC"/>
    <w:rsid w:val="004D1C3B"/>
    <w:rsid w:val="004D1C6F"/>
    <w:rsid w:val="004D1E11"/>
    <w:rsid w:val="004D1F1F"/>
    <w:rsid w:val="004D20D1"/>
    <w:rsid w:val="004D21AB"/>
    <w:rsid w:val="004D231A"/>
    <w:rsid w:val="004D2523"/>
    <w:rsid w:val="004D2606"/>
    <w:rsid w:val="004D263A"/>
    <w:rsid w:val="004D2694"/>
    <w:rsid w:val="004D27B7"/>
    <w:rsid w:val="004D2872"/>
    <w:rsid w:val="004D2A60"/>
    <w:rsid w:val="004D2A72"/>
    <w:rsid w:val="004D2BF9"/>
    <w:rsid w:val="004D2DD6"/>
    <w:rsid w:val="004D2E33"/>
    <w:rsid w:val="004D3136"/>
    <w:rsid w:val="004D3228"/>
    <w:rsid w:val="004D33A2"/>
    <w:rsid w:val="004D33CF"/>
    <w:rsid w:val="004D347E"/>
    <w:rsid w:val="004D365C"/>
    <w:rsid w:val="004D37A1"/>
    <w:rsid w:val="004D37E3"/>
    <w:rsid w:val="004D3897"/>
    <w:rsid w:val="004D3ADA"/>
    <w:rsid w:val="004D3B28"/>
    <w:rsid w:val="004D3C4F"/>
    <w:rsid w:val="004D4425"/>
    <w:rsid w:val="004D459D"/>
    <w:rsid w:val="004D474B"/>
    <w:rsid w:val="004D48EC"/>
    <w:rsid w:val="004D4B7C"/>
    <w:rsid w:val="004D4D18"/>
    <w:rsid w:val="004D4D4C"/>
    <w:rsid w:val="004D4DD1"/>
    <w:rsid w:val="004D4DE1"/>
    <w:rsid w:val="004D4E7D"/>
    <w:rsid w:val="004D509B"/>
    <w:rsid w:val="004D50F5"/>
    <w:rsid w:val="004D5579"/>
    <w:rsid w:val="004D55CE"/>
    <w:rsid w:val="004D5635"/>
    <w:rsid w:val="004D57C0"/>
    <w:rsid w:val="004D58CB"/>
    <w:rsid w:val="004D5A35"/>
    <w:rsid w:val="004D5AC2"/>
    <w:rsid w:val="004D5AE8"/>
    <w:rsid w:val="004D6083"/>
    <w:rsid w:val="004D664D"/>
    <w:rsid w:val="004D6A3C"/>
    <w:rsid w:val="004D6AAA"/>
    <w:rsid w:val="004D6AF7"/>
    <w:rsid w:val="004D6CB7"/>
    <w:rsid w:val="004D6CC7"/>
    <w:rsid w:val="004D6EFF"/>
    <w:rsid w:val="004D6F03"/>
    <w:rsid w:val="004D6FBC"/>
    <w:rsid w:val="004D70CA"/>
    <w:rsid w:val="004D7171"/>
    <w:rsid w:val="004D7186"/>
    <w:rsid w:val="004D71C7"/>
    <w:rsid w:val="004D71E9"/>
    <w:rsid w:val="004D75CB"/>
    <w:rsid w:val="004D77AA"/>
    <w:rsid w:val="004D7903"/>
    <w:rsid w:val="004D7A1A"/>
    <w:rsid w:val="004D7A57"/>
    <w:rsid w:val="004D7A98"/>
    <w:rsid w:val="004D7B61"/>
    <w:rsid w:val="004D7D02"/>
    <w:rsid w:val="004D7D4D"/>
    <w:rsid w:val="004E015A"/>
    <w:rsid w:val="004E024E"/>
    <w:rsid w:val="004E02D2"/>
    <w:rsid w:val="004E056D"/>
    <w:rsid w:val="004E06E2"/>
    <w:rsid w:val="004E08CF"/>
    <w:rsid w:val="004E08E7"/>
    <w:rsid w:val="004E097A"/>
    <w:rsid w:val="004E09AA"/>
    <w:rsid w:val="004E0B93"/>
    <w:rsid w:val="004E0C2E"/>
    <w:rsid w:val="004E0DAD"/>
    <w:rsid w:val="004E12B1"/>
    <w:rsid w:val="004E1340"/>
    <w:rsid w:val="004E1510"/>
    <w:rsid w:val="004E1753"/>
    <w:rsid w:val="004E17FB"/>
    <w:rsid w:val="004E194E"/>
    <w:rsid w:val="004E1A94"/>
    <w:rsid w:val="004E1D30"/>
    <w:rsid w:val="004E203B"/>
    <w:rsid w:val="004E20CB"/>
    <w:rsid w:val="004E2275"/>
    <w:rsid w:val="004E23E9"/>
    <w:rsid w:val="004E265E"/>
    <w:rsid w:val="004E2660"/>
    <w:rsid w:val="004E27E6"/>
    <w:rsid w:val="004E2953"/>
    <w:rsid w:val="004E2987"/>
    <w:rsid w:val="004E2ABD"/>
    <w:rsid w:val="004E2B89"/>
    <w:rsid w:val="004E2BD6"/>
    <w:rsid w:val="004E2CDF"/>
    <w:rsid w:val="004E2EDA"/>
    <w:rsid w:val="004E2F59"/>
    <w:rsid w:val="004E3053"/>
    <w:rsid w:val="004E3139"/>
    <w:rsid w:val="004E3427"/>
    <w:rsid w:val="004E37B0"/>
    <w:rsid w:val="004E37C8"/>
    <w:rsid w:val="004E37F3"/>
    <w:rsid w:val="004E3808"/>
    <w:rsid w:val="004E3A8A"/>
    <w:rsid w:val="004E3CD4"/>
    <w:rsid w:val="004E3CDB"/>
    <w:rsid w:val="004E3E0F"/>
    <w:rsid w:val="004E3EE8"/>
    <w:rsid w:val="004E3F29"/>
    <w:rsid w:val="004E4162"/>
    <w:rsid w:val="004E4296"/>
    <w:rsid w:val="004E4517"/>
    <w:rsid w:val="004E4630"/>
    <w:rsid w:val="004E4AE5"/>
    <w:rsid w:val="004E4E55"/>
    <w:rsid w:val="004E4F01"/>
    <w:rsid w:val="004E51C3"/>
    <w:rsid w:val="004E51CE"/>
    <w:rsid w:val="004E52A9"/>
    <w:rsid w:val="004E52ED"/>
    <w:rsid w:val="004E532A"/>
    <w:rsid w:val="004E5816"/>
    <w:rsid w:val="004E59CA"/>
    <w:rsid w:val="004E5ABD"/>
    <w:rsid w:val="004E5B84"/>
    <w:rsid w:val="004E5BDE"/>
    <w:rsid w:val="004E5BF0"/>
    <w:rsid w:val="004E5DA7"/>
    <w:rsid w:val="004E61A0"/>
    <w:rsid w:val="004E634C"/>
    <w:rsid w:val="004E6467"/>
    <w:rsid w:val="004E6716"/>
    <w:rsid w:val="004E686E"/>
    <w:rsid w:val="004E699C"/>
    <w:rsid w:val="004E6A00"/>
    <w:rsid w:val="004E6FF4"/>
    <w:rsid w:val="004E7424"/>
    <w:rsid w:val="004E74C7"/>
    <w:rsid w:val="004E74D2"/>
    <w:rsid w:val="004E7678"/>
    <w:rsid w:val="004E7925"/>
    <w:rsid w:val="004E7939"/>
    <w:rsid w:val="004E7B42"/>
    <w:rsid w:val="004E7C56"/>
    <w:rsid w:val="004E7D24"/>
    <w:rsid w:val="004F006F"/>
    <w:rsid w:val="004F02E5"/>
    <w:rsid w:val="004F047A"/>
    <w:rsid w:val="004F04BE"/>
    <w:rsid w:val="004F04C1"/>
    <w:rsid w:val="004F05A5"/>
    <w:rsid w:val="004F0829"/>
    <w:rsid w:val="004F082C"/>
    <w:rsid w:val="004F0967"/>
    <w:rsid w:val="004F0A20"/>
    <w:rsid w:val="004F0A29"/>
    <w:rsid w:val="004F0A8C"/>
    <w:rsid w:val="004F0F06"/>
    <w:rsid w:val="004F1074"/>
    <w:rsid w:val="004F10FD"/>
    <w:rsid w:val="004F134D"/>
    <w:rsid w:val="004F1433"/>
    <w:rsid w:val="004F14B7"/>
    <w:rsid w:val="004F1737"/>
    <w:rsid w:val="004F1C9F"/>
    <w:rsid w:val="004F1D04"/>
    <w:rsid w:val="004F1EB0"/>
    <w:rsid w:val="004F1EE6"/>
    <w:rsid w:val="004F1F38"/>
    <w:rsid w:val="004F2196"/>
    <w:rsid w:val="004F244D"/>
    <w:rsid w:val="004F2542"/>
    <w:rsid w:val="004F2626"/>
    <w:rsid w:val="004F2861"/>
    <w:rsid w:val="004F2BA4"/>
    <w:rsid w:val="004F2D9A"/>
    <w:rsid w:val="004F2F4D"/>
    <w:rsid w:val="004F3104"/>
    <w:rsid w:val="004F31B5"/>
    <w:rsid w:val="004F3217"/>
    <w:rsid w:val="004F324A"/>
    <w:rsid w:val="004F33E7"/>
    <w:rsid w:val="004F3510"/>
    <w:rsid w:val="004F354C"/>
    <w:rsid w:val="004F376F"/>
    <w:rsid w:val="004F379D"/>
    <w:rsid w:val="004F388F"/>
    <w:rsid w:val="004F3BF5"/>
    <w:rsid w:val="004F3C79"/>
    <w:rsid w:val="004F3DDD"/>
    <w:rsid w:val="004F3EE3"/>
    <w:rsid w:val="004F3F29"/>
    <w:rsid w:val="004F4131"/>
    <w:rsid w:val="004F42D7"/>
    <w:rsid w:val="004F445D"/>
    <w:rsid w:val="004F4824"/>
    <w:rsid w:val="004F496A"/>
    <w:rsid w:val="004F4B83"/>
    <w:rsid w:val="004F4C20"/>
    <w:rsid w:val="004F5056"/>
    <w:rsid w:val="004F50CA"/>
    <w:rsid w:val="004F513D"/>
    <w:rsid w:val="004F528E"/>
    <w:rsid w:val="004F5293"/>
    <w:rsid w:val="004F53D8"/>
    <w:rsid w:val="004F55A9"/>
    <w:rsid w:val="004F564E"/>
    <w:rsid w:val="004F5805"/>
    <w:rsid w:val="004F58D8"/>
    <w:rsid w:val="004F5A6F"/>
    <w:rsid w:val="004F5C66"/>
    <w:rsid w:val="004F5C67"/>
    <w:rsid w:val="004F5D14"/>
    <w:rsid w:val="004F5D7E"/>
    <w:rsid w:val="004F6051"/>
    <w:rsid w:val="004F60B0"/>
    <w:rsid w:val="004F625B"/>
    <w:rsid w:val="004F628A"/>
    <w:rsid w:val="004F64DC"/>
    <w:rsid w:val="004F6794"/>
    <w:rsid w:val="004F67AD"/>
    <w:rsid w:val="004F6858"/>
    <w:rsid w:val="004F6AD3"/>
    <w:rsid w:val="004F6AF3"/>
    <w:rsid w:val="004F6B5D"/>
    <w:rsid w:val="004F6B88"/>
    <w:rsid w:val="004F6BF6"/>
    <w:rsid w:val="004F6C49"/>
    <w:rsid w:val="004F6FB7"/>
    <w:rsid w:val="004F72AF"/>
    <w:rsid w:val="004F7313"/>
    <w:rsid w:val="004F7318"/>
    <w:rsid w:val="004F7428"/>
    <w:rsid w:val="004F75FA"/>
    <w:rsid w:val="004F7780"/>
    <w:rsid w:val="004F792A"/>
    <w:rsid w:val="004F7980"/>
    <w:rsid w:val="004F79B3"/>
    <w:rsid w:val="004F7CB2"/>
    <w:rsid w:val="004F7DBE"/>
    <w:rsid w:val="004F7EE3"/>
    <w:rsid w:val="004F7F16"/>
    <w:rsid w:val="004F7F59"/>
    <w:rsid w:val="004F7F86"/>
    <w:rsid w:val="0050012E"/>
    <w:rsid w:val="005001B0"/>
    <w:rsid w:val="005002C5"/>
    <w:rsid w:val="005003CD"/>
    <w:rsid w:val="0050085A"/>
    <w:rsid w:val="00500893"/>
    <w:rsid w:val="00500BD7"/>
    <w:rsid w:val="00500C86"/>
    <w:rsid w:val="00500CD8"/>
    <w:rsid w:val="00500DA4"/>
    <w:rsid w:val="00500E06"/>
    <w:rsid w:val="00500F94"/>
    <w:rsid w:val="00500FB6"/>
    <w:rsid w:val="00501180"/>
    <w:rsid w:val="00501237"/>
    <w:rsid w:val="00501290"/>
    <w:rsid w:val="00501362"/>
    <w:rsid w:val="00501386"/>
    <w:rsid w:val="005013DB"/>
    <w:rsid w:val="00501437"/>
    <w:rsid w:val="0050144A"/>
    <w:rsid w:val="00501553"/>
    <w:rsid w:val="0050159C"/>
    <w:rsid w:val="0050189E"/>
    <w:rsid w:val="005019FE"/>
    <w:rsid w:val="00501BD9"/>
    <w:rsid w:val="00501C09"/>
    <w:rsid w:val="00501C25"/>
    <w:rsid w:val="00501D05"/>
    <w:rsid w:val="00501D09"/>
    <w:rsid w:val="00501DEF"/>
    <w:rsid w:val="00501E85"/>
    <w:rsid w:val="00501EB3"/>
    <w:rsid w:val="00501F18"/>
    <w:rsid w:val="0050210A"/>
    <w:rsid w:val="00502268"/>
    <w:rsid w:val="005022F1"/>
    <w:rsid w:val="0050230C"/>
    <w:rsid w:val="00502700"/>
    <w:rsid w:val="00502749"/>
    <w:rsid w:val="005027A6"/>
    <w:rsid w:val="005029A6"/>
    <w:rsid w:val="00502A56"/>
    <w:rsid w:val="00502A8D"/>
    <w:rsid w:val="00502ABE"/>
    <w:rsid w:val="00502AC3"/>
    <w:rsid w:val="00502DAE"/>
    <w:rsid w:val="00502E85"/>
    <w:rsid w:val="00502ED7"/>
    <w:rsid w:val="00502FFB"/>
    <w:rsid w:val="005031C3"/>
    <w:rsid w:val="00503210"/>
    <w:rsid w:val="00503219"/>
    <w:rsid w:val="00503258"/>
    <w:rsid w:val="00503289"/>
    <w:rsid w:val="005033FF"/>
    <w:rsid w:val="00503426"/>
    <w:rsid w:val="005034CD"/>
    <w:rsid w:val="0050357B"/>
    <w:rsid w:val="005035D0"/>
    <w:rsid w:val="005038A0"/>
    <w:rsid w:val="00503997"/>
    <w:rsid w:val="00503CB4"/>
    <w:rsid w:val="00503F94"/>
    <w:rsid w:val="00503FDE"/>
    <w:rsid w:val="00504041"/>
    <w:rsid w:val="00504051"/>
    <w:rsid w:val="005041E1"/>
    <w:rsid w:val="00504216"/>
    <w:rsid w:val="00504288"/>
    <w:rsid w:val="005046C9"/>
    <w:rsid w:val="005047C6"/>
    <w:rsid w:val="005048C6"/>
    <w:rsid w:val="00504A82"/>
    <w:rsid w:val="00504BCC"/>
    <w:rsid w:val="00504DE1"/>
    <w:rsid w:val="00504F17"/>
    <w:rsid w:val="00504F6C"/>
    <w:rsid w:val="005050A1"/>
    <w:rsid w:val="005055BC"/>
    <w:rsid w:val="00505681"/>
    <w:rsid w:val="005056C8"/>
    <w:rsid w:val="00505A68"/>
    <w:rsid w:val="00505A93"/>
    <w:rsid w:val="00505CDF"/>
    <w:rsid w:val="00505D1B"/>
    <w:rsid w:val="00505E19"/>
    <w:rsid w:val="00505F11"/>
    <w:rsid w:val="00505FE2"/>
    <w:rsid w:val="00506083"/>
    <w:rsid w:val="00506259"/>
    <w:rsid w:val="005062EE"/>
    <w:rsid w:val="005066F3"/>
    <w:rsid w:val="00506872"/>
    <w:rsid w:val="00506D5A"/>
    <w:rsid w:val="00506E24"/>
    <w:rsid w:val="00507295"/>
    <w:rsid w:val="00507358"/>
    <w:rsid w:val="0050771A"/>
    <w:rsid w:val="00507777"/>
    <w:rsid w:val="005077F2"/>
    <w:rsid w:val="0050782C"/>
    <w:rsid w:val="0050783C"/>
    <w:rsid w:val="00507987"/>
    <w:rsid w:val="00507AD2"/>
    <w:rsid w:val="00507B8C"/>
    <w:rsid w:val="00507C0F"/>
    <w:rsid w:val="00507DD3"/>
    <w:rsid w:val="00507EC8"/>
    <w:rsid w:val="00507F21"/>
    <w:rsid w:val="00510111"/>
    <w:rsid w:val="005103C5"/>
    <w:rsid w:val="00510632"/>
    <w:rsid w:val="00510663"/>
    <w:rsid w:val="00510737"/>
    <w:rsid w:val="00510815"/>
    <w:rsid w:val="0051097F"/>
    <w:rsid w:val="00510B39"/>
    <w:rsid w:val="00510E86"/>
    <w:rsid w:val="00510EFE"/>
    <w:rsid w:val="00511128"/>
    <w:rsid w:val="00511223"/>
    <w:rsid w:val="0051123E"/>
    <w:rsid w:val="005113DD"/>
    <w:rsid w:val="005113EC"/>
    <w:rsid w:val="0051156E"/>
    <w:rsid w:val="00511597"/>
    <w:rsid w:val="00511867"/>
    <w:rsid w:val="00511946"/>
    <w:rsid w:val="005119F1"/>
    <w:rsid w:val="00511B11"/>
    <w:rsid w:val="00511C57"/>
    <w:rsid w:val="00512051"/>
    <w:rsid w:val="005120AA"/>
    <w:rsid w:val="005121C3"/>
    <w:rsid w:val="005121D0"/>
    <w:rsid w:val="00512234"/>
    <w:rsid w:val="00512710"/>
    <w:rsid w:val="0051292C"/>
    <w:rsid w:val="00512A18"/>
    <w:rsid w:val="00512B9F"/>
    <w:rsid w:val="00512CDF"/>
    <w:rsid w:val="00512D11"/>
    <w:rsid w:val="00512D47"/>
    <w:rsid w:val="00512E19"/>
    <w:rsid w:val="00512E21"/>
    <w:rsid w:val="00512FB1"/>
    <w:rsid w:val="00512FDC"/>
    <w:rsid w:val="005131D3"/>
    <w:rsid w:val="005132C4"/>
    <w:rsid w:val="005132F4"/>
    <w:rsid w:val="00513334"/>
    <w:rsid w:val="005134CC"/>
    <w:rsid w:val="0051352C"/>
    <w:rsid w:val="00513682"/>
    <w:rsid w:val="00513697"/>
    <w:rsid w:val="00513737"/>
    <w:rsid w:val="0051376C"/>
    <w:rsid w:val="00513BBD"/>
    <w:rsid w:val="00513C2F"/>
    <w:rsid w:val="00513C8B"/>
    <w:rsid w:val="00513D7A"/>
    <w:rsid w:val="00513DC1"/>
    <w:rsid w:val="00513FC8"/>
    <w:rsid w:val="0051414A"/>
    <w:rsid w:val="00514255"/>
    <w:rsid w:val="00514286"/>
    <w:rsid w:val="005142C9"/>
    <w:rsid w:val="00514312"/>
    <w:rsid w:val="005144C4"/>
    <w:rsid w:val="00514644"/>
    <w:rsid w:val="00514671"/>
    <w:rsid w:val="005147D7"/>
    <w:rsid w:val="00514ACB"/>
    <w:rsid w:val="00514C88"/>
    <w:rsid w:val="00514F34"/>
    <w:rsid w:val="00514FC2"/>
    <w:rsid w:val="00515006"/>
    <w:rsid w:val="0051524B"/>
    <w:rsid w:val="00515285"/>
    <w:rsid w:val="005152A2"/>
    <w:rsid w:val="00515315"/>
    <w:rsid w:val="0051543B"/>
    <w:rsid w:val="0051545D"/>
    <w:rsid w:val="005156AA"/>
    <w:rsid w:val="0051578D"/>
    <w:rsid w:val="005159C6"/>
    <w:rsid w:val="00515A5E"/>
    <w:rsid w:val="00515AF3"/>
    <w:rsid w:val="00515BED"/>
    <w:rsid w:val="00515BFA"/>
    <w:rsid w:val="00515CDF"/>
    <w:rsid w:val="00515CF5"/>
    <w:rsid w:val="00515E74"/>
    <w:rsid w:val="00515EE6"/>
    <w:rsid w:val="00515F3E"/>
    <w:rsid w:val="00516001"/>
    <w:rsid w:val="00516070"/>
    <w:rsid w:val="005160D5"/>
    <w:rsid w:val="00516184"/>
    <w:rsid w:val="005161AE"/>
    <w:rsid w:val="005164AB"/>
    <w:rsid w:val="00516502"/>
    <w:rsid w:val="005166A2"/>
    <w:rsid w:val="005168CD"/>
    <w:rsid w:val="00517182"/>
    <w:rsid w:val="0051740B"/>
    <w:rsid w:val="0051742F"/>
    <w:rsid w:val="00517905"/>
    <w:rsid w:val="00517922"/>
    <w:rsid w:val="00517A86"/>
    <w:rsid w:val="00517C66"/>
    <w:rsid w:val="00517CB8"/>
    <w:rsid w:val="00517D05"/>
    <w:rsid w:val="00517D94"/>
    <w:rsid w:val="00517E43"/>
    <w:rsid w:val="00517E71"/>
    <w:rsid w:val="00520389"/>
    <w:rsid w:val="00520416"/>
    <w:rsid w:val="00520440"/>
    <w:rsid w:val="00520485"/>
    <w:rsid w:val="0052053C"/>
    <w:rsid w:val="00520545"/>
    <w:rsid w:val="00520737"/>
    <w:rsid w:val="005207B7"/>
    <w:rsid w:val="0052093E"/>
    <w:rsid w:val="00520BED"/>
    <w:rsid w:val="00520CDE"/>
    <w:rsid w:val="00520D53"/>
    <w:rsid w:val="00520DD5"/>
    <w:rsid w:val="00521276"/>
    <w:rsid w:val="005213B1"/>
    <w:rsid w:val="00521469"/>
    <w:rsid w:val="0052146B"/>
    <w:rsid w:val="0052164A"/>
    <w:rsid w:val="0052166D"/>
    <w:rsid w:val="00521768"/>
    <w:rsid w:val="0052186B"/>
    <w:rsid w:val="0052196C"/>
    <w:rsid w:val="00521AA8"/>
    <w:rsid w:val="00521AAE"/>
    <w:rsid w:val="0052206E"/>
    <w:rsid w:val="00522082"/>
    <w:rsid w:val="00522288"/>
    <w:rsid w:val="00522297"/>
    <w:rsid w:val="0052229A"/>
    <w:rsid w:val="00522468"/>
    <w:rsid w:val="005227EB"/>
    <w:rsid w:val="00522831"/>
    <w:rsid w:val="00522846"/>
    <w:rsid w:val="00522A02"/>
    <w:rsid w:val="00522ACB"/>
    <w:rsid w:val="00522B09"/>
    <w:rsid w:val="00522B52"/>
    <w:rsid w:val="00522B92"/>
    <w:rsid w:val="00522D3D"/>
    <w:rsid w:val="00522D71"/>
    <w:rsid w:val="00522E03"/>
    <w:rsid w:val="00522E5F"/>
    <w:rsid w:val="00523115"/>
    <w:rsid w:val="005231E8"/>
    <w:rsid w:val="00523443"/>
    <w:rsid w:val="0052349D"/>
    <w:rsid w:val="00523745"/>
    <w:rsid w:val="00523D47"/>
    <w:rsid w:val="00523DB6"/>
    <w:rsid w:val="00523DBE"/>
    <w:rsid w:val="00523F8A"/>
    <w:rsid w:val="00523FAA"/>
    <w:rsid w:val="005240BC"/>
    <w:rsid w:val="0052422E"/>
    <w:rsid w:val="005243F6"/>
    <w:rsid w:val="0052443F"/>
    <w:rsid w:val="005244AB"/>
    <w:rsid w:val="005244B7"/>
    <w:rsid w:val="005245DD"/>
    <w:rsid w:val="005248A9"/>
    <w:rsid w:val="00524BB1"/>
    <w:rsid w:val="00524BE8"/>
    <w:rsid w:val="00524DB0"/>
    <w:rsid w:val="00524F27"/>
    <w:rsid w:val="005252ED"/>
    <w:rsid w:val="005253AD"/>
    <w:rsid w:val="005254A8"/>
    <w:rsid w:val="00525587"/>
    <w:rsid w:val="005255E4"/>
    <w:rsid w:val="00525697"/>
    <w:rsid w:val="0052575D"/>
    <w:rsid w:val="00525935"/>
    <w:rsid w:val="00525995"/>
    <w:rsid w:val="00525C01"/>
    <w:rsid w:val="00525C0D"/>
    <w:rsid w:val="00525CB4"/>
    <w:rsid w:val="00525DD0"/>
    <w:rsid w:val="00525F44"/>
    <w:rsid w:val="00525F45"/>
    <w:rsid w:val="00525FAD"/>
    <w:rsid w:val="00525FCE"/>
    <w:rsid w:val="005263ED"/>
    <w:rsid w:val="0052646D"/>
    <w:rsid w:val="005264FC"/>
    <w:rsid w:val="005269DA"/>
    <w:rsid w:val="00526A0E"/>
    <w:rsid w:val="00526A15"/>
    <w:rsid w:val="00526C92"/>
    <w:rsid w:val="00526E09"/>
    <w:rsid w:val="00526ED6"/>
    <w:rsid w:val="0052749D"/>
    <w:rsid w:val="005274A6"/>
    <w:rsid w:val="005274E1"/>
    <w:rsid w:val="005275FC"/>
    <w:rsid w:val="0052768C"/>
    <w:rsid w:val="00527772"/>
    <w:rsid w:val="005278D5"/>
    <w:rsid w:val="005278FE"/>
    <w:rsid w:val="00527A0B"/>
    <w:rsid w:val="00527A49"/>
    <w:rsid w:val="00527A8F"/>
    <w:rsid w:val="00527CD8"/>
    <w:rsid w:val="00527F88"/>
    <w:rsid w:val="0053038A"/>
    <w:rsid w:val="00530508"/>
    <w:rsid w:val="0053064C"/>
    <w:rsid w:val="00530794"/>
    <w:rsid w:val="00530835"/>
    <w:rsid w:val="0053083E"/>
    <w:rsid w:val="00530896"/>
    <w:rsid w:val="00530961"/>
    <w:rsid w:val="00530A5E"/>
    <w:rsid w:val="00530D9A"/>
    <w:rsid w:val="00530EA9"/>
    <w:rsid w:val="00530ECB"/>
    <w:rsid w:val="00530F8B"/>
    <w:rsid w:val="005310AF"/>
    <w:rsid w:val="005311EF"/>
    <w:rsid w:val="005313A6"/>
    <w:rsid w:val="0053144D"/>
    <w:rsid w:val="00531667"/>
    <w:rsid w:val="0053166F"/>
    <w:rsid w:val="005316DB"/>
    <w:rsid w:val="00531A14"/>
    <w:rsid w:val="00531D55"/>
    <w:rsid w:val="00531DEC"/>
    <w:rsid w:val="00531F5C"/>
    <w:rsid w:val="00532766"/>
    <w:rsid w:val="00532814"/>
    <w:rsid w:val="00532A2A"/>
    <w:rsid w:val="00532C29"/>
    <w:rsid w:val="00532E95"/>
    <w:rsid w:val="00532F2F"/>
    <w:rsid w:val="00532F3F"/>
    <w:rsid w:val="00533298"/>
    <w:rsid w:val="005334D4"/>
    <w:rsid w:val="005334F5"/>
    <w:rsid w:val="00533766"/>
    <w:rsid w:val="00533826"/>
    <w:rsid w:val="00533838"/>
    <w:rsid w:val="00533AB0"/>
    <w:rsid w:val="00533AD4"/>
    <w:rsid w:val="00533E08"/>
    <w:rsid w:val="00533ED8"/>
    <w:rsid w:val="00533FFC"/>
    <w:rsid w:val="005341AE"/>
    <w:rsid w:val="005341FA"/>
    <w:rsid w:val="005342C3"/>
    <w:rsid w:val="0053439D"/>
    <w:rsid w:val="005343D9"/>
    <w:rsid w:val="005343F2"/>
    <w:rsid w:val="00534545"/>
    <w:rsid w:val="0053477A"/>
    <w:rsid w:val="005347A5"/>
    <w:rsid w:val="00534A35"/>
    <w:rsid w:val="00534A6D"/>
    <w:rsid w:val="00534E54"/>
    <w:rsid w:val="00534F9D"/>
    <w:rsid w:val="00535002"/>
    <w:rsid w:val="00535107"/>
    <w:rsid w:val="005351FC"/>
    <w:rsid w:val="00535545"/>
    <w:rsid w:val="00535B5D"/>
    <w:rsid w:val="00535CA7"/>
    <w:rsid w:val="00535F1C"/>
    <w:rsid w:val="00535F8F"/>
    <w:rsid w:val="00535F93"/>
    <w:rsid w:val="00535FF0"/>
    <w:rsid w:val="00536032"/>
    <w:rsid w:val="0053606C"/>
    <w:rsid w:val="005360C3"/>
    <w:rsid w:val="005361B6"/>
    <w:rsid w:val="005362F5"/>
    <w:rsid w:val="00536473"/>
    <w:rsid w:val="0053661B"/>
    <w:rsid w:val="005368E7"/>
    <w:rsid w:val="0053699D"/>
    <w:rsid w:val="00536AC3"/>
    <w:rsid w:val="00536AD6"/>
    <w:rsid w:val="00536B09"/>
    <w:rsid w:val="00536D31"/>
    <w:rsid w:val="00536D6E"/>
    <w:rsid w:val="00536F41"/>
    <w:rsid w:val="00537212"/>
    <w:rsid w:val="0053725B"/>
    <w:rsid w:val="00537459"/>
    <w:rsid w:val="005374E3"/>
    <w:rsid w:val="0053768A"/>
    <w:rsid w:val="005377BE"/>
    <w:rsid w:val="005377E5"/>
    <w:rsid w:val="00537800"/>
    <w:rsid w:val="00537948"/>
    <w:rsid w:val="005379BF"/>
    <w:rsid w:val="00537AAB"/>
    <w:rsid w:val="00537B7B"/>
    <w:rsid w:val="00537CAA"/>
    <w:rsid w:val="00537D60"/>
    <w:rsid w:val="00537E72"/>
    <w:rsid w:val="00540041"/>
    <w:rsid w:val="0054052B"/>
    <w:rsid w:val="00540568"/>
    <w:rsid w:val="00540715"/>
    <w:rsid w:val="005407FD"/>
    <w:rsid w:val="00540A13"/>
    <w:rsid w:val="00540AE6"/>
    <w:rsid w:val="00540BA1"/>
    <w:rsid w:val="00540C57"/>
    <w:rsid w:val="00540D1C"/>
    <w:rsid w:val="005410CB"/>
    <w:rsid w:val="00541138"/>
    <w:rsid w:val="00541484"/>
    <w:rsid w:val="0054149B"/>
    <w:rsid w:val="005414F3"/>
    <w:rsid w:val="005416BE"/>
    <w:rsid w:val="00541811"/>
    <w:rsid w:val="00541837"/>
    <w:rsid w:val="00541895"/>
    <w:rsid w:val="005419EC"/>
    <w:rsid w:val="00541A9C"/>
    <w:rsid w:val="00541E43"/>
    <w:rsid w:val="00541E87"/>
    <w:rsid w:val="00541EAE"/>
    <w:rsid w:val="00541F90"/>
    <w:rsid w:val="00541FDD"/>
    <w:rsid w:val="005422E0"/>
    <w:rsid w:val="005425DA"/>
    <w:rsid w:val="00542648"/>
    <w:rsid w:val="00542784"/>
    <w:rsid w:val="00542B88"/>
    <w:rsid w:val="00542BA7"/>
    <w:rsid w:val="00542C69"/>
    <w:rsid w:val="00542F04"/>
    <w:rsid w:val="00542FB6"/>
    <w:rsid w:val="0054324D"/>
    <w:rsid w:val="005432E4"/>
    <w:rsid w:val="00543466"/>
    <w:rsid w:val="00543608"/>
    <w:rsid w:val="00543840"/>
    <w:rsid w:val="00543962"/>
    <w:rsid w:val="005439E6"/>
    <w:rsid w:val="00543C1A"/>
    <w:rsid w:val="00543CAD"/>
    <w:rsid w:val="00543CEC"/>
    <w:rsid w:val="00543D24"/>
    <w:rsid w:val="00543F79"/>
    <w:rsid w:val="00544053"/>
    <w:rsid w:val="005440B5"/>
    <w:rsid w:val="005445F8"/>
    <w:rsid w:val="00544641"/>
    <w:rsid w:val="0054474A"/>
    <w:rsid w:val="005447AC"/>
    <w:rsid w:val="00544809"/>
    <w:rsid w:val="00544899"/>
    <w:rsid w:val="0054497C"/>
    <w:rsid w:val="00544B4C"/>
    <w:rsid w:val="00544DFE"/>
    <w:rsid w:val="00544EFC"/>
    <w:rsid w:val="00545189"/>
    <w:rsid w:val="0054557C"/>
    <w:rsid w:val="00545640"/>
    <w:rsid w:val="00545727"/>
    <w:rsid w:val="00545993"/>
    <w:rsid w:val="00545CA6"/>
    <w:rsid w:val="00546068"/>
    <w:rsid w:val="00546190"/>
    <w:rsid w:val="00546224"/>
    <w:rsid w:val="005463A0"/>
    <w:rsid w:val="005466AA"/>
    <w:rsid w:val="0054689E"/>
    <w:rsid w:val="005468C6"/>
    <w:rsid w:val="005468D0"/>
    <w:rsid w:val="0054695C"/>
    <w:rsid w:val="005469BC"/>
    <w:rsid w:val="00546AB3"/>
    <w:rsid w:val="00546CC7"/>
    <w:rsid w:val="00546E0F"/>
    <w:rsid w:val="00546EC2"/>
    <w:rsid w:val="00546ED2"/>
    <w:rsid w:val="00547023"/>
    <w:rsid w:val="0054703E"/>
    <w:rsid w:val="005470F9"/>
    <w:rsid w:val="00547173"/>
    <w:rsid w:val="00547174"/>
    <w:rsid w:val="00547334"/>
    <w:rsid w:val="005473C5"/>
    <w:rsid w:val="00547554"/>
    <w:rsid w:val="005477AE"/>
    <w:rsid w:val="005478A0"/>
    <w:rsid w:val="005478E1"/>
    <w:rsid w:val="00547910"/>
    <w:rsid w:val="00547971"/>
    <w:rsid w:val="00547AA6"/>
    <w:rsid w:val="00547AF0"/>
    <w:rsid w:val="00547B71"/>
    <w:rsid w:val="00547E83"/>
    <w:rsid w:val="0055009B"/>
    <w:rsid w:val="005500F0"/>
    <w:rsid w:val="00550159"/>
    <w:rsid w:val="00550365"/>
    <w:rsid w:val="005505EC"/>
    <w:rsid w:val="00550805"/>
    <w:rsid w:val="00550A65"/>
    <w:rsid w:val="00550B2C"/>
    <w:rsid w:val="00550E29"/>
    <w:rsid w:val="00550ECC"/>
    <w:rsid w:val="0055102F"/>
    <w:rsid w:val="005510A3"/>
    <w:rsid w:val="005510CD"/>
    <w:rsid w:val="00551345"/>
    <w:rsid w:val="0055149C"/>
    <w:rsid w:val="005514F8"/>
    <w:rsid w:val="0055155F"/>
    <w:rsid w:val="005518C0"/>
    <w:rsid w:val="005519CE"/>
    <w:rsid w:val="00551ADA"/>
    <w:rsid w:val="00551B08"/>
    <w:rsid w:val="00551B4E"/>
    <w:rsid w:val="00551C66"/>
    <w:rsid w:val="00551C7E"/>
    <w:rsid w:val="00551DBC"/>
    <w:rsid w:val="00551E76"/>
    <w:rsid w:val="00551ED4"/>
    <w:rsid w:val="00551FCB"/>
    <w:rsid w:val="005523D1"/>
    <w:rsid w:val="0055251C"/>
    <w:rsid w:val="00552587"/>
    <w:rsid w:val="00552638"/>
    <w:rsid w:val="005528CB"/>
    <w:rsid w:val="00552ACB"/>
    <w:rsid w:val="00552C4A"/>
    <w:rsid w:val="0055305E"/>
    <w:rsid w:val="005531BD"/>
    <w:rsid w:val="005531FB"/>
    <w:rsid w:val="0055335A"/>
    <w:rsid w:val="00553378"/>
    <w:rsid w:val="00553485"/>
    <w:rsid w:val="005534EA"/>
    <w:rsid w:val="005537CA"/>
    <w:rsid w:val="00553892"/>
    <w:rsid w:val="005538AE"/>
    <w:rsid w:val="005538EE"/>
    <w:rsid w:val="00553A26"/>
    <w:rsid w:val="00553D7F"/>
    <w:rsid w:val="0055403B"/>
    <w:rsid w:val="00554081"/>
    <w:rsid w:val="005540D3"/>
    <w:rsid w:val="00554244"/>
    <w:rsid w:val="00554788"/>
    <w:rsid w:val="005549FA"/>
    <w:rsid w:val="00554A6F"/>
    <w:rsid w:val="00554B29"/>
    <w:rsid w:val="00554F44"/>
    <w:rsid w:val="00554FD4"/>
    <w:rsid w:val="005552DB"/>
    <w:rsid w:val="0055544C"/>
    <w:rsid w:val="00555672"/>
    <w:rsid w:val="00555815"/>
    <w:rsid w:val="00555883"/>
    <w:rsid w:val="005558E5"/>
    <w:rsid w:val="00555B27"/>
    <w:rsid w:val="00555DBF"/>
    <w:rsid w:val="005560B6"/>
    <w:rsid w:val="005560E0"/>
    <w:rsid w:val="005562A4"/>
    <w:rsid w:val="0055631E"/>
    <w:rsid w:val="00556386"/>
    <w:rsid w:val="005563B9"/>
    <w:rsid w:val="005564AB"/>
    <w:rsid w:val="00556728"/>
    <w:rsid w:val="00556774"/>
    <w:rsid w:val="005567B2"/>
    <w:rsid w:val="00556884"/>
    <w:rsid w:val="00556CAC"/>
    <w:rsid w:val="00556DE3"/>
    <w:rsid w:val="00556EC9"/>
    <w:rsid w:val="0055701F"/>
    <w:rsid w:val="0055727B"/>
    <w:rsid w:val="00557325"/>
    <w:rsid w:val="005577C6"/>
    <w:rsid w:val="00557870"/>
    <w:rsid w:val="00557889"/>
    <w:rsid w:val="00557D1F"/>
    <w:rsid w:val="00560277"/>
    <w:rsid w:val="00560483"/>
    <w:rsid w:val="00560706"/>
    <w:rsid w:val="00560859"/>
    <w:rsid w:val="00560938"/>
    <w:rsid w:val="00560AF1"/>
    <w:rsid w:val="00561352"/>
    <w:rsid w:val="00561473"/>
    <w:rsid w:val="0056155E"/>
    <w:rsid w:val="00561562"/>
    <w:rsid w:val="0056160F"/>
    <w:rsid w:val="005617E9"/>
    <w:rsid w:val="005619E0"/>
    <w:rsid w:val="00561B40"/>
    <w:rsid w:val="00561C97"/>
    <w:rsid w:val="00561D55"/>
    <w:rsid w:val="00561E7D"/>
    <w:rsid w:val="00561E94"/>
    <w:rsid w:val="00562053"/>
    <w:rsid w:val="005620DB"/>
    <w:rsid w:val="00562517"/>
    <w:rsid w:val="00562573"/>
    <w:rsid w:val="005625E7"/>
    <w:rsid w:val="00562685"/>
    <w:rsid w:val="00562734"/>
    <w:rsid w:val="0056278B"/>
    <w:rsid w:val="00562ED2"/>
    <w:rsid w:val="00562F0C"/>
    <w:rsid w:val="00563157"/>
    <w:rsid w:val="0056378F"/>
    <w:rsid w:val="005637B1"/>
    <w:rsid w:val="00563868"/>
    <w:rsid w:val="00563BC8"/>
    <w:rsid w:val="00563C86"/>
    <w:rsid w:val="00563DE6"/>
    <w:rsid w:val="0056400D"/>
    <w:rsid w:val="00564206"/>
    <w:rsid w:val="005642C2"/>
    <w:rsid w:val="0056430A"/>
    <w:rsid w:val="005644E9"/>
    <w:rsid w:val="0056468F"/>
    <w:rsid w:val="0056476A"/>
    <w:rsid w:val="0056487B"/>
    <w:rsid w:val="00564AD1"/>
    <w:rsid w:val="00564E31"/>
    <w:rsid w:val="00564EA2"/>
    <w:rsid w:val="00564FC2"/>
    <w:rsid w:val="00564FEB"/>
    <w:rsid w:val="0056510B"/>
    <w:rsid w:val="0056511B"/>
    <w:rsid w:val="00565156"/>
    <w:rsid w:val="005651C5"/>
    <w:rsid w:val="0056528D"/>
    <w:rsid w:val="00565540"/>
    <w:rsid w:val="0056554B"/>
    <w:rsid w:val="00565961"/>
    <w:rsid w:val="00566170"/>
    <w:rsid w:val="0056625F"/>
    <w:rsid w:val="0056628B"/>
    <w:rsid w:val="00566298"/>
    <w:rsid w:val="00566570"/>
    <w:rsid w:val="00566D5D"/>
    <w:rsid w:val="00566DA0"/>
    <w:rsid w:val="005671A7"/>
    <w:rsid w:val="0056766F"/>
    <w:rsid w:val="005677D4"/>
    <w:rsid w:val="005678DA"/>
    <w:rsid w:val="00567910"/>
    <w:rsid w:val="0056792D"/>
    <w:rsid w:val="0056796F"/>
    <w:rsid w:val="00567A9D"/>
    <w:rsid w:val="0057008C"/>
    <w:rsid w:val="00570186"/>
    <w:rsid w:val="00570231"/>
    <w:rsid w:val="00570413"/>
    <w:rsid w:val="0057045D"/>
    <w:rsid w:val="00570616"/>
    <w:rsid w:val="005706BB"/>
    <w:rsid w:val="00570819"/>
    <w:rsid w:val="0057089C"/>
    <w:rsid w:val="0057091E"/>
    <w:rsid w:val="00570B40"/>
    <w:rsid w:val="00570C3F"/>
    <w:rsid w:val="00570C4B"/>
    <w:rsid w:val="00570CDA"/>
    <w:rsid w:val="00571217"/>
    <w:rsid w:val="00571700"/>
    <w:rsid w:val="00571871"/>
    <w:rsid w:val="00571922"/>
    <w:rsid w:val="00571ABD"/>
    <w:rsid w:val="00571B3A"/>
    <w:rsid w:val="00571BD4"/>
    <w:rsid w:val="00571C52"/>
    <w:rsid w:val="00571C6B"/>
    <w:rsid w:val="00571CEE"/>
    <w:rsid w:val="00571E22"/>
    <w:rsid w:val="00571F39"/>
    <w:rsid w:val="00571F3B"/>
    <w:rsid w:val="00572010"/>
    <w:rsid w:val="005720ED"/>
    <w:rsid w:val="00572115"/>
    <w:rsid w:val="0057215D"/>
    <w:rsid w:val="005722A2"/>
    <w:rsid w:val="00572305"/>
    <w:rsid w:val="0057239A"/>
    <w:rsid w:val="005723D6"/>
    <w:rsid w:val="005724CF"/>
    <w:rsid w:val="00572504"/>
    <w:rsid w:val="00572715"/>
    <w:rsid w:val="005727C3"/>
    <w:rsid w:val="005727E6"/>
    <w:rsid w:val="00572821"/>
    <w:rsid w:val="00572B0D"/>
    <w:rsid w:val="00572D84"/>
    <w:rsid w:val="00572F2C"/>
    <w:rsid w:val="00572F4C"/>
    <w:rsid w:val="00572F6D"/>
    <w:rsid w:val="0057305E"/>
    <w:rsid w:val="00573185"/>
    <w:rsid w:val="005732BF"/>
    <w:rsid w:val="00573463"/>
    <w:rsid w:val="00573560"/>
    <w:rsid w:val="005735A8"/>
    <w:rsid w:val="0057365B"/>
    <w:rsid w:val="0057369F"/>
    <w:rsid w:val="005738F2"/>
    <w:rsid w:val="00573AF8"/>
    <w:rsid w:val="00573C81"/>
    <w:rsid w:val="00573DB6"/>
    <w:rsid w:val="00573E57"/>
    <w:rsid w:val="005744DF"/>
    <w:rsid w:val="00574551"/>
    <w:rsid w:val="00574700"/>
    <w:rsid w:val="005747CA"/>
    <w:rsid w:val="005747E8"/>
    <w:rsid w:val="00574A6E"/>
    <w:rsid w:val="00574C43"/>
    <w:rsid w:val="00574DD3"/>
    <w:rsid w:val="00574F26"/>
    <w:rsid w:val="00575265"/>
    <w:rsid w:val="005753F3"/>
    <w:rsid w:val="005754A7"/>
    <w:rsid w:val="005755B3"/>
    <w:rsid w:val="005756DB"/>
    <w:rsid w:val="00575D01"/>
    <w:rsid w:val="00575DCE"/>
    <w:rsid w:val="005760D4"/>
    <w:rsid w:val="00576658"/>
    <w:rsid w:val="00576799"/>
    <w:rsid w:val="00576DD1"/>
    <w:rsid w:val="00577034"/>
    <w:rsid w:val="00577139"/>
    <w:rsid w:val="00577145"/>
    <w:rsid w:val="005772E8"/>
    <w:rsid w:val="0057731E"/>
    <w:rsid w:val="005773BE"/>
    <w:rsid w:val="00577492"/>
    <w:rsid w:val="00577533"/>
    <w:rsid w:val="0057763F"/>
    <w:rsid w:val="005778D8"/>
    <w:rsid w:val="00577997"/>
    <w:rsid w:val="00577B53"/>
    <w:rsid w:val="00577B82"/>
    <w:rsid w:val="00577B84"/>
    <w:rsid w:val="00577C18"/>
    <w:rsid w:val="00577D03"/>
    <w:rsid w:val="00577D10"/>
    <w:rsid w:val="00580224"/>
    <w:rsid w:val="00580BD0"/>
    <w:rsid w:val="00580E70"/>
    <w:rsid w:val="00580FA9"/>
    <w:rsid w:val="00580FE0"/>
    <w:rsid w:val="00581021"/>
    <w:rsid w:val="00581063"/>
    <w:rsid w:val="00581128"/>
    <w:rsid w:val="005812BE"/>
    <w:rsid w:val="00581341"/>
    <w:rsid w:val="00581427"/>
    <w:rsid w:val="00581552"/>
    <w:rsid w:val="00581561"/>
    <w:rsid w:val="00581664"/>
    <w:rsid w:val="0058173D"/>
    <w:rsid w:val="0058196D"/>
    <w:rsid w:val="00581A32"/>
    <w:rsid w:val="00581E0A"/>
    <w:rsid w:val="00581FF6"/>
    <w:rsid w:val="0058205C"/>
    <w:rsid w:val="0058230A"/>
    <w:rsid w:val="00582365"/>
    <w:rsid w:val="005825E4"/>
    <w:rsid w:val="00582705"/>
    <w:rsid w:val="00582728"/>
    <w:rsid w:val="00582BD0"/>
    <w:rsid w:val="00582D92"/>
    <w:rsid w:val="00582DE5"/>
    <w:rsid w:val="00582E93"/>
    <w:rsid w:val="00582FD9"/>
    <w:rsid w:val="0058301D"/>
    <w:rsid w:val="0058320F"/>
    <w:rsid w:val="00583447"/>
    <w:rsid w:val="00583670"/>
    <w:rsid w:val="005836B0"/>
    <w:rsid w:val="0058389D"/>
    <w:rsid w:val="005838E4"/>
    <w:rsid w:val="00583901"/>
    <w:rsid w:val="00583BEA"/>
    <w:rsid w:val="00584016"/>
    <w:rsid w:val="00584289"/>
    <w:rsid w:val="005846B9"/>
    <w:rsid w:val="00584869"/>
    <w:rsid w:val="0058487C"/>
    <w:rsid w:val="0058490F"/>
    <w:rsid w:val="00584ADF"/>
    <w:rsid w:val="00584B99"/>
    <w:rsid w:val="00584CA3"/>
    <w:rsid w:val="00584CBF"/>
    <w:rsid w:val="00584D5C"/>
    <w:rsid w:val="00584FC1"/>
    <w:rsid w:val="00585069"/>
    <w:rsid w:val="005851E8"/>
    <w:rsid w:val="00585286"/>
    <w:rsid w:val="0058530F"/>
    <w:rsid w:val="005853EA"/>
    <w:rsid w:val="005854A4"/>
    <w:rsid w:val="005854EA"/>
    <w:rsid w:val="00585676"/>
    <w:rsid w:val="00585AF4"/>
    <w:rsid w:val="00585BDA"/>
    <w:rsid w:val="00585C1B"/>
    <w:rsid w:val="00585D00"/>
    <w:rsid w:val="00585F24"/>
    <w:rsid w:val="00586020"/>
    <w:rsid w:val="005863BD"/>
    <w:rsid w:val="00586461"/>
    <w:rsid w:val="005864CC"/>
    <w:rsid w:val="005867A0"/>
    <w:rsid w:val="005867CC"/>
    <w:rsid w:val="005867FC"/>
    <w:rsid w:val="00586825"/>
    <w:rsid w:val="00586870"/>
    <w:rsid w:val="0058694A"/>
    <w:rsid w:val="00586AE8"/>
    <w:rsid w:val="00586AF3"/>
    <w:rsid w:val="00586B16"/>
    <w:rsid w:val="00586CF2"/>
    <w:rsid w:val="00586DC2"/>
    <w:rsid w:val="00586FEE"/>
    <w:rsid w:val="00587036"/>
    <w:rsid w:val="005870DB"/>
    <w:rsid w:val="005870E5"/>
    <w:rsid w:val="00587315"/>
    <w:rsid w:val="00587639"/>
    <w:rsid w:val="00587701"/>
    <w:rsid w:val="00587A9F"/>
    <w:rsid w:val="00587B8E"/>
    <w:rsid w:val="00587BBA"/>
    <w:rsid w:val="00587DC7"/>
    <w:rsid w:val="005901B5"/>
    <w:rsid w:val="00590384"/>
    <w:rsid w:val="0059042E"/>
    <w:rsid w:val="00590786"/>
    <w:rsid w:val="00590813"/>
    <w:rsid w:val="0059086B"/>
    <w:rsid w:val="005909F2"/>
    <w:rsid w:val="00590B64"/>
    <w:rsid w:val="00590E46"/>
    <w:rsid w:val="00590FCE"/>
    <w:rsid w:val="00591105"/>
    <w:rsid w:val="0059114F"/>
    <w:rsid w:val="0059117D"/>
    <w:rsid w:val="0059122F"/>
    <w:rsid w:val="0059135D"/>
    <w:rsid w:val="0059137A"/>
    <w:rsid w:val="0059143E"/>
    <w:rsid w:val="00591495"/>
    <w:rsid w:val="00591540"/>
    <w:rsid w:val="005915FD"/>
    <w:rsid w:val="005916E0"/>
    <w:rsid w:val="00591707"/>
    <w:rsid w:val="005919F6"/>
    <w:rsid w:val="00591A0F"/>
    <w:rsid w:val="00591A76"/>
    <w:rsid w:val="00591B30"/>
    <w:rsid w:val="00591BE6"/>
    <w:rsid w:val="00591E6C"/>
    <w:rsid w:val="00591FA2"/>
    <w:rsid w:val="0059202C"/>
    <w:rsid w:val="0059230C"/>
    <w:rsid w:val="00592419"/>
    <w:rsid w:val="0059241C"/>
    <w:rsid w:val="0059242A"/>
    <w:rsid w:val="0059246A"/>
    <w:rsid w:val="0059256B"/>
    <w:rsid w:val="00592638"/>
    <w:rsid w:val="0059274B"/>
    <w:rsid w:val="00592A15"/>
    <w:rsid w:val="00592BF8"/>
    <w:rsid w:val="00592CEA"/>
    <w:rsid w:val="00592D14"/>
    <w:rsid w:val="00592EA7"/>
    <w:rsid w:val="00592FA2"/>
    <w:rsid w:val="00593048"/>
    <w:rsid w:val="00593138"/>
    <w:rsid w:val="005932D2"/>
    <w:rsid w:val="00593485"/>
    <w:rsid w:val="005936D7"/>
    <w:rsid w:val="005936FA"/>
    <w:rsid w:val="00593853"/>
    <w:rsid w:val="00593975"/>
    <w:rsid w:val="00593A20"/>
    <w:rsid w:val="00593A33"/>
    <w:rsid w:val="00593E83"/>
    <w:rsid w:val="00594137"/>
    <w:rsid w:val="0059423B"/>
    <w:rsid w:val="005943D7"/>
    <w:rsid w:val="0059460C"/>
    <w:rsid w:val="00594799"/>
    <w:rsid w:val="005947B5"/>
    <w:rsid w:val="005948BF"/>
    <w:rsid w:val="00594942"/>
    <w:rsid w:val="00594A4A"/>
    <w:rsid w:val="00594CF7"/>
    <w:rsid w:val="00594EF2"/>
    <w:rsid w:val="00595356"/>
    <w:rsid w:val="00595362"/>
    <w:rsid w:val="005954F7"/>
    <w:rsid w:val="00595631"/>
    <w:rsid w:val="00595673"/>
    <w:rsid w:val="005956FC"/>
    <w:rsid w:val="00595A0A"/>
    <w:rsid w:val="00596042"/>
    <w:rsid w:val="005960BB"/>
    <w:rsid w:val="005961CE"/>
    <w:rsid w:val="00596200"/>
    <w:rsid w:val="00596220"/>
    <w:rsid w:val="005962A0"/>
    <w:rsid w:val="005962C7"/>
    <w:rsid w:val="005963ED"/>
    <w:rsid w:val="0059671E"/>
    <w:rsid w:val="005968C8"/>
    <w:rsid w:val="0059691D"/>
    <w:rsid w:val="00596C8C"/>
    <w:rsid w:val="00596DBF"/>
    <w:rsid w:val="00597059"/>
    <w:rsid w:val="00597407"/>
    <w:rsid w:val="00597570"/>
    <w:rsid w:val="005978CE"/>
    <w:rsid w:val="00597950"/>
    <w:rsid w:val="00597B25"/>
    <w:rsid w:val="00597B49"/>
    <w:rsid w:val="00597EFF"/>
    <w:rsid w:val="00597FAE"/>
    <w:rsid w:val="005A00DA"/>
    <w:rsid w:val="005A0241"/>
    <w:rsid w:val="005A0496"/>
    <w:rsid w:val="005A054C"/>
    <w:rsid w:val="005A094B"/>
    <w:rsid w:val="005A09BA"/>
    <w:rsid w:val="005A0B22"/>
    <w:rsid w:val="005A0D2E"/>
    <w:rsid w:val="005A0E0A"/>
    <w:rsid w:val="005A0E7C"/>
    <w:rsid w:val="005A0F85"/>
    <w:rsid w:val="005A143A"/>
    <w:rsid w:val="005A14E5"/>
    <w:rsid w:val="005A158D"/>
    <w:rsid w:val="005A168B"/>
    <w:rsid w:val="005A16BA"/>
    <w:rsid w:val="005A16E9"/>
    <w:rsid w:val="005A1943"/>
    <w:rsid w:val="005A1AD3"/>
    <w:rsid w:val="005A1B54"/>
    <w:rsid w:val="005A1BA2"/>
    <w:rsid w:val="005A1BAD"/>
    <w:rsid w:val="005A1C39"/>
    <w:rsid w:val="005A1D50"/>
    <w:rsid w:val="005A1F2A"/>
    <w:rsid w:val="005A21F6"/>
    <w:rsid w:val="005A2503"/>
    <w:rsid w:val="005A2574"/>
    <w:rsid w:val="005A25B8"/>
    <w:rsid w:val="005A2652"/>
    <w:rsid w:val="005A2A8A"/>
    <w:rsid w:val="005A2DA3"/>
    <w:rsid w:val="005A2F9D"/>
    <w:rsid w:val="005A3285"/>
    <w:rsid w:val="005A33FA"/>
    <w:rsid w:val="005A3416"/>
    <w:rsid w:val="005A3509"/>
    <w:rsid w:val="005A35C6"/>
    <w:rsid w:val="005A35F2"/>
    <w:rsid w:val="005A3A9C"/>
    <w:rsid w:val="005A3AA9"/>
    <w:rsid w:val="005A3B84"/>
    <w:rsid w:val="005A3D91"/>
    <w:rsid w:val="005A4047"/>
    <w:rsid w:val="005A41B2"/>
    <w:rsid w:val="005A4384"/>
    <w:rsid w:val="005A4496"/>
    <w:rsid w:val="005A451B"/>
    <w:rsid w:val="005A464B"/>
    <w:rsid w:val="005A4936"/>
    <w:rsid w:val="005A4A56"/>
    <w:rsid w:val="005A4A96"/>
    <w:rsid w:val="005A4AD1"/>
    <w:rsid w:val="005A4AF0"/>
    <w:rsid w:val="005A4B38"/>
    <w:rsid w:val="005A4B92"/>
    <w:rsid w:val="005A4C35"/>
    <w:rsid w:val="005A4CB6"/>
    <w:rsid w:val="005A50E4"/>
    <w:rsid w:val="005A5147"/>
    <w:rsid w:val="005A51DD"/>
    <w:rsid w:val="005A52CB"/>
    <w:rsid w:val="005A542A"/>
    <w:rsid w:val="005A5443"/>
    <w:rsid w:val="005A54BD"/>
    <w:rsid w:val="005A55B0"/>
    <w:rsid w:val="005A5623"/>
    <w:rsid w:val="005A5805"/>
    <w:rsid w:val="005A59D2"/>
    <w:rsid w:val="005A5C93"/>
    <w:rsid w:val="005A5E4A"/>
    <w:rsid w:val="005A5EF3"/>
    <w:rsid w:val="005A6114"/>
    <w:rsid w:val="005A6511"/>
    <w:rsid w:val="005A6682"/>
    <w:rsid w:val="005A66AB"/>
    <w:rsid w:val="005A673A"/>
    <w:rsid w:val="005A67B6"/>
    <w:rsid w:val="005A6806"/>
    <w:rsid w:val="005A6C78"/>
    <w:rsid w:val="005A6CAE"/>
    <w:rsid w:val="005A6CC0"/>
    <w:rsid w:val="005A6FA9"/>
    <w:rsid w:val="005A7012"/>
    <w:rsid w:val="005A7062"/>
    <w:rsid w:val="005A70B1"/>
    <w:rsid w:val="005A729C"/>
    <w:rsid w:val="005A762C"/>
    <w:rsid w:val="005A76EA"/>
    <w:rsid w:val="005A7995"/>
    <w:rsid w:val="005A79FE"/>
    <w:rsid w:val="005A7A5E"/>
    <w:rsid w:val="005A7A84"/>
    <w:rsid w:val="005A7DFD"/>
    <w:rsid w:val="005B0078"/>
    <w:rsid w:val="005B02C9"/>
    <w:rsid w:val="005B05E8"/>
    <w:rsid w:val="005B0605"/>
    <w:rsid w:val="005B081F"/>
    <w:rsid w:val="005B0909"/>
    <w:rsid w:val="005B09B2"/>
    <w:rsid w:val="005B0AB4"/>
    <w:rsid w:val="005B0AE9"/>
    <w:rsid w:val="005B0CCB"/>
    <w:rsid w:val="005B0D89"/>
    <w:rsid w:val="005B0DC1"/>
    <w:rsid w:val="005B0F7D"/>
    <w:rsid w:val="005B1031"/>
    <w:rsid w:val="005B1236"/>
    <w:rsid w:val="005B127F"/>
    <w:rsid w:val="005B143B"/>
    <w:rsid w:val="005B144B"/>
    <w:rsid w:val="005B1528"/>
    <w:rsid w:val="005B16A0"/>
    <w:rsid w:val="005B16A2"/>
    <w:rsid w:val="005B1720"/>
    <w:rsid w:val="005B1771"/>
    <w:rsid w:val="005B1832"/>
    <w:rsid w:val="005B18FC"/>
    <w:rsid w:val="005B19A5"/>
    <w:rsid w:val="005B1AD3"/>
    <w:rsid w:val="005B1BDD"/>
    <w:rsid w:val="005B1C07"/>
    <w:rsid w:val="005B1C08"/>
    <w:rsid w:val="005B1FF9"/>
    <w:rsid w:val="005B211A"/>
    <w:rsid w:val="005B220E"/>
    <w:rsid w:val="005B2280"/>
    <w:rsid w:val="005B2390"/>
    <w:rsid w:val="005B264C"/>
    <w:rsid w:val="005B2768"/>
    <w:rsid w:val="005B2882"/>
    <w:rsid w:val="005B2AC7"/>
    <w:rsid w:val="005B2D18"/>
    <w:rsid w:val="005B2DC6"/>
    <w:rsid w:val="005B2E0A"/>
    <w:rsid w:val="005B2F74"/>
    <w:rsid w:val="005B30BD"/>
    <w:rsid w:val="005B32A1"/>
    <w:rsid w:val="005B32F5"/>
    <w:rsid w:val="005B3374"/>
    <w:rsid w:val="005B339C"/>
    <w:rsid w:val="005B3432"/>
    <w:rsid w:val="005B3455"/>
    <w:rsid w:val="005B3681"/>
    <w:rsid w:val="005B3B86"/>
    <w:rsid w:val="005B3BD6"/>
    <w:rsid w:val="005B3C0B"/>
    <w:rsid w:val="005B400F"/>
    <w:rsid w:val="005B419C"/>
    <w:rsid w:val="005B42BF"/>
    <w:rsid w:val="005B42C0"/>
    <w:rsid w:val="005B43F4"/>
    <w:rsid w:val="005B4528"/>
    <w:rsid w:val="005B4693"/>
    <w:rsid w:val="005B47D6"/>
    <w:rsid w:val="005B492F"/>
    <w:rsid w:val="005B4AEA"/>
    <w:rsid w:val="005B4F41"/>
    <w:rsid w:val="005B4F44"/>
    <w:rsid w:val="005B50D9"/>
    <w:rsid w:val="005B521F"/>
    <w:rsid w:val="005B5220"/>
    <w:rsid w:val="005B53D3"/>
    <w:rsid w:val="005B5556"/>
    <w:rsid w:val="005B5674"/>
    <w:rsid w:val="005B5809"/>
    <w:rsid w:val="005B584C"/>
    <w:rsid w:val="005B5928"/>
    <w:rsid w:val="005B5960"/>
    <w:rsid w:val="005B5A9A"/>
    <w:rsid w:val="005B5C56"/>
    <w:rsid w:val="005B5C7E"/>
    <w:rsid w:val="005B5DD5"/>
    <w:rsid w:val="005B5ED4"/>
    <w:rsid w:val="005B5ED6"/>
    <w:rsid w:val="005B5F1B"/>
    <w:rsid w:val="005B5F6F"/>
    <w:rsid w:val="005B60A0"/>
    <w:rsid w:val="005B6144"/>
    <w:rsid w:val="005B61AB"/>
    <w:rsid w:val="005B67DE"/>
    <w:rsid w:val="005B6803"/>
    <w:rsid w:val="005B6A23"/>
    <w:rsid w:val="005B6A3A"/>
    <w:rsid w:val="005B6A76"/>
    <w:rsid w:val="005B6E46"/>
    <w:rsid w:val="005B6E54"/>
    <w:rsid w:val="005B6E9E"/>
    <w:rsid w:val="005B6F3F"/>
    <w:rsid w:val="005B71FD"/>
    <w:rsid w:val="005B743F"/>
    <w:rsid w:val="005B7562"/>
    <w:rsid w:val="005B76DB"/>
    <w:rsid w:val="005B787D"/>
    <w:rsid w:val="005B791E"/>
    <w:rsid w:val="005B7A7B"/>
    <w:rsid w:val="005B7B27"/>
    <w:rsid w:val="005B7D09"/>
    <w:rsid w:val="005B7D54"/>
    <w:rsid w:val="005B7D6C"/>
    <w:rsid w:val="005B7F6B"/>
    <w:rsid w:val="005C008B"/>
    <w:rsid w:val="005C012C"/>
    <w:rsid w:val="005C032A"/>
    <w:rsid w:val="005C0334"/>
    <w:rsid w:val="005C07E1"/>
    <w:rsid w:val="005C0ACC"/>
    <w:rsid w:val="005C0B6E"/>
    <w:rsid w:val="005C0BC7"/>
    <w:rsid w:val="005C0BE1"/>
    <w:rsid w:val="005C0C68"/>
    <w:rsid w:val="005C0E05"/>
    <w:rsid w:val="005C0EA3"/>
    <w:rsid w:val="005C0F13"/>
    <w:rsid w:val="005C0FD7"/>
    <w:rsid w:val="005C112F"/>
    <w:rsid w:val="005C124C"/>
    <w:rsid w:val="005C13AA"/>
    <w:rsid w:val="005C14B1"/>
    <w:rsid w:val="005C15BB"/>
    <w:rsid w:val="005C1653"/>
    <w:rsid w:val="005C16DB"/>
    <w:rsid w:val="005C18BD"/>
    <w:rsid w:val="005C1B16"/>
    <w:rsid w:val="005C1D5E"/>
    <w:rsid w:val="005C1E55"/>
    <w:rsid w:val="005C1F78"/>
    <w:rsid w:val="005C20DA"/>
    <w:rsid w:val="005C21ED"/>
    <w:rsid w:val="005C22CC"/>
    <w:rsid w:val="005C22F9"/>
    <w:rsid w:val="005C24F5"/>
    <w:rsid w:val="005C25CD"/>
    <w:rsid w:val="005C2AA0"/>
    <w:rsid w:val="005C2BD9"/>
    <w:rsid w:val="005C2C74"/>
    <w:rsid w:val="005C2D19"/>
    <w:rsid w:val="005C2EF8"/>
    <w:rsid w:val="005C2FE7"/>
    <w:rsid w:val="005C32AB"/>
    <w:rsid w:val="005C32E1"/>
    <w:rsid w:val="005C3319"/>
    <w:rsid w:val="005C353D"/>
    <w:rsid w:val="005C36EE"/>
    <w:rsid w:val="005C371A"/>
    <w:rsid w:val="005C3913"/>
    <w:rsid w:val="005C3ACD"/>
    <w:rsid w:val="005C3AFA"/>
    <w:rsid w:val="005C3C00"/>
    <w:rsid w:val="005C3C73"/>
    <w:rsid w:val="005C3D61"/>
    <w:rsid w:val="005C3F7B"/>
    <w:rsid w:val="005C4187"/>
    <w:rsid w:val="005C423A"/>
    <w:rsid w:val="005C42F2"/>
    <w:rsid w:val="005C4432"/>
    <w:rsid w:val="005C45FD"/>
    <w:rsid w:val="005C4717"/>
    <w:rsid w:val="005C490F"/>
    <w:rsid w:val="005C492E"/>
    <w:rsid w:val="005C4966"/>
    <w:rsid w:val="005C4C7D"/>
    <w:rsid w:val="005C4F98"/>
    <w:rsid w:val="005C5146"/>
    <w:rsid w:val="005C54D8"/>
    <w:rsid w:val="005C54E9"/>
    <w:rsid w:val="005C555F"/>
    <w:rsid w:val="005C5860"/>
    <w:rsid w:val="005C5B02"/>
    <w:rsid w:val="005C5CDF"/>
    <w:rsid w:val="005C5D86"/>
    <w:rsid w:val="005C5DBA"/>
    <w:rsid w:val="005C6285"/>
    <w:rsid w:val="005C6376"/>
    <w:rsid w:val="005C65B6"/>
    <w:rsid w:val="005C6615"/>
    <w:rsid w:val="005C6743"/>
    <w:rsid w:val="005C679C"/>
    <w:rsid w:val="005C67DF"/>
    <w:rsid w:val="005C680B"/>
    <w:rsid w:val="005C68CE"/>
    <w:rsid w:val="005C6DB1"/>
    <w:rsid w:val="005C6F92"/>
    <w:rsid w:val="005C7028"/>
    <w:rsid w:val="005C70FB"/>
    <w:rsid w:val="005C7215"/>
    <w:rsid w:val="005C73C4"/>
    <w:rsid w:val="005C73EA"/>
    <w:rsid w:val="005C7466"/>
    <w:rsid w:val="005C7543"/>
    <w:rsid w:val="005C75F2"/>
    <w:rsid w:val="005C7618"/>
    <w:rsid w:val="005C7A72"/>
    <w:rsid w:val="005C7C49"/>
    <w:rsid w:val="005C7D01"/>
    <w:rsid w:val="005C7D5B"/>
    <w:rsid w:val="005C7DDA"/>
    <w:rsid w:val="005D002D"/>
    <w:rsid w:val="005D00EA"/>
    <w:rsid w:val="005D023B"/>
    <w:rsid w:val="005D0243"/>
    <w:rsid w:val="005D03F6"/>
    <w:rsid w:val="005D0515"/>
    <w:rsid w:val="005D056F"/>
    <w:rsid w:val="005D05EA"/>
    <w:rsid w:val="005D0638"/>
    <w:rsid w:val="005D0761"/>
    <w:rsid w:val="005D0987"/>
    <w:rsid w:val="005D0A14"/>
    <w:rsid w:val="005D0A3C"/>
    <w:rsid w:val="005D0A41"/>
    <w:rsid w:val="005D0ACD"/>
    <w:rsid w:val="005D0C5B"/>
    <w:rsid w:val="005D0CCC"/>
    <w:rsid w:val="005D0CD1"/>
    <w:rsid w:val="005D0F67"/>
    <w:rsid w:val="005D13C8"/>
    <w:rsid w:val="005D17DB"/>
    <w:rsid w:val="005D18F8"/>
    <w:rsid w:val="005D1A1F"/>
    <w:rsid w:val="005D1D5E"/>
    <w:rsid w:val="005D1EBE"/>
    <w:rsid w:val="005D213B"/>
    <w:rsid w:val="005D223F"/>
    <w:rsid w:val="005D2304"/>
    <w:rsid w:val="005D2335"/>
    <w:rsid w:val="005D24D1"/>
    <w:rsid w:val="005D2671"/>
    <w:rsid w:val="005D26A2"/>
    <w:rsid w:val="005D2A91"/>
    <w:rsid w:val="005D2AEF"/>
    <w:rsid w:val="005D2BA8"/>
    <w:rsid w:val="005D2BD5"/>
    <w:rsid w:val="005D2CEE"/>
    <w:rsid w:val="005D30B1"/>
    <w:rsid w:val="005D3108"/>
    <w:rsid w:val="005D319F"/>
    <w:rsid w:val="005D31FC"/>
    <w:rsid w:val="005D3257"/>
    <w:rsid w:val="005D34C2"/>
    <w:rsid w:val="005D371E"/>
    <w:rsid w:val="005D383F"/>
    <w:rsid w:val="005D3906"/>
    <w:rsid w:val="005D39FC"/>
    <w:rsid w:val="005D3A04"/>
    <w:rsid w:val="005D3AB4"/>
    <w:rsid w:val="005D3D44"/>
    <w:rsid w:val="005D3E5A"/>
    <w:rsid w:val="005D415F"/>
    <w:rsid w:val="005D434D"/>
    <w:rsid w:val="005D469B"/>
    <w:rsid w:val="005D487D"/>
    <w:rsid w:val="005D48F9"/>
    <w:rsid w:val="005D48FE"/>
    <w:rsid w:val="005D49F4"/>
    <w:rsid w:val="005D4AD8"/>
    <w:rsid w:val="005D4AE5"/>
    <w:rsid w:val="005D4EFB"/>
    <w:rsid w:val="005D50BC"/>
    <w:rsid w:val="005D5162"/>
    <w:rsid w:val="005D53E7"/>
    <w:rsid w:val="005D55EC"/>
    <w:rsid w:val="005D5755"/>
    <w:rsid w:val="005D590A"/>
    <w:rsid w:val="005D5A29"/>
    <w:rsid w:val="005D5A2F"/>
    <w:rsid w:val="005D5A84"/>
    <w:rsid w:val="005D5A9F"/>
    <w:rsid w:val="005D5BEC"/>
    <w:rsid w:val="005D5C8A"/>
    <w:rsid w:val="005D5CC0"/>
    <w:rsid w:val="005D5CF2"/>
    <w:rsid w:val="005D5D42"/>
    <w:rsid w:val="005D5DAD"/>
    <w:rsid w:val="005D5F1A"/>
    <w:rsid w:val="005D6119"/>
    <w:rsid w:val="005D63FE"/>
    <w:rsid w:val="005D6861"/>
    <w:rsid w:val="005D696E"/>
    <w:rsid w:val="005D6B12"/>
    <w:rsid w:val="005D6C0B"/>
    <w:rsid w:val="005D6CA4"/>
    <w:rsid w:val="005D6CC0"/>
    <w:rsid w:val="005D6DA9"/>
    <w:rsid w:val="005D6EAB"/>
    <w:rsid w:val="005D7024"/>
    <w:rsid w:val="005D7471"/>
    <w:rsid w:val="005D749D"/>
    <w:rsid w:val="005D7545"/>
    <w:rsid w:val="005D75AF"/>
    <w:rsid w:val="005D7806"/>
    <w:rsid w:val="005D7981"/>
    <w:rsid w:val="005E0067"/>
    <w:rsid w:val="005E00CF"/>
    <w:rsid w:val="005E0228"/>
    <w:rsid w:val="005E02C2"/>
    <w:rsid w:val="005E0576"/>
    <w:rsid w:val="005E07B9"/>
    <w:rsid w:val="005E07EB"/>
    <w:rsid w:val="005E0A2F"/>
    <w:rsid w:val="005E0A50"/>
    <w:rsid w:val="005E1157"/>
    <w:rsid w:val="005E122E"/>
    <w:rsid w:val="005E1269"/>
    <w:rsid w:val="005E1280"/>
    <w:rsid w:val="005E12D8"/>
    <w:rsid w:val="005E1376"/>
    <w:rsid w:val="005E14CA"/>
    <w:rsid w:val="005E165C"/>
    <w:rsid w:val="005E1777"/>
    <w:rsid w:val="005E1810"/>
    <w:rsid w:val="005E181E"/>
    <w:rsid w:val="005E1C3A"/>
    <w:rsid w:val="005E1CAE"/>
    <w:rsid w:val="005E1D1D"/>
    <w:rsid w:val="005E1EBE"/>
    <w:rsid w:val="005E1FA7"/>
    <w:rsid w:val="005E2141"/>
    <w:rsid w:val="005E2337"/>
    <w:rsid w:val="005E2451"/>
    <w:rsid w:val="005E25D7"/>
    <w:rsid w:val="005E2694"/>
    <w:rsid w:val="005E2702"/>
    <w:rsid w:val="005E27BB"/>
    <w:rsid w:val="005E290F"/>
    <w:rsid w:val="005E2E28"/>
    <w:rsid w:val="005E2E35"/>
    <w:rsid w:val="005E30F7"/>
    <w:rsid w:val="005E3125"/>
    <w:rsid w:val="005E318A"/>
    <w:rsid w:val="005E340B"/>
    <w:rsid w:val="005E3415"/>
    <w:rsid w:val="005E3509"/>
    <w:rsid w:val="005E379F"/>
    <w:rsid w:val="005E3832"/>
    <w:rsid w:val="005E3975"/>
    <w:rsid w:val="005E3AC1"/>
    <w:rsid w:val="005E3B4F"/>
    <w:rsid w:val="005E3B59"/>
    <w:rsid w:val="005E3B6A"/>
    <w:rsid w:val="005E3BF6"/>
    <w:rsid w:val="005E3C8C"/>
    <w:rsid w:val="005E3E2E"/>
    <w:rsid w:val="005E3ED7"/>
    <w:rsid w:val="005E3FBA"/>
    <w:rsid w:val="005E410A"/>
    <w:rsid w:val="005E43AF"/>
    <w:rsid w:val="005E4530"/>
    <w:rsid w:val="005E4863"/>
    <w:rsid w:val="005E49DB"/>
    <w:rsid w:val="005E4A2E"/>
    <w:rsid w:val="005E4A65"/>
    <w:rsid w:val="005E4C2D"/>
    <w:rsid w:val="005E4D01"/>
    <w:rsid w:val="005E4EA8"/>
    <w:rsid w:val="005E4FB8"/>
    <w:rsid w:val="005E5035"/>
    <w:rsid w:val="005E50BC"/>
    <w:rsid w:val="005E53F4"/>
    <w:rsid w:val="005E54BC"/>
    <w:rsid w:val="005E5738"/>
    <w:rsid w:val="005E5874"/>
    <w:rsid w:val="005E59B3"/>
    <w:rsid w:val="005E5A50"/>
    <w:rsid w:val="005E5BDC"/>
    <w:rsid w:val="005E5C56"/>
    <w:rsid w:val="005E5CDE"/>
    <w:rsid w:val="005E5DAF"/>
    <w:rsid w:val="005E611C"/>
    <w:rsid w:val="005E6140"/>
    <w:rsid w:val="005E6218"/>
    <w:rsid w:val="005E641C"/>
    <w:rsid w:val="005E64AE"/>
    <w:rsid w:val="005E650A"/>
    <w:rsid w:val="005E6518"/>
    <w:rsid w:val="005E654E"/>
    <w:rsid w:val="005E66DA"/>
    <w:rsid w:val="005E66E6"/>
    <w:rsid w:val="005E6849"/>
    <w:rsid w:val="005E69E7"/>
    <w:rsid w:val="005E6CDA"/>
    <w:rsid w:val="005E6EB5"/>
    <w:rsid w:val="005E70A6"/>
    <w:rsid w:val="005E74C6"/>
    <w:rsid w:val="005E74FF"/>
    <w:rsid w:val="005E75D5"/>
    <w:rsid w:val="005E76A5"/>
    <w:rsid w:val="005E77E0"/>
    <w:rsid w:val="005E786A"/>
    <w:rsid w:val="005E7F4F"/>
    <w:rsid w:val="005F0205"/>
    <w:rsid w:val="005F04EA"/>
    <w:rsid w:val="005F0571"/>
    <w:rsid w:val="005F07A3"/>
    <w:rsid w:val="005F083C"/>
    <w:rsid w:val="005F0938"/>
    <w:rsid w:val="005F0A24"/>
    <w:rsid w:val="005F0D0D"/>
    <w:rsid w:val="005F0D73"/>
    <w:rsid w:val="005F0F50"/>
    <w:rsid w:val="005F1146"/>
    <w:rsid w:val="005F115B"/>
    <w:rsid w:val="005F1232"/>
    <w:rsid w:val="005F13AD"/>
    <w:rsid w:val="005F13CE"/>
    <w:rsid w:val="005F150E"/>
    <w:rsid w:val="005F1555"/>
    <w:rsid w:val="005F15CB"/>
    <w:rsid w:val="005F1767"/>
    <w:rsid w:val="005F1818"/>
    <w:rsid w:val="005F191E"/>
    <w:rsid w:val="005F1B50"/>
    <w:rsid w:val="005F1CD7"/>
    <w:rsid w:val="005F1D16"/>
    <w:rsid w:val="005F1DC7"/>
    <w:rsid w:val="005F1E1B"/>
    <w:rsid w:val="005F1E76"/>
    <w:rsid w:val="005F202B"/>
    <w:rsid w:val="005F2105"/>
    <w:rsid w:val="005F21DA"/>
    <w:rsid w:val="005F2490"/>
    <w:rsid w:val="005F27E5"/>
    <w:rsid w:val="005F2973"/>
    <w:rsid w:val="005F2978"/>
    <w:rsid w:val="005F2CC5"/>
    <w:rsid w:val="005F2DF3"/>
    <w:rsid w:val="005F3217"/>
    <w:rsid w:val="005F324F"/>
    <w:rsid w:val="005F32E9"/>
    <w:rsid w:val="005F3514"/>
    <w:rsid w:val="005F36F8"/>
    <w:rsid w:val="005F377C"/>
    <w:rsid w:val="005F3855"/>
    <w:rsid w:val="005F3BC5"/>
    <w:rsid w:val="005F3C1C"/>
    <w:rsid w:val="005F3CC9"/>
    <w:rsid w:val="005F3D48"/>
    <w:rsid w:val="005F40BD"/>
    <w:rsid w:val="005F4298"/>
    <w:rsid w:val="005F42A0"/>
    <w:rsid w:val="005F4418"/>
    <w:rsid w:val="005F470A"/>
    <w:rsid w:val="005F4721"/>
    <w:rsid w:val="005F4A76"/>
    <w:rsid w:val="005F4C47"/>
    <w:rsid w:val="005F4D73"/>
    <w:rsid w:val="005F4EF8"/>
    <w:rsid w:val="005F5141"/>
    <w:rsid w:val="005F526C"/>
    <w:rsid w:val="005F52B7"/>
    <w:rsid w:val="005F53DC"/>
    <w:rsid w:val="005F558D"/>
    <w:rsid w:val="005F5705"/>
    <w:rsid w:val="005F59D8"/>
    <w:rsid w:val="005F5D00"/>
    <w:rsid w:val="005F5D3F"/>
    <w:rsid w:val="005F6004"/>
    <w:rsid w:val="005F60AA"/>
    <w:rsid w:val="005F61F8"/>
    <w:rsid w:val="005F626C"/>
    <w:rsid w:val="005F6719"/>
    <w:rsid w:val="005F6798"/>
    <w:rsid w:val="005F6847"/>
    <w:rsid w:val="005F6886"/>
    <w:rsid w:val="005F68A7"/>
    <w:rsid w:val="005F6928"/>
    <w:rsid w:val="005F695D"/>
    <w:rsid w:val="005F69E7"/>
    <w:rsid w:val="005F6AFC"/>
    <w:rsid w:val="005F6CAD"/>
    <w:rsid w:val="005F6E1C"/>
    <w:rsid w:val="005F70A5"/>
    <w:rsid w:val="005F70C7"/>
    <w:rsid w:val="005F7153"/>
    <w:rsid w:val="005F720A"/>
    <w:rsid w:val="005F737B"/>
    <w:rsid w:val="005F7789"/>
    <w:rsid w:val="005F7A30"/>
    <w:rsid w:val="00600046"/>
    <w:rsid w:val="006002E2"/>
    <w:rsid w:val="00600562"/>
    <w:rsid w:val="00600848"/>
    <w:rsid w:val="006008AB"/>
    <w:rsid w:val="00600B92"/>
    <w:rsid w:val="00600C34"/>
    <w:rsid w:val="00600D45"/>
    <w:rsid w:val="00600EFE"/>
    <w:rsid w:val="00600F21"/>
    <w:rsid w:val="00601159"/>
    <w:rsid w:val="00601261"/>
    <w:rsid w:val="006013FA"/>
    <w:rsid w:val="00601593"/>
    <w:rsid w:val="0060174C"/>
    <w:rsid w:val="00601AF0"/>
    <w:rsid w:val="00601D16"/>
    <w:rsid w:val="00601D33"/>
    <w:rsid w:val="00601DD1"/>
    <w:rsid w:val="006020B3"/>
    <w:rsid w:val="006020CF"/>
    <w:rsid w:val="0060242C"/>
    <w:rsid w:val="006025CE"/>
    <w:rsid w:val="00602626"/>
    <w:rsid w:val="00602871"/>
    <w:rsid w:val="0060298C"/>
    <w:rsid w:val="006029B7"/>
    <w:rsid w:val="00602BB6"/>
    <w:rsid w:val="00602C6C"/>
    <w:rsid w:val="00602D7E"/>
    <w:rsid w:val="00602F40"/>
    <w:rsid w:val="00602F43"/>
    <w:rsid w:val="00602FB7"/>
    <w:rsid w:val="0060307C"/>
    <w:rsid w:val="006031D5"/>
    <w:rsid w:val="0060331F"/>
    <w:rsid w:val="006034B1"/>
    <w:rsid w:val="006035A7"/>
    <w:rsid w:val="0060381F"/>
    <w:rsid w:val="00603B08"/>
    <w:rsid w:val="00603C43"/>
    <w:rsid w:val="00603E54"/>
    <w:rsid w:val="00604134"/>
    <w:rsid w:val="00604427"/>
    <w:rsid w:val="006044FD"/>
    <w:rsid w:val="006045E2"/>
    <w:rsid w:val="0060464B"/>
    <w:rsid w:val="0060474A"/>
    <w:rsid w:val="006048C7"/>
    <w:rsid w:val="006048E6"/>
    <w:rsid w:val="00604AD6"/>
    <w:rsid w:val="00604AE3"/>
    <w:rsid w:val="00604B1C"/>
    <w:rsid w:val="00604C54"/>
    <w:rsid w:val="00604E3D"/>
    <w:rsid w:val="006050E2"/>
    <w:rsid w:val="006051EE"/>
    <w:rsid w:val="00605204"/>
    <w:rsid w:val="00605242"/>
    <w:rsid w:val="006052DD"/>
    <w:rsid w:val="006053CF"/>
    <w:rsid w:val="006054D0"/>
    <w:rsid w:val="00605590"/>
    <w:rsid w:val="006055CF"/>
    <w:rsid w:val="00605737"/>
    <w:rsid w:val="00605776"/>
    <w:rsid w:val="006057FC"/>
    <w:rsid w:val="006058AA"/>
    <w:rsid w:val="006058F2"/>
    <w:rsid w:val="0060593F"/>
    <w:rsid w:val="00605A66"/>
    <w:rsid w:val="00605B5F"/>
    <w:rsid w:val="00605BFE"/>
    <w:rsid w:val="00605E8A"/>
    <w:rsid w:val="00606104"/>
    <w:rsid w:val="0060617E"/>
    <w:rsid w:val="0060624C"/>
    <w:rsid w:val="00606581"/>
    <w:rsid w:val="0060672A"/>
    <w:rsid w:val="00606DB0"/>
    <w:rsid w:val="00606ECB"/>
    <w:rsid w:val="00606FC9"/>
    <w:rsid w:val="006070AC"/>
    <w:rsid w:val="00607107"/>
    <w:rsid w:val="00607188"/>
    <w:rsid w:val="00607227"/>
    <w:rsid w:val="006072CF"/>
    <w:rsid w:val="0060740A"/>
    <w:rsid w:val="006074A3"/>
    <w:rsid w:val="00607559"/>
    <w:rsid w:val="006075E5"/>
    <w:rsid w:val="00607877"/>
    <w:rsid w:val="00607B7F"/>
    <w:rsid w:val="00607CF4"/>
    <w:rsid w:val="00607FE4"/>
    <w:rsid w:val="00610162"/>
    <w:rsid w:val="006101AB"/>
    <w:rsid w:val="00610283"/>
    <w:rsid w:val="006102B0"/>
    <w:rsid w:val="006103D3"/>
    <w:rsid w:val="00610471"/>
    <w:rsid w:val="006104E0"/>
    <w:rsid w:val="006108DF"/>
    <w:rsid w:val="00610AB2"/>
    <w:rsid w:val="00610ABA"/>
    <w:rsid w:val="00610B21"/>
    <w:rsid w:val="00610B38"/>
    <w:rsid w:val="00610C3B"/>
    <w:rsid w:val="00610D8C"/>
    <w:rsid w:val="00610DCF"/>
    <w:rsid w:val="00610FEB"/>
    <w:rsid w:val="006111B0"/>
    <w:rsid w:val="006112A6"/>
    <w:rsid w:val="006113AE"/>
    <w:rsid w:val="00611563"/>
    <w:rsid w:val="00611647"/>
    <w:rsid w:val="0061192B"/>
    <w:rsid w:val="006119BF"/>
    <w:rsid w:val="00611B27"/>
    <w:rsid w:val="00611BEF"/>
    <w:rsid w:val="00611D0F"/>
    <w:rsid w:val="00611D69"/>
    <w:rsid w:val="00611E2B"/>
    <w:rsid w:val="00611E65"/>
    <w:rsid w:val="00611FC1"/>
    <w:rsid w:val="0061200C"/>
    <w:rsid w:val="00612187"/>
    <w:rsid w:val="0061236A"/>
    <w:rsid w:val="006123BC"/>
    <w:rsid w:val="006123E0"/>
    <w:rsid w:val="00612401"/>
    <w:rsid w:val="0061253B"/>
    <w:rsid w:val="00612592"/>
    <w:rsid w:val="00612690"/>
    <w:rsid w:val="006126A2"/>
    <w:rsid w:val="0061278B"/>
    <w:rsid w:val="0061287D"/>
    <w:rsid w:val="00612BBA"/>
    <w:rsid w:val="00612C9F"/>
    <w:rsid w:val="00612D32"/>
    <w:rsid w:val="00612E94"/>
    <w:rsid w:val="00612F1B"/>
    <w:rsid w:val="00612F2A"/>
    <w:rsid w:val="00612FB4"/>
    <w:rsid w:val="00612FBA"/>
    <w:rsid w:val="00613037"/>
    <w:rsid w:val="00613049"/>
    <w:rsid w:val="00613155"/>
    <w:rsid w:val="00613382"/>
    <w:rsid w:val="006133EE"/>
    <w:rsid w:val="0061344C"/>
    <w:rsid w:val="0061346D"/>
    <w:rsid w:val="006135AB"/>
    <w:rsid w:val="00613670"/>
    <w:rsid w:val="0061368D"/>
    <w:rsid w:val="00613834"/>
    <w:rsid w:val="006138E4"/>
    <w:rsid w:val="00613998"/>
    <w:rsid w:val="006139E7"/>
    <w:rsid w:val="00613E31"/>
    <w:rsid w:val="00613E5A"/>
    <w:rsid w:val="00613FB2"/>
    <w:rsid w:val="00614103"/>
    <w:rsid w:val="006143F5"/>
    <w:rsid w:val="00614443"/>
    <w:rsid w:val="006144F6"/>
    <w:rsid w:val="006148CF"/>
    <w:rsid w:val="006149DF"/>
    <w:rsid w:val="006149F1"/>
    <w:rsid w:val="00614A29"/>
    <w:rsid w:val="00614AB6"/>
    <w:rsid w:val="00614B02"/>
    <w:rsid w:val="00614B04"/>
    <w:rsid w:val="00614B75"/>
    <w:rsid w:val="00614C62"/>
    <w:rsid w:val="00614CCC"/>
    <w:rsid w:val="00614D15"/>
    <w:rsid w:val="00614E0C"/>
    <w:rsid w:val="00615027"/>
    <w:rsid w:val="00615267"/>
    <w:rsid w:val="006152D8"/>
    <w:rsid w:val="006158B1"/>
    <w:rsid w:val="006159EB"/>
    <w:rsid w:val="00615B4E"/>
    <w:rsid w:val="00615B80"/>
    <w:rsid w:val="00615C9B"/>
    <w:rsid w:val="00615DF3"/>
    <w:rsid w:val="00615FDE"/>
    <w:rsid w:val="00616139"/>
    <w:rsid w:val="006162C4"/>
    <w:rsid w:val="0061638C"/>
    <w:rsid w:val="00616407"/>
    <w:rsid w:val="006168AF"/>
    <w:rsid w:val="00616988"/>
    <w:rsid w:val="00616994"/>
    <w:rsid w:val="00616B38"/>
    <w:rsid w:val="00616B60"/>
    <w:rsid w:val="00616F6B"/>
    <w:rsid w:val="00617358"/>
    <w:rsid w:val="0061756A"/>
    <w:rsid w:val="00617658"/>
    <w:rsid w:val="006177A2"/>
    <w:rsid w:val="0061794D"/>
    <w:rsid w:val="00617C7D"/>
    <w:rsid w:val="00617D3E"/>
    <w:rsid w:val="00617ED2"/>
    <w:rsid w:val="00617F2B"/>
    <w:rsid w:val="00617F50"/>
    <w:rsid w:val="006200F6"/>
    <w:rsid w:val="006201B2"/>
    <w:rsid w:val="00620971"/>
    <w:rsid w:val="00620A25"/>
    <w:rsid w:val="00620CC8"/>
    <w:rsid w:val="00620D07"/>
    <w:rsid w:val="00620DAB"/>
    <w:rsid w:val="00620DBC"/>
    <w:rsid w:val="00620E5A"/>
    <w:rsid w:val="00620F90"/>
    <w:rsid w:val="00621189"/>
    <w:rsid w:val="00621623"/>
    <w:rsid w:val="00621831"/>
    <w:rsid w:val="0062189E"/>
    <w:rsid w:val="0062198F"/>
    <w:rsid w:val="00621CD6"/>
    <w:rsid w:val="006221EA"/>
    <w:rsid w:val="00622214"/>
    <w:rsid w:val="00622217"/>
    <w:rsid w:val="0062247E"/>
    <w:rsid w:val="00622599"/>
    <w:rsid w:val="006225E8"/>
    <w:rsid w:val="006226C3"/>
    <w:rsid w:val="006227BF"/>
    <w:rsid w:val="00622B0D"/>
    <w:rsid w:val="00622DDC"/>
    <w:rsid w:val="00622EC6"/>
    <w:rsid w:val="00623044"/>
    <w:rsid w:val="00623095"/>
    <w:rsid w:val="006230AF"/>
    <w:rsid w:val="00623205"/>
    <w:rsid w:val="00623237"/>
    <w:rsid w:val="006232F9"/>
    <w:rsid w:val="0062331B"/>
    <w:rsid w:val="00623414"/>
    <w:rsid w:val="006234AA"/>
    <w:rsid w:val="006236E9"/>
    <w:rsid w:val="00623974"/>
    <w:rsid w:val="006239C3"/>
    <w:rsid w:val="006239FF"/>
    <w:rsid w:val="00623A9A"/>
    <w:rsid w:val="00623B8A"/>
    <w:rsid w:val="00623BB3"/>
    <w:rsid w:val="00623BC6"/>
    <w:rsid w:val="00623BEC"/>
    <w:rsid w:val="00623C59"/>
    <w:rsid w:val="00623D6D"/>
    <w:rsid w:val="00623DEC"/>
    <w:rsid w:val="006240EB"/>
    <w:rsid w:val="00624232"/>
    <w:rsid w:val="0062430C"/>
    <w:rsid w:val="006248B6"/>
    <w:rsid w:val="00624B48"/>
    <w:rsid w:val="00624BE6"/>
    <w:rsid w:val="00624C61"/>
    <w:rsid w:val="00625018"/>
    <w:rsid w:val="00625086"/>
    <w:rsid w:val="006250E9"/>
    <w:rsid w:val="006251CC"/>
    <w:rsid w:val="00625228"/>
    <w:rsid w:val="006252BD"/>
    <w:rsid w:val="006252F9"/>
    <w:rsid w:val="0062534A"/>
    <w:rsid w:val="00625886"/>
    <w:rsid w:val="00625F59"/>
    <w:rsid w:val="006261C4"/>
    <w:rsid w:val="006263E4"/>
    <w:rsid w:val="00626439"/>
    <w:rsid w:val="00626845"/>
    <w:rsid w:val="0062689F"/>
    <w:rsid w:val="006268A5"/>
    <w:rsid w:val="006268C9"/>
    <w:rsid w:val="00626AE5"/>
    <w:rsid w:val="00626D1A"/>
    <w:rsid w:val="00626FC6"/>
    <w:rsid w:val="006270F3"/>
    <w:rsid w:val="00627134"/>
    <w:rsid w:val="0062714C"/>
    <w:rsid w:val="00627248"/>
    <w:rsid w:val="00627459"/>
    <w:rsid w:val="00627583"/>
    <w:rsid w:val="0062762F"/>
    <w:rsid w:val="006276FA"/>
    <w:rsid w:val="00627818"/>
    <w:rsid w:val="00627867"/>
    <w:rsid w:val="006278D3"/>
    <w:rsid w:val="006279B7"/>
    <w:rsid w:val="00627B15"/>
    <w:rsid w:val="00627B17"/>
    <w:rsid w:val="006300D9"/>
    <w:rsid w:val="00630113"/>
    <w:rsid w:val="00630132"/>
    <w:rsid w:val="0063034F"/>
    <w:rsid w:val="0063035F"/>
    <w:rsid w:val="00630527"/>
    <w:rsid w:val="00630569"/>
    <w:rsid w:val="0063076B"/>
    <w:rsid w:val="00630A04"/>
    <w:rsid w:val="00630B6E"/>
    <w:rsid w:val="00630C4E"/>
    <w:rsid w:val="00630E2B"/>
    <w:rsid w:val="00630F99"/>
    <w:rsid w:val="006312A8"/>
    <w:rsid w:val="00631366"/>
    <w:rsid w:val="00631392"/>
    <w:rsid w:val="00631477"/>
    <w:rsid w:val="0063157B"/>
    <w:rsid w:val="006315F4"/>
    <w:rsid w:val="00631904"/>
    <w:rsid w:val="00631999"/>
    <w:rsid w:val="006319F9"/>
    <w:rsid w:val="00631B33"/>
    <w:rsid w:val="00631CB4"/>
    <w:rsid w:val="00631D53"/>
    <w:rsid w:val="00631E19"/>
    <w:rsid w:val="00631E49"/>
    <w:rsid w:val="00631ECB"/>
    <w:rsid w:val="006320EF"/>
    <w:rsid w:val="006323DE"/>
    <w:rsid w:val="006323E7"/>
    <w:rsid w:val="0063242A"/>
    <w:rsid w:val="006325F4"/>
    <w:rsid w:val="00632722"/>
    <w:rsid w:val="0063281E"/>
    <w:rsid w:val="00632BD1"/>
    <w:rsid w:val="00632D14"/>
    <w:rsid w:val="0063337B"/>
    <w:rsid w:val="00633548"/>
    <w:rsid w:val="00633568"/>
    <w:rsid w:val="0063359F"/>
    <w:rsid w:val="006335A9"/>
    <w:rsid w:val="0063368F"/>
    <w:rsid w:val="0063373D"/>
    <w:rsid w:val="00633B2F"/>
    <w:rsid w:val="00633B72"/>
    <w:rsid w:val="00633BB7"/>
    <w:rsid w:val="00633DA0"/>
    <w:rsid w:val="00633DD1"/>
    <w:rsid w:val="00633E74"/>
    <w:rsid w:val="006340F1"/>
    <w:rsid w:val="00634322"/>
    <w:rsid w:val="006343B2"/>
    <w:rsid w:val="0063478E"/>
    <w:rsid w:val="00634B3D"/>
    <w:rsid w:val="00634B3F"/>
    <w:rsid w:val="00634CD2"/>
    <w:rsid w:val="00634DBE"/>
    <w:rsid w:val="00634E3B"/>
    <w:rsid w:val="00634ED0"/>
    <w:rsid w:val="006357BF"/>
    <w:rsid w:val="00635984"/>
    <w:rsid w:val="00635B43"/>
    <w:rsid w:val="00635BC3"/>
    <w:rsid w:val="00635FE8"/>
    <w:rsid w:val="006360BC"/>
    <w:rsid w:val="006360C7"/>
    <w:rsid w:val="006363C7"/>
    <w:rsid w:val="00636424"/>
    <w:rsid w:val="006365BF"/>
    <w:rsid w:val="006365D6"/>
    <w:rsid w:val="006365FB"/>
    <w:rsid w:val="0063662E"/>
    <w:rsid w:val="00636769"/>
    <w:rsid w:val="00636814"/>
    <w:rsid w:val="00636818"/>
    <w:rsid w:val="00636A1B"/>
    <w:rsid w:val="00636D38"/>
    <w:rsid w:val="00636D47"/>
    <w:rsid w:val="00636FE9"/>
    <w:rsid w:val="0063701C"/>
    <w:rsid w:val="00637251"/>
    <w:rsid w:val="0063739A"/>
    <w:rsid w:val="0063750E"/>
    <w:rsid w:val="0063757B"/>
    <w:rsid w:val="006375A9"/>
    <w:rsid w:val="00637880"/>
    <w:rsid w:val="0063795D"/>
    <w:rsid w:val="006379C9"/>
    <w:rsid w:val="00637CF6"/>
    <w:rsid w:val="006400FD"/>
    <w:rsid w:val="00640337"/>
    <w:rsid w:val="00640493"/>
    <w:rsid w:val="0064085C"/>
    <w:rsid w:val="006408A8"/>
    <w:rsid w:val="006408AB"/>
    <w:rsid w:val="00640973"/>
    <w:rsid w:val="00640A7E"/>
    <w:rsid w:val="00640A94"/>
    <w:rsid w:val="00640C31"/>
    <w:rsid w:val="00640DAB"/>
    <w:rsid w:val="006411A8"/>
    <w:rsid w:val="00641298"/>
    <w:rsid w:val="006412A0"/>
    <w:rsid w:val="00641312"/>
    <w:rsid w:val="00641397"/>
    <w:rsid w:val="00641715"/>
    <w:rsid w:val="00641778"/>
    <w:rsid w:val="006417A9"/>
    <w:rsid w:val="006419B3"/>
    <w:rsid w:val="006419DA"/>
    <w:rsid w:val="006419DB"/>
    <w:rsid w:val="006420E7"/>
    <w:rsid w:val="006421A5"/>
    <w:rsid w:val="00642373"/>
    <w:rsid w:val="0064238C"/>
    <w:rsid w:val="006425C5"/>
    <w:rsid w:val="006425C9"/>
    <w:rsid w:val="006426CD"/>
    <w:rsid w:val="006427BA"/>
    <w:rsid w:val="006427C7"/>
    <w:rsid w:val="006427CA"/>
    <w:rsid w:val="00642A73"/>
    <w:rsid w:val="00642A97"/>
    <w:rsid w:val="00642B44"/>
    <w:rsid w:val="00642C5C"/>
    <w:rsid w:val="00642F25"/>
    <w:rsid w:val="0064303F"/>
    <w:rsid w:val="00643226"/>
    <w:rsid w:val="00643710"/>
    <w:rsid w:val="006439BB"/>
    <w:rsid w:val="00643A08"/>
    <w:rsid w:val="00643B8B"/>
    <w:rsid w:val="00643BF7"/>
    <w:rsid w:val="00644249"/>
    <w:rsid w:val="006443E3"/>
    <w:rsid w:val="006444D6"/>
    <w:rsid w:val="00644559"/>
    <w:rsid w:val="006447AC"/>
    <w:rsid w:val="00644A03"/>
    <w:rsid w:val="00644AC2"/>
    <w:rsid w:val="00644C73"/>
    <w:rsid w:val="00644E15"/>
    <w:rsid w:val="006450F2"/>
    <w:rsid w:val="00645290"/>
    <w:rsid w:val="00645328"/>
    <w:rsid w:val="0064545F"/>
    <w:rsid w:val="006454C3"/>
    <w:rsid w:val="006454DF"/>
    <w:rsid w:val="0064568B"/>
    <w:rsid w:val="006456B6"/>
    <w:rsid w:val="00645770"/>
    <w:rsid w:val="00645989"/>
    <w:rsid w:val="006459EF"/>
    <w:rsid w:val="00645B7B"/>
    <w:rsid w:val="00645D57"/>
    <w:rsid w:val="00645E93"/>
    <w:rsid w:val="00645EC7"/>
    <w:rsid w:val="00645EEB"/>
    <w:rsid w:val="00645F34"/>
    <w:rsid w:val="00645F89"/>
    <w:rsid w:val="00645F9F"/>
    <w:rsid w:val="00645FC6"/>
    <w:rsid w:val="00646044"/>
    <w:rsid w:val="00646191"/>
    <w:rsid w:val="006461FB"/>
    <w:rsid w:val="00646207"/>
    <w:rsid w:val="006464DE"/>
    <w:rsid w:val="00646538"/>
    <w:rsid w:val="0064656D"/>
    <w:rsid w:val="006465F3"/>
    <w:rsid w:val="0064673E"/>
    <w:rsid w:val="00646830"/>
    <w:rsid w:val="00646A31"/>
    <w:rsid w:val="00646F65"/>
    <w:rsid w:val="0064700B"/>
    <w:rsid w:val="0064707A"/>
    <w:rsid w:val="0064710E"/>
    <w:rsid w:val="006471BB"/>
    <w:rsid w:val="0064722B"/>
    <w:rsid w:val="006474B0"/>
    <w:rsid w:val="00647599"/>
    <w:rsid w:val="0064766B"/>
    <w:rsid w:val="00647775"/>
    <w:rsid w:val="0064780C"/>
    <w:rsid w:val="0064785F"/>
    <w:rsid w:val="00647A3C"/>
    <w:rsid w:val="00647A89"/>
    <w:rsid w:val="00647B14"/>
    <w:rsid w:val="00647D71"/>
    <w:rsid w:val="00647D85"/>
    <w:rsid w:val="00647E0E"/>
    <w:rsid w:val="00647F96"/>
    <w:rsid w:val="00647FCC"/>
    <w:rsid w:val="00650160"/>
    <w:rsid w:val="0065019E"/>
    <w:rsid w:val="00650208"/>
    <w:rsid w:val="00650278"/>
    <w:rsid w:val="0065029C"/>
    <w:rsid w:val="0065045B"/>
    <w:rsid w:val="00650664"/>
    <w:rsid w:val="00650847"/>
    <w:rsid w:val="006508A1"/>
    <w:rsid w:val="00650953"/>
    <w:rsid w:val="00650BA0"/>
    <w:rsid w:val="00650BC0"/>
    <w:rsid w:val="00651104"/>
    <w:rsid w:val="006513EB"/>
    <w:rsid w:val="00651487"/>
    <w:rsid w:val="006514AE"/>
    <w:rsid w:val="0065167D"/>
    <w:rsid w:val="006517C0"/>
    <w:rsid w:val="00651A09"/>
    <w:rsid w:val="00651A25"/>
    <w:rsid w:val="00651AAE"/>
    <w:rsid w:val="00651C41"/>
    <w:rsid w:val="00651F43"/>
    <w:rsid w:val="00651FFA"/>
    <w:rsid w:val="00652285"/>
    <w:rsid w:val="00652318"/>
    <w:rsid w:val="00652602"/>
    <w:rsid w:val="0065281C"/>
    <w:rsid w:val="0065295D"/>
    <w:rsid w:val="006529EA"/>
    <w:rsid w:val="00652B58"/>
    <w:rsid w:val="00652E55"/>
    <w:rsid w:val="00652F6C"/>
    <w:rsid w:val="006532E0"/>
    <w:rsid w:val="006534BF"/>
    <w:rsid w:val="0065356B"/>
    <w:rsid w:val="006536C2"/>
    <w:rsid w:val="006537D7"/>
    <w:rsid w:val="00653886"/>
    <w:rsid w:val="00653D82"/>
    <w:rsid w:val="00653DAA"/>
    <w:rsid w:val="00653DFA"/>
    <w:rsid w:val="00653E85"/>
    <w:rsid w:val="00653FCB"/>
    <w:rsid w:val="00653FF7"/>
    <w:rsid w:val="006540C6"/>
    <w:rsid w:val="0065444A"/>
    <w:rsid w:val="006545C1"/>
    <w:rsid w:val="006546D7"/>
    <w:rsid w:val="006546F0"/>
    <w:rsid w:val="0065480E"/>
    <w:rsid w:val="00654895"/>
    <w:rsid w:val="006549D5"/>
    <w:rsid w:val="00654AA8"/>
    <w:rsid w:val="00654D40"/>
    <w:rsid w:val="00654DCA"/>
    <w:rsid w:val="00654F68"/>
    <w:rsid w:val="00655090"/>
    <w:rsid w:val="006551E2"/>
    <w:rsid w:val="00655489"/>
    <w:rsid w:val="006554B3"/>
    <w:rsid w:val="00655588"/>
    <w:rsid w:val="00655626"/>
    <w:rsid w:val="0065563D"/>
    <w:rsid w:val="0065576E"/>
    <w:rsid w:val="0065579A"/>
    <w:rsid w:val="006558BB"/>
    <w:rsid w:val="006558DB"/>
    <w:rsid w:val="00655ACE"/>
    <w:rsid w:val="00655CF9"/>
    <w:rsid w:val="00655D45"/>
    <w:rsid w:val="00655F54"/>
    <w:rsid w:val="00656026"/>
    <w:rsid w:val="00656790"/>
    <w:rsid w:val="006568B0"/>
    <w:rsid w:val="00656A3A"/>
    <w:rsid w:val="00656C58"/>
    <w:rsid w:val="00656C99"/>
    <w:rsid w:val="00656DAB"/>
    <w:rsid w:val="00656E23"/>
    <w:rsid w:val="00656F35"/>
    <w:rsid w:val="00656F60"/>
    <w:rsid w:val="00656FA4"/>
    <w:rsid w:val="0065714C"/>
    <w:rsid w:val="0065716D"/>
    <w:rsid w:val="00657230"/>
    <w:rsid w:val="00657457"/>
    <w:rsid w:val="006577D1"/>
    <w:rsid w:val="00657888"/>
    <w:rsid w:val="00657959"/>
    <w:rsid w:val="00657976"/>
    <w:rsid w:val="006579B0"/>
    <w:rsid w:val="00657A3C"/>
    <w:rsid w:val="00657B3E"/>
    <w:rsid w:val="00657BE4"/>
    <w:rsid w:val="00657BF0"/>
    <w:rsid w:val="00657C28"/>
    <w:rsid w:val="00657C92"/>
    <w:rsid w:val="00657EE3"/>
    <w:rsid w:val="00657EE8"/>
    <w:rsid w:val="00657F8D"/>
    <w:rsid w:val="00657FEA"/>
    <w:rsid w:val="00657FF4"/>
    <w:rsid w:val="0066001E"/>
    <w:rsid w:val="0066002E"/>
    <w:rsid w:val="006602B5"/>
    <w:rsid w:val="006603C0"/>
    <w:rsid w:val="006605AC"/>
    <w:rsid w:val="0066061B"/>
    <w:rsid w:val="00660A74"/>
    <w:rsid w:val="00660CBC"/>
    <w:rsid w:val="00660D75"/>
    <w:rsid w:val="00660DA0"/>
    <w:rsid w:val="00660ED8"/>
    <w:rsid w:val="006614DC"/>
    <w:rsid w:val="00661623"/>
    <w:rsid w:val="00661628"/>
    <w:rsid w:val="006616DB"/>
    <w:rsid w:val="0066172A"/>
    <w:rsid w:val="006617CB"/>
    <w:rsid w:val="00661860"/>
    <w:rsid w:val="006618C0"/>
    <w:rsid w:val="006618CF"/>
    <w:rsid w:val="00661A03"/>
    <w:rsid w:val="00661A20"/>
    <w:rsid w:val="00661A5D"/>
    <w:rsid w:val="00661AE9"/>
    <w:rsid w:val="00661BB6"/>
    <w:rsid w:val="00661BE4"/>
    <w:rsid w:val="00661C88"/>
    <w:rsid w:val="00661F2D"/>
    <w:rsid w:val="0066205E"/>
    <w:rsid w:val="00662362"/>
    <w:rsid w:val="0066248B"/>
    <w:rsid w:val="006625AD"/>
    <w:rsid w:val="006626D4"/>
    <w:rsid w:val="00662882"/>
    <w:rsid w:val="006628A8"/>
    <w:rsid w:val="0066296A"/>
    <w:rsid w:val="00662A7D"/>
    <w:rsid w:val="00662ADE"/>
    <w:rsid w:val="00662CE4"/>
    <w:rsid w:val="00662D2B"/>
    <w:rsid w:val="00662E5F"/>
    <w:rsid w:val="00662EC3"/>
    <w:rsid w:val="00663029"/>
    <w:rsid w:val="0066303C"/>
    <w:rsid w:val="006630F9"/>
    <w:rsid w:val="00663213"/>
    <w:rsid w:val="006634DB"/>
    <w:rsid w:val="006636B1"/>
    <w:rsid w:val="006636F9"/>
    <w:rsid w:val="00663716"/>
    <w:rsid w:val="00663A6F"/>
    <w:rsid w:val="00663A99"/>
    <w:rsid w:val="00663AA6"/>
    <w:rsid w:val="00663B30"/>
    <w:rsid w:val="00663C95"/>
    <w:rsid w:val="00663D12"/>
    <w:rsid w:val="00663DFA"/>
    <w:rsid w:val="00664191"/>
    <w:rsid w:val="006642B1"/>
    <w:rsid w:val="00664434"/>
    <w:rsid w:val="006645F4"/>
    <w:rsid w:val="0066470A"/>
    <w:rsid w:val="0066474E"/>
    <w:rsid w:val="00664A03"/>
    <w:rsid w:val="00664A04"/>
    <w:rsid w:val="00664AC4"/>
    <w:rsid w:val="00664B3E"/>
    <w:rsid w:val="00664BAC"/>
    <w:rsid w:val="00664DBE"/>
    <w:rsid w:val="00664E3B"/>
    <w:rsid w:val="00664E53"/>
    <w:rsid w:val="00664E88"/>
    <w:rsid w:val="00664F6D"/>
    <w:rsid w:val="0066535E"/>
    <w:rsid w:val="0066561F"/>
    <w:rsid w:val="006658C9"/>
    <w:rsid w:val="00665C21"/>
    <w:rsid w:val="00665D9A"/>
    <w:rsid w:val="00665E26"/>
    <w:rsid w:val="00665E7E"/>
    <w:rsid w:val="00666042"/>
    <w:rsid w:val="006662FB"/>
    <w:rsid w:val="00666373"/>
    <w:rsid w:val="006666CE"/>
    <w:rsid w:val="00666806"/>
    <w:rsid w:val="00666A58"/>
    <w:rsid w:val="00666A8E"/>
    <w:rsid w:val="00666AB3"/>
    <w:rsid w:val="00666ABC"/>
    <w:rsid w:val="00666B20"/>
    <w:rsid w:val="00666D89"/>
    <w:rsid w:val="00666EEF"/>
    <w:rsid w:val="00666FED"/>
    <w:rsid w:val="00667071"/>
    <w:rsid w:val="006670A7"/>
    <w:rsid w:val="006671B2"/>
    <w:rsid w:val="0066720D"/>
    <w:rsid w:val="00667359"/>
    <w:rsid w:val="0066747E"/>
    <w:rsid w:val="00667523"/>
    <w:rsid w:val="006676B9"/>
    <w:rsid w:val="00667750"/>
    <w:rsid w:val="00667A7F"/>
    <w:rsid w:val="00667AAC"/>
    <w:rsid w:val="00667BB3"/>
    <w:rsid w:val="00667C4C"/>
    <w:rsid w:val="00667CEE"/>
    <w:rsid w:val="00667D9D"/>
    <w:rsid w:val="00667F7F"/>
    <w:rsid w:val="00670029"/>
    <w:rsid w:val="00670183"/>
    <w:rsid w:val="006701D9"/>
    <w:rsid w:val="006702DB"/>
    <w:rsid w:val="00670568"/>
    <w:rsid w:val="00670650"/>
    <w:rsid w:val="006708EC"/>
    <w:rsid w:val="00670A68"/>
    <w:rsid w:val="00670AF6"/>
    <w:rsid w:val="00670EC8"/>
    <w:rsid w:val="00670F0B"/>
    <w:rsid w:val="00671180"/>
    <w:rsid w:val="006711DB"/>
    <w:rsid w:val="00671211"/>
    <w:rsid w:val="006712C0"/>
    <w:rsid w:val="00671427"/>
    <w:rsid w:val="00671445"/>
    <w:rsid w:val="00671500"/>
    <w:rsid w:val="00671586"/>
    <w:rsid w:val="00671696"/>
    <w:rsid w:val="00671A73"/>
    <w:rsid w:val="00671ABD"/>
    <w:rsid w:val="00671B48"/>
    <w:rsid w:val="00671BC4"/>
    <w:rsid w:val="00671D29"/>
    <w:rsid w:val="00671D2E"/>
    <w:rsid w:val="00671F1C"/>
    <w:rsid w:val="00671FDD"/>
    <w:rsid w:val="00672021"/>
    <w:rsid w:val="00672100"/>
    <w:rsid w:val="00672147"/>
    <w:rsid w:val="0067227F"/>
    <w:rsid w:val="00672334"/>
    <w:rsid w:val="006723DE"/>
    <w:rsid w:val="006724F6"/>
    <w:rsid w:val="00672513"/>
    <w:rsid w:val="00672681"/>
    <w:rsid w:val="00672831"/>
    <w:rsid w:val="0067299C"/>
    <w:rsid w:val="006729D0"/>
    <w:rsid w:val="00672A02"/>
    <w:rsid w:val="00672A4E"/>
    <w:rsid w:val="00672C4C"/>
    <w:rsid w:val="00673050"/>
    <w:rsid w:val="00673254"/>
    <w:rsid w:val="006735A5"/>
    <w:rsid w:val="00673694"/>
    <w:rsid w:val="006736F7"/>
    <w:rsid w:val="00673753"/>
    <w:rsid w:val="00673775"/>
    <w:rsid w:val="00673AE4"/>
    <w:rsid w:val="00673B0C"/>
    <w:rsid w:val="00673D1F"/>
    <w:rsid w:val="00673D32"/>
    <w:rsid w:val="00673E68"/>
    <w:rsid w:val="00673F67"/>
    <w:rsid w:val="00674045"/>
    <w:rsid w:val="00674067"/>
    <w:rsid w:val="006744AC"/>
    <w:rsid w:val="00674584"/>
    <w:rsid w:val="006746A8"/>
    <w:rsid w:val="006747CF"/>
    <w:rsid w:val="006749F5"/>
    <w:rsid w:val="00674A5E"/>
    <w:rsid w:val="00674AE2"/>
    <w:rsid w:val="00674B88"/>
    <w:rsid w:val="00674C75"/>
    <w:rsid w:val="00674C7D"/>
    <w:rsid w:val="00674C90"/>
    <w:rsid w:val="00674E4C"/>
    <w:rsid w:val="00674EAF"/>
    <w:rsid w:val="00674F76"/>
    <w:rsid w:val="00675135"/>
    <w:rsid w:val="00675556"/>
    <w:rsid w:val="006755D7"/>
    <w:rsid w:val="00675633"/>
    <w:rsid w:val="00675659"/>
    <w:rsid w:val="006757D6"/>
    <w:rsid w:val="006759E9"/>
    <w:rsid w:val="00675AD1"/>
    <w:rsid w:val="00675B61"/>
    <w:rsid w:val="00675B95"/>
    <w:rsid w:val="00675F3A"/>
    <w:rsid w:val="00676238"/>
    <w:rsid w:val="00676777"/>
    <w:rsid w:val="0067699F"/>
    <w:rsid w:val="00676A91"/>
    <w:rsid w:val="00676B70"/>
    <w:rsid w:val="00676D6B"/>
    <w:rsid w:val="00676F7D"/>
    <w:rsid w:val="00676FA5"/>
    <w:rsid w:val="00677036"/>
    <w:rsid w:val="006771E9"/>
    <w:rsid w:val="0067728A"/>
    <w:rsid w:val="006774FC"/>
    <w:rsid w:val="006777F7"/>
    <w:rsid w:val="00677A52"/>
    <w:rsid w:val="00677B6B"/>
    <w:rsid w:val="00677B6E"/>
    <w:rsid w:val="00677BCC"/>
    <w:rsid w:val="0068003D"/>
    <w:rsid w:val="00680213"/>
    <w:rsid w:val="00680279"/>
    <w:rsid w:val="00680311"/>
    <w:rsid w:val="0068061D"/>
    <w:rsid w:val="006807AF"/>
    <w:rsid w:val="006808D9"/>
    <w:rsid w:val="00680B40"/>
    <w:rsid w:val="00680D55"/>
    <w:rsid w:val="00680F19"/>
    <w:rsid w:val="0068102E"/>
    <w:rsid w:val="006812D3"/>
    <w:rsid w:val="00681574"/>
    <w:rsid w:val="0068160F"/>
    <w:rsid w:val="00681D53"/>
    <w:rsid w:val="00681E29"/>
    <w:rsid w:val="00681EC9"/>
    <w:rsid w:val="006822FA"/>
    <w:rsid w:val="0068237D"/>
    <w:rsid w:val="006824AB"/>
    <w:rsid w:val="006825D8"/>
    <w:rsid w:val="0068265E"/>
    <w:rsid w:val="0068270A"/>
    <w:rsid w:val="0068288C"/>
    <w:rsid w:val="00682B1C"/>
    <w:rsid w:val="00682D9D"/>
    <w:rsid w:val="00682FD3"/>
    <w:rsid w:val="006832C8"/>
    <w:rsid w:val="00683303"/>
    <w:rsid w:val="00683404"/>
    <w:rsid w:val="006835BC"/>
    <w:rsid w:val="006835E2"/>
    <w:rsid w:val="006835F3"/>
    <w:rsid w:val="00683650"/>
    <w:rsid w:val="0068383B"/>
    <w:rsid w:val="00683A98"/>
    <w:rsid w:val="00683ABF"/>
    <w:rsid w:val="00683B81"/>
    <w:rsid w:val="00683F22"/>
    <w:rsid w:val="00683F36"/>
    <w:rsid w:val="00684109"/>
    <w:rsid w:val="0068415F"/>
    <w:rsid w:val="00684449"/>
    <w:rsid w:val="0068449C"/>
    <w:rsid w:val="00684872"/>
    <w:rsid w:val="00684A51"/>
    <w:rsid w:val="00684BA4"/>
    <w:rsid w:val="00684BFB"/>
    <w:rsid w:val="00684E62"/>
    <w:rsid w:val="00684FAD"/>
    <w:rsid w:val="00685047"/>
    <w:rsid w:val="00685390"/>
    <w:rsid w:val="00685589"/>
    <w:rsid w:val="00686037"/>
    <w:rsid w:val="0068636E"/>
    <w:rsid w:val="00686373"/>
    <w:rsid w:val="006865D0"/>
    <w:rsid w:val="00686669"/>
    <w:rsid w:val="0068679B"/>
    <w:rsid w:val="006867E9"/>
    <w:rsid w:val="00686800"/>
    <w:rsid w:val="0068682C"/>
    <w:rsid w:val="006869E1"/>
    <w:rsid w:val="00686CEA"/>
    <w:rsid w:val="00686E58"/>
    <w:rsid w:val="00686F50"/>
    <w:rsid w:val="006871FE"/>
    <w:rsid w:val="006872D6"/>
    <w:rsid w:val="00687393"/>
    <w:rsid w:val="0068745F"/>
    <w:rsid w:val="00687605"/>
    <w:rsid w:val="0068770F"/>
    <w:rsid w:val="0068784A"/>
    <w:rsid w:val="006879E6"/>
    <w:rsid w:val="00687AB9"/>
    <w:rsid w:val="00687D81"/>
    <w:rsid w:val="00687EE9"/>
    <w:rsid w:val="00687FC7"/>
    <w:rsid w:val="006900F9"/>
    <w:rsid w:val="00690112"/>
    <w:rsid w:val="00690689"/>
    <w:rsid w:val="006909D5"/>
    <w:rsid w:val="00690B3D"/>
    <w:rsid w:val="00690E99"/>
    <w:rsid w:val="00690F38"/>
    <w:rsid w:val="00690FAA"/>
    <w:rsid w:val="006911C4"/>
    <w:rsid w:val="0069144A"/>
    <w:rsid w:val="0069147C"/>
    <w:rsid w:val="00691654"/>
    <w:rsid w:val="00691922"/>
    <w:rsid w:val="006919C5"/>
    <w:rsid w:val="006919CB"/>
    <w:rsid w:val="006919D9"/>
    <w:rsid w:val="00691AFE"/>
    <w:rsid w:val="00691B0F"/>
    <w:rsid w:val="00691BCB"/>
    <w:rsid w:val="00691ED6"/>
    <w:rsid w:val="0069246D"/>
    <w:rsid w:val="006924BD"/>
    <w:rsid w:val="00692683"/>
    <w:rsid w:val="006926F1"/>
    <w:rsid w:val="006929A7"/>
    <w:rsid w:val="00692B82"/>
    <w:rsid w:val="00692FB2"/>
    <w:rsid w:val="00693053"/>
    <w:rsid w:val="00693073"/>
    <w:rsid w:val="006930AA"/>
    <w:rsid w:val="006931EA"/>
    <w:rsid w:val="00693441"/>
    <w:rsid w:val="0069357B"/>
    <w:rsid w:val="006938AA"/>
    <w:rsid w:val="006939A6"/>
    <w:rsid w:val="00693C0A"/>
    <w:rsid w:val="00693CE4"/>
    <w:rsid w:val="00693CFF"/>
    <w:rsid w:val="00693DA4"/>
    <w:rsid w:val="00693EF1"/>
    <w:rsid w:val="00693FE5"/>
    <w:rsid w:val="00693FFC"/>
    <w:rsid w:val="0069420D"/>
    <w:rsid w:val="0069474B"/>
    <w:rsid w:val="0069475D"/>
    <w:rsid w:val="00694760"/>
    <w:rsid w:val="006948BA"/>
    <w:rsid w:val="00694AD6"/>
    <w:rsid w:val="00694B5C"/>
    <w:rsid w:val="00694D53"/>
    <w:rsid w:val="00694D68"/>
    <w:rsid w:val="00694DE7"/>
    <w:rsid w:val="00694FE4"/>
    <w:rsid w:val="006952FB"/>
    <w:rsid w:val="00695386"/>
    <w:rsid w:val="00695484"/>
    <w:rsid w:val="00695538"/>
    <w:rsid w:val="006955BA"/>
    <w:rsid w:val="006956CB"/>
    <w:rsid w:val="0069571A"/>
    <w:rsid w:val="00695A61"/>
    <w:rsid w:val="00695B8C"/>
    <w:rsid w:val="00695BED"/>
    <w:rsid w:val="00695CD6"/>
    <w:rsid w:val="00695E83"/>
    <w:rsid w:val="006961F2"/>
    <w:rsid w:val="00696381"/>
    <w:rsid w:val="00696736"/>
    <w:rsid w:val="00696785"/>
    <w:rsid w:val="00696809"/>
    <w:rsid w:val="00696990"/>
    <w:rsid w:val="00696AE3"/>
    <w:rsid w:val="00696D3C"/>
    <w:rsid w:val="00696DCA"/>
    <w:rsid w:val="00696EB9"/>
    <w:rsid w:val="0069714E"/>
    <w:rsid w:val="00697201"/>
    <w:rsid w:val="00697289"/>
    <w:rsid w:val="0069741C"/>
    <w:rsid w:val="0069743A"/>
    <w:rsid w:val="00697473"/>
    <w:rsid w:val="00697501"/>
    <w:rsid w:val="00697689"/>
    <w:rsid w:val="0069772A"/>
    <w:rsid w:val="0069775B"/>
    <w:rsid w:val="006977D5"/>
    <w:rsid w:val="006978BB"/>
    <w:rsid w:val="00697954"/>
    <w:rsid w:val="00697966"/>
    <w:rsid w:val="00697AEC"/>
    <w:rsid w:val="00697E69"/>
    <w:rsid w:val="00697F7F"/>
    <w:rsid w:val="006A0145"/>
    <w:rsid w:val="006A01CC"/>
    <w:rsid w:val="006A029D"/>
    <w:rsid w:val="006A02A3"/>
    <w:rsid w:val="006A02B2"/>
    <w:rsid w:val="006A02C7"/>
    <w:rsid w:val="006A0478"/>
    <w:rsid w:val="006A04C9"/>
    <w:rsid w:val="006A0631"/>
    <w:rsid w:val="006A0645"/>
    <w:rsid w:val="006A079D"/>
    <w:rsid w:val="006A083F"/>
    <w:rsid w:val="006A0A15"/>
    <w:rsid w:val="006A0B65"/>
    <w:rsid w:val="006A0C6E"/>
    <w:rsid w:val="006A0E94"/>
    <w:rsid w:val="006A0EAA"/>
    <w:rsid w:val="006A1108"/>
    <w:rsid w:val="006A13A3"/>
    <w:rsid w:val="006A17B2"/>
    <w:rsid w:val="006A197A"/>
    <w:rsid w:val="006A1AB4"/>
    <w:rsid w:val="006A1AD8"/>
    <w:rsid w:val="006A1C73"/>
    <w:rsid w:val="006A1C86"/>
    <w:rsid w:val="006A1D43"/>
    <w:rsid w:val="006A219E"/>
    <w:rsid w:val="006A21F1"/>
    <w:rsid w:val="006A22C5"/>
    <w:rsid w:val="006A22D0"/>
    <w:rsid w:val="006A2367"/>
    <w:rsid w:val="006A23C8"/>
    <w:rsid w:val="006A25BC"/>
    <w:rsid w:val="006A28DA"/>
    <w:rsid w:val="006A2D97"/>
    <w:rsid w:val="006A2ED7"/>
    <w:rsid w:val="006A2F3D"/>
    <w:rsid w:val="006A323A"/>
    <w:rsid w:val="006A33CB"/>
    <w:rsid w:val="006A3539"/>
    <w:rsid w:val="006A363A"/>
    <w:rsid w:val="006A36F6"/>
    <w:rsid w:val="006A3757"/>
    <w:rsid w:val="006A37C1"/>
    <w:rsid w:val="006A3915"/>
    <w:rsid w:val="006A3A2B"/>
    <w:rsid w:val="006A3D6C"/>
    <w:rsid w:val="006A3DAD"/>
    <w:rsid w:val="006A3E3F"/>
    <w:rsid w:val="006A3EB1"/>
    <w:rsid w:val="006A3EC7"/>
    <w:rsid w:val="006A3FC2"/>
    <w:rsid w:val="006A4256"/>
    <w:rsid w:val="006A44E5"/>
    <w:rsid w:val="006A45BA"/>
    <w:rsid w:val="006A45F7"/>
    <w:rsid w:val="006A4669"/>
    <w:rsid w:val="006A48D1"/>
    <w:rsid w:val="006A49D8"/>
    <w:rsid w:val="006A4C94"/>
    <w:rsid w:val="006A4E48"/>
    <w:rsid w:val="006A4EE1"/>
    <w:rsid w:val="006A5012"/>
    <w:rsid w:val="006A522B"/>
    <w:rsid w:val="006A54E4"/>
    <w:rsid w:val="006A57D3"/>
    <w:rsid w:val="006A5B72"/>
    <w:rsid w:val="006A5EDC"/>
    <w:rsid w:val="006A6024"/>
    <w:rsid w:val="006A6205"/>
    <w:rsid w:val="006A6280"/>
    <w:rsid w:val="006A62D5"/>
    <w:rsid w:val="006A6380"/>
    <w:rsid w:val="006A6413"/>
    <w:rsid w:val="006A649C"/>
    <w:rsid w:val="006A64CB"/>
    <w:rsid w:val="006A64DA"/>
    <w:rsid w:val="006A64FB"/>
    <w:rsid w:val="006A658E"/>
    <w:rsid w:val="006A6696"/>
    <w:rsid w:val="006A6882"/>
    <w:rsid w:val="006A6899"/>
    <w:rsid w:val="006A6A32"/>
    <w:rsid w:val="006A6AF7"/>
    <w:rsid w:val="006A6B1A"/>
    <w:rsid w:val="006A6BF1"/>
    <w:rsid w:val="006A6CBB"/>
    <w:rsid w:val="006A6D11"/>
    <w:rsid w:val="006A6D3E"/>
    <w:rsid w:val="006A6E14"/>
    <w:rsid w:val="006A6EEA"/>
    <w:rsid w:val="006A6F36"/>
    <w:rsid w:val="006A6FDF"/>
    <w:rsid w:val="006A703C"/>
    <w:rsid w:val="006A7093"/>
    <w:rsid w:val="006A70C7"/>
    <w:rsid w:val="006A711D"/>
    <w:rsid w:val="006A7155"/>
    <w:rsid w:val="006A7179"/>
    <w:rsid w:val="006A7410"/>
    <w:rsid w:val="006A7806"/>
    <w:rsid w:val="006A7875"/>
    <w:rsid w:val="006A79B4"/>
    <w:rsid w:val="006B044B"/>
    <w:rsid w:val="006B04F6"/>
    <w:rsid w:val="006B051B"/>
    <w:rsid w:val="006B089E"/>
    <w:rsid w:val="006B08BD"/>
    <w:rsid w:val="006B08C0"/>
    <w:rsid w:val="006B09BA"/>
    <w:rsid w:val="006B09D2"/>
    <w:rsid w:val="006B0A7F"/>
    <w:rsid w:val="006B0BDB"/>
    <w:rsid w:val="006B0C82"/>
    <w:rsid w:val="006B123C"/>
    <w:rsid w:val="006B12FC"/>
    <w:rsid w:val="006B177D"/>
    <w:rsid w:val="006B17B9"/>
    <w:rsid w:val="006B1A3D"/>
    <w:rsid w:val="006B1AAC"/>
    <w:rsid w:val="006B1AF0"/>
    <w:rsid w:val="006B1C00"/>
    <w:rsid w:val="006B1E72"/>
    <w:rsid w:val="006B1E98"/>
    <w:rsid w:val="006B2118"/>
    <w:rsid w:val="006B2197"/>
    <w:rsid w:val="006B2374"/>
    <w:rsid w:val="006B23CA"/>
    <w:rsid w:val="006B2613"/>
    <w:rsid w:val="006B280C"/>
    <w:rsid w:val="006B290C"/>
    <w:rsid w:val="006B2FE0"/>
    <w:rsid w:val="006B2FF0"/>
    <w:rsid w:val="006B3032"/>
    <w:rsid w:val="006B307A"/>
    <w:rsid w:val="006B3172"/>
    <w:rsid w:val="006B328A"/>
    <w:rsid w:val="006B3375"/>
    <w:rsid w:val="006B36F9"/>
    <w:rsid w:val="006B372C"/>
    <w:rsid w:val="006B37F1"/>
    <w:rsid w:val="006B393B"/>
    <w:rsid w:val="006B3BEA"/>
    <w:rsid w:val="006B3D4E"/>
    <w:rsid w:val="006B3E7A"/>
    <w:rsid w:val="006B3EF4"/>
    <w:rsid w:val="006B3F5D"/>
    <w:rsid w:val="006B410B"/>
    <w:rsid w:val="006B412C"/>
    <w:rsid w:val="006B4197"/>
    <w:rsid w:val="006B41B2"/>
    <w:rsid w:val="006B4204"/>
    <w:rsid w:val="006B42FB"/>
    <w:rsid w:val="006B43E9"/>
    <w:rsid w:val="006B4557"/>
    <w:rsid w:val="006B45A6"/>
    <w:rsid w:val="006B46A0"/>
    <w:rsid w:val="006B4882"/>
    <w:rsid w:val="006B488F"/>
    <w:rsid w:val="006B4ACE"/>
    <w:rsid w:val="006B4ADF"/>
    <w:rsid w:val="006B4B4A"/>
    <w:rsid w:val="006B4CE1"/>
    <w:rsid w:val="006B4D13"/>
    <w:rsid w:val="006B4E6B"/>
    <w:rsid w:val="006B4F62"/>
    <w:rsid w:val="006B5104"/>
    <w:rsid w:val="006B558B"/>
    <w:rsid w:val="006B559D"/>
    <w:rsid w:val="006B562C"/>
    <w:rsid w:val="006B5639"/>
    <w:rsid w:val="006B563D"/>
    <w:rsid w:val="006B5815"/>
    <w:rsid w:val="006B5A7D"/>
    <w:rsid w:val="006B5D11"/>
    <w:rsid w:val="006B5D8B"/>
    <w:rsid w:val="006B5EC4"/>
    <w:rsid w:val="006B6086"/>
    <w:rsid w:val="006B60F9"/>
    <w:rsid w:val="006B62D4"/>
    <w:rsid w:val="006B634D"/>
    <w:rsid w:val="006B63E8"/>
    <w:rsid w:val="006B64D7"/>
    <w:rsid w:val="006B6689"/>
    <w:rsid w:val="006B6747"/>
    <w:rsid w:val="006B67F3"/>
    <w:rsid w:val="006B688C"/>
    <w:rsid w:val="006B68A4"/>
    <w:rsid w:val="006B6A0E"/>
    <w:rsid w:val="006B6A41"/>
    <w:rsid w:val="006B6A84"/>
    <w:rsid w:val="006B6C50"/>
    <w:rsid w:val="006B6CD1"/>
    <w:rsid w:val="006B6F2B"/>
    <w:rsid w:val="006B6FB7"/>
    <w:rsid w:val="006B7004"/>
    <w:rsid w:val="006B7006"/>
    <w:rsid w:val="006B7355"/>
    <w:rsid w:val="006B735D"/>
    <w:rsid w:val="006B739F"/>
    <w:rsid w:val="006B75C6"/>
    <w:rsid w:val="006B7697"/>
    <w:rsid w:val="006B7934"/>
    <w:rsid w:val="006B7A11"/>
    <w:rsid w:val="006B7A77"/>
    <w:rsid w:val="006B7AEA"/>
    <w:rsid w:val="006B7C55"/>
    <w:rsid w:val="006B7E6E"/>
    <w:rsid w:val="006B7FA2"/>
    <w:rsid w:val="006B7FCC"/>
    <w:rsid w:val="006C0099"/>
    <w:rsid w:val="006C0111"/>
    <w:rsid w:val="006C0238"/>
    <w:rsid w:val="006C02DC"/>
    <w:rsid w:val="006C03C3"/>
    <w:rsid w:val="006C0566"/>
    <w:rsid w:val="006C0605"/>
    <w:rsid w:val="006C097E"/>
    <w:rsid w:val="006C0E68"/>
    <w:rsid w:val="006C10C9"/>
    <w:rsid w:val="006C1253"/>
    <w:rsid w:val="006C13CE"/>
    <w:rsid w:val="006C1520"/>
    <w:rsid w:val="006C15CC"/>
    <w:rsid w:val="006C162B"/>
    <w:rsid w:val="006C184C"/>
    <w:rsid w:val="006C19FE"/>
    <w:rsid w:val="006C1A95"/>
    <w:rsid w:val="006C1BDE"/>
    <w:rsid w:val="006C1E14"/>
    <w:rsid w:val="006C1F03"/>
    <w:rsid w:val="006C2018"/>
    <w:rsid w:val="006C206E"/>
    <w:rsid w:val="006C2117"/>
    <w:rsid w:val="006C23B4"/>
    <w:rsid w:val="006C2402"/>
    <w:rsid w:val="006C266B"/>
    <w:rsid w:val="006C2719"/>
    <w:rsid w:val="006C28E3"/>
    <w:rsid w:val="006C2949"/>
    <w:rsid w:val="006C299B"/>
    <w:rsid w:val="006C2A27"/>
    <w:rsid w:val="006C2AD7"/>
    <w:rsid w:val="006C2D07"/>
    <w:rsid w:val="006C2E7F"/>
    <w:rsid w:val="006C2FC7"/>
    <w:rsid w:val="006C3042"/>
    <w:rsid w:val="006C3103"/>
    <w:rsid w:val="006C3350"/>
    <w:rsid w:val="006C3395"/>
    <w:rsid w:val="006C354C"/>
    <w:rsid w:val="006C35F6"/>
    <w:rsid w:val="006C3735"/>
    <w:rsid w:val="006C37CC"/>
    <w:rsid w:val="006C386E"/>
    <w:rsid w:val="006C38A8"/>
    <w:rsid w:val="006C39F1"/>
    <w:rsid w:val="006C3B76"/>
    <w:rsid w:val="006C3B9A"/>
    <w:rsid w:val="006C3FA0"/>
    <w:rsid w:val="006C40FC"/>
    <w:rsid w:val="006C41F1"/>
    <w:rsid w:val="006C4214"/>
    <w:rsid w:val="006C42A3"/>
    <w:rsid w:val="006C43CA"/>
    <w:rsid w:val="006C440E"/>
    <w:rsid w:val="006C44D5"/>
    <w:rsid w:val="006C4572"/>
    <w:rsid w:val="006C45DA"/>
    <w:rsid w:val="006C4662"/>
    <w:rsid w:val="006C4743"/>
    <w:rsid w:val="006C47D8"/>
    <w:rsid w:val="006C483E"/>
    <w:rsid w:val="006C48F8"/>
    <w:rsid w:val="006C4AA3"/>
    <w:rsid w:val="006C4AD5"/>
    <w:rsid w:val="006C4F53"/>
    <w:rsid w:val="006C5042"/>
    <w:rsid w:val="006C5197"/>
    <w:rsid w:val="006C51C3"/>
    <w:rsid w:val="006C51CC"/>
    <w:rsid w:val="006C528D"/>
    <w:rsid w:val="006C52C2"/>
    <w:rsid w:val="006C5410"/>
    <w:rsid w:val="006C55BA"/>
    <w:rsid w:val="006C56B7"/>
    <w:rsid w:val="006C5722"/>
    <w:rsid w:val="006C5830"/>
    <w:rsid w:val="006C58CC"/>
    <w:rsid w:val="006C58CF"/>
    <w:rsid w:val="006C5A46"/>
    <w:rsid w:val="006C5AA2"/>
    <w:rsid w:val="006C5C97"/>
    <w:rsid w:val="006C5D14"/>
    <w:rsid w:val="006C5ECB"/>
    <w:rsid w:val="006C6178"/>
    <w:rsid w:val="006C6191"/>
    <w:rsid w:val="006C62F6"/>
    <w:rsid w:val="006C6310"/>
    <w:rsid w:val="006C6520"/>
    <w:rsid w:val="006C6590"/>
    <w:rsid w:val="006C65F7"/>
    <w:rsid w:val="006C6809"/>
    <w:rsid w:val="006C69A0"/>
    <w:rsid w:val="006C6A45"/>
    <w:rsid w:val="006C6A4C"/>
    <w:rsid w:val="006C6B3C"/>
    <w:rsid w:val="006C6C58"/>
    <w:rsid w:val="006C6D3B"/>
    <w:rsid w:val="006C6DE6"/>
    <w:rsid w:val="006C6E31"/>
    <w:rsid w:val="006C72CA"/>
    <w:rsid w:val="006C7819"/>
    <w:rsid w:val="006C78BA"/>
    <w:rsid w:val="006C7A29"/>
    <w:rsid w:val="006C7A7E"/>
    <w:rsid w:val="006C7AE3"/>
    <w:rsid w:val="006C7B03"/>
    <w:rsid w:val="006C7B73"/>
    <w:rsid w:val="006C7D30"/>
    <w:rsid w:val="006C7E10"/>
    <w:rsid w:val="006C7F5F"/>
    <w:rsid w:val="006D0091"/>
    <w:rsid w:val="006D01E4"/>
    <w:rsid w:val="006D03EC"/>
    <w:rsid w:val="006D0538"/>
    <w:rsid w:val="006D0636"/>
    <w:rsid w:val="006D07B0"/>
    <w:rsid w:val="006D0A8B"/>
    <w:rsid w:val="006D0AE3"/>
    <w:rsid w:val="006D0B45"/>
    <w:rsid w:val="006D0B79"/>
    <w:rsid w:val="006D0B8D"/>
    <w:rsid w:val="006D0D6B"/>
    <w:rsid w:val="006D0EC2"/>
    <w:rsid w:val="006D12BE"/>
    <w:rsid w:val="006D13EF"/>
    <w:rsid w:val="006D1485"/>
    <w:rsid w:val="006D1540"/>
    <w:rsid w:val="006D16A4"/>
    <w:rsid w:val="006D16F5"/>
    <w:rsid w:val="006D1745"/>
    <w:rsid w:val="006D1959"/>
    <w:rsid w:val="006D1B12"/>
    <w:rsid w:val="006D1B29"/>
    <w:rsid w:val="006D1E85"/>
    <w:rsid w:val="006D1F7A"/>
    <w:rsid w:val="006D2265"/>
    <w:rsid w:val="006D23CE"/>
    <w:rsid w:val="006D2626"/>
    <w:rsid w:val="006D2856"/>
    <w:rsid w:val="006D2944"/>
    <w:rsid w:val="006D29B9"/>
    <w:rsid w:val="006D2BBF"/>
    <w:rsid w:val="006D2BD7"/>
    <w:rsid w:val="006D2E74"/>
    <w:rsid w:val="006D2F3B"/>
    <w:rsid w:val="006D2F8B"/>
    <w:rsid w:val="006D32FB"/>
    <w:rsid w:val="006D3405"/>
    <w:rsid w:val="006D352F"/>
    <w:rsid w:val="006D35D2"/>
    <w:rsid w:val="006D3742"/>
    <w:rsid w:val="006D37BD"/>
    <w:rsid w:val="006D3A96"/>
    <w:rsid w:val="006D3B12"/>
    <w:rsid w:val="006D3FBE"/>
    <w:rsid w:val="006D4068"/>
    <w:rsid w:val="006D409E"/>
    <w:rsid w:val="006D429C"/>
    <w:rsid w:val="006D42CD"/>
    <w:rsid w:val="006D431D"/>
    <w:rsid w:val="006D437E"/>
    <w:rsid w:val="006D450A"/>
    <w:rsid w:val="006D4625"/>
    <w:rsid w:val="006D4926"/>
    <w:rsid w:val="006D4AB7"/>
    <w:rsid w:val="006D4C72"/>
    <w:rsid w:val="006D4E4C"/>
    <w:rsid w:val="006D4E84"/>
    <w:rsid w:val="006D4EC6"/>
    <w:rsid w:val="006D5462"/>
    <w:rsid w:val="006D550E"/>
    <w:rsid w:val="006D5576"/>
    <w:rsid w:val="006D5585"/>
    <w:rsid w:val="006D55CF"/>
    <w:rsid w:val="006D564A"/>
    <w:rsid w:val="006D590D"/>
    <w:rsid w:val="006D5953"/>
    <w:rsid w:val="006D5A22"/>
    <w:rsid w:val="006D5C9B"/>
    <w:rsid w:val="006D5DA8"/>
    <w:rsid w:val="006D5E3D"/>
    <w:rsid w:val="006D5F0D"/>
    <w:rsid w:val="006D5F27"/>
    <w:rsid w:val="006D5F69"/>
    <w:rsid w:val="006D5F76"/>
    <w:rsid w:val="006D5FC4"/>
    <w:rsid w:val="006D6024"/>
    <w:rsid w:val="006D6072"/>
    <w:rsid w:val="006D60EE"/>
    <w:rsid w:val="006D61B0"/>
    <w:rsid w:val="006D61F7"/>
    <w:rsid w:val="006D639D"/>
    <w:rsid w:val="006D6763"/>
    <w:rsid w:val="006D680D"/>
    <w:rsid w:val="006D6920"/>
    <w:rsid w:val="006D6928"/>
    <w:rsid w:val="006D6A2E"/>
    <w:rsid w:val="006D6A53"/>
    <w:rsid w:val="006D6B37"/>
    <w:rsid w:val="006D6B3B"/>
    <w:rsid w:val="006D6BBD"/>
    <w:rsid w:val="006D6D96"/>
    <w:rsid w:val="006D6E75"/>
    <w:rsid w:val="006D7211"/>
    <w:rsid w:val="006D75C8"/>
    <w:rsid w:val="006D7774"/>
    <w:rsid w:val="006D79FA"/>
    <w:rsid w:val="006D7AA5"/>
    <w:rsid w:val="006D7B9B"/>
    <w:rsid w:val="006D7F77"/>
    <w:rsid w:val="006E001B"/>
    <w:rsid w:val="006E0059"/>
    <w:rsid w:val="006E0061"/>
    <w:rsid w:val="006E00E1"/>
    <w:rsid w:val="006E0335"/>
    <w:rsid w:val="006E047E"/>
    <w:rsid w:val="006E048A"/>
    <w:rsid w:val="006E04CC"/>
    <w:rsid w:val="006E0B7F"/>
    <w:rsid w:val="006E0BB9"/>
    <w:rsid w:val="006E0C88"/>
    <w:rsid w:val="006E11A8"/>
    <w:rsid w:val="006E1264"/>
    <w:rsid w:val="006E138B"/>
    <w:rsid w:val="006E13F5"/>
    <w:rsid w:val="006E1640"/>
    <w:rsid w:val="006E16E7"/>
    <w:rsid w:val="006E17EE"/>
    <w:rsid w:val="006E18B6"/>
    <w:rsid w:val="006E1940"/>
    <w:rsid w:val="006E198C"/>
    <w:rsid w:val="006E1A9E"/>
    <w:rsid w:val="006E1C85"/>
    <w:rsid w:val="006E1CDE"/>
    <w:rsid w:val="006E20DD"/>
    <w:rsid w:val="006E219E"/>
    <w:rsid w:val="006E2238"/>
    <w:rsid w:val="006E22CE"/>
    <w:rsid w:val="006E235C"/>
    <w:rsid w:val="006E247B"/>
    <w:rsid w:val="006E25A0"/>
    <w:rsid w:val="006E266D"/>
    <w:rsid w:val="006E2689"/>
    <w:rsid w:val="006E2904"/>
    <w:rsid w:val="006E2934"/>
    <w:rsid w:val="006E2988"/>
    <w:rsid w:val="006E2D21"/>
    <w:rsid w:val="006E2D32"/>
    <w:rsid w:val="006E2E46"/>
    <w:rsid w:val="006E3070"/>
    <w:rsid w:val="006E3247"/>
    <w:rsid w:val="006E3508"/>
    <w:rsid w:val="006E35FE"/>
    <w:rsid w:val="006E36F5"/>
    <w:rsid w:val="006E38A0"/>
    <w:rsid w:val="006E39F1"/>
    <w:rsid w:val="006E3A0A"/>
    <w:rsid w:val="006E3B63"/>
    <w:rsid w:val="006E3C0E"/>
    <w:rsid w:val="006E3D93"/>
    <w:rsid w:val="006E4003"/>
    <w:rsid w:val="006E4010"/>
    <w:rsid w:val="006E428C"/>
    <w:rsid w:val="006E432F"/>
    <w:rsid w:val="006E4476"/>
    <w:rsid w:val="006E45E7"/>
    <w:rsid w:val="006E4674"/>
    <w:rsid w:val="006E4722"/>
    <w:rsid w:val="006E4A14"/>
    <w:rsid w:val="006E4A39"/>
    <w:rsid w:val="006E4C63"/>
    <w:rsid w:val="006E4C72"/>
    <w:rsid w:val="006E4D06"/>
    <w:rsid w:val="006E4F55"/>
    <w:rsid w:val="006E5489"/>
    <w:rsid w:val="006E558F"/>
    <w:rsid w:val="006E5601"/>
    <w:rsid w:val="006E5614"/>
    <w:rsid w:val="006E567B"/>
    <w:rsid w:val="006E58AB"/>
    <w:rsid w:val="006E59F3"/>
    <w:rsid w:val="006E5D93"/>
    <w:rsid w:val="006E5E12"/>
    <w:rsid w:val="006E5E8F"/>
    <w:rsid w:val="006E5F80"/>
    <w:rsid w:val="006E5FCF"/>
    <w:rsid w:val="006E612A"/>
    <w:rsid w:val="006E612B"/>
    <w:rsid w:val="006E6139"/>
    <w:rsid w:val="006E61C2"/>
    <w:rsid w:val="006E6210"/>
    <w:rsid w:val="006E6229"/>
    <w:rsid w:val="006E63A1"/>
    <w:rsid w:val="006E655C"/>
    <w:rsid w:val="006E65A9"/>
    <w:rsid w:val="006E65E8"/>
    <w:rsid w:val="006E6676"/>
    <w:rsid w:val="006E68BA"/>
    <w:rsid w:val="006E690C"/>
    <w:rsid w:val="006E6A64"/>
    <w:rsid w:val="006E6B11"/>
    <w:rsid w:val="006E6B6B"/>
    <w:rsid w:val="006E6D7D"/>
    <w:rsid w:val="006E6DCB"/>
    <w:rsid w:val="006E6E17"/>
    <w:rsid w:val="006E6F0C"/>
    <w:rsid w:val="006E7028"/>
    <w:rsid w:val="006E742E"/>
    <w:rsid w:val="006E74C2"/>
    <w:rsid w:val="006E75A6"/>
    <w:rsid w:val="006E75BD"/>
    <w:rsid w:val="006E7620"/>
    <w:rsid w:val="006E76D1"/>
    <w:rsid w:val="006E77F9"/>
    <w:rsid w:val="006E7887"/>
    <w:rsid w:val="006E78AE"/>
    <w:rsid w:val="006E7BC6"/>
    <w:rsid w:val="006E7CD6"/>
    <w:rsid w:val="006E7EA0"/>
    <w:rsid w:val="006E7FF1"/>
    <w:rsid w:val="006F03C0"/>
    <w:rsid w:val="006F0589"/>
    <w:rsid w:val="006F0637"/>
    <w:rsid w:val="006F0B5D"/>
    <w:rsid w:val="006F0CC5"/>
    <w:rsid w:val="006F0CD6"/>
    <w:rsid w:val="006F0D46"/>
    <w:rsid w:val="006F100D"/>
    <w:rsid w:val="006F12E5"/>
    <w:rsid w:val="006F1363"/>
    <w:rsid w:val="006F13A7"/>
    <w:rsid w:val="006F13BD"/>
    <w:rsid w:val="006F13CD"/>
    <w:rsid w:val="006F1436"/>
    <w:rsid w:val="006F1498"/>
    <w:rsid w:val="006F153B"/>
    <w:rsid w:val="006F156B"/>
    <w:rsid w:val="006F1584"/>
    <w:rsid w:val="006F15C5"/>
    <w:rsid w:val="006F163C"/>
    <w:rsid w:val="006F16B4"/>
    <w:rsid w:val="006F199C"/>
    <w:rsid w:val="006F19F3"/>
    <w:rsid w:val="006F1AB6"/>
    <w:rsid w:val="006F1AEE"/>
    <w:rsid w:val="006F21EC"/>
    <w:rsid w:val="006F232E"/>
    <w:rsid w:val="006F23DD"/>
    <w:rsid w:val="006F24F7"/>
    <w:rsid w:val="006F2545"/>
    <w:rsid w:val="006F25E1"/>
    <w:rsid w:val="006F2612"/>
    <w:rsid w:val="006F2B24"/>
    <w:rsid w:val="006F2DD4"/>
    <w:rsid w:val="006F2EF8"/>
    <w:rsid w:val="006F2F8B"/>
    <w:rsid w:val="006F2FDF"/>
    <w:rsid w:val="006F30A4"/>
    <w:rsid w:val="006F36B4"/>
    <w:rsid w:val="006F38D4"/>
    <w:rsid w:val="006F391D"/>
    <w:rsid w:val="006F395E"/>
    <w:rsid w:val="006F3A07"/>
    <w:rsid w:val="006F3A13"/>
    <w:rsid w:val="006F3B41"/>
    <w:rsid w:val="006F3B64"/>
    <w:rsid w:val="006F3BBE"/>
    <w:rsid w:val="006F3DDB"/>
    <w:rsid w:val="006F3E21"/>
    <w:rsid w:val="006F3EF4"/>
    <w:rsid w:val="006F4357"/>
    <w:rsid w:val="006F440F"/>
    <w:rsid w:val="006F44E4"/>
    <w:rsid w:val="006F4547"/>
    <w:rsid w:val="006F46D9"/>
    <w:rsid w:val="006F4A40"/>
    <w:rsid w:val="006F4B19"/>
    <w:rsid w:val="006F4C1C"/>
    <w:rsid w:val="006F4C4A"/>
    <w:rsid w:val="006F4D98"/>
    <w:rsid w:val="006F4DE7"/>
    <w:rsid w:val="006F5158"/>
    <w:rsid w:val="006F545F"/>
    <w:rsid w:val="006F54D4"/>
    <w:rsid w:val="006F563A"/>
    <w:rsid w:val="006F5655"/>
    <w:rsid w:val="006F56DB"/>
    <w:rsid w:val="006F575D"/>
    <w:rsid w:val="006F5A2B"/>
    <w:rsid w:val="006F5A45"/>
    <w:rsid w:val="006F5BCE"/>
    <w:rsid w:val="006F5F74"/>
    <w:rsid w:val="006F6183"/>
    <w:rsid w:val="006F67A3"/>
    <w:rsid w:val="006F6821"/>
    <w:rsid w:val="006F6C0B"/>
    <w:rsid w:val="006F6E1B"/>
    <w:rsid w:val="006F6F0A"/>
    <w:rsid w:val="006F74EE"/>
    <w:rsid w:val="006F77A8"/>
    <w:rsid w:val="006F77FD"/>
    <w:rsid w:val="006F7A71"/>
    <w:rsid w:val="006F7B3B"/>
    <w:rsid w:val="006F7B42"/>
    <w:rsid w:val="006F7C91"/>
    <w:rsid w:val="006F7D74"/>
    <w:rsid w:val="006F7E72"/>
    <w:rsid w:val="007000F8"/>
    <w:rsid w:val="007001BA"/>
    <w:rsid w:val="0070020F"/>
    <w:rsid w:val="0070032B"/>
    <w:rsid w:val="00700465"/>
    <w:rsid w:val="00700514"/>
    <w:rsid w:val="00700827"/>
    <w:rsid w:val="00700950"/>
    <w:rsid w:val="007009A9"/>
    <w:rsid w:val="007009BF"/>
    <w:rsid w:val="00700ABA"/>
    <w:rsid w:val="00700B5E"/>
    <w:rsid w:val="00700BAE"/>
    <w:rsid w:val="00700D91"/>
    <w:rsid w:val="00700E1A"/>
    <w:rsid w:val="00700FF0"/>
    <w:rsid w:val="00700FF5"/>
    <w:rsid w:val="007010E6"/>
    <w:rsid w:val="00701136"/>
    <w:rsid w:val="00701154"/>
    <w:rsid w:val="007011AB"/>
    <w:rsid w:val="00701215"/>
    <w:rsid w:val="00701216"/>
    <w:rsid w:val="007013CF"/>
    <w:rsid w:val="00701828"/>
    <w:rsid w:val="00701842"/>
    <w:rsid w:val="007018BE"/>
    <w:rsid w:val="00701ACA"/>
    <w:rsid w:val="00701B33"/>
    <w:rsid w:val="00701CF2"/>
    <w:rsid w:val="00701E0F"/>
    <w:rsid w:val="00702054"/>
    <w:rsid w:val="007021AD"/>
    <w:rsid w:val="0070221F"/>
    <w:rsid w:val="007024D2"/>
    <w:rsid w:val="00702619"/>
    <w:rsid w:val="007027F5"/>
    <w:rsid w:val="00702938"/>
    <w:rsid w:val="0070293D"/>
    <w:rsid w:val="00702940"/>
    <w:rsid w:val="00702AB4"/>
    <w:rsid w:val="00702B95"/>
    <w:rsid w:val="00702B9E"/>
    <w:rsid w:val="00702CB4"/>
    <w:rsid w:val="00702F00"/>
    <w:rsid w:val="00702F15"/>
    <w:rsid w:val="00702FE5"/>
    <w:rsid w:val="0070310F"/>
    <w:rsid w:val="0070319A"/>
    <w:rsid w:val="00703409"/>
    <w:rsid w:val="007034A6"/>
    <w:rsid w:val="00703597"/>
    <w:rsid w:val="0070389F"/>
    <w:rsid w:val="007039B9"/>
    <w:rsid w:val="00703BA2"/>
    <w:rsid w:val="00703C4E"/>
    <w:rsid w:val="00703CB4"/>
    <w:rsid w:val="00703E3E"/>
    <w:rsid w:val="0070419E"/>
    <w:rsid w:val="007042A5"/>
    <w:rsid w:val="007042B8"/>
    <w:rsid w:val="007045ED"/>
    <w:rsid w:val="00704701"/>
    <w:rsid w:val="00704A51"/>
    <w:rsid w:val="00704A89"/>
    <w:rsid w:val="00704B7E"/>
    <w:rsid w:val="00704D2D"/>
    <w:rsid w:val="00704D37"/>
    <w:rsid w:val="00704D90"/>
    <w:rsid w:val="00704E00"/>
    <w:rsid w:val="00705220"/>
    <w:rsid w:val="00705264"/>
    <w:rsid w:val="007052AE"/>
    <w:rsid w:val="00705408"/>
    <w:rsid w:val="007056C4"/>
    <w:rsid w:val="007057CB"/>
    <w:rsid w:val="00705B0B"/>
    <w:rsid w:val="00705D7A"/>
    <w:rsid w:val="00705DF2"/>
    <w:rsid w:val="0070603B"/>
    <w:rsid w:val="007061CC"/>
    <w:rsid w:val="00706401"/>
    <w:rsid w:val="0070659C"/>
    <w:rsid w:val="007065A2"/>
    <w:rsid w:val="007067EE"/>
    <w:rsid w:val="00706943"/>
    <w:rsid w:val="00706A92"/>
    <w:rsid w:val="00706EAF"/>
    <w:rsid w:val="00706F3B"/>
    <w:rsid w:val="00707474"/>
    <w:rsid w:val="00707543"/>
    <w:rsid w:val="0070759E"/>
    <w:rsid w:val="007076D2"/>
    <w:rsid w:val="007077A0"/>
    <w:rsid w:val="0070783F"/>
    <w:rsid w:val="00707968"/>
    <w:rsid w:val="00707B82"/>
    <w:rsid w:val="00707C18"/>
    <w:rsid w:val="00707C4D"/>
    <w:rsid w:val="00707CBA"/>
    <w:rsid w:val="00707DF7"/>
    <w:rsid w:val="00707FCB"/>
    <w:rsid w:val="0071001C"/>
    <w:rsid w:val="00710115"/>
    <w:rsid w:val="007103A9"/>
    <w:rsid w:val="0071041F"/>
    <w:rsid w:val="007106BD"/>
    <w:rsid w:val="0071076B"/>
    <w:rsid w:val="007107FA"/>
    <w:rsid w:val="00710842"/>
    <w:rsid w:val="00710A40"/>
    <w:rsid w:val="00710A88"/>
    <w:rsid w:val="00710B67"/>
    <w:rsid w:val="00710B86"/>
    <w:rsid w:val="00710C13"/>
    <w:rsid w:val="00710DE1"/>
    <w:rsid w:val="00710F08"/>
    <w:rsid w:val="00710F86"/>
    <w:rsid w:val="00710FC4"/>
    <w:rsid w:val="00711060"/>
    <w:rsid w:val="007114E0"/>
    <w:rsid w:val="0071171E"/>
    <w:rsid w:val="007117D6"/>
    <w:rsid w:val="0071189F"/>
    <w:rsid w:val="00711ABE"/>
    <w:rsid w:val="00711C21"/>
    <w:rsid w:val="00711CA4"/>
    <w:rsid w:val="00711E5B"/>
    <w:rsid w:val="00711EA4"/>
    <w:rsid w:val="00711EBF"/>
    <w:rsid w:val="0071200D"/>
    <w:rsid w:val="007121AE"/>
    <w:rsid w:val="007121BC"/>
    <w:rsid w:val="007124A3"/>
    <w:rsid w:val="0071278D"/>
    <w:rsid w:val="00712939"/>
    <w:rsid w:val="00712A38"/>
    <w:rsid w:val="00712B0C"/>
    <w:rsid w:val="00712C44"/>
    <w:rsid w:val="00712D1A"/>
    <w:rsid w:val="00712F33"/>
    <w:rsid w:val="0071315B"/>
    <w:rsid w:val="007135C9"/>
    <w:rsid w:val="007138C0"/>
    <w:rsid w:val="00713A01"/>
    <w:rsid w:val="00713B1B"/>
    <w:rsid w:val="00713BE1"/>
    <w:rsid w:val="00713D1A"/>
    <w:rsid w:val="00713FD4"/>
    <w:rsid w:val="007140EC"/>
    <w:rsid w:val="00714240"/>
    <w:rsid w:val="007143FA"/>
    <w:rsid w:val="0071449E"/>
    <w:rsid w:val="007144E6"/>
    <w:rsid w:val="00714512"/>
    <w:rsid w:val="00714593"/>
    <w:rsid w:val="007146E7"/>
    <w:rsid w:val="00714788"/>
    <w:rsid w:val="0071485D"/>
    <w:rsid w:val="007148F4"/>
    <w:rsid w:val="0071497B"/>
    <w:rsid w:val="007149FB"/>
    <w:rsid w:val="00714AFF"/>
    <w:rsid w:val="00714C80"/>
    <w:rsid w:val="00714C9E"/>
    <w:rsid w:val="00714F10"/>
    <w:rsid w:val="00714F15"/>
    <w:rsid w:val="00715092"/>
    <w:rsid w:val="00715220"/>
    <w:rsid w:val="00715329"/>
    <w:rsid w:val="0071532A"/>
    <w:rsid w:val="0071546E"/>
    <w:rsid w:val="007154CB"/>
    <w:rsid w:val="00715563"/>
    <w:rsid w:val="007156DC"/>
    <w:rsid w:val="00715759"/>
    <w:rsid w:val="007157A4"/>
    <w:rsid w:val="007158AD"/>
    <w:rsid w:val="00715A4E"/>
    <w:rsid w:val="00715BB4"/>
    <w:rsid w:val="00715C4C"/>
    <w:rsid w:val="00715C5B"/>
    <w:rsid w:val="00715D32"/>
    <w:rsid w:val="00715E9F"/>
    <w:rsid w:val="0071646B"/>
    <w:rsid w:val="00716606"/>
    <w:rsid w:val="007166BC"/>
    <w:rsid w:val="0071679B"/>
    <w:rsid w:val="007169FD"/>
    <w:rsid w:val="00716A75"/>
    <w:rsid w:val="00716AD2"/>
    <w:rsid w:val="00716C2B"/>
    <w:rsid w:val="00716CD4"/>
    <w:rsid w:val="00716E02"/>
    <w:rsid w:val="00716E5B"/>
    <w:rsid w:val="00716ECE"/>
    <w:rsid w:val="00716F74"/>
    <w:rsid w:val="00716FB1"/>
    <w:rsid w:val="00717191"/>
    <w:rsid w:val="0071719F"/>
    <w:rsid w:val="007171F9"/>
    <w:rsid w:val="0071721C"/>
    <w:rsid w:val="007173CD"/>
    <w:rsid w:val="00717446"/>
    <w:rsid w:val="00717522"/>
    <w:rsid w:val="007177FB"/>
    <w:rsid w:val="0071781A"/>
    <w:rsid w:val="0071790E"/>
    <w:rsid w:val="007179B4"/>
    <w:rsid w:val="00717A37"/>
    <w:rsid w:val="00717EC8"/>
    <w:rsid w:val="00720020"/>
    <w:rsid w:val="0072005A"/>
    <w:rsid w:val="0072007A"/>
    <w:rsid w:val="00720125"/>
    <w:rsid w:val="007203CA"/>
    <w:rsid w:val="0072065A"/>
    <w:rsid w:val="007209E6"/>
    <w:rsid w:val="00720B27"/>
    <w:rsid w:val="00720CBF"/>
    <w:rsid w:val="00720CE7"/>
    <w:rsid w:val="00720D69"/>
    <w:rsid w:val="00720E0D"/>
    <w:rsid w:val="00720EC2"/>
    <w:rsid w:val="00721081"/>
    <w:rsid w:val="007210CC"/>
    <w:rsid w:val="007214CD"/>
    <w:rsid w:val="00721592"/>
    <w:rsid w:val="007216D5"/>
    <w:rsid w:val="007218CB"/>
    <w:rsid w:val="00721B04"/>
    <w:rsid w:val="00721B19"/>
    <w:rsid w:val="00721B9D"/>
    <w:rsid w:val="00721BCE"/>
    <w:rsid w:val="00721D6D"/>
    <w:rsid w:val="00721E45"/>
    <w:rsid w:val="00721E68"/>
    <w:rsid w:val="00722191"/>
    <w:rsid w:val="007224C5"/>
    <w:rsid w:val="00722556"/>
    <w:rsid w:val="007225CD"/>
    <w:rsid w:val="007226F5"/>
    <w:rsid w:val="0072274D"/>
    <w:rsid w:val="00722752"/>
    <w:rsid w:val="0072281C"/>
    <w:rsid w:val="00722A1B"/>
    <w:rsid w:val="00722B6E"/>
    <w:rsid w:val="00722BD1"/>
    <w:rsid w:val="00722BEA"/>
    <w:rsid w:val="00722D54"/>
    <w:rsid w:val="00722E27"/>
    <w:rsid w:val="00723006"/>
    <w:rsid w:val="007230FC"/>
    <w:rsid w:val="00723247"/>
    <w:rsid w:val="007233AF"/>
    <w:rsid w:val="00723401"/>
    <w:rsid w:val="007236E7"/>
    <w:rsid w:val="00723731"/>
    <w:rsid w:val="00723B2C"/>
    <w:rsid w:val="00723B42"/>
    <w:rsid w:val="00723B62"/>
    <w:rsid w:val="007247A6"/>
    <w:rsid w:val="00724800"/>
    <w:rsid w:val="00724C32"/>
    <w:rsid w:val="00724CA6"/>
    <w:rsid w:val="00724D18"/>
    <w:rsid w:val="00724D8A"/>
    <w:rsid w:val="00724E57"/>
    <w:rsid w:val="00724ED0"/>
    <w:rsid w:val="00724EE0"/>
    <w:rsid w:val="00724EF2"/>
    <w:rsid w:val="00724F92"/>
    <w:rsid w:val="00724FD2"/>
    <w:rsid w:val="00725021"/>
    <w:rsid w:val="007252C0"/>
    <w:rsid w:val="007253D6"/>
    <w:rsid w:val="0072578A"/>
    <w:rsid w:val="0072592F"/>
    <w:rsid w:val="00725945"/>
    <w:rsid w:val="0072597A"/>
    <w:rsid w:val="007259E1"/>
    <w:rsid w:val="00725CCB"/>
    <w:rsid w:val="00725D31"/>
    <w:rsid w:val="0072620A"/>
    <w:rsid w:val="007262F3"/>
    <w:rsid w:val="0072633A"/>
    <w:rsid w:val="00726393"/>
    <w:rsid w:val="007264C6"/>
    <w:rsid w:val="007265A0"/>
    <w:rsid w:val="007265BD"/>
    <w:rsid w:val="0072661F"/>
    <w:rsid w:val="00726779"/>
    <w:rsid w:val="007267CE"/>
    <w:rsid w:val="00726AAA"/>
    <w:rsid w:val="00726B2F"/>
    <w:rsid w:val="00726BF0"/>
    <w:rsid w:val="00726F43"/>
    <w:rsid w:val="00726FAC"/>
    <w:rsid w:val="007270F3"/>
    <w:rsid w:val="007271FE"/>
    <w:rsid w:val="007274DE"/>
    <w:rsid w:val="00727535"/>
    <w:rsid w:val="0072769B"/>
    <w:rsid w:val="0072770A"/>
    <w:rsid w:val="0072771E"/>
    <w:rsid w:val="00727A84"/>
    <w:rsid w:val="00727B5F"/>
    <w:rsid w:val="00727B9D"/>
    <w:rsid w:val="00727C44"/>
    <w:rsid w:val="00727D7D"/>
    <w:rsid w:val="007301A1"/>
    <w:rsid w:val="007302D0"/>
    <w:rsid w:val="007302DB"/>
    <w:rsid w:val="007302F9"/>
    <w:rsid w:val="007302FF"/>
    <w:rsid w:val="00730377"/>
    <w:rsid w:val="0073055F"/>
    <w:rsid w:val="007305B9"/>
    <w:rsid w:val="00730616"/>
    <w:rsid w:val="0073067B"/>
    <w:rsid w:val="007306E9"/>
    <w:rsid w:val="007307EA"/>
    <w:rsid w:val="00730949"/>
    <w:rsid w:val="00730E7E"/>
    <w:rsid w:val="00730EAE"/>
    <w:rsid w:val="00730EF6"/>
    <w:rsid w:val="00731070"/>
    <w:rsid w:val="007311CC"/>
    <w:rsid w:val="007313B7"/>
    <w:rsid w:val="0073147F"/>
    <w:rsid w:val="00731635"/>
    <w:rsid w:val="007316CC"/>
    <w:rsid w:val="007318B9"/>
    <w:rsid w:val="00731BF7"/>
    <w:rsid w:val="00731D62"/>
    <w:rsid w:val="00731EB1"/>
    <w:rsid w:val="00732030"/>
    <w:rsid w:val="00732174"/>
    <w:rsid w:val="007321B2"/>
    <w:rsid w:val="00732204"/>
    <w:rsid w:val="00732213"/>
    <w:rsid w:val="0073235B"/>
    <w:rsid w:val="00732CC0"/>
    <w:rsid w:val="00732D25"/>
    <w:rsid w:val="0073306E"/>
    <w:rsid w:val="007330E7"/>
    <w:rsid w:val="00733228"/>
    <w:rsid w:val="007333C1"/>
    <w:rsid w:val="00733466"/>
    <w:rsid w:val="00733476"/>
    <w:rsid w:val="00733526"/>
    <w:rsid w:val="0073357A"/>
    <w:rsid w:val="007335AC"/>
    <w:rsid w:val="00733608"/>
    <w:rsid w:val="007337A5"/>
    <w:rsid w:val="00733888"/>
    <w:rsid w:val="007339C6"/>
    <w:rsid w:val="00733A5B"/>
    <w:rsid w:val="00733AF4"/>
    <w:rsid w:val="00733B1F"/>
    <w:rsid w:val="00733C9B"/>
    <w:rsid w:val="0073412B"/>
    <w:rsid w:val="00734143"/>
    <w:rsid w:val="0073420F"/>
    <w:rsid w:val="007344DA"/>
    <w:rsid w:val="007347A5"/>
    <w:rsid w:val="00734833"/>
    <w:rsid w:val="00734930"/>
    <w:rsid w:val="00734A34"/>
    <w:rsid w:val="00734A56"/>
    <w:rsid w:val="00734A7D"/>
    <w:rsid w:val="00735040"/>
    <w:rsid w:val="007350B2"/>
    <w:rsid w:val="007352FC"/>
    <w:rsid w:val="007354CF"/>
    <w:rsid w:val="00735825"/>
    <w:rsid w:val="007358CF"/>
    <w:rsid w:val="00735A4C"/>
    <w:rsid w:val="00735A69"/>
    <w:rsid w:val="00735D81"/>
    <w:rsid w:val="00735E15"/>
    <w:rsid w:val="00735EEE"/>
    <w:rsid w:val="00736048"/>
    <w:rsid w:val="007361B5"/>
    <w:rsid w:val="007361D8"/>
    <w:rsid w:val="00736DCC"/>
    <w:rsid w:val="00736F47"/>
    <w:rsid w:val="00737151"/>
    <w:rsid w:val="00737575"/>
    <w:rsid w:val="00737620"/>
    <w:rsid w:val="0073778A"/>
    <w:rsid w:val="0073792C"/>
    <w:rsid w:val="00737BE2"/>
    <w:rsid w:val="00737CB1"/>
    <w:rsid w:val="00737CF5"/>
    <w:rsid w:val="00737F62"/>
    <w:rsid w:val="007401B0"/>
    <w:rsid w:val="0074047A"/>
    <w:rsid w:val="007407CD"/>
    <w:rsid w:val="007409E6"/>
    <w:rsid w:val="00740CF1"/>
    <w:rsid w:val="00740FBF"/>
    <w:rsid w:val="0074107B"/>
    <w:rsid w:val="00741187"/>
    <w:rsid w:val="007411A0"/>
    <w:rsid w:val="007412F5"/>
    <w:rsid w:val="007413F3"/>
    <w:rsid w:val="007414F8"/>
    <w:rsid w:val="007417A6"/>
    <w:rsid w:val="00741941"/>
    <w:rsid w:val="00741CDC"/>
    <w:rsid w:val="0074224D"/>
    <w:rsid w:val="00742407"/>
    <w:rsid w:val="0074257A"/>
    <w:rsid w:val="00742885"/>
    <w:rsid w:val="007428A6"/>
    <w:rsid w:val="007429C5"/>
    <w:rsid w:val="007429D0"/>
    <w:rsid w:val="00742AAA"/>
    <w:rsid w:val="00742F12"/>
    <w:rsid w:val="0074302B"/>
    <w:rsid w:val="0074306D"/>
    <w:rsid w:val="0074324C"/>
    <w:rsid w:val="007432F6"/>
    <w:rsid w:val="00743620"/>
    <w:rsid w:val="007436FF"/>
    <w:rsid w:val="00743963"/>
    <w:rsid w:val="007439FA"/>
    <w:rsid w:val="00743A56"/>
    <w:rsid w:val="00743CBD"/>
    <w:rsid w:val="00743CC3"/>
    <w:rsid w:val="00743D41"/>
    <w:rsid w:val="00743F07"/>
    <w:rsid w:val="00744271"/>
    <w:rsid w:val="00744297"/>
    <w:rsid w:val="007442CE"/>
    <w:rsid w:val="00744543"/>
    <w:rsid w:val="00744698"/>
    <w:rsid w:val="007446BA"/>
    <w:rsid w:val="007447B1"/>
    <w:rsid w:val="00744880"/>
    <w:rsid w:val="00744913"/>
    <w:rsid w:val="00744D20"/>
    <w:rsid w:val="00744D3F"/>
    <w:rsid w:val="00744D50"/>
    <w:rsid w:val="00744D8C"/>
    <w:rsid w:val="00744EDA"/>
    <w:rsid w:val="0074533C"/>
    <w:rsid w:val="00745399"/>
    <w:rsid w:val="00745421"/>
    <w:rsid w:val="007454FF"/>
    <w:rsid w:val="007459AA"/>
    <w:rsid w:val="00745A4E"/>
    <w:rsid w:val="00745B8A"/>
    <w:rsid w:val="00745CFB"/>
    <w:rsid w:val="00745E6B"/>
    <w:rsid w:val="00745EBB"/>
    <w:rsid w:val="0074626E"/>
    <w:rsid w:val="007464BB"/>
    <w:rsid w:val="007469C2"/>
    <w:rsid w:val="00746A69"/>
    <w:rsid w:val="00746D61"/>
    <w:rsid w:val="00746F42"/>
    <w:rsid w:val="00747081"/>
    <w:rsid w:val="0074723E"/>
    <w:rsid w:val="00747383"/>
    <w:rsid w:val="00747434"/>
    <w:rsid w:val="00747438"/>
    <w:rsid w:val="007476B3"/>
    <w:rsid w:val="00747851"/>
    <w:rsid w:val="0074788B"/>
    <w:rsid w:val="007479A9"/>
    <w:rsid w:val="00747A7D"/>
    <w:rsid w:val="007500AE"/>
    <w:rsid w:val="00750107"/>
    <w:rsid w:val="0075015E"/>
    <w:rsid w:val="0075030F"/>
    <w:rsid w:val="0075032E"/>
    <w:rsid w:val="0075035E"/>
    <w:rsid w:val="0075039C"/>
    <w:rsid w:val="00750555"/>
    <w:rsid w:val="00750649"/>
    <w:rsid w:val="007507AF"/>
    <w:rsid w:val="00750800"/>
    <w:rsid w:val="0075086F"/>
    <w:rsid w:val="00750A2B"/>
    <w:rsid w:val="00750BFF"/>
    <w:rsid w:val="00750CEF"/>
    <w:rsid w:val="00750E72"/>
    <w:rsid w:val="00750F4A"/>
    <w:rsid w:val="00750F5F"/>
    <w:rsid w:val="00751016"/>
    <w:rsid w:val="00751104"/>
    <w:rsid w:val="007512AB"/>
    <w:rsid w:val="0075133D"/>
    <w:rsid w:val="0075137C"/>
    <w:rsid w:val="007514B9"/>
    <w:rsid w:val="00751852"/>
    <w:rsid w:val="0075191B"/>
    <w:rsid w:val="00751A40"/>
    <w:rsid w:val="00751AF7"/>
    <w:rsid w:val="00751B46"/>
    <w:rsid w:val="00751EC8"/>
    <w:rsid w:val="00751F87"/>
    <w:rsid w:val="00752197"/>
    <w:rsid w:val="00752243"/>
    <w:rsid w:val="0075232A"/>
    <w:rsid w:val="007525AB"/>
    <w:rsid w:val="00752752"/>
    <w:rsid w:val="0075280B"/>
    <w:rsid w:val="007528DE"/>
    <w:rsid w:val="00752B2A"/>
    <w:rsid w:val="00752BB6"/>
    <w:rsid w:val="0075369A"/>
    <w:rsid w:val="00753717"/>
    <w:rsid w:val="00753C11"/>
    <w:rsid w:val="0075406E"/>
    <w:rsid w:val="007540C9"/>
    <w:rsid w:val="00754134"/>
    <w:rsid w:val="0075418A"/>
    <w:rsid w:val="0075425D"/>
    <w:rsid w:val="00754328"/>
    <w:rsid w:val="0075487B"/>
    <w:rsid w:val="007550CB"/>
    <w:rsid w:val="0075513F"/>
    <w:rsid w:val="0075519F"/>
    <w:rsid w:val="00755284"/>
    <w:rsid w:val="007552A2"/>
    <w:rsid w:val="00755443"/>
    <w:rsid w:val="00755A3A"/>
    <w:rsid w:val="00755A5F"/>
    <w:rsid w:val="00755A67"/>
    <w:rsid w:val="00755ADF"/>
    <w:rsid w:val="00755BB7"/>
    <w:rsid w:val="00755C01"/>
    <w:rsid w:val="00756504"/>
    <w:rsid w:val="007566C1"/>
    <w:rsid w:val="007568A5"/>
    <w:rsid w:val="00756A23"/>
    <w:rsid w:val="00756B94"/>
    <w:rsid w:val="00756CB5"/>
    <w:rsid w:val="00756ED6"/>
    <w:rsid w:val="0075708C"/>
    <w:rsid w:val="00757099"/>
    <w:rsid w:val="007570EE"/>
    <w:rsid w:val="00757154"/>
    <w:rsid w:val="0075724A"/>
    <w:rsid w:val="007575A9"/>
    <w:rsid w:val="007576AD"/>
    <w:rsid w:val="0075775F"/>
    <w:rsid w:val="00757823"/>
    <w:rsid w:val="00757A3D"/>
    <w:rsid w:val="00757B18"/>
    <w:rsid w:val="00757D89"/>
    <w:rsid w:val="00757DEA"/>
    <w:rsid w:val="00757E45"/>
    <w:rsid w:val="00757FE8"/>
    <w:rsid w:val="00760012"/>
    <w:rsid w:val="007601A3"/>
    <w:rsid w:val="00760364"/>
    <w:rsid w:val="007603AC"/>
    <w:rsid w:val="00760566"/>
    <w:rsid w:val="007605E0"/>
    <w:rsid w:val="00760602"/>
    <w:rsid w:val="0076068A"/>
    <w:rsid w:val="007606C7"/>
    <w:rsid w:val="007606CA"/>
    <w:rsid w:val="00760B10"/>
    <w:rsid w:val="00760B30"/>
    <w:rsid w:val="0076100E"/>
    <w:rsid w:val="007610AB"/>
    <w:rsid w:val="0076120A"/>
    <w:rsid w:val="00761279"/>
    <w:rsid w:val="0076153B"/>
    <w:rsid w:val="00761679"/>
    <w:rsid w:val="00761705"/>
    <w:rsid w:val="0076170B"/>
    <w:rsid w:val="00761B5F"/>
    <w:rsid w:val="007620E2"/>
    <w:rsid w:val="0076235E"/>
    <w:rsid w:val="0076260D"/>
    <w:rsid w:val="007626E5"/>
    <w:rsid w:val="00762790"/>
    <w:rsid w:val="007628E1"/>
    <w:rsid w:val="00762D10"/>
    <w:rsid w:val="007630CF"/>
    <w:rsid w:val="0076312D"/>
    <w:rsid w:val="007633B9"/>
    <w:rsid w:val="007634CA"/>
    <w:rsid w:val="007635A5"/>
    <w:rsid w:val="007637A4"/>
    <w:rsid w:val="00763800"/>
    <w:rsid w:val="00763B77"/>
    <w:rsid w:val="00763C3D"/>
    <w:rsid w:val="00763CF5"/>
    <w:rsid w:val="00763E64"/>
    <w:rsid w:val="0076402B"/>
    <w:rsid w:val="0076409C"/>
    <w:rsid w:val="00764211"/>
    <w:rsid w:val="00764256"/>
    <w:rsid w:val="0076448C"/>
    <w:rsid w:val="0076471A"/>
    <w:rsid w:val="00764957"/>
    <w:rsid w:val="00764B8C"/>
    <w:rsid w:val="00764CB1"/>
    <w:rsid w:val="00764CC1"/>
    <w:rsid w:val="00764CF3"/>
    <w:rsid w:val="00764D70"/>
    <w:rsid w:val="007651A5"/>
    <w:rsid w:val="00765297"/>
    <w:rsid w:val="007652F5"/>
    <w:rsid w:val="00765380"/>
    <w:rsid w:val="007653C0"/>
    <w:rsid w:val="0076568D"/>
    <w:rsid w:val="007657A4"/>
    <w:rsid w:val="0076593B"/>
    <w:rsid w:val="00765A25"/>
    <w:rsid w:val="00765AD6"/>
    <w:rsid w:val="00765B51"/>
    <w:rsid w:val="00765BB4"/>
    <w:rsid w:val="00765EBA"/>
    <w:rsid w:val="007661F7"/>
    <w:rsid w:val="00766242"/>
    <w:rsid w:val="007662C0"/>
    <w:rsid w:val="007664E5"/>
    <w:rsid w:val="00766952"/>
    <w:rsid w:val="00766958"/>
    <w:rsid w:val="0076696F"/>
    <w:rsid w:val="00766C8C"/>
    <w:rsid w:val="00766F53"/>
    <w:rsid w:val="00766F9D"/>
    <w:rsid w:val="0076702C"/>
    <w:rsid w:val="007670A6"/>
    <w:rsid w:val="00767103"/>
    <w:rsid w:val="0076714B"/>
    <w:rsid w:val="007674ED"/>
    <w:rsid w:val="00767571"/>
    <w:rsid w:val="00767671"/>
    <w:rsid w:val="0076784C"/>
    <w:rsid w:val="007678A9"/>
    <w:rsid w:val="00767C0C"/>
    <w:rsid w:val="00767D9A"/>
    <w:rsid w:val="00767DC3"/>
    <w:rsid w:val="00767DE4"/>
    <w:rsid w:val="00767F6C"/>
    <w:rsid w:val="0077034A"/>
    <w:rsid w:val="0077035C"/>
    <w:rsid w:val="00770480"/>
    <w:rsid w:val="0077056C"/>
    <w:rsid w:val="00770597"/>
    <w:rsid w:val="00770928"/>
    <w:rsid w:val="0077095A"/>
    <w:rsid w:val="00770A2B"/>
    <w:rsid w:val="00770BE9"/>
    <w:rsid w:val="00770BEF"/>
    <w:rsid w:val="00770C69"/>
    <w:rsid w:val="00770F59"/>
    <w:rsid w:val="00770F90"/>
    <w:rsid w:val="0077114D"/>
    <w:rsid w:val="0077132A"/>
    <w:rsid w:val="007713FE"/>
    <w:rsid w:val="0077140F"/>
    <w:rsid w:val="007716AF"/>
    <w:rsid w:val="00771BC0"/>
    <w:rsid w:val="007720AD"/>
    <w:rsid w:val="0077211B"/>
    <w:rsid w:val="00772158"/>
    <w:rsid w:val="007725B3"/>
    <w:rsid w:val="00772616"/>
    <w:rsid w:val="0077262C"/>
    <w:rsid w:val="007726AD"/>
    <w:rsid w:val="00772829"/>
    <w:rsid w:val="00772A0F"/>
    <w:rsid w:val="00772A1A"/>
    <w:rsid w:val="00772BF1"/>
    <w:rsid w:val="00772C5E"/>
    <w:rsid w:val="00772D8C"/>
    <w:rsid w:val="00772FF4"/>
    <w:rsid w:val="007731CC"/>
    <w:rsid w:val="0077322B"/>
    <w:rsid w:val="00773231"/>
    <w:rsid w:val="0077323A"/>
    <w:rsid w:val="0077366D"/>
    <w:rsid w:val="007736A2"/>
    <w:rsid w:val="00773A0D"/>
    <w:rsid w:val="00773A35"/>
    <w:rsid w:val="00773C08"/>
    <w:rsid w:val="00773C87"/>
    <w:rsid w:val="00773CA8"/>
    <w:rsid w:val="00773D15"/>
    <w:rsid w:val="007742B5"/>
    <w:rsid w:val="00774336"/>
    <w:rsid w:val="00774484"/>
    <w:rsid w:val="00774485"/>
    <w:rsid w:val="00774796"/>
    <w:rsid w:val="00774CAD"/>
    <w:rsid w:val="00774E39"/>
    <w:rsid w:val="00774E8F"/>
    <w:rsid w:val="00774F5D"/>
    <w:rsid w:val="00774FC4"/>
    <w:rsid w:val="0077502C"/>
    <w:rsid w:val="007750FD"/>
    <w:rsid w:val="007751FC"/>
    <w:rsid w:val="0077539C"/>
    <w:rsid w:val="007754C4"/>
    <w:rsid w:val="007755FC"/>
    <w:rsid w:val="00775614"/>
    <w:rsid w:val="0077570D"/>
    <w:rsid w:val="0077597D"/>
    <w:rsid w:val="007759F4"/>
    <w:rsid w:val="00775B88"/>
    <w:rsid w:val="00775C2D"/>
    <w:rsid w:val="00775D39"/>
    <w:rsid w:val="00775D76"/>
    <w:rsid w:val="00775DE4"/>
    <w:rsid w:val="00775E72"/>
    <w:rsid w:val="007760BD"/>
    <w:rsid w:val="0077633F"/>
    <w:rsid w:val="00776347"/>
    <w:rsid w:val="00776401"/>
    <w:rsid w:val="007764C5"/>
    <w:rsid w:val="007765BC"/>
    <w:rsid w:val="00776705"/>
    <w:rsid w:val="0077671D"/>
    <w:rsid w:val="0077686F"/>
    <w:rsid w:val="00776A42"/>
    <w:rsid w:val="00776A4C"/>
    <w:rsid w:val="00776B20"/>
    <w:rsid w:val="00776B93"/>
    <w:rsid w:val="00776D8B"/>
    <w:rsid w:val="00776D9F"/>
    <w:rsid w:val="00776DB1"/>
    <w:rsid w:val="00776E69"/>
    <w:rsid w:val="0077702E"/>
    <w:rsid w:val="0077705D"/>
    <w:rsid w:val="00777063"/>
    <w:rsid w:val="00777088"/>
    <w:rsid w:val="007770A8"/>
    <w:rsid w:val="0077719C"/>
    <w:rsid w:val="0077739B"/>
    <w:rsid w:val="0077739D"/>
    <w:rsid w:val="00777584"/>
    <w:rsid w:val="00777848"/>
    <w:rsid w:val="00777893"/>
    <w:rsid w:val="007778DE"/>
    <w:rsid w:val="00777A3C"/>
    <w:rsid w:val="00777A6C"/>
    <w:rsid w:val="00777ACC"/>
    <w:rsid w:val="00777C22"/>
    <w:rsid w:val="00777F82"/>
    <w:rsid w:val="00777F9B"/>
    <w:rsid w:val="00780249"/>
    <w:rsid w:val="00780695"/>
    <w:rsid w:val="00780700"/>
    <w:rsid w:val="00780879"/>
    <w:rsid w:val="0078093B"/>
    <w:rsid w:val="00780E2F"/>
    <w:rsid w:val="00780F0F"/>
    <w:rsid w:val="00780F6A"/>
    <w:rsid w:val="00780FB0"/>
    <w:rsid w:val="00780FDE"/>
    <w:rsid w:val="007813E0"/>
    <w:rsid w:val="0078148E"/>
    <w:rsid w:val="00781863"/>
    <w:rsid w:val="00781940"/>
    <w:rsid w:val="007819F5"/>
    <w:rsid w:val="00781ABE"/>
    <w:rsid w:val="00781BB0"/>
    <w:rsid w:val="00781DBD"/>
    <w:rsid w:val="00781DE6"/>
    <w:rsid w:val="00781E8B"/>
    <w:rsid w:val="00782081"/>
    <w:rsid w:val="0078223B"/>
    <w:rsid w:val="00782245"/>
    <w:rsid w:val="00782256"/>
    <w:rsid w:val="0078232C"/>
    <w:rsid w:val="00782426"/>
    <w:rsid w:val="0078242E"/>
    <w:rsid w:val="007824AA"/>
    <w:rsid w:val="00782788"/>
    <w:rsid w:val="00782A18"/>
    <w:rsid w:val="00782A9D"/>
    <w:rsid w:val="00782C1E"/>
    <w:rsid w:val="00782D35"/>
    <w:rsid w:val="00782EDC"/>
    <w:rsid w:val="007830D9"/>
    <w:rsid w:val="0078352E"/>
    <w:rsid w:val="007835DE"/>
    <w:rsid w:val="0078376A"/>
    <w:rsid w:val="007839E6"/>
    <w:rsid w:val="00783A67"/>
    <w:rsid w:val="00783B22"/>
    <w:rsid w:val="00783B3C"/>
    <w:rsid w:val="00783D27"/>
    <w:rsid w:val="00783F1B"/>
    <w:rsid w:val="007843DB"/>
    <w:rsid w:val="007844F8"/>
    <w:rsid w:val="007845E5"/>
    <w:rsid w:val="00784612"/>
    <w:rsid w:val="00784702"/>
    <w:rsid w:val="00784913"/>
    <w:rsid w:val="0078493B"/>
    <w:rsid w:val="00784B48"/>
    <w:rsid w:val="00784DC0"/>
    <w:rsid w:val="00784E04"/>
    <w:rsid w:val="007852E9"/>
    <w:rsid w:val="007853AA"/>
    <w:rsid w:val="007855F8"/>
    <w:rsid w:val="00785621"/>
    <w:rsid w:val="007856F7"/>
    <w:rsid w:val="00785927"/>
    <w:rsid w:val="00785998"/>
    <w:rsid w:val="00785D55"/>
    <w:rsid w:val="007860C9"/>
    <w:rsid w:val="00786262"/>
    <w:rsid w:val="00786269"/>
    <w:rsid w:val="00786410"/>
    <w:rsid w:val="007864A9"/>
    <w:rsid w:val="00786793"/>
    <w:rsid w:val="007867A8"/>
    <w:rsid w:val="007868E8"/>
    <w:rsid w:val="007869F8"/>
    <w:rsid w:val="00786C14"/>
    <w:rsid w:val="00786CFB"/>
    <w:rsid w:val="00786DF2"/>
    <w:rsid w:val="007870DE"/>
    <w:rsid w:val="007871CB"/>
    <w:rsid w:val="0078763C"/>
    <w:rsid w:val="007878F4"/>
    <w:rsid w:val="00787B53"/>
    <w:rsid w:val="00787D37"/>
    <w:rsid w:val="00787DFD"/>
    <w:rsid w:val="00787F2C"/>
    <w:rsid w:val="00787FDE"/>
    <w:rsid w:val="00790231"/>
    <w:rsid w:val="00790296"/>
    <w:rsid w:val="007902C8"/>
    <w:rsid w:val="0079064B"/>
    <w:rsid w:val="007906B7"/>
    <w:rsid w:val="007909F0"/>
    <w:rsid w:val="00790AC8"/>
    <w:rsid w:val="00790B15"/>
    <w:rsid w:val="00790E3C"/>
    <w:rsid w:val="00790F49"/>
    <w:rsid w:val="00790FFA"/>
    <w:rsid w:val="0079101D"/>
    <w:rsid w:val="00791229"/>
    <w:rsid w:val="00791254"/>
    <w:rsid w:val="00791495"/>
    <w:rsid w:val="00791546"/>
    <w:rsid w:val="00791560"/>
    <w:rsid w:val="007915DC"/>
    <w:rsid w:val="00791641"/>
    <w:rsid w:val="00791686"/>
    <w:rsid w:val="00791744"/>
    <w:rsid w:val="00791830"/>
    <w:rsid w:val="007919EB"/>
    <w:rsid w:val="00791BA6"/>
    <w:rsid w:val="00791C47"/>
    <w:rsid w:val="007920FF"/>
    <w:rsid w:val="00792129"/>
    <w:rsid w:val="007921C1"/>
    <w:rsid w:val="00792271"/>
    <w:rsid w:val="0079259F"/>
    <w:rsid w:val="00792778"/>
    <w:rsid w:val="007929B3"/>
    <w:rsid w:val="00792B8E"/>
    <w:rsid w:val="00792BCC"/>
    <w:rsid w:val="00792C39"/>
    <w:rsid w:val="00792ECB"/>
    <w:rsid w:val="00792F37"/>
    <w:rsid w:val="0079313F"/>
    <w:rsid w:val="007931B8"/>
    <w:rsid w:val="007931CB"/>
    <w:rsid w:val="00793288"/>
    <w:rsid w:val="0079343A"/>
    <w:rsid w:val="007938AD"/>
    <w:rsid w:val="00793B0A"/>
    <w:rsid w:val="00793D07"/>
    <w:rsid w:val="00793D7F"/>
    <w:rsid w:val="00793DCE"/>
    <w:rsid w:val="00793F53"/>
    <w:rsid w:val="0079406E"/>
    <w:rsid w:val="00794429"/>
    <w:rsid w:val="0079443E"/>
    <w:rsid w:val="007944D8"/>
    <w:rsid w:val="00794630"/>
    <w:rsid w:val="007946F8"/>
    <w:rsid w:val="00794730"/>
    <w:rsid w:val="00794872"/>
    <w:rsid w:val="00794948"/>
    <w:rsid w:val="007949F4"/>
    <w:rsid w:val="00794CE7"/>
    <w:rsid w:val="00794E23"/>
    <w:rsid w:val="00794F9C"/>
    <w:rsid w:val="00794FA1"/>
    <w:rsid w:val="00795000"/>
    <w:rsid w:val="007951D4"/>
    <w:rsid w:val="00795255"/>
    <w:rsid w:val="00795501"/>
    <w:rsid w:val="00795528"/>
    <w:rsid w:val="00795614"/>
    <w:rsid w:val="00795632"/>
    <w:rsid w:val="0079564A"/>
    <w:rsid w:val="00795659"/>
    <w:rsid w:val="00795A34"/>
    <w:rsid w:val="00795AAE"/>
    <w:rsid w:val="00795AF9"/>
    <w:rsid w:val="00795CB7"/>
    <w:rsid w:val="00795F3C"/>
    <w:rsid w:val="00796134"/>
    <w:rsid w:val="00796266"/>
    <w:rsid w:val="0079635A"/>
    <w:rsid w:val="0079637D"/>
    <w:rsid w:val="00796410"/>
    <w:rsid w:val="00796690"/>
    <w:rsid w:val="00796908"/>
    <w:rsid w:val="00796A8F"/>
    <w:rsid w:val="00796B6D"/>
    <w:rsid w:val="00796C63"/>
    <w:rsid w:val="00796CCC"/>
    <w:rsid w:val="00796EBC"/>
    <w:rsid w:val="00797279"/>
    <w:rsid w:val="0079745E"/>
    <w:rsid w:val="0079763E"/>
    <w:rsid w:val="00797C46"/>
    <w:rsid w:val="00797E1B"/>
    <w:rsid w:val="00797E96"/>
    <w:rsid w:val="00797F27"/>
    <w:rsid w:val="007A0306"/>
    <w:rsid w:val="007A03A2"/>
    <w:rsid w:val="007A03FC"/>
    <w:rsid w:val="007A0436"/>
    <w:rsid w:val="007A0535"/>
    <w:rsid w:val="007A05BE"/>
    <w:rsid w:val="007A08EF"/>
    <w:rsid w:val="007A0A06"/>
    <w:rsid w:val="007A0A7E"/>
    <w:rsid w:val="007A0B55"/>
    <w:rsid w:val="007A0BB2"/>
    <w:rsid w:val="007A0C08"/>
    <w:rsid w:val="007A0E92"/>
    <w:rsid w:val="007A1066"/>
    <w:rsid w:val="007A116D"/>
    <w:rsid w:val="007A1209"/>
    <w:rsid w:val="007A129D"/>
    <w:rsid w:val="007A1634"/>
    <w:rsid w:val="007A1636"/>
    <w:rsid w:val="007A1741"/>
    <w:rsid w:val="007A187D"/>
    <w:rsid w:val="007A19F6"/>
    <w:rsid w:val="007A1A6C"/>
    <w:rsid w:val="007A1B24"/>
    <w:rsid w:val="007A1D63"/>
    <w:rsid w:val="007A1FD8"/>
    <w:rsid w:val="007A205D"/>
    <w:rsid w:val="007A2157"/>
    <w:rsid w:val="007A2209"/>
    <w:rsid w:val="007A2231"/>
    <w:rsid w:val="007A2257"/>
    <w:rsid w:val="007A23E7"/>
    <w:rsid w:val="007A244A"/>
    <w:rsid w:val="007A28A7"/>
    <w:rsid w:val="007A2A31"/>
    <w:rsid w:val="007A2B65"/>
    <w:rsid w:val="007A2D79"/>
    <w:rsid w:val="007A309E"/>
    <w:rsid w:val="007A30B3"/>
    <w:rsid w:val="007A3142"/>
    <w:rsid w:val="007A32E2"/>
    <w:rsid w:val="007A368B"/>
    <w:rsid w:val="007A382B"/>
    <w:rsid w:val="007A3A7A"/>
    <w:rsid w:val="007A3AC4"/>
    <w:rsid w:val="007A3B76"/>
    <w:rsid w:val="007A3B81"/>
    <w:rsid w:val="007A3ED1"/>
    <w:rsid w:val="007A3FAC"/>
    <w:rsid w:val="007A40B4"/>
    <w:rsid w:val="007A41B9"/>
    <w:rsid w:val="007A4369"/>
    <w:rsid w:val="007A4384"/>
    <w:rsid w:val="007A43B5"/>
    <w:rsid w:val="007A481A"/>
    <w:rsid w:val="007A5023"/>
    <w:rsid w:val="007A5106"/>
    <w:rsid w:val="007A5149"/>
    <w:rsid w:val="007A5184"/>
    <w:rsid w:val="007A51A2"/>
    <w:rsid w:val="007A5466"/>
    <w:rsid w:val="007A5489"/>
    <w:rsid w:val="007A55AD"/>
    <w:rsid w:val="007A5617"/>
    <w:rsid w:val="007A569C"/>
    <w:rsid w:val="007A5C59"/>
    <w:rsid w:val="007A5DBB"/>
    <w:rsid w:val="007A5E27"/>
    <w:rsid w:val="007A5E2A"/>
    <w:rsid w:val="007A5E5A"/>
    <w:rsid w:val="007A5E6A"/>
    <w:rsid w:val="007A5F48"/>
    <w:rsid w:val="007A600D"/>
    <w:rsid w:val="007A6068"/>
    <w:rsid w:val="007A60BD"/>
    <w:rsid w:val="007A61E3"/>
    <w:rsid w:val="007A6422"/>
    <w:rsid w:val="007A6423"/>
    <w:rsid w:val="007A64EA"/>
    <w:rsid w:val="007A64F6"/>
    <w:rsid w:val="007A6818"/>
    <w:rsid w:val="007A68AB"/>
    <w:rsid w:val="007A698B"/>
    <w:rsid w:val="007A6A11"/>
    <w:rsid w:val="007A6CAF"/>
    <w:rsid w:val="007A6E72"/>
    <w:rsid w:val="007A6E8E"/>
    <w:rsid w:val="007A6FCD"/>
    <w:rsid w:val="007A70C6"/>
    <w:rsid w:val="007A70ED"/>
    <w:rsid w:val="007A718E"/>
    <w:rsid w:val="007A71F2"/>
    <w:rsid w:val="007A763E"/>
    <w:rsid w:val="007A77BA"/>
    <w:rsid w:val="007A7A1A"/>
    <w:rsid w:val="007A7A49"/>
    <w:rsid w:val="007A7AF7"/>
    <w:rsid w:val="007A7DC4"/>
    <w:rsid w:val="007A7E41"/>
    <w:rsid w:val="007A7F09"/>
    <w:rsid w:val="007A7F3A"/>
    <w:rsid w:val="007B0245"/>
    <w:rsid w:val="007B02D9"/>
    <w:rsid w:val="007B039C"/>
    <w:rsid w:val="007B048E"/>
    <w:rsid w:val="007B0509"/>
    <w:rsid w:val="007B055C"/>
    <w:rsid w:val="007B063B"/>
    <w:rsid w:val="007B0660"/>
    <w:rsid w:val="007B080E"/>
    <w:rsid w:val="007B083F"/>
    <w:rsid w:val="007B0880"/>
    <w:rsid w:val="007B0B85"/>
    <w:rsid w:val="007B0C54"/>
    <w:rsid w:val="007B0C7A"/>
    <w:rsid w:val="007B0CDD"/>
    <w:rsid w:val="007B0D01"/>
    <w:rsid w:val="007B0EDE"/>
    <w:rsid w:val="007B13A7"/>
    <w:rsid w:val="007B13C4"/>
    <w:rsid w:val="007B1410"/>
    <w:rsid w:val="007B146D"/>
    <w:rsid w:val="007B15B2"/>
    <w:rsid w:val="007B1873"/>
    <w:rsid w:val="007B191D"/>
    <w:rsid w:val="007B1993"/>
    <w:rsid w:val="007B19B5"/>
    <w:rsid w:val="007B1B3C"/>
    <w:rsid w:val="007B1C87"/>
    <w:rsid w:val="007B1D9F"/>
    <w:rsid w:val="007B1DA9"/>
    <w:rsid w:val="007B1E91"/>
    <w:rsid w:val="007B1ECD"/>
    <w:rsid w:val="007B2085"/>
    <w:rsid w:val="007B2088"/>
    <w:rsid w:val="007B2158"/>
    <w:rsid w:val="007B25F7"/>
    <w:rsid w:val="007B27EF"/>
    <w:rsid w:val="007B2C49"/>
    <w:rsid w:val="007B2FDC"/>
    <w:rsid w:val="007B3229"/>
    <w:rsid w:val="007B3263"/>
    <w:rsid w:val="007B3570"/>
    <w:rsid w:val="007B357F"/>
    <w:rsid w:val="007B3828"/>
    <w:rsid w:val="007B38A0"/>
    <w:rsid w:val="007B38B7"/>
    <w:rsid w:val="007B3A09"/>
    <w:rsid w:val="007B3A19"/>
    <w:rsid w:val="007B3A63"/>
    <w:rsid w:val="007B3B5A"/>
    <w:rsid w:val="007B3BC4"/>
    <w:rsid w:val="007B3BDE"/>
    <w:rsid w:val="007B3C1B"/>
    <w:rsid w:val="007B3C2D"/>
    <w:rsid w:val="007B3C99"/>
    <w:rsid w:val="007B3E10"/>
    <w:rsid w:val="007B411A"/>
    <w:rsid w:val="007B42DB"/>
    <w:rsid w:val="007B46B1"/>
    <w:rsid w:val="007B48A5"/>
    <w:rsid w:val="007B49A7"/>
    <w:rsid w:val="007B4A69"/>
    <w:rsid w:val="007B4CBC"/>
    <w:rsid w:val="007B4F7B"/>
    <w:rsid w:val="007B4F87"/>
    <w:rsid w:val="007B517D"/>
    <w:rsid w:val="007B5198"/>
    <w:rsid w:val="007B535D"/>
    <w:rsid w:val="007B558B"/>
    <w:rsid w:val="007B57F4"/>
    <w:rsid w:val="007B583D"/>
    <w:rsid w:val="007B5884"/>
    <w:rsid w:val="007B58EE"/>
    <w:rsid w:val="007B590D"/>
    <w:rsid w:val="007B5989"/>
    <w:rsid w:val="007B5B30"/>
    <w:rsid w:val="007B5BCB"/>
    <w:rsid w:val="007B5C89"/>
    <w:rsid w:val="007B5DD2"/>
    <w:rsid w:val="007B5E4B"/>
    <w:rsid w:val="007B5E7E"/>
    <w:rsid w:val="007B5E9B"/>
    <w:rsid w:val="007B62FD"/>
    <w:rsid w:val="007B6365"/>
    <w:rsid w:val="007B63D4"/>
    <w:rsid w:val="007B6453"/>
    <w:rsid w:val="007B64B7"/>
    <w:rsid w:val="007B6684"/>
    <w:rsid w:val="007B6706"/>
    <w:rsid w:val="007B6994"/>
    <w:rsid w:val="007B69B7"/>
    <w:rsid w:val="007B6A75"/>
    <w:rsid w:val="007B6AB1"/>
    <w:rsid w:val="007B6B21"/>
    <w:rsid w:val="007B6C24"/>
    <w:rsid w:val="007B6C54"/>
    <w:rsid w:val="007B6F96"/>
    <w:rsid w:val="007B7024"/>
    <w:rsid w:val="007B75A6"/>
    <w:rsid w:val="007B7631"/>
    <w:rsid w:val="007B7738"/>
    <w:rsid w:val="007B781B"/>
    <w:rsid w:val="007B784D"/>
    <w:rsid w:val="007B78FF"/>
    <w:rsid w:val="007B7AA1"/>
    <w:rsid w:val="007B7AB9"/>
    <w:rsid w:val="007B7D19"/>
    <w:rsid w:val="007B7D3F"/>
    <w:rsid w:val="007B7D65"/>
    <w:rsid w:val="007B7FD8"/>
    <w:rsid w:val="007C0057"/>
    <w:rsid w:val="007C0066"/>
    <w:rsid w:val="007C0216"/>
    <w:rsid w:val="007C0337"/>
    <w:rsid w:val="007C0390"/>
    <w:rsid w:val="007C039F"/>
    <w:rsid w:val="007C0635"/>
    <w:rsid w:val="007C0B9E"/>
    <w:rsid w:val="007C0CAD"/>
    <w:rsid w:val="007C0D44"/>
    <w:rsid w:val="007C0D73"/>
    <w:rsid w:val="007C0E4A"/>
    <w:rsid w:val="007C10A3"/>
    <w:rsid w:val="007C1180"/>
    <w:rsid w:val="007C1409"/>
    <w:rsid w:val="007C1484"/>
    <w:rsid w:val="007C14A2"/>
    <w:rsid w:val="007C14F9"/>
    <w:rsid w:val="007C186B"/>
    <w:rsid w:val="007C1AE0"/>
    <w:rsid w:val="007C1E10"/>
    <w:rsid w:val="007C1E53"/>
    <w:rsid w:val="007C1E9E"/>
    <w:rsid w:val="007C232F"/>
    <w:rsid w:val="007C23A8"/>
    <w:rsid w:val="007C25B5"/>
    <w:rsid w:val="007C26A5"/>
    <w:rsid w:val="007C29CD"/>
    <w:rsid w:val="007C2CEC"/>
    <w:rsid w:val="007C2CF5"/>
    <w:rsid w:val="007C2EEB"/>
    <w:rsid w:val="007C2F68"/>
    <w:rsid w:val="007C300E"/>
    <w:rsid w:val="007C3058"/>
    <w:rsid w:val="007C3219"/>
    <w:rsid w:val="007C328D"/>
    <w:rsid w:val="007C336F"/>
    <w:rsid w:val="007C3378"/>
    <w:rsid w:val="007C34FB"/>
    <w:rsid w:val="007C36F1"/>
    <w:rsid w:val="007C36F9"/>
    <w:rsid w:val="007C39CC"/>
    <w:rsid w:val="007C3AC3"/>
    <w:rsid w:val="007C3D77"/>
    <w:rsid w:val="007C3FA8"/>
    <w:rsid w:val="007C3FC9"/>
    <w:rsid w:val="007C3FCB"/>
    <w:rsid w:val="007C40C0"/>
    <w:rsid w:val="007C40E1"/>
    <w:rsid w:val="007C41B1"/>
    <w:rsid w:val="007C420A"/>
    <w:rsid w:val="007C4363"/>
    <w:rsid w:val="007C45EF"/>
    <w:rsid w:val="007C4716"/>
    <w:rsid w:val="007C4770"/>
    <w:rsid w:val="007C484E"/>
    <w:rsid w:val="007C4BA9"/>
    <w:rsid w:val="007C4DE6"/>
    <w:rsid w:val="007C4F73"/>
    <w:rsid w:val="007C53D0"/>
    <w:rsid w:val="007C5598"/>
    <w:rsid w:val="007C564A"/>
    <w:rsid w:val="007C5911"/>
    <w:rsid w:val="007C59AB"/>
    <w:rsid w:val="007C5AC7"/>
    <w:rsid w:val="007C5CFA"/>
    <w:rsid w:val="007C5DD1"/>
    <w:rsid w:val="007C5E50"/>
    <w:rsid w:val="007C5F4D"/>
    <w:rsid w:val="007C5FFE"/>
    <w:rsid w:val="007C6017"/>
    <w:rsid w:val="007C6096"/>
    <w:rsid w:val="007C6152"/>
    <w:rsid w:val="007C6272"/>
    <w:rsid w:val="007C6517"/>
    <w:rsid w:val="007C65B2"/>
    <w:rsid w:val="007C6802"/>
    <w:rsid w:val="007C6812"/>
    <w:rsid w:val="007C689D"/>
    <w:rsid w:val="007C6CA0"/>
    <w:rsid w:val="007C6CCA"/>
    <w:rsid w:val="007C70FC"/>
    <w:rsid w:val="007C7101"/>
    <w:rsid w:val="007C71F2"/>
    <w:rsid w:val="007C7370"/>
    <w:rsid w:val="007C76BB"/>
    <w:rsid w:val="007C77D2"/>
    <w:rsid w:val="007C789C"/>
    <w:rsid w:val="007C78E9"/>
    <w:rsid w:val="007C792C"/>
    <w:rsid w:val="007C7984"/>
    <w:rsid w:val="007C79EC"/>
    <w:rsid w:val="007C7B17"/>
    <w:rsid w:val="007C7B2D"/>
    <w:rsid w:val="007C7BE5"/>
    <w:rsid w:val="007C7E28"/>
    <w:rsid w:val="007C7FCC"/>
    <w:rsid w:val="007D00D4"/>
    <w:rsid w:val="007D04C8"/>
    <w:rsid w:val="007D059E"/>
    <w:rsid w:val="007D0662"/>
    <w:rsid w:val="007D06EF"/>
    <w:rsid w:val="007D07A3"/>
    <w:rsid w:val="007D0826"/>
    <w:rsid w:val="007D0885"/>
    <w:rsid w:val="007D09F4"/>
    <w:rsid w:val="007D0C87"/>
    <w:rsid w:val="007D0DB0"/>
    <w:rsid w:val="007D0E98"/>
    <w:rsid w:val="007D129F"/>
    <w:rsid w:val="007D190B"/>
    <w:rsid w:val="007D1AAE"/>
    <w:rsid w:val="007D1B8E"/>
    <w:rsid w:val="007D1C34"/>
    <w:rsid w:val="007D1F3F"/>
    <w:rsid w:val="007D211D"/>
    <w:rsid w:val="007D2137"/>
    <w:rsid w:val="007D21E5"/>
    <w:rsid w:val="007D24C8"/>
    <w:rsid w:val="007D2660"/>
    <w:rsid w:val="007D27C4"/>
    <w:rsid w:val="007D2A45"/>
    <w:rsid w:val="007D2DD1"/>
    <w:rsid w:val="007D2F01"/>
    <w:rsid w:val="007D30B7"/>
    <w:rsid w:val="007D30F2"/>
    <w:rsid w:val="007D333F"/>
    <w:rsid w:val="007D3397"/>
    <w:rsid w:val="007D3482"/>
    <w:rsid w:val="007D389A"/>
    <w:rsid w:val="007D38EF"/>
    <w:rsid w:val="007D3AD0"/>
    <w:rsid w:val="007D3E58"/>
    <w:rsid w:val="007D3F2E"/>
    <w:rsid w:val="007D3F9F"/>
    <w:rsid w:val="007D40E1"/>
    <w:rsid w:val="007D4184"/>
    <w:rsid w:val="007D4241"/>
    <w:rsid w:val="007D43D0"/>
    <w:rsid w:val="007D447F"/>
    <w:rsid w:val="007D4899"/>
    <w:rsid w:val="007D49B5"/>
    <w:rsid w:val="007D4AC9"/>
    <w:rsid w:val="007D4BB8"/>
    <w:rsid w:val="007D505B"/>
    <w:rsid w:val="007D50BF"/>
    <w:rsid w:val="007D51BB"/>
    <w:rsid w:val="007D525E"/>
    <w:rsid w:val="007D52B8"/>
    <w:rsid w:val="007D52CD"/>
    <w:rsid w:val="007D55B4"/>
    <w:rsid w:val="007D5845"/>
    <w:rsid w:val="007D5B53"/>
    <w:rsid w:val="007D5C28"/>
    <w:rsid w:val="007D5D87"/>
    <w:rsid w:val="007D5DCE"/>
    <w:rsid w:val="007D6097"/>
    <w:rsid w:val="007D60F2"/>
    <w:rsid w:val="007D6291"/>
    <w:rsid w:val="007D63AB"/>
    <w:rsid w:val="007D63F6"/>
    <w:rsid w:val="007D6433"/>
    <w:rsid w:val="007D6541"/>
    <w:rsid w:val="007D665D"/>
    <w:rsid w:val="007D66A6"/>
    <w:rsid w:val="007D691A"/>
    <w:rsid w:val="007D6AC9"/>
    <w:rsid w:val="007D6E2E"/>
    <w:rsid w:val="007D6E72"/>
    <w:rsid w:val="007D6F3C"/>
    <w:rsid w:val="007D704B"/>
    <w:rsid w:val="007D70FF"/>
    <w:rsid w:val="007D7106"/>
    <w:rsid w:val="007D7148"/>
    <w:rsid w:val="007D736C"/>
    <w:rsid w:val="007D7416"/>
    <w:rsid w:val="007D7565"/>
    <w:rsid w:val="007D758F"/>
    <w:rsid w:val="007D75F9"/>
    <w:rsid w:val="007D7E57"/>
    <w:rsid w:val="007D7E8C"/>
    <w:rsid w:val="007D7ED5"/>
    <w:rsid w:val="007E033A"/>
    <w:rsid w:val="007E051F"/>
    <w:rsid w:val="007E054E"/>
    <w:rsid w:val="007E07FB"/>
    <w:rsid w:val="007E0841"/>
    <w:rsid w:val="007E0849"/>
    <w:rsid w:val="007E09AD"/>
    <w:rsid w:val="007E0B3D"/>
    <w:rsid w:val="007E1033"/>
    <w:rsid w:val="007E103F"/>
    <w:rsid w:val="007E115D"/>
    <w:rsid w:val="007E15AD"/>
    <w:rsid w:val="007E1779"/>
    <w:rsid w:val="007E17E0"/>
    <w:rsid w:val="007E1849"/>
    <w:rsid w:val="007E1BE7"/>
    <w:rsid w:val="007E1C97"/>
    <w:rsid w:val="007E1DC2"/>
    <w:rsid w:val="007E1EEE"/>
    <w:rsid w:val="007E1EF0"/>
    <w:rsid w:val="007E1F22"/>
    <w:rsid w:val="007E206C"/>
    <w:rsid w:val="007E221F"/>
    <w:rsid w:val="007E2340"/>
    <w:rsid w:val="007E2574"/>
    <w:rsid w:val="007E25ED"/>
    <w:rsid w:val="007E2684"/>
    <w:rsid w:val="007E26BE"/>
    <w:rsid w:val="007E27D2"/>
    <w:rsid w:val="007E2946"/>
    <w:rsid w:val="007E2BC0"/>
    <w:rsid w:val="007E2BDB"/>
    <w:rsid w:val="007E2BFA"/>
    <w:rsid w:val="007E2DEF"/>
    <w:rsid w:val="007E2F6E"/>
    <w:rsid w:val="007E2FD9"/>
    <w:rsid w:val="007E2FEC"/>
    <w:rsid w:val="007E31FE"/>
    <w:rsid w:val="007E32C5"/>
    <w:rsid w:val="007E3320"/>
    <w:rsid w:val="007E354D"/>
    <w:rsid w:val="007E3929"/>
    <w:rsid w:val="007E3D68"/>
    <w:rsid w:val="007E40C3"/>
    <w:rsid w:val="007E4109"/>
    <w:rsid w:val="007E432B"/>
    <w:rsid w:val="007E45A4"/>
    <w:rsid w:val="007E482A"/>
    <w:rsid w:val="007E4938"/>
    <w:rsid w:val="007E4BA5"/>
    <w:rsid w:val="007E4C52"/>
    <w:rsid w:val="007E4D6A"/>
    <w:rsid w:val="007E4E8C"/>
    <w:rsid w:val="007E4FAF"/>
    <w:rsid w:val="007E5322"/>
    <w:rsid w:val="007E5351"/>
    <w:rsid w:val="007E552A"/>
    <w:rsid w:val="007E563B"/>
    <w:rsid w:val="007E596A"/>
    <w:rsid w:val="007E59FE"/>
    <w:rsid w:val="007E5AEB"/>
    <w:rsid w:val="007E5B54"/>
    <w:rsid w:val="007E5D06"/>
    <w:rsid w:val="007E5D69"/>
    <w:rsid w:val="007E6004"/>
    <w:rsid w:val="007E62CB"/>
    <w:rsid w:val="007E6412"/>
    <w:rsid w:val="007E65CB"/>
    <w:rsid w:val="007E6700"/>
    <w:rsid w:val="007E67D9"/>
    <w:rsid w:val="007E67F1"/>
    <w:rsid w:val="007E6AA2"/>
    <w:rsid w:val="007E6B85"/>
    <w:rsid w:val="007E6C21"/>
    <w:rsid w:val="007E7152"/>
    <w:rsid w:val="007E7197"/>
    <w:rsid w:val="007E72D1"/>
    <w:rsid w:val="007E7344"/>
    <w:rsid w:val="007E73A0"/>
    <w:rsid w:val="007E7478"/>
    <w:rsid w:val="007E748F"/>
    <w:rsid w:val="007E758E"/>
    <w:rsid w:val="007E75B8"/>
    <w:rsid w:val="007E7601"/>
    <w:rsid w:val="007E769F"/>
    <w:rsid w:val="007E7B10"/>
    <w:rsid w:val="007E7B17"/>
    <w:rsid w:val="007E7C12"/>
    <w:rsid w:val="007E7C24"/>
    <w:rsid w:val="007E7C9C"/>
    <w:rsid w:val="007E7CC5"/>
    <w:rsid w:val="007E7DCD"/>
    <w:rsid w:val="007E7E08"/>
    <w:rsid w:val="007E7F15"/>
    <w:rsid w:val="007E7F56"/>
    <w:rsid w:val="007F00F0"/>
    <w:rsid w:val="007F0118"/>
    <w:rsid w:val="007F03C4"/>
    <w:rsid w:val="007F03D2"/>
    <w:rsid w:val="007F0626"/>
    <w:rsid w:val="007F06BE"/>
    <w:rsid w:val="007F07DE"/>
    <w:rsid w:val="007F0DB9"/>
    <w:rsid w:val="007F0DCD"/>
    <w:rsid w:val="007F0E3C"/>
    <w:rsid w:val="007F0E49"/>
    <w:rsid w:val="007F0ECE"/>
    <w:rsid w:val="007F0ED5"/>
    <w:rsid w:val="007F0F13"/>
    <w:rsid w:val="007F0F2A"/>
    <w:rsid w:val="007F0FF9"/>
    <w:rsid w:val="007F1013"/>
    <w:rsid w:val="007F10B1"/>
    <w:rsid w:val="007F1127"/>
    <w:rsid w:val="007F1128"/>
    <w:rsid w:val="007F11AC"/>
    <w:rsid w:val="007F135E"/>
    <w:rsid w:val="007F15AB"/>
    <w:rsid w:val="007F15CD"/>
    <w:rsid w:val="007F162E"/>
    <w:rsid w:val="007F1866"/>
    <w:rsid w:val="007F1A99"/>
    <w:rsid w:val="007F1B96"/>
    <w:rsid w:val="007F1D67"/>
    <w:rsid w:val="007F1E63"/>
    <w:rsid w:val="007F1E7B"/>
    <w:rsid w:val="007F1ED8"/>
    <w:rsid w:val="007F1F8C"/>
    <w:rsid w:val="007F23BB"/>
    <w:rsid w:val="007F250F"/>
    <w:rsid w:val="007F25D0"/>
    <w:rsid w:val="007F29B5"/>
    <w:rsid w:val="007F2A79"/>
    <w:rsid w:val="007F2B3C"/>
    <w:rsid w:val="007F2C1A"/>
    <w:rsid w:val="007F2CA7"/>
    <w:rsid w:val="007F3125"/>
    <w:rsid w:val="007F3494"/>
    <w:rsid w:val="007F3618"/>
    <w:rsid w:val="007F37C3"/>
    <w:rsid w:val="007F3885"/>
    <w:rsid w:val="007F3C52"/>
    <w:rsid w:val="007F3D77"/>
    <w:rsid w:val="007F3F37"/>
    <w:rsid w:val="007F4086"/>
    <w:rsid w:val="007F41E0"/>
    <w:rsid w:val="007F4514"/>
    <w:rsid w:val="007F4558"/>
    <w:rsid w:val="007F45C7"/>
    <w:rsid w:val="007F474D"/>
    <w:rsid w:val="007F497D"/>
    <w:rsid w:val="007F4B18"/>
    <w:rsid w:val="007F4D2B"/>
    <w:rsid w:val="007F4D38"/>
    <w:rsid w:val="007F4DBB"/>
    <w:rsid w:val="007F4FDB"/>
    <w:rsid w:val="007F5037"/>
    <w:rsid w:val="007F52DB"/>
    <w:rsid w:val="007F5A39"/>
    <w:rsid w:val="007F5BBA"/>
    <w:rsid w:val="007F5C0E"/>
    <w:rsid w:val="007F5CD8"/>
    <w:rsid w:val="007F6036"/>
    <w:rsid w:val="007F618E"/>
    <w:rsid w:val="007F647A"/>
    <w:rsid w:val="007F652F"/>
    <w:rsid w:val="007F65E2"/>
    <w:rsid w:val="007F65F5"/>
    <w:rsid w:val="007F66E1"/>
    <w:rsid w:val="007F67E9"/>
    <w:rsid w:val="007F6956"/>
    <w:rsid w:val="007F6B63"/>
    <w:rsid w:val="007F6C03"/>
    <w:rsid w:val="007F6CCC"/>
    <w:rsid w:val="007F6D02"/>
    <w:rsid w:val="007F70A3"/>
    <w:rsid w:val="007F7438"/>
    <w:rsid w:val="007F755F"/>
    <w:rsid w:val="007F761A"/>
    <w:rsid w:val="007F76B5"/>
    <w:rsid w:val="007F7A49"/>
    <w:rsid w:val="007F7AF8"/>
    <w:rsid w:val="007F7B6E"/>
    <w:rsid w:val="007F7C7B"/>
    <w:rsid w:val="007F7CC4"/>
    <w:rsid w:val="007F7DD7"/>
    <w:rsid w:val="00800104"/>
    <w:rsid w:val="00800329"/>
    <w:rsid w:val="008003A2"/>
    <w:rsid w:val="008005EE"/>
    <w:rsid w:val="0080081B"/>
    <w:rsid w:val="00800886"/>
    <w:rsid w:val="00800945"/>
    <w:rsid w:val="008009E3"/>
    <w:rsid w:val="00800B0F"/>
    <w:rsid w:val="00800B5A"/>
    <w:rsid w:val="00800B7B"/>
    <w:rsid w:val="00800B88"/>
    <w:rsid w:val="00800B9A"/>
    <w:rsid w:val="008010C5"/>
    <w:rsid w:val="0080128C"/>
    <w:rsid w:val="00801458"/>
    <w:rsid w:val="00801496"/>
    <w:rsid w:val="0080153E"/>
    <w:rsid w:val="00801966"/>
    <w:rsid w:val="00801989"/>
    <w:rsid w:val="00801BD0"/>
    <w:rsid w:val="00801C25"/>
    <w:rsid w:val="00801CA6"/>
    <w:rsid w:val="00801CFA"/>
    <w:rsid w:val="00801F3B"/>
    <w:rsid w:val="00801FB4"/>
    <w:rsid w:val="00801FBE"/>
    <w:rsid w:val="008020FA"/>
    <w:rsid w:val="008022B5"/>
    <w:rsid w:val="00802354"/>
    <w:rsid w:val="0080247B"/>
    <w:rsid w:val="00802561"/>
    <w:rsid w:val="00802D6B"/>
    <w:rsid w:val="00802E23"/>
    <w:rsid w:val="00802E6D"/>
    <w:rsid w:val="00802F4E"/>
    <w:rsid w:val="008031B0"/>
    <w:rsid w:val="00803403"/>
    <w:rsid w:val="00803445"/>
    <w:rsid w:val="0080344D"/>
    <w:rsid w:val="00803557"/>
    <w:rsid w:val="008038A9"/>
    <w:rsid w:val="00803A26"/>
    <w:rsid w:val="00803A69"/>
    <w:rsid w:val="00803CC6"/>
    <w:rsid w:val="0080400C"/>
    <w:rsid w:val="0080402C"/>
    <w:rsid w:val="00804083"/>
    <w:rsid w:val="008040A2"/>
    <w:rsid w:val="00804377"/>
    <w:rsid w:val="008045C5"/>
    <w:rsid w:val="00804632"/>
    <w:rsid w:val="0080471B"/>
    <w:rsid w:val="00804772"/>
    <w:rsid w:val="008049BC"/>
    <w:rsid w:val="00804B2A"/>
    <w:rsid w:val="00804B8A"/>
    <w:rsid w:val="00804BCD"/>
    <w:rsid w:val="00804DAB"/>
    <w:rsid w:val="00805343"/>
    <w:rsid w:val="00805383"/>
    <w:rsid w:val="008054D9"/>
    <w:rsid w:val="008054EA"/>
    <w:rsid w:val="008055AE"/>
    <w:rsid w:val="00805776"/>
    <w:rsid w:val="00805929"/>
    <w:rsid w:val="00805932"/>
    <w:rsid w:val="00805A16"/>
    <w:rsid w:val="00805AC9"/>
    <w:rsid w:val="00805AED"/>
    <w:rsid w:val="00806369"/>
    <w:rsid w:val="00806588"/>
    <w:rsid w:val="00806672"/>
    <w:rsid w:val="00806688"/>
    <w:rsid w:val="00806904"/>
    <w:rsid w:val="0080697A"/>
    <w:rsid w:val="00806B22"/>
    <w:rsid w:val="00806DFC"/>
    <w:rsid w:val="00806E8A"/>
    <w:rsid w:val="00806EEE"/>
    <w:rsid w:val="00807097"/>
    <w:rsid w:val="008071D4"/>
    <w:rsid w:val="00807217"/>
    <w:rsid w:val="008073AD"/>
    <w:rsid w:val="00807411"/>
    <w:rsid w:val="008075A3"/>
    <w:rsid w:val="00807608"/>
    <w:rsid w:val="00807621"/>
    <w:rsid w:val="00807771"/>
    <w:rsid w:val="008077C0"/>
    <w:rsid w:val="008077D4"/>
    <w:rsid w:val="008077EF"/>
    <w:rsid w:val="0080788E"/>
    <w:rsid w:val="0080793F"/>
    <w:rsid w:val="00807A3E"/>
    <w:rsid w:val="00807B5E"/>
    <w:rsid w:val="00807C5D"/>
    <w:rsid w:val="00807D16"/>
    <w:rsid w:val="00807D4E"/>
    <w:rsid w:val="00807D72"/>
    <w:rsid w:val="0081014D"/>
    <w:rsid w:val="00810162"/>
    <w:rsid w:val="00810338"/>
    <w:rsid w:val="0081096A"/>
    <w:rsid w:val="00810D71"/>
    <w:rsid w:val="00810EA7"/>
    <w:rsid w:val="00810FA2"/>
    <w:rsid w:val="0081105E"/>
    <w:rsid w:val="00811098"/>
    <w:rsid w:val="00811196"/>
    <w:rsid w:val="008111CC"/>
    <w:rsid w:val="008114CC"/>
    <w:rsid w:val="008115FE"/>
    <w:rsid w:val="008117BB"/>
    <w:rsid w:val="008118CB"/>
    <w:rsid w:val="008118CC"/>
    <w:rsid w:val="00811CBA"/>
    <w:rsid w:val="00811D73"/>
    <w:rsid w:val="008120A5"/>
    <w:rsid w:val="00812190"/>
    <w:rsid w:val="00812275"/>
    <w:rsid w:val="00812282"/>
    <w:rsid w:val="008122F5"/>
    <w:rsid w:val="00812443"/>
    <w:rsid w:val="008125BC"/>
    <w:rsid w:val="00812795"/>
    <w:rsid w:val="00812881"/>
    <w:rsid w:val="00812992"/>
    <w:rsid w:val="00812DCC"/>
    <w:rsid w:val="00812DFF"/>
    <w:rsid w:val="00812E45"/>
    <w:rsid w:val="0081334D"/>
    <w:rsid w:val="00813350"/>
    <w:rsid w:val="0081347C"/>
    <w:rsid w:val="00813493"/>
    <w:rsid w:val="008134E0"/>
    <w:rsid w:val="0081375F"/>
    <w:rsid w:val="008138BC"/>
    <w:rsid w:val="0081396E"/>
    <w:rsid w:val="008139F9"/>
    <w:rsid w:val="00813D37"/>
    <w:rsid w:val="00813DAA"/>
    <w:rsid w:val="00813EFE"/>
    <w:rsid w:val="00813F58"/>
    <w:rsid w:val="00814182"/>
    <w:rsid w:val="0081419A"/>
    <w:rsid w:val="008141C4"/>
    <w:rsid w:val="00814206"/>
    <w:rsid w:val="008144FD"/>
    <w:rsid w:val="0081455C"/>
    <w:rsid w:val="00814588"/>
    <w:rsid w:val="008145C1"/>
    <w:rsid w:val="008145FF"/>
    <w:rsid w:val="00814662"/>
    <w:rsid w:val="008148CD"/>
    <w:rsid w:val="008148CF"/>
    <w:rsid w:val="008148E4"/>
    <w:rsid w:val="008149FF"/>
    <w:rsid w:val="00814BA3"/>
    <w:rsid w:val="00814BC5"/>
    <w:rsid w:val="00814C90"/>
    <w:rsid w:val="00814D18"/>
    <w:rsid w:val="00814F28"/>
    <w:rsid w:val="00814F81"/>
    <w:rsid w:val="0081501C"/>
    <w:rsid w:val="008150F3"/>
    <w:rsid w:val="0081533B"/>
    <w:rsid w:val="00815619"/>
    <w:rsid w:val="00815777"/>
    <w:rsid w:val="008157F1"/>
    <w:rsid w:val="0081580A"/>
    <w:rsid w:val="00815949"/>
    <w:rsid w:val="00815E96"/>
    <w:rsid w:val="00815FFA"/>
    <w:rsid w:val="0081623D"/>
    <w:rsid w:val="008164DE"/>
    <w:rsid w:val="008166A2"/>
    <w:rsid w:val="0081675B"/>
    <w:rsid w:val="008168A7"/>
    <w:rsid w:val="00816B4B"/>
    <w:rsid w:val="00816BF5"/>
    <w:rsid w:val="00816D22"/>
    <w:rsid w:val="00816D86"/>
    <w:rsid w:val="00816EB6"/>
    <w:rsid w:val="00816EC2"/>
    <w:rsid w:val="00816F96"/>
    <w:rsid w:val="00817356"/>
    <w:rsid w:val="0081755F"/>
    <w:rsid w:val="00817598"/>
    <w:rsid w:val="0081770C"/>
    <w:rsid w:val="0081775A"/>
    <w:rsid w:val="008177D5"/>
    <w:rsid w:val="00817969"/>
    <w:rsid w:val="008179DF"/>
    <w:rsid w:val="00817A61"/>
    <w:rsid w:val="00817B9C"/>
    <w:rsid w:val="00817BD8"/>
    <w:rsid w:val="00817BE2"/>
    <w:rsid w:val="00817CB5"/>
    <w:rsid w:val="00817CF8"/>
    <w:rsid w:val="00817D42"/>
    <w:rsid w:val="00817E7F"/>
    <w:rsid w:val="00820001"/>
    <w:rsid w:val="00820090"/>
    <w:rsid w:val="00820436"/>
    <w:rsid w:val="00820613"/>
    <w:rsid w:val="008207B1"/>
    <w:rsid w:val="008207DF"/>
    <w:rsid w:val="00820831"/>
    <w:rsid w:val="00820DB9"/>
    <w:rsid w:val="00820E39"/>
    <w:rsid w:val="00820E59"/>
    <w:rsid w:val="008211DD"/>
    <w:rsid w:val="008212CC"/>
    <w:rsid w:val="00821506"/>
    <w:rsid w:val="0082151C"/>
    <w:rsid w:val="00821A4D"/>
    <w:rsid w:val="00821DAA"/>
    <w:rsid w:val="00821ED6"/>
    <w:rsid w:val="00821F86"/>
    <w:rsid w:val="00821FAF"/>
    <w:rsid w:val="008220D3"/>
    <w:rsid w:val="0082218D"/>
    <w:rsid w:val="008221F9"/>
    <w:rsid w:val="00822397"/>
    <w:rsid w:val="008223A6"/>
    <w:rsid w:val="00822595"/>
    <w:rsid w:val="008225A2"/>
    <w:rsid w:val="0082268C"/>
    <w:rsid w:val="00822787"/>
    <w:rsid w:val="00822795"/>
    <w:rsid w:val="0082279D"/>
    <w:rsid w:val="008228B4"/>
    <w:rsid w:val="00822961"/>
    <w:rsid w:val="008231DF"/>
    <w:rsid w:val="008232FC"/>
    <w:rsid w:val="00823352"/>
    <w:rsid w:val="008236E1"/>
    <w:rsid w:val="00823785"/>
    <w:rsid w:val="008238B5"/>
    <w:rsid w:val="00823A96"/>
    <w:rsid w:val="00823CD0"/>
    <w:rsid w:val="00823D5A"/>
    <w:rsid w:val="00824233"/>
    <w:rsid w:val="0082431A"/>
    <w:rsid w:val="008243B7"/>
    <w:rsid w:val="00824458"/>
    <w:rsid w:val="008245AE"/>
    <w:rsid w:val="00824761"/>
    <w:rsid w:val="008249F7"/>
    <w:rsid w:val="00824B2D"/>
    <w:rsid w:val="00824B74"/>
    <w:rsid w:val="00824C25"/>
    <w:rsid w:val="00824EFD"/>
    <w:rsid w:val="00824F57"/>
    <w:rsid w:val="008251BC"/>
    <w:rsid w:val="008254C3"/>
    <w:rsid w:val="0082567F"/>
    <w:rsid w:val="008258C4"/>
    <w:rsid w:val="00825BC1"/>
    <w:rsid w:val="00825D02"/>
    <w:rsid w:val="00825E0F"/>
    <w:rsid w:val="00825E60"/>
    <w:rsid w:val="00825FB4"/>
    <w:rsid w:val="008260D4"/>
    <w:rsid w:val="008262DA"/>
    <w:rsid w:val="008262DC"/>
    <w:rsid w:val="008262FA"/>
    <w:rsid w:val="00826420"/>
    <w:rsid w:val="008265E6"/>
    <w:rsid w:val="008268BE"/>
    <w:rsid w:val="008268CB"/>
    <w:rsid w:val="0082696A"/>
    <w:rsid w:val="00826B16"/>
    <w:rsid w:val="00826C09"/>
    <w:rsid w:val="00826E49"/>
    <w:rsid w:val="00826E4A"/>
    <w:rsid w:val="00827027"/>
    <w:rsid w:val="0082705D"/>
    <w:rsid w:val="00827092"/>
    <w:rsid w:val="0082716A"/>
    <w:rsid w:val="008271AC"/>
    <w:rsid w:val="00827655"/>
    <w:rsid w:val="00827920"/>
    <w:rsid w:val="00827B98"/>
    <w:rsid w:val="00827D1A"/>
    <w:rsid w:val="00827D3B"/>
    <w:rsid w:val="0083007D"/>
    <w:rsid w:val="00830236"/>
    <w:rsid w:val="0083027F"/>
    <w:rsid w:val="00830300"/>
    <w:rsid w:val="0083060B"/>
    <w:rsid w:val="0083066B"/>
    <w:rsid w:val="0083066F"/>
    <w:rsid w:val="00830733"/>
    <w:rsid w:val="00830850"/>
    <w:rsid w:val="008308FF"/>
    <w:rsid w:val="00830A82"/>
    <w:rsid w:val="00830C97"/>
    <w:rsid w:val="00830D60"/>
    <w:rsid w:val="00830DCB"/>
    <w:rsid w:val="00830E7F"/>
    <w:rsid w:val="00830E93"/>
    <w:rsid w:val="00830EFF"/>
    <w:rsid w:val="00830FBB"/>
    <w:rsid w:val="0083127E"/>
    <w:rsid w:val="0083159C"/>
    <w:rsid w:val="00831798"/>
    <w:rsid w:val="008317F8"/>
    <w:rsid w:val="00831A72"/>
    <w:rsid w:val="00831ABD"/>
    <w:rsid w:val="00831C28"/>
    <w:rsid w:val="00831D73"/>
    <w:rsid w:val="00831D9A"/>
    <w:rsid w:val="00831DEB"/>
    <w:rsid w:val="00831E26"/>
    <w:rsid w:val="00831E37"/>
    <w:rsid w:val="00831EB1"/>
    <w:rsid w:val="00831F15"/>
    <w:rsid w:val="008321FF"/>
    <w:rsid w:val="00832284"/>
    <w:rsid w:val="00832366"/>
    <w:rsid w:val="00832382"/>
    <w:rsid w:val="00832433"/>
    <w:rsid w:val="008324CA"/>
    <w:rsid w:val="00832803"/>
    <w:rsid w:val="0083282A"/>
    <w:rsid w:val="0083286F"/>
    <w:rsid w:val="008328DD"/>
    <w:rsid w:val="00832914"/>
    <w:rsid w:val="008329F6"/>
    <w:rsid w:val="00832AF9"/>
    <w:rsid w:val="00832B5B"/>
    <w:rsid w:val="00832F3A"/>
    <w:rsid w:val="00832F58"/>
    <w:rsid w:val="00833056"/>
    <w:rsid w:val="00833102"/>
    <w:rsid w:val="008331AD"/>
    <w:rsid w:val="00833258"/>
    <w:rsid w:val="0083363B"/>
    <w:rsid w:val="0083386A"/>
    <w:rsid w:val="0083398C"/>
    <w:rsid w:val="00833AD9"/>
    <w:rsid w:val="00833BA0"/>
    <w:rsid w:val="00833D54"/>
    <w:rsid w:val="00833DF0"/>
    <w:rsid w:val="00833E86"/>
    <w:rsid w:val="00834166"/>
    <w:rsid w:val="008342E9"/>
    <w:rsid w:val="00834540"/>
    <w:rsid w:val="008345DC"/>
    <w:rsid w:val="0083468A"/>
    <w:rsid w:val="008346B5"/>
    <w:rsid w:val="0083476F"/>
    <w:rsid w:val="00834C76"/>
    <w:rsid w:val="00834CF4"/>
    <w:rsid w:val="00834E48"/>
    <w:rsid w:val="008350DF"/>
    <w:rsid w:val="00835117"/>
    <w:rsid w:val="0083513D"/>
    <w:rsid w:val="00835217"/>
    <w:rsid w:val="00835360"/>
    <w:rsid w:val="0083567A"/>
    <w:rsid w:val="008356E0"/>
    <w:rsid w:val="00835A72"/>
    <w:rsid w:val="00835ADB"/>
    <w:rsid w:val="00835ADE"/>
    <w:rsid w:val="00835EC9"/>
    <w:rsid w:val="00835F79"/>
    <w:rsid w:val="008360E3"/>
    <w:rsid w:val="008360EB"/>
    <w:rsid w:val="008361BC"/>
    <w:rsid w:val="008361EF"/>
    <w:rsid w:val="00836274"/>
    <w:rsid w:val="0083635E"/>
    <w:rsid w:val="008363C2"/>
    <w:rsid w:val="008364A1"/>
    <w:rsid w:val="0083677C"/>
    <w:rsid w:val="00836864"/>
    <w:rsid w:val="008368C0"/>
    <w:rsid w:val="00836960"/>
    <w:rsid w:val="0083696E"/>
    <w:rsid w:val="00836B36"/>
    <w:rsid w:val="00836B45"/>
    <w:rsid w:val="00836B56"/>
    <w:rsid w:val="00836B90"/>
    <w:rsid w:val="00836BB9"/>
    <w:rsid w:val="00836EE1"/>
    <w:rsid w:val="008370E6"/>
    <w:rsid w:val="008370E8"/>
    <w:rsid w:val="00837227"/>
    <w:rsid w:val="0083722E"/>
    <w:rsid w:val="008372E2"/>
    <w:rsid w:val="00837310"/>
    <w:rsid w:val="00837318"/>
    <w:rsid w:val="0083751E"/>
    <w:rsid w:val="00837632"/>
    <w:rsid w:val="0083793D"/>
    <w:rsid w:val="00837AD4"/>
    <w:rsid w:val="00837BD2"/>
    <w:rsid w:val="00837C8C"/>
    <w:rsid w:val="008401BE"/>
    <w:rsid w:val="00840359"/>
    <w:rsid w:val="008404E3"/>
    <w:rsid w:val="008404FD"/>
    <w:rsid w:val="0084051C"/>
    <w:rsid w:val="008405BD"/>
    <w:rsid w:val="008407FA"/>
    <w:rsid w:val="008408CB"/>
    <w:rsid w:val="008409FA"/>
    <w:rsid w:val="00840AE6"/>
    <w:rsid w:val="00840DC4"/>
    <w:rsid w:val="00840F3B"/>
    <w:rsid w:val="0084107F"/>
    <w:rsid w:val="0084117A"/>
    <w:rsid w:val="0084130C"/>
    <w:rsid w:val="0084137A"/>
    <w:rsid w:val="00841388"/>
    <w:rsid w:val="008417F2"/>
    <w:rsid w:val="00841B1B"/>
    <w:rsid w:val="00841B78"/>
    <w:rsid w:val="00841C15"/>
    <w:rsid w:val="00841C94"/>
    <w:rsid w:val="00841EFB"/>
    <w:rsid w:val="00841F44"/>
    <w:rsid w:val="008420C4"/>
    <w:rsid w:val="008420D4"/>
    <w:rsid w:val="00842383"/>
    <w:rsid w:val="008426CB"/>
    <w:rsid w:val="00842875"/>
    <w:rsid w:val="00842A58"/>
    <w:rsid w:val="00842AF8"/>
    <w:rsid w:val="00842B2D"/>
    <w:rsid w:val="00842BAF"/>
    <w:rsid w:val="00842C82"/>
    <w:rsid w:val="00842E05"/>
    <w:rsid w:val="00842FCE"/>
    <w:rsid w:val="008432F1"/>
    <w:rsid w:val="008436D7"/>
    <w:rsid w:val="00843A10"/>
    <w:rsid w:val="00843B63"/>
    <w:rsid w:val="00843E5A"/>
    <w:rsid w:val="00843EB0"/>
    <w:rsid w:val="008440FE"/>
    <w:rsid w:val="008441A9"/>
    <w:rsid w:val="008441ED"/>
    <w:rsid w:val="0084429E"/>
    <w:rsid w:val="008442FC"/>
    <w:rsid w:val="008447F6"/>
    <w:rsid w:val="00844A21"/>
    <w:rsid w:val="00844CF7"/>
    <w:rsid w:val="00844D07"/>
    <w:rsid w:val="00845071"/>
    <w:rsid w:val="00845353"/>
    <w:rsid w:val="00845651"/>
    <w:rsid w:val="008456CB"/>
    <w:rsid w:val="0084584B"/>
    <w:rsid w:val="00845B58"/>
    <w:rsid w:val="00845B70"/>
    <w:rsid w:val="00845BF7"/>
    <w:rsid w:val="00845DA1"/>
    <w:rsid w:val="00845FFD"/>
    <w:rsid w:val="00846119"/>
    <w:rsid w:val="008462FF"/>
    <w:rsid w:val="00846378"/>
    <w:rsid w:val="0084668C"/>
    <w:rsid w:val="008466D9"/>
    <w:rsid w:val="008467FF"/>
    <w:rsid w:val="008468E9"/>
    <w:rsid w:val="008469B0"/>
    <w:rsid w:val="00846B3B"/>
    <w:rsid w:val="00846C04"/>
    <w:rsid w:val="00846CD9"/>
    <w:rsid w:val="00846DEA"/>
    <w:rsid w:val="0084725B"/>
    <w:rsid w:val="0084737C"/>
    <w:rsid w:val="0084743C"/>
    <w:rsid w:val="008474C0"/>
    <w:rsid w:val="008474E3"/>
    <w:rsid w:val="008476E7"/>
    <w:rsid w:val="00847B97"/>
    <w:rsid w:val="00847BF6"/>
    <w:rsid w:val="00847CD7"/>
    <w:rsid w:val="00847D9E"/>
    <w:rsid w:val="00847E11"/>
    <w:rsid w:val="00847EAC"/>
    <w:rsid w:val="008500EB"/>
    <w:rsid w:val="00850133"/>
    <w:rsid w:val="00850500"/>
    <w:rsid w:val="008505DD"/>
    <w:rsid w:val="008506E3"/>
    <w:rsid w:val="00850737"/>
    <w:rsid w:val="008507A9"/>
    <w:rsid w:val="00850848"/>
    <w:rsid w:val="00850893"/>
    <w:rsid w:val="00850923"/>
    <w:rsid w:val="008509FB"/>
    <w:rsid w:val="00850B1C"/>
    <w:rsid w:val="00850C48"/>
    <w:rsid w:val="00850C68"/>
    <w:rsid w:val="00850E18"/>
    <w:rsid w:val="00850EC4"/>
    <w:rsid w:val="00851146"/>
    <w:rsid w:val="0085116F"/>
    <w:rsid w:val="0085120C"/>
    <w:rsid w:val="00851243"/>
    <w:rsid w:val="00851285"/>
    <w:rsid w:val="00851301"/>
    <w:rsid w:val="00851517"/>
    <w:rsid w:val="0085159F"/>
    <w:rsid w:val="00851637"/>
    <w:rsid w:val="008516E9"/>
    <w:rsid w:val="0085171A"/>
    <w:rsid w:val="00851765"/>
    <w:rsid w:val="00851779"/>
    <w:rsid w:val="008517D4"/>
    <w:rsid w:val="00851837"/>
    <w:rsid w:val="00851896"/>
    <w:rsid w:val="008519F5"/>
    <w:rsid w:val="00851A82"/>
    <w:rsid w:val="00851AD2"/>
    <w:rsid w:val="00851C07"/>
    <w:rsid w:val="00851EC0"/>
    <w:rsid w:val="00851F16"/>
    <w:rsid w:val="00851FDD"/>
    <w:rsid w:val="008520A7"/>
    <w:rsid w:val="008521D5"/>
    <w:rsid w:val="00852324"/>
    <w:rsid w:val="00852326"/>
    <w:rsid w:val="008524AB"/>
    <w:rsid w:val="00852734"/>
    <w:rsid w:val="00852739"/>
    <w:rsid w:val="0085274F"/>
    <w:rsid w:val="00852769"/>
    <w:rsid w:val="008527ED"/>
    <w:rsid w:val="008528E9"/>
    <w:rsid w:val="0085290D"/>
    <w:rsid w:val="00853048"/>
    <w:rsid w:val="00853140"/>
    <w:rsid w:val="00853468"/>
    <w:rsid w:val="008537B0"/>
    <w:rsid w:val="008537F7"/>
    <w:rsid w:val="00853910"/>
    <w:rsid w:val="00853C20"/>
    <w:rsid w:val="00853CFD"/>
    <w:rsid w:val="00853EB5"/>
    <w:rsid w:val="00854158"/>
    <w:rsid w:val="008542EC"/>
    <w:rsid w:val="0085435C"/>
    <w:rsid w:val="00854438"/>
    <w:rsid w:val="008544DA"/>
    <w:rsid w:val="008546BE"/>
    <w:rsid w:val="00854779"/>
    <w:rsid w:val="008548BC"/>
    <w:rsid w:val="00854CE6"/>
    <w:rsid w:val="00854F61"/>
    <w:rsid w:val="0085507B"/>
    <w:rsid w:val="00855387"/>
    <w:rsid w:val="00855535"/>
    <w:rsid w:val="00855587"/>
    <w:rsid w:val="00855697"/>
    <w:rsid w:val="008557AC"/>
    <w:rsid w:val="008557F0"/>
    <w:rsid w:val="008558D1"/>
    <w:rsid w:val="00855997"/>
    <w:rsid w:val="00855A8F"/>
    <w:rsid w:val="00855D28"/>
    <w:rsid w:val="00855EBD"/>
    <w:rsid w:val="00855EDE"/>
    <w:rsid w:val="00855F22"/>
    <w:rsid w:val="00856074"/>
    <w:rsid w:val="008563D2"/>
    <w:rsid w:val="00856556"/>
    <w:rsid w:val="00856606"/>
    <w:rsid w:val="00856714"/>
    <w:rsid w:val="00856736"/>
    <w:rsid w:val="00856769"/>
    <w:rsid w:val="0085676E"/>
    <w:rsid w:val="008567F3"/>
    <w:rsid w:val="00856C94"/>
    <w:rsid w:val="00856D6B"/>
    <w:rsid w:val="00856FA7"/>
    <w:rsid w:val="00857015"/>
    <w:rsid w:val="0085702C"/>
    <w:rsid w:val="008570D9"/>
    <w:rsid w:val="0085749F"/>
    <w:rsid w:val="008574E7"/>
    <w:rsid w:val="0085764F"/>
    <w:rsid w:val="0085766D"/>
    <w:rsid w:val="0085772F"/>
    <w:rsid w:val="0085787A"/>
    <w:rsid w:val="00857949"/>
    <w:rsid w:val="00857A06"/>
    <w:rsid w:val="00857B77"/>
    <w:rsid w:val="00857BAF"/>
    <w:rsid w:val="00857C2F"/>
    <w:rsid w:val="00857CDD"/>
    <w:rsid w:val="00857D4E"/>
    <w:rsid w:val="00857DD4"/>
    <w:rsid w:val="00857F83"/>
    <w:rsid w:val="00860128"/>
    <w:rsid w:val="0086012C"/>
    <w:rsid w:val="0086012E"/>
    <w:rsid w:val="0086036D"/>
    <w:rsid w:val="008603AB"/>
    <w:rsid w:val="0086064B"/>
    <w:rsid w:val="00860856"/>
    <w:rsid w:val="00860963"/>
    <w:rsid w:val="00860A72"/>
    <w:rsid w:val="00860B4A"/>
    <w:rsid w:val="00860CF2"/>
    <w:rsid w:val="00860D30"/>
    <w:rsid w:val="00860E74"/>
    <w:rsid w:val="00861229"/>
    <w:rsid w:val="008612C3"/>
    <w:rsid w:val="0086131A"/>
    <w:rsid w:val="0086141B"/>
    <w:rsid w:val="008615DA"/>
    <w:rsid w:val="0086163C"/>
    <w:rsid w:val="008617D3"/>
    <w:rsid w:val="008618F7"/>
    <w:rsid w:val="008622C7"/>
    <w:rsid w:val="00862324"/>
    <w:rsid w:val="0086246E"/>
    <w:rsid w:val="00862488"/>
    <w:rsid w:val="0086266A"/>
    <w:rsid w:val="008629FA"/>
    <w:rsid w:val="00862A2E"/>
    <w:rsid w:val="00862AE4"/>
    <w:rsid w:val="00862C2B"/>
    <w:rsid w:val="00862FC8"/>
    <w:rsid w:val="00863018"/>
    <w:rsid w:val="0086312C"/>
    <w:rsid w:val="008631DE"/>
    <w:rsid w:val="008633F5"/>
    <w:rsid w:val="008634AD"/>
    <w:rsid w:val="0086355E"/>
    <w:rsid w:val="00863606"/>
    <w:rsid w:val="008638CB"/>
    <w:rsid w:val="008638CC"/>
    <w:rsid w:val="00863B1F"/>
    <w:rsid w:val="00863C77"/>
    <w:rsid w:val="00863D91"/>
    <w:rsid w:val="00863E6E"/>
    <w:rsid w:val="00864003"/>
    <w:rsid w:val="00864210"/>
    <w:rsid w:val="008642B9"/>
    <w:rsid w:val="00864520"/>
    <w:rsid w:val="00864B39"/>
    <w:rsid w:val="00864C77"/>
    <w:rsid w:val="00864CCD"/>
    <w:rsid w:val="00864D49"/>
    <w:rsid w:val="00864FC4"/>
    <w:rsid w:val="00865304"/>
    <w:rsid w:val="0086537C"/>
    <w:rsid w:val="008653EE"/>
    <w:rsid w:val="00865407"/>
    <w:rsid w:val="00865635"/>
    <w:rsid w:val="008659A6"/>
    <w:rsid w:val="00865CDC"/>
    <w:rsid w:val="00865D17"/>
    <w:rsid w:val="008660BE"/>
    <w:rsid w:val="00866280"/>
    <w:rsid w:val="00866308"/>
    <w:rsid w:val="008664DC"/>
    <w:rsid w:val="00866538"/>
    <w:rsid w:val="0086684E"/>
    <w:rsid w:val="0086690D"/>
    <w:rsid w:val="00866985"/>
    <w:rsid w:val="00866A49"/>
    <w:rsid w:val="00866A57"/>
    <w:rsid w:val="00866C79"/>
    <w:rsid w:val="00866D1F"/>
    <w:rsid w:val="00866D44"/>
    <w:rsid w:val="00866E00"/>
    <w:rsid w:val="00867020"/>
    <w:rsid w:val="00867245"/>
    <w:rsid w:val="008672E1"/>
    <w:rsid w:val="0086770F"/>
    <w:rsid w:val="008677CC"/>
    <w:rsid w:val="0086786F"/>
    <w:rsid w:val="00867C9B"/>
    <w:rsid w:val="00867EAA"/>
    <w:rsid w:val="00867F4D"/>
    <w:rsid w:val="008700B8"/>
    <w:rsid w:val="008700D3"/>
    <w:rsid w:val="008701AA"/>
    <w:rsid w:val="0087020B"/>
    <w:rsid w:val="008702D6"/>
    <w:rsid w:val="008707E7"/>
    <w:rsid w:val="008708AF"/>
    <w:rsid w:val="00870C89"/>
    <w:rsid w:val="00870D3F"/>
    <w:rsid w:val="00870E15"/>
    <w:rsid w:val="00870F1C"/>
    <w:rsid w:val="00871154"/>
    <w:rsid w:val="008718CE"/>
    <w:rsid w:val="00871A7C"/>
    <w:rsid w:val="00871BF1"/>
    <w:rsid w:val="0087207D"/>
    <w:rsid w:val="008720BD"/>
    <w:rsid w:val="0087218B"/>
    <w:rsid w:val="008722E0"/>
    <w:rsid w:val="0087234C"/>
    <w:rsid w:val="0087275E"/>
    <w:rsid w:val="0087277A"/>
    <w:rsid w:val="0087280F"/>
    <w:rsid w:val="0087287F"/>
    <w:rsid w:val="00872920"/>
    <w:rsid w:val="00872993"/>
    <w:rsid w:val="00872A1D"/>
    <w:rsid w:val="00872A23"/>
    <w:rsid w:val="00872A47"/>
    <w:rsid w:val="00872AED"/>
    <w:rsid w:val="00872B07"/>
    <w:rsid w:val="00872FC9"/>
    <w:rsid w:val="008734DE"/>
    <w:rsid w:val="008736E2"/>
    <w:rsid w:val="00873710"/>
    <w:rsid w:val="0087388B"/>
    <w:rsid w:val="00873B41"/>
    <w:rsid w:val="00873B82"/>
    <w:rsid w:val="00873C41"/>
    <w:rsid w:val="00873CB9"/>
    <w:rsid w:val="00873D0D"/>
    <w:rsid w:val="00873DBC"/>
    <w:rsid w:val="00873EED"/>
    <w:rsid w:val="008740B9"/>
    <w:rsid w:val="008740F5"/>
    <w:rsid w:val="008742AE"/>
    <w:rsid w:val="0087441B"/>
    <w:rsid w:val="00874565"/>
    <w:rsid w:val="00874857"/>
    <w:rsid w:val="00874A2C"/>
    <w:rsid w:val="00874B59"/>
    <w:rsid w:val="00874E52"/>
    <w:rsid w:val="00874E54"/>
    <w:rsid w:val="00874FDE"/>
    <w:rsid w:val="008750C7"/>
    <w:rsid w:val="008753A9"/>
    <w:rsid w:val="0087549B"/>
    <w:rsid w:val="008757A3"/>
    <w:rsid w:val="008758E8"/>
    <w:rsid w:val="00875AB4"/>
    <w:rsid w:val="00875B64"/>
    <w:rsid w:val="00875DC7"/>
    <w:rsid w:val="00875FDA"/>
    <w:rsid w:val="00875FF3"/>
    <w:rsid w:val="00876090"/>
    <w:rsid w:val="008763BE"/>
    <w:rsid w:val="00876421"/>
    <w:rsid w:val="008766C0"/>
    <w:rsid w:val="00876A7E"/>
    <w:rsid w:val="00876B46"/>
    <w:rsid w:val="00876CD2"/>
    <w:rsid w:val="00876CE1"/>
    <w:rsid w:val="00876E6B"/>
    <w:rsid w:val="00877247"/>
    <w:rsid w:val="00877491"/>
    <w:rsid w:val="00877820"/>
    <w:rsid w:val="008778FD"/>
    <w:rsid w:val="00877983"/>
    <w:rsid w:val="008779D8"/>
    <w:rsid w:val="00877DD3"/>
    <w:rsid w:val="00877E0C"/>
    <w:rsid w:val="00877FCB"/>
    <w:rsid w:val="00877FD1"/>
    <w:rsid w:val="00880043"/>
    <w:rsid w:val="008801AE"/>
    <w:rsid w:val="008806A0"/>
    <w:rsid w:val="00880747"/>
    <w:rsid w:val="00880AA3"/>
    <w:rsid w:val="00880B32"/>
    <w:rsid w:val="00880B54"/>
    <w:rsid w:val="00880D5C"/>
    <w:rsid w:val="00881110"/>
    <w:rsid w:val="008812B0"/>
    <w:rsid w:val="00881340"/>
    <w:rsid w:val="008814F1"/>
    <w:rsid w:val="00881538"/>
    <w:rsid w:val="00881571"/>
    <w:rsid w:val="008815BE"/>
    <w:rsid w:val="008815C0"/>
    <w:rsid w:val="008817AC"/>
    <w:rsid w:val="00881C3B"/>
    <w:rsid w:val="00881CC0"/>
    <w:rsid w:val="00881F06"/>
    <w:rsid w:val="00882633"/>
    <w:rsid w:val="00882BF4"/>
    <w:rsid w:val="00882C9C"/>
    <w:rsid w:val="00882CA8"/>
    <w:rsid w:val="00882CB4"/>
    <w:rsid w:val="00882D5C"/>
    <w:rsid w:val="00882DBB"/>
    <w:rsid w:val="00882DEC"/>
    <w:rsid w:val="00882E41"/>
    <w:rsid w:val="00882FA1"/>
    <w:rsid w:val="00882FB4"/>
    <w:rsid w:val="008830FB"/>
    <w:rsid w:val="00883115"/>
    <w:rsid w:val="00883325"/>
    <w:rsid w:val="008834A4"/>
    <w:rsid w:val="008835C7"/>
    <w:rsid w:val="00883827"/>
    <w:rsid w:val="008839D4"/>
    <w:rsid w:val="00883A2C"/>
    <w:rsid w:val="00883B8B"/>
    <w:rsid w:val="00883D0D"/>
    <w:rsid w:val="00883D1E"/>
    <w:rsid w:val="00883F3F"/>
    <w:rsid w:val="00884007"/>
    <w:rsid w:val="00884078"/>
    <w:rsid w:val="008841C8"/>
    <w:rsid w:val="008841E5"/>
    <w:rsid w:val="0088421C"/>
    <w:rsid w:val="008842D8"/>
    <w:rsid w:val="008842EC"/>
    <w:rsid w:val="008843A0"/>
    <w:rsid w:val="0088441F"/>
    <w:rsid w:val="0088445B"/>
    <w:rsid w:val="0088449B"/>
    <w:rsid w:val="0088459F"/>
    <w:rsid w:val="00884964"/>
    <w:rsid w:val="00884A9E"/>
    <w:rsid w:val="00884D34"/>
    <w:rsid w:val="00884DF9"/>
    <w:rsid w:val="00884E26"/>
    <w:rsid w:val="00885299"/>
    <w:rsid w:val="008854CF"/>
    <w:rsid w:val="00885716"/>
    <w:rsid w:val="008857DC"/>
    <w:rsid w:val="00885AAC"/>
    <w:rsid w:val="00885BD2"/>
    <w:rsid w:val="00885C1D"/>
    <w:rsid w:val="00885C5D"/>
    <w:rsid w:val="00885D6A"/>
    <w:rsid w:val="00885F82"/>
    <w:rsid w:val="0088612D"/>
    <w:rsid w:val="008862A5"/>
    <w:rsid w:val="00886385"/>
    <w:rsid w:val="008863FA"/>
    <w:rsid w:val="00886605"/>
    <w:rsid w:val="00886774"/>
    <w:rsid w:val="00886917"/>
    <w:rsid w:val="00886BD6"/>
    <w:rsid w:val="00886C78"/>
    <w:rsid w:val="00887041"/>
    <w:rsid w:val="00887140"/>
    <w:rsid w:val="0088717E"/>
    <w:rsid w:val="0088718D"/>
    <w:rsid w:val="00887342"/>
    <w:rsid w:val="008873D7"/>
    <w:rsid w:val="008875B1"/>
    <w:rsid w:val="008877E6"/>
    <w:rsid w:val="0088783D"/>
    <w:rsid w:val="0088788E"/>
    <w:rsid w:val="00887B7D"/>
    <w:rsid w:val="00887CBE"/>
    <w:rsid w:val="00887D41"/>
    <w:rsid w:val="00887F3E"/>
    <w:rsid w:val="0089007F"/>
    <w:rsid w:val="0089017F"/>
    <w:rsid w:val="0089030D"/>
    <w:rsid w:val="0089045E"/>
    <w:rsid w:val="00890465"/>
    <w:rsid w:val="008904AF"/>
    <w:rsid w:val="008904B7"/>
    <w:rsid w:val="00890640"/>
    <w:rsid w:val="00890748"/>
    <w:rsid w:val="008907EB"/>
    <w:rsid w:val="00890ACF"/>
    <w:rsid w:val="00890AF9"/>
    <w:rsid w:val="00890C86"/>
    <w:rsid w:val="00890DB7"/>
    <w:rsid w:val="00891037"/>
    <w:rsid w:val="008911BB"/>
    <w:rsid w:val="008911FA"/>
    <w:rsid w:val="00891365"/>
    <w:rsid w:val="00891531"/>
    <w:rsid w:val="0089162E"/>
    <w:rsid w:val="0089173F"/>
    <w:rsid w:val="00891913"/>
    <w:rsid w:val="008919C8"/>
    <w:rsid w:val="00891A59"/>
    <w:rsid w:val="00891AF6"/>
    <w:rsid w:val="00891B66"/>
    <w:rsid w:val="00891BC3"/>
    <w:rsid w:val="00891BEB"/>
    <w:rsid w:val="00891CCF"/>
    <w:rsid w:val="00892155"/>
    <w:rsid w:val="008922CD"/>
    <w:rsid w:val="00892403"/>
    <w:rsid w:val="008924CB"/>
    <w:rsid w:val="00892544"/>
    <w:rsid w:val="008927BB"/>
    <w:rsid w:val="00892940"/>
    <w:rsid w:val="00892985"/>
    <w:rsid w:val="00892E83"/>
    <w:rsid w:val="00892F14"/>
    <w:rsid w:val="00892F30"/>
    <w:rsid w:val="008931DF"/>
    <w:rsid w:val="008932A2"/>
    <w:rsid w:val="008932E0"/>
    <w:rsid w:val="0089340E"/>
    <w:rsid w:val="00893441"/>
    <w:rsid w:val="00893516"/>
    <w:rsid w:val="0089377E"/>
    <w:rsid w:val="008937C8"/>
    <w:rsid w:val="00893847"/>
    <w:rsid w:val="008938B6"/>
    <w:rsid w:val="0089390B"/>
    <w:rsid w:val="00893961"/>
    <w:rsid w:val="00893A29"/>
    <w:rsid w:val="00893AE5"/>
    <w:rsid w:val="00893BEA"/>
    <w:rsid w:val="00893C59"/>
    <w:rsid w:val="00893ED0"/>
    <w:rsid w:val="00893F43"/>
    <w:rsid w:val="00894053"/>
    <w:rsid w:val="008940B1"/>
    <w:rsid w:val="0089423B"/>
    <w:rsid w:val="008942D5"/>
    <w:rsid w:val="0089434C"/>
    <w:rsid w:val="00894390"/>
    <w:rsid w:val="008943DA"/>
    <w:rsid w:val="0089448A"/>
    <w:rsid w:val="008946B7"/>
    <w:rsid w:val="00894815"/>
    <w:rsid w:val="008948E5"/>
    <w:rsid w:val="00894996"/>
    <w:rsid w:val="00894998"/>
    <w:rsid w:val="00894A23"/>
    <w:rsid w:val="00894CC0"/>
    <w:rsid w:val="00894E52"/>
    <w:rsid w:val="00894EBE"/>
    <w:rsid w:val="00895014"/>
    <w:rsid w:val="00895158"/>
    <w:rsid w:val="00895450"/>
    <w:rsid w:val="00895581"/>
    <w:rsid w:val="00895C3E"/>
    <w:rsid w:val="00895DCC"/>
    <w:rsid w:val="00895E86"/>
    <w:rsid w:val="00895F5C"/>
    <w:rsid w:val="00895FD3"/>
    <w:rsid w:val="00895FFD"/>
    <w:rsid w:val="00896294"/>
    <w:rsid w:val="00896484"/>
    <w:rsid w:val="008967C4"/>
    <w:rsid w:val="008969A0"/>
    <w:rsid w:val="00896A2F"/>
    <w:rsid w:val="00896ACD"/>
    <w:rsid w:val="00896CC7"/>
    <w:rsid w:val="00896CEC"/>
    <w:rsid w:val="00896E3F"/>
    <w:rsid w:val="008971EB"/>
    <w:rsid w:val="00897360"/>
    <w:rsid w:val="00897439"/>
    <w:rsid w:val="0089746F"/>
    <w:rsid w:val="008974DB"/>
    <w:rsid w:val="008974ED"/>
    <w:rsid w:val="00897562"/>
    <w:rsid w:val="00897732"/>
    <w:rsid w:val="00897DAB"/>
    <w:rsid w:val="00897E87"/>
    <w:rsid w:val="00897FE1"/>
    <w:rsid w:val="008A009F"/>
    <w:rsid w:val="008A0374"/>
    <w:rsid w:val="008A03B9"/>
    <w:rsid w:val="008A045D"/>
    <w:rsid w:val="008A06F5"/>
    <w:rsid w:val="008A075E"/>
    <w:rsid w:val="008A07B6"/>
    <w:rsid w:val="008A08C3"/>
    <w:rsid w:val="008A0940"/>
    <w:rsid w:val="008A0993"/>
    <w:rsid w:val="008A09EA"/>
    <w:rsid w:val="008A0AB0"/>
    <w:rsid w:val="008A0D11"/>
    <w:rsid w:val="008A0D2A"/>
    <w:rsid w:val="008A0E13"/>
    <w:rsid w:val="008A0F34"/>
    <w:rsid w:val="008A0F5D"/>
    <w:rsid w:val="008A1007"/>
    <w:rsid w:val="008A10AF"/>
    <w:rsid w:val="008A11F4"/>
    <w:rsid w:val="008A12A5"/>
    <w:rsid w:val="008A12B8"/>
    <w:rsid w:val="008A130C"/>
    <w:rsid w:val="008A13A1"/>
    <w:rsid w:val="008A156E"/>
    <w:rsid w:val="008A1693"/>
    <w:rsid w:val="008A17CE"/>
    <w:rsid w:val="008A1AAD"/>
    <w:rsid w:val="008A1BAE"/>
    <w:rsid w:val="008A1D14"/>
    <w:rsid w:val="008A1D2A"/>
    <w:rsid w:val="008A1DA6"/>
    <w:rsid w:val="008A1DF0"/>
    <w:rsid w:val="008A1EA4"/>
    <w:rsid w:val="008A2046"/>
    <w:rsid w:val="008A2053"/>
    <w:rsid w:val="008A2064"/>
    <w:rsid w:val="008A208B"/>
    <w:rsid w:val="008A21A1"/>
    <w:rsid w:val="008A21D6"/>
    <w:rsid w:val="008A22A5"/>
    <w:rsid w:val="008A254F"/>
    <w:rsid w:val="008A2630"/>
    <w:rsid w:val="008A290D"/>
    <w:rsid w:val="008A29FD"/>
    <w:rsid w:val="008A2DF2"/>
    <w:rsid w:val="008A2E39"/>
    <w:rsid w:val="008A30B7"/>
    <w:rsid w:val="008A30F1"/>
    <w:rsid w:val="008A3180"/>
    <w:rsid w:val="008A3197"/>
    <w:rsid w:val="008A33D3"/>
    <w:rsid w:val="008A3468"/>
    <w:rsid w:val="008A3575"/>
    <w:rsid w:val="008A35F1"/>
    <w:rsid w:val="008A363D"/>
    <w:rsid w:val="008A36AB"/>
    <w:rsid w:val="008A384B"/>
    <w:rsid w:val="008A38C5"/>
    <w:rsid w:val="008A3969"/>
    <w:rsid w:val="008A3A5E"/>
    <w:rsid w:val="008A3A87"/>
    <w:rsid w:val="008A3BC0"/>
    <w:rsid w:val="008A3FF8"/>
    <w:rsid w:val="008A4200"/>
    <w:rsid w:val="008A424A"/>
    <w:rsid w:val="008A42F3"/>
    <w:rsid w:val="008A43C7"/>
    <w:rsid w:val="008A44E0"/>
    <w:rsid w:val="008A456B"/>
    <w:rsid w:val="008A46A0"/>
    <w:rsid w:val="008A4724"/>
    <w:rsid w:val="008A47C6"/>
    <w:rsid w:val="008A47FE"/>
    <w:rsid w:val="008A4806"/>
    <w:rsid w:val="008A48F5"/>
    <w:rsid w:val="008A48F6"/>
    <w:rsid w:val="008A4950"/>
    <w:rsid w:val="008A4A43"/>
    <w:rsid w:val="008A4A8D"/>
    <w:rsid w:val="008A4C4F"/>
    <w:rsid w:val="008A4C8A"/>
    <w:rsid w:val="008A4D5B"/>
    <w:rsid w:val="008A4D9F"/>
    <w:rsid w:val="008A4DE3"/>
    <w:rsid w:val="008A5373"/>
    <w:rsid w:val="008A538C"/>
    <w:rsid w:val="008A53E4"/>
    <w:rsid w:val="008A542B"/>
    <w:rsid w:val="008A5483"/>
    <w:rsid w:val="008A54BF"/>
    <w:rsid w:val="008A5659"/>
    <w:rsid w:val="008A565D"/>
    <w:rsid w:val="008A571D"/>
    <w:rsid w:val="008A5833"/>
    <w:rsid w:val="008A5AD8"/>
    <w:rsid w:val="008A5B3C"/>
    <w:rsid w:val="008A5C71"/>
    <w:rsid w:val="008A5CE5"/>
    <w:rsid w:val="008A5D14"/>
    <w:rsid w:val="008A5D87"/>
    <w:rsid w:val="008A5F99"/>
    <w:rsid w:val="008A6072"/>
    <w:rsid w:val="008A609C"/>
    <w:rsid w:val="008A621F"/>
    <w:rsid w:val="008A622D"/>
    <w:rsid w:val="008A62A3"/>
    <w:rsid w:val="008A6522"/>
    <w:rsid w:val="008A66E1"/>
    <w:rsid w:val="008A6745"/>
    <w:rsid w:val="008A694F"/>
    <w:rsid w:val="008A6AA1"/>
    <w:rsid w:val="008A6C47"/>
    <w:rsid w:val="008A6D11"/>
    <w:rsid w:val="008A6D5A"/>
    <w:rsid w:val="008A6F0E"/>
    <w:rsid w:val="008A6F1B"/>
    <w:rsid w:val="008A7069"/>
    <w:rsid w:val="008A70F6"/>
    <w:rsid w:val="008A71C0"/>
    <w:rsid w:val="008A72AC"/>
    <w:rsid w:val="008A73C1"/>
    <w:rsid w:val="008A7493"/>
    <w:rsid w:val="008A7539"/>
    <w:rsid w:val="008A75E4"/>
    <w:rsid w:val="008A765E"/>
    <w:rsid w:val="008A7682"/>
    <w:rsid w:val="008A76C1"/>
    <w:rsid w:val="008A7B50"/>
    <w:rsid w:val="008A7CF1"/>
    <w:rsid w:val="008B00CF"/>
    <w:rsid w:val="008B00DE"/>
    <w:rsid w:val="008B0234"/>
    <w:rsid w:val="008B0295"/>
    <w:rsid w:val="008B0345"/>
    <w:rsid w:val="008B0421"/>
    <w:rsid w:val="008B0521"/>
    <w:rsid w:val="008B06F1"/>
    <w:rsid w:val="008B097F"/>
    <w:rsid w:val="008B09CE"/>
    <w:rsid w:val="008B0C1D"/>
    <w:rsid w:val="008B0C29"/>
    <w:rsid w:val="008B0CE6"/>
    <w:rsid w:val="008B0D4E"/>
    <w:rsid w:val="008B0DFF"/>
    <w:rsid w:val="008B0F00"/>
    <w:rsid w:val="008B104E"/>
    <w:rsid w:val="008B1060"/>
    <w:rsid w:val="008B1104"/>
    <w:rsid w:val="008B1167"/>
    <w:rsid w:val="008B119A"/>
    <w:rsid w:val="008B11DE"/>
    <w:rsid w:val="008B1307"/>
    <w:rsid w:val="008B13B5"/>
    <w:rsid w:val="008B1506"/>
    <w:rsid w:val="008B1548"/>
    <w:rsid w:val="008B1641"/>
    <w:rsid w:val="008B172B"/>
    <w:rsid w:val="008B197B"/>
    <w:rsid w:val="008B19B9"/>
    <w:rsid w:val="008B1FBF"/>
    <w:rsid w:val="008B2038"/>
    <w:rsid w:val="008B21F8"/>
    <w:rsid w:val="008B2321"/>
    <w:rsid w:val="008B2376"/>
    <w:rsid w:val="008B2380"/>
    <w:rsid w:val="008B2391"/>
    <w:rsid w:val="008B253C"/>
    <w:rsid w:val="008B255E"/>
    <w:rsid w:val="008B25D2"/>
    <w:rsid w:val="008B26A2"/>
    <w:rsid w:val="008B2917"/>
    <w:rsid w:val="008B2942"/>
    <w:rsid w:val="008B2AC5"/>
    <w:rsid w:val="008B2B90"/>
    <w:rsid w:val="008B2E94"/>
    <w:rsid w:val="008B2EB8"/>
    <w:rsid w:val="008B2F3E"/>
    <w:rsid w:val="008B312F"/>
    <w:rsid w:val="008B31E5"/>
    <w:rsid w:val="008B33D0"/>
    <w:rsid w:val="008B3414"/>
    <w:rsid w:val="008B342C"/>
    <w:rsid w:val="008B348C"/>
    <w:rsid w:val="008B34DC"/>
    <w:rsid w:val="008B361F"/>
    <w:rsid w:val="008B3731"/>
    <w:rsid w:val="008B37EE"/>
    <w:rsid w:val="008B3998"/>
    <w:rsid w:val="008B39B5"/>
    <w:rsid w:val="008B3A88"/>
    <w:rsid w:val="008B3C79"/>
    <w:rsid w:val="008B3D31"/>
    <w:rsid w:val="008B3D8A"/>
    <w:rsid w:val="008B414B"/>
    <w:rsid w:val="008B4382"/>
    <w:rsid w:val="008B43E4"/>
    <w:rsid w:val="008B450A"/>
    <w:rsid w:val="008B458A"/>
    <w:rsid w:val="008B4721"/>
    <w:rsid w:val="008B488A"/>
    <w:rsid w:val="008B4A1D"/>
    <w:rsid w:val="008B4A2B"/>
    <w:rsid w:val="008B4AB6"/>
    <w:rsid w:val="008B4BFC"/>
    <w:rsid w:val="008B4D05"/>
    <w:rsid w:val="008B4D8D"/>
    <w:rsid w:val="008B4EF4"/>
    <w:rsid w:val="008B50E8"/>
    <w:rsid w:val="008B5109"/>
    <w:rsid w:val="008B5141"/>
    <w:rsid w:val="008B51B4"/>
    <w:rsid w:val="008B5230"/>
    <w:rsid w:val="008B52B8"/>
    <w:rsid w:val="008B54AC"/>
    <w:rsid w:val="008B5860"/>
    <w:rsid w:val="008B5863"/>
    <w:rsid w:val="008B5AEF"/>
    <w:rsid w:val="008B5B67"/>
    <w:rsid w:val="008B5BE7"/>
    <w:rsid w:val="008B5C91"/>
    <w:rsid w:val="008B5C98"/>
    <w:rsid w:val="008B5CA6"/>
    <w:rsid w:val="008B5D36"/>
    <w:rsid w:val="008B5D7A"/>
    <w:rsid w:val="008B5E66"/>
    <w:rsid w:val="008B61D2"/>
    <w:rsid w:val="008B61F0"/>
    <w:rsid w:val="008B624C"/>
    <w:rsid w:val="008B6388"/>
    <w:rsid w:val="008B64E5"/>
    <w:rsid w:val="008B65F1"/>
    <w:rsid w:val="008B66E3"/>
    <w:rsid w:val="008B67A0"/>
    <w:rsid w:val="008B68B5"/>
    <w:rsid w:val="008B69D8"/>
    <w:rsid w:val="008B7276"/>
    <w:rsid w:val="008B7848"/>
    <w:rsid w:val="008B78BA"/>
    <w:rsid w:val="008B7AB2"/>
    <w:rsid w:val="008B7B63"/>
    <w:rsid w:val="008B7BFF"/>
    <w:rsid w:val="008B7CDF"/>
    <w:rsid w:val="008B7CEF"/>
    <w:rsid w:val="008B7D35"/>
    <w:rsid w:val="008B7E13"/>
    <w:rsid w:val="008B7F98"/>
    <w:rsid w:val="008C0167"/>
    <w:rsid w:val="008C0178"/>
    <w:rsid w:val="008C0218"/>
    <w:rsid w:val="008C024C"/>
    <w:rsid w:val="008C02DA"/>
    <w:rsid w:val="008C0309"/>
    <w:rsid w:val="008C0335"/>
    <w:rsid w:val="008C0561"/>
    <w:rsid w:val="008C056A"/>
    <w:rsid w:val="008C0643"/>
    <w:rsid w:val="008C065B"/>
    <w:rsid w:val="008C06E9"/>
    <w:rsid w:val="008C078F"/>
    <w:rsid w:val="008C080C"/>
    <w:rsid w:val="008C0988"/>
    <w:rsid w:val="008C0A33"/>
    <w:rsid w:val="008C0A35"/>
    <w:rsid w:val="008C0A8E"/>
    <w:rsid w:val="008C0AED"/>
    <w:rsid w:val="008C0BF7"/>
    <w:rsid w:val="008C0C27"/>
    <w:rsid w:val="008C0C2C"/>
    <w:rsid w:val="008C0D83"/>
    <w:rsid w:val="008C0DA6"/>
    <w:rsid w:val="008C0F79"/>
    <w:rsid w:val="008C0F9C"/>
    <w:rsid w:val="008C1192"/>
    <w:rsid w:val="008C1317"/>
    <w:rsid w:val="008C15A6"/>
    <w:rsid w:val="008C15B2"/>
    <w:rsid w:val="008C1674"/>
    <w:rsid w:val="008C1680"/>
    <w:rsid w:val="008C1713"/>
    <w:rsid w:val="008C1BEE"/>
    <w:rsid w:val="008C1C5F"/>
    <w:rsid w:val="008C1D46"/>
    <w:rsid w:val="008C1E05"/>
    <w:rsid w:val="008C1F54"/>
    <w:rsid w:val="008C1FE8"/>
    <w:rsid w:val="008C2068"/>
    <w:rsid w:val="008C2143"/>
    <w:rsid w:val="008C233E"/>
    <w:rsid w:val="008C2360"/>
    <w:rsid w:val="008C2484"/>
    <w:rsid w:val="008C248B"/>
    <w:rsid w:val="008C24C8"/>
    <w:rsid w:val="008C2703"/>
    <w:rsid w:val="008C279F"/>
    <w:rsid w:val="008C27E3"/>
    <w:rsid w:val="008C2862"/>
    <w:rsid w:val="008C289B"/>
    <w:rsid w:val="008C2913"/>
    <w:rsid w:val="008C2A7E"/>
    <w:rsid w:val="008C2A98"/>
    <w:rsid w:val="008C2C11"/>
    <w:rsid w:val="008C2D82"/>
    <w:rsid w:val="008C2ECE"/>
    <w:rsid w:val="008C3044"/>
    <w:rsid w:val="008C30D1"/>
    <w:rsid w:val="008C3222"/>
    <w:rsid w:val="008C3473"/>
    <w:rsid w:val="008C3483"/>
    <w:rsid w:val="008C34BB"/>
    <w:rsid w:val="008C34FF"/>
    <w:rsid w:val="008C368D"/>
    <w:rsid w:val="008C3732"/>
    <w:rsid w:val="008C3839"/>
    <w:rsid w:val="008C3870"/>
    <w:rsid w:val="008C3AD5"/>
    <w:rsid w:val="008C3B49"/>
    <w:rsid w:val="008C401B"/>
    <w:rsid w:val="008C40AA"/>
    <w:rsid w:val="008C4147"/>
    <w:rsid w:val="008C4300"/>
    <w:rsid w:val="008C4420"/>
    <w:rsid w:val="008C44B9"/>
    <w:rsid w:val="008C45E2"/>
    <w:rsid w:val="008C4635"/>
    <w:rsid w:val="008C47CE"/>
    <w:rsid w:val="008C4845"/>
    <w:rsid w:val="008C49BB"/>
    <w:rsid w:val="008C4BC7"/>
    <w:rsid w:val="008C4C53"/>
    <w:rsid w:val="008C4C6F"/>
    <w:rsid w:val="008C4DAD"/>
    <w:rsid w:val="008C4F38"/>
    <w:rsid w:val="008C52EA"/>
    <w:rsid w:val="008C544A"/>
    <w:rsid w:val="008C5615"/>
    <w:rsid w:val="008C575F"/>
    <w:rsid w:val="008C582F"/>
    <w:rsid w:val="008C5A18"/>
    <w:rsid w:val="008C5B05"/>
    <w:rsid w:val="008C5BDE"/>
    <w:rsid w:val="008C5C55"/>
    <w:rsid w:val="008C5EF5"/>
    <w:rsid w:val="008C615A"/>
    <w:rsid w:val="008C61A8"/>
    <w:rsid w:val="008C61AA"/>
    <w:rsid w:val="008C660B"/>
    <w:rsid w:val="008C668B"/>
    <w:rsid w:val="008C66C7"/>
    <w:rsid w:val="008C671F"/>
    <w:rsid w:val="008C67F7"/>
    <w:rsid w:val="008C6923"/>
    <w:rsid w:val="008C6947"/>
    <w:rsid w:val="008C695D"/>
    <w:rsid w:val="008C6E2E"/>
    <w:rsid w:val="008C6F87"/>
    <w:rsid w:val="008C72B7"/>
    <w:rsid w:val="008C73B5"/>
    <w:rsid w:val="008C769A"/>
    <w:rsid w:val="008C76F4"/>
    <w:rsid w:val="008C7717"/>
    <w:rsid w:val="008C7758"/>
    <w:rsid w:val="008C785A"/>
    <w:rsid w:val="008C78D6"/>
    <w:rsid w:val="008C79A8"/>
    <w:rsid w:val="008C79BF"/>
    <w:rsid w:val="008C7BFD"/>
    <w:rsid w:val="008C7E12"/>
    <w:rsid w:val="008C7F04"/>
    <w:rsid w:val="008D0217"/>
    <w:rsid w:val="008D035D"/>
    <w:rsid w:val="008D0649"/>
    <w:rsid w:val="008D067D"/>
    <w:rsid w:val="008D079D"/>
    <w:rsid w:val="008D093D"/>
    <w:rsid w:val="008D09BA"/>
    <w:rsid w:val="008D0C9B"/>
    <w:rsid w:val="008D0E29"/>
    <w:rsid w:val="008D0E9E"/>
    <w:rsid w:val="008D0FF3"/>
    <w:rsid w:val="008D115B"/>
    <w:rsid w:val="008D1192"/>
    <w:rsid w:val="008D1202"/>
    <w:rsid w:val="008D129B"/>
    <w:rsid w:val="008D13A9"/>
    <w:rsid w:val="008D13ED"/>
    <w:rsid w:val="008D1413"/>
    <w:rsid w:val="008D1491"/>
    <w:rsid w:val="008D14A0"/>
    <w:rsid w:val="008D15BA"/>
    <w:rsid w:val="008D169A"/>
    <w:rsid w:val="008D16F2"/>
    <w:rsid w:val="008D1B21"/>
    <w:rsid w:val="008D1B31"/>
    <w:rsid w:val="008D1C5C"/>
    <w:rsid w:val="008D1CF8"/>
    <w:rsid w:val="008D1D43"/>
    <w:rsid w:val="008D1DF4"/>
    <w:rsid w:val="008D1EF4"/>
    <w:rsid w:val="008D23F9"/>
    <w:rsid w:val="008D2666"/>
    <w:rsid w:val="008D268E"/>
    <w:rsid w:val="008D2704"/>
    <w:rsid w:val="008D276A"/>
    <w:rsid w:val="008D2944"/>
    <w:rsid w:val="008D2A1C"/>
    <w:rsid w:val="008D2FA5"/>
    <w:rsid w:val="008D3132"/>
    <w:rsid w:val="008D3163"/>
    <w:rsid w:val="008D31E2"/>
    <w:rsid w:val="008D3432"/>
    <w:rsid w:val="008D34A3"/>
    <w:rsid w:val="008D3538"/>
    <w:rsid w:val="008D3726"/>
    <w:rsid w:val="008D3836"/>
    <w:rsid w:val="008D388D"/>
    <w:rsid w:val="008D3A6D"/>
    <w:rsid w:val="008D3CA4"/>
    <w:rsid w:val="008D3CCC"/>
    <w:rsid w:val="008D3D9D"/>
    <w:rsid w:val="008D3DBC"/>
    <w:rsid w:val="008D3F0F"/>
    <w:rsid w:val="008D3F6F"/>
    <w:rsid w:val="008D40D5"/>
    <w:rsid w:val="008D40E0"/>
    <w:rsid w:val="008D42E1"/>
    <w:rsid w:val="008D43B1"/>
    <w:rsid w:val="008D4453"/>
    <w:rsid w:val="008D4479"/>
    <w:rsid w:val="008D44FD"/>
    <w:rsid w:val="008D45CE"/>
    <w:rsid w:val="008D4636"/>
    <w:rsid w:val="008D46C9"/>
    <w:rsid w:val="008D47F2"/>
    <w:rsid w:val="008D489D"/>
    <w:rsid w:val="008D48B8"/>
    <w:rsid w:val="008D48D2"/>
    <w:rsid w:val="008D4A3D"/>
    <w:rsid w:val="008D4BFC"/>
    <w:rsid w:val="008D4CB0"/>
    <w:rsid w:val="008D51C8"/>
    <w:rsid w:val="008D525C"/>
    <w:rsid w:val="008D52F7"/>
    <w:rsid w:val="008D5466"/>
    <w:rsid w:val="008D5507"/>
    <w:rsid w:val="008D559E"/>
    <w:rsid w:val="008D59D9"/>
    <w:rsid w:val="008D59DB"/>
    <w:rsid w:val="008D59E9"/>
    <w:rsid w:val="008D5B28"/>
    <w:rsid w:val="008D5C00"/>
    <w:rsid w:val="008D5D60"/>
    <w:rsid w:val="008D5D89"/>
    <w:rsid w:val="008D5DB4"/>
    <w:rsid w:val="008D5E2A"/>
    <w:rsid w:val="008D60FE"/>
    <w:rsid w:val="008D638F"/>
    <w:rsid w:val="008D6397"/>
    <w:rsid w:val="008D6492"/>
    <w:rsid w:val="008D6536"/>
    <w:rsid w:val="008D67C0"/>
    <w:rsid w:val="008D6B7D"/>
    <w:rsid w:val="008D6DE7"/>
    <w:rsid w:val="008D6E2A"/>
    <w:rsid w:val="008D6E53"/>
    <w:rsid w:val="008D6F51"/>
    <w:rsid w:val="008D6FEC"/>
    <w:rsid w:val="008D7341"/>
    <w:rsid w:val="008D73C9"/>
    <w:rsid w:val="008D74DF"/>
    <w:rsid w:val="008D7503"/>
    <w:rsid w:val="008D76F0"/>
    <w:rsid w:val="008D772C"/>
    <w:rsid w:val="008D78B0"/>
    <w:rsid w:val="008D79E5"/>
    <w:rsid w:val="008D7AD0"/>
    <w:rsid w:val="008D7DFD"/>
    <w:rsid w:val="008D7E02"/>
    <w:rsid w:val="008D7F48"/>
    <w:rsid w:val="008E0084"/>
    <w:rsid w:val="008E010F"/>
    <w:rsid w:val="008E01B8"/>
    <w:rsid w:val="008E02B1"/>
    <w:rsid w:val="008E036A"/>
    <w:rsid w:val="008E039B"/>
    <w:rsid w:val="008E0462"/>
    <w:rsid w:val="008E04DB"/>
    <w:rsid w:val="008E06DC"/>
    <w:rsid w:val="008E0AB4"/>
    <w:rsid w:val="008E0B2B"/>
    <w:rsid w:val="008E0EBC"/>
    <w:rsid w:val="008E0EEA"/>
    <w:rsid w:val="008E1080"/>
    <w:rsid w:val="008E115F"/>
    <w:rsid w:val="008E1258"/>
    <w:rsid w:val="008E1429"/>
    <w:rsid w:val="008E14A1"/>
    <w:rsid w:val="008E1674"/>
    <w:rsid w:val="008E16BF"/>
    <w:rsid w:val="008E17F8"/>
    <w:rsid w:val="008E1B0D"/>
    <w:rsid w:val="008E1C33"/>
    <w:rsid w:val="008E1C65"/>
    <w:rsid w:val="008E1DD8"/>
    <w:rsid w:val="008E2012"/>
    <w:rsid w:val="008E2039"/>
    <w:rsid w:val="008E20C3"/>
    <w:rsid w:val="008E21C5"/>
    <w:rsid w:val="008E244E"/>
    <w:rsid w:val="008E277C"/>
    <w:rsid w:val="008E2792"/>
    <w:rsid w:val="008E2E94"/>
    <w:rsid w:val="008E2FD9"/>
    <w:rsid w:val="008E2FF3"/>
    <w:rsid w:val="008E3049"/>
    <w:rsid w:val="008E3196"/>
    <w:rsid w:val="008E3286"/>
    <w:rsid w:val="008E328E"/>
    <w:rsid w:val="008E3375"/>
    <w:rsid w:val="008E34AD"/>
    <w:rsid w:val="008E35A3"/>
    <w:rsid w:val="008E3682"/>
    <w:rsid w:val="008E37DF"/>
    <w:rsid w:val="008E383E"/>
    <w:rsid w:val="008E3A82"/>
    <w:rsid w:val="008E3CE4"/>
    <w:rsid w:val="008E402E"/>
    <w:rsid w:val="008E4272"/>
    <w:rsid w:val="008E42A7"/>
    <w:rsid w:val="008E4407"/>
    <w:rsid w:val="008E48A0"/>
    <w:rsid w:val="008E4BBA"/>
    <w:rsid w:val="008E4E8C"/>
    <w:rsid w:val="008E4EB8"/>
    <w:rsid w:val="008E4FA5"/>
    <w:rsid w:val="008E508F"/>
    <w:rsid w:val="008E542C"/>
    <w:rsid w:val="008E54E2"/>
    <w:rsid w:val="008E5510"/>
    <w:rsid w:val="008E579C"/>
    <w:rsid w:val="008E5A6A"/>
    <w:rsid w:val="008E5B36"/>
    <w:rsid w:val="008E5D7A"/>
    <w:rsid w:val="008E5DA8"/>
    <w:rsid w:val="008E61B6"/>
    <w:rsid w:val="008E6420"/>
    <w:rsid w:val="008E6472"/>
    <w:rsid w:val="008E64A4"/>
    <w:rsid w:val="008E6546"/>
    <w:rsid w:val="008E662E"/>
    <w:rsid w:val="008E669A"/>
    <w:rsid w:val="008E6844"/>
    <w:rsid w:val="008E6908"/>
    <w:rsid w:val="008E6E3C"/>
    <w:rsid w:val="008E7046"/>
    <w:rsid w:val="008E713F"/>
    <w:rsid w:val="008E7274"/>
    <w:rsid w:val="008E735C"/>
    <w:rsid w:val="008E73BA"/>
    <w:rsid w:val="008E7622"/>
    <w:rsid w:val="008E76CD"/>
    <w:rsid w:val="008E778E"/>
    <w:rsid w:val="008E77E0"/>
    <w:rsid w:val="008E79CC"/>
    <w:rsid w:val="008E7BB7"/>
    <w:rsid w:val="008E7BE8"/>
    <w:rsid w:val="008E7C64"/>
    <w:rsid w:val="008E7CEE"/>
    <w:rsid w:val="008E7EC1"/>
    <w:rsid w:val="008E7EDE"/>
    <w:rsid w:val="008E7F45"/>
    <w:rsid w:val="008E7FCB"/>
    <w:rsid w:val="008F0069"/>
    <w:rsid w:val="008F00C3"/>
    <w:rsid w:val="008F00FF"/>
    <w:rsid w:val="008F01AB"/>
    <w:rsid w:val="008F046F"/>
    <w:rsid w:val="008F0512"/>
    <w:rsid w:val="008F0562"/>
    <w:rsid w:val="008F05CD"/>
    <w:rsid w:val="008F05F2"/>
    <w:rsid w:val="008F0743"/>
    <w:rsid w:val="008F0766"/>
    <w:rsid w:val="008F0998"/>
    <w:rsid w:val="008F0A11"/>
    <w:rsid w:val="008F0C61"/>
    <w:rsid w:val="008F0C75"/>
    <w:rsid w:val="008F0D19"/>
    <w:rsid w:val="008F0E4B"/>
    <w:rsid w:val="008F0E70"/>
    <w:rsid w:val="008F0E82"/>
    <w:rsid w:val="008F0EBB"/>
    <w:rsid w:val="008F13A0"/>
    <w:rsid w:val="008F13A7"/>
    <w:rsid w:val="008F1587"/>
    <w:rsid w:val="008F1AB5"/>
    <w:rsid w:val="008F1B0B"/>
    <w:rsid w:val="008F1BC0"/>
    <w:rsid w:val="008F1BD8"/>
    <w:rsid w:val="008F1CDA"/>
    <w:rsid w:val="008F1E97"/>
    <w:rsid w:val="008F1F87"/>
    <w:rsid w:val="008F24D2"/>
    <w:rsid w:val="008F260B"/>
    <w:rsid w:val="008F2649"/>
    <w:rsid w:val="008F312F"/>
    <w:rsid w:val="008F342D"/>
    <w:rsid w:val="008F344F"/>
    <w:rsid w:val="008F354B"/>
    <w:rsid w:val="008F3638"/>
    <w:rsid w:val="008F3700"/>
    <w:rsid w:val="008F3931"/>
    <w:rsid w:val="008F3981"/>
    <w:rsid w:val="008F39E8"/>
    <w:rsid w:val="008F39F5"/>
    <w:rsid w:val="008F3A62"/>
    <w:rsid w:val="008F3A76"/>
    <w:rsid w:val="008F3BE4"/>
    <w:rsid w:val="008F3DE7"/>
    <w:rsid w:val="008F3EBD"/>
    <w:rsid w:val="008F4170"/>
    <w:rsid w:val="008F4568"/>
    <w:rsid w:val="008F46F1"/>
    <w:rsid w:val="008F473C"/>
    <w:rsid w:val="008F4981"/>
    <w:rsid w:val="008F4A83"/>
    <w:rsid w:val="008F4B42"/>
    <w:rsid w:val="008F4EDF"/>
    <w:rsid w:val="008F4F07"/>
    <w:rsid w:val="008F4F3F"/>
    <w:rsid w:val="008F5044"/>
    <w:rsid w:val="008F5193"/>
    <w:rsid w:val="008F5344"/>
    <w:rsid w:val="008F5511"/>
    <w:rsid w:val="008F55FA"/>
    <w:rsid w:val="008F5707"/>
    <w:rsid w:val="008F58BA"/>
    <w:rsid w:val="008F5A07"/>
    <w:rsid w:val="008F5CB7"/>
    <w:rsid w:val="008F5EEC"/>
    <w:rsid w:val="008F5F04"/>
    <w:rsid w:val="008F60A5"/>
    <w:rsid w:val="008F6191"/>
    <w:rsid w:val="008F61AE"/>
    <w:rsid w:val="008F63B3"/>
    <w:rsid w:val="008F6412"/>
    <w:rsid w:val="008F6460"/>
    <w:rsid w:val="008F647A"/>
    <w:rsid w:val="008F649F"/>
    <w:rsid w:val="008F64E9"/>
    <w:rsid w:val="008F65ED"/>
    <w:rsid w:val="008F6664"/>
    <w:rsid w:val="008F684B"/>
    <w:rsid w:val="008F6896"/>
    <w:rsid w:val="008F68B5"/>
    <w:rsid w:val="008F6A3D"/>
    <w:rsid w:val="008F6B8A"/>
    <w:rsid w:val="008F6CE9"/>
    <w:rsid w:val="008F6F20"/>
    <w:rsid w:val="008F6F65"/>
    <w:rsid w:val="008F6FE7"/>
    <w:rsid w:val="008F7134"/>
    <w:rsid w:val="008F7883"/>
    <w:rsid w:val="008F7A78"/>
    <w:rsid w:val="008F7B15"/>
    <w:rsid w:val="008F7C74"/>
    <w:rsid w:val="008F7C7F"/>
    <w:rsid w:val="008F7CB8"/>
    <w:rsid w:val="008F7CE5"/>
    <w:rsid w:val="00900419"/>
    <w:rsid w:val="009005E7"/>
    <w:rsid w:val="0090061F"/>
    <w:rsid w:val="009007B2"/>
    <w:rsid w:val="00900824"/>
    <w:rsid w:val="00900904"/>
    <w:rsid w:val="00900D5B"/>
    <w:rsid w:val="00900D98"/>
    <w:rsid w:val="009012D5"/>
    <w:rsid w:val="0090148B"/>
    <w:rsid w:val="009014CB"/>
    <w:rsid w:val="009019FD"/>
    <w:rsid w:val="00901ABF"/>
    <w:rsid w:val="00901AEA"/>
    <w:rsid w:val="00901CDD"/>
    <w:rsid w:val="00901F01"/>
    <w:rsid w:val="0090208B"/>
    <w:rsid w:val="009021BF"/>
    <w:rsid w:val="009022CF"/>
    <w:rsid w:val="009025CC"/>
    <w:rsid w:val="00902660"/>
    <w:rsid w:val="0090275B"/>
    <w:rsid w:val="0090297B"/>
    <w:rsid w:val="00902BAA"/>
    <w:rsid w:val="00902E34"/>
    <w:rsid w:val="00903128"/>
    <w:rsid w:val="00903937"/>
    <w:rsid w:val="00903B84"/>
    <w:rsid w:val="00903C9F"/>
    <w:rsid w:val="00903CC6"/>
    <w:rsid w:val="00903F08"/>
    <w:rsid w:val="00903F8C"/>
    <w:rsid w:val="0090404F"/>
    <w:rsid w:val="009040D4"/>
    <w:rsid w:val="00904239"/>
    <w:rsid w:val="00904567"/>
    <w:rsid w:val="00904A22"/>
    <w:rsid w:val="00904A3C"/>
    <w:rsid w:val="00904B78"/>
    <w:rsid w:val="00904BAF"/>
    <w:rsid w:val="00904BF2"/>
    <w:rsid w:val="00904C62"/>
    <w:rsid w:val="00904CB8"/>
    <w:rsid w:val="00904E1A"/>
    <w:rsid w:val="00904EF8"/>
    <w:rsid w:val="00904F10"/>
    <w:rsid w:val="00905013"/>
    <w:rsid w:val="0090511F"/>
    <w:rsid w:val="00905218"/>
    <w:rsid w:val="00905302"/>
    <w:rsid w:val="00905745"/>
    <w:rsid w:val="00905813"/>
    <w:rsid w:val="00905830"/>
    <w:rsid w:val="009058CA"/>
    <w:rsid w:val="00905CD9"/>
    <w:rsid w:val="00905E3F"/>
    <w:rsid w:val="00905E42"/>
    <w:rsid w:val="00905FC1"/>
    <w:rsid w:val="00906049"/>
    <w:rsid w:val="0090604A"/>
    <w:rsid w:val="00906118"/>
    <w:rsid w:val="00906156"/>
    <w:rsid w:val="009062C9"/>
    <w:rsid w:val="00906473"/>
    <w:rsid w:val="009064DA"/>
    <w:rsid w:val="00906539"/>
    <w:rsid w:val="009066AD"/>
    <w:rsid w:val="0090684F"/>
    <w:rsid w:val="00906D26"/>
    <w:rsid w:val="00906DA0"/>
    <w:rsid w:val="00906DD2"/>
    <w:rsid w:val="00906DDF"/>
    <w:rsid w:val="00906E65"/>
    <w:rsid w:val="00907034"/>
    <w:rsid w:val="00907229"/>
    <w:rsid w:val="00907244"/>
    <w:rsid w:val="0090744F"/>
    <w:rsid w:val="0090766B"/>
    <w:rsid w:val="009077F9"/>
    <w:rsid w:val="00907890"/>
    <w:rsid w:val="00907A32"/>
    <w:rsid w:val="00907B7A"/>
    <w:rsid w:val="00907B94"/>
    <w:rsid w:val="00907D63"/>
    <w:rsid w:val="00907D86"/>
    <w:rsid w:val="00910107"/>
    <w:rsid w:val="00910327"/>
    <w:rsid w:val="009103E1"/>
    <w:rsid w:val="009104C5"/>
    <w:rsid w:val="00910521"/>
    <w:rsid w:val="00910631"/>
    <w:rsid w:val="009106F5"/>
    <w:rsid w:val="009108FF"/>
    <w:rsid w:val="00910AA3"/>
    <w:rsid w:val="00910C84"/>
    <w:rsid w:val="00910D5E"/>
    <w:rsid w:val="009111C2"/>
    <w:rsid w:val="0091131D"/>
    <w:rsid w:val="00911508"/>
    <w:rsid w:val="00911567"/>
    <w:rsid w:val="0091185D"/>
    <w:rsid w:val="00911B72"/>
    <w:rsid w:val="00911B7A"/>
    <w:rsid w:val="00911CE1"/>
    <w:rsid w:val="00911D7E"/>
    <w:rsid w:val="00911E59"/>
    <w:rsid w:val="00912030"/>
    <w:rsid w:val="00912082"/>
    <w:rsid w:val="009120E0"/>
    <w:rsid w:val="00912178"/>
    <w:rsid w:val="00912340"/>
    <w:rsid w:val="0091248E"/>
    <w:rsid w:val="00912495"/>
    <w:rsid w:val="00912532"/>
    <w:rsid w:val="0091255F"/>
    <w:rsid w:val="00912742"/>
    <w:rsid w:val="00912751"/>
    <w:rsid w:val="00912826"/>
    <w:rsid w:val="00912AE3"/>
    <w:rsid w:val="00912E6C"/>
    <w:rsid w:val="00913022"/>
    <w:rsid w:val="009130D4"/>
    <w:rsid w:val="009130E4"/>
    <w:rsid w:val="00913164"/>
    <w:rsid w:val="00913358"/>
    <w:rsid w:val="00913686"/>
    <w:rsid w:val="00913706"/>
    <w:rsid w:val="009138A7"/>
    <w:rsid w:val="009138B9"/>
    <w:rsid w:val="00913B73"/>
    <w:rsid w:val="00913BD4"/>
    <w:rsid w:val="00913CAC"/>
    <w:rsid w:val="0091445C"/>
    <w:rsid w:val="0091447D"/>
    <w:rsid w:val="009144D5"/>
    <w:rsid w:val="00914579"/>
    <w:rsid w:val="009145D4"/>
    <w:rsid w:val="00914727"/>
    <w:rsid w:val="00914AB1"/>
    <w:rsid w:val="00914EBE"/>
    <w:rsid w:val="00914F8D"/>
    <w:rsid w:val="00914FD9"/>
    <w:rsid w:val="0091502C"/>
    <w:rsid w:val="009150A8"/>
    <w:rsid w:val="009151C8"/>
    <w:rsid w:val="00915385"/>
    <w:rsid w:val="009153E2"/>
    <w:rsid w:val="0091591B"/>
    <w:rsid w:val="00915B58"/>
    <w:rsid w:val="00915B95"/>
    <w:rsid w:val="00915B9B"/>
    <w:rsid w:val="00915BA3"/>
    <w:rsid w:val="00915D6A"/>
    <w:rsid w:val="00915E3C"/>
    <w:rsid w:val="00915F6A"/>
    <w:rsid w:val="00915F98"/>
    <w:rsid w:val="00915FA3"/>
    <w:rsid w:val="00915FD4"/>
    <w:rsid w:val="00916143"/>
    <w:rsid w:val="009161E4"/>
    <w:rsid w:val="009162DB"/>
    <w:rsid w:val="0091648F"/>
    <w:rsid w:val="009166A7"/>
    <w:rsid w:val="0091670E"/>
    <w:rsid w:val="00916939"/>
    <w:rsid w:val="00916FED"/>
    <w:rsid w:val="00917096"/>
    <w:rsid w:val="0091732A"/>
    <w:rsid w:val="0091759E"/>
    <w:rsid w:val="00917645"/>
    <w:rsid w:val="00917710"/>
    <w:rsid w:val="00917772"/>
    <w:rsid w:val="0091782E"/>
    <w:rsid w:val="009178E3"/>
    <w:rsid w:val="00917B17"/>
    <w:rsid w:val="00917B21"/>
    <w:rsid w:val="00917BC9"/>
    <w:rsid w:val="00917DAD"/>
    <w:rsid w:val="00917DB8"/>
    <w:rsid w:val="00917E0B"/>
    <w:rsid w:val="00917F29"/>
    <w:rsid w:val="00920142"/>
    <w:rsid w:val="0092022A"/>
    <w:rsid w:val="00920248"/>
    <w:rsid w:val="00920440"/>
    <w:rsid w:val="009205D5"/>
    <w:rsid w:val="00920960"/>
    <w:rsid w:val="00920A27"/>
    <w:rsid w:val="00920B93"/>
    <w:rsid w:val="00920E55"/>
    <w:rsid w:val="00921299"/>
    <w:rsid w:val="009216D0"/>
    <w:rsid w:val="00921734"/>
    <w:rsid w:val="009217F8"/>
    <w:rsid w:val="0092192C"/>
    <w:rsid w:val="00921BD5"/>
    <w:rsid w:val="00921D1A"/>
    <w:rsid w:val="00921DE8"/>
    <w:rsid w:val="00921F22"/>
    <w:rsid w:val="0092214C"/>
    <w:rsid w:val="00922214"/>
    <w:rsid w:val="009224E8"/>
    <w:rsid w:val="0092271F"/>
    <w:rsid w:val="009229F4"/>
    <w:rsid w:val="00922A59"/>
    <w:rsid w:val="00922B10"/>
    <w:rsid w:val="00922CC1"/>
    <w:rsid w:val="00922CE6"/>
    <w:rsid w:val="00922D5D"/>
    <w:rsid w:val="00922D84"/>
    <w:rsid w:val="00922EEB"/>
    <w:rsid w:val="00922F99"/>
    <w:rsid w:val="00923041"/>
    <w:rsid w:val="009230E4"/>
    <w:rsid w:val="0092326C"/>
    <w:rsid w:val="00923329"/>
    <w:rsid w:val="009234C1"/>
    <w:rsid w:val="0092364B"/>
    <w:rsid w:val="00923653"/>
    <w:rsid w:val="00923677"/>
    <w:rsid w:val="009236F0"/>
    <w:rsid w:val="00923A27"/>
    <w:rsid w:val="00923AD0"/>
    <w:rsid w:val="00923AF5"/>
    <w:rsid w:val="00923B0A"/>
    <w:rsid w:val="00923C85"/>
    <w:rsid w:val="00923C91"/>
    <w:rsid w:val="00923D42"/>
    <w:rsid w:val="00923EF8"/>
    <w:rsid w:val="00924279"/>
    <w:rsid w:val="00924284"/>
    <w:rsid w:val="00924303"/>
    <w:rsid w:val="00924498"/>
    <w:rsid w:val="009244E3"/>
    <w:rsid w:val="00924549"/>
    <w:rsid w:val="009245EE"/>
    <w:rsid w:val="0092470E"/>
    <w:rsid w:val="0092490A"/>
    <w:rsid w:val="0092490B"/>
    <w:rsid w:val="00924951"/>
    <w:rsid w:val="00924AE8"/>
    <w:rsid w:val="00924B13"/>
    <w:rsid w:val="00924EBF"/>
    <w:rsid w:val="00925069"/>
    <w:rsid w:val="009250BA"/>
    <w:rsid w:val="00925187"/>
    <w:rsid w:val="0092518C"/>
    <w:rsid w:val="00925240"/>
    <w:rsid w:val="00925331"/>
    <w:rsid w:val="00925380"/>
    <w:rsid w:val="009253BE"/>
    <w:rsid w:val="009253FB"/>
    <w:rsid w:val="00925488"/>
    <w:rsid w:val="0092584E"/>
    <w:rsid w:val="00925ACF"/>
    <w:rsid w:val="00925C48"/>
    <w:rsid w:val="00925E00"/>
    <w:rsid w:val="00925F07"/>
    <w:rsid w:val="009260F9"/>
    <w:rsid w:val="009262DD"/>
    <w:rsid w:val="009262F8"/>
    <w:rsid w:val="009263C0"/>
    <w:rsid w:val="00926449"/>
    <w:rsid w:val="009264DC"/>
    <w:rsid w:val="009267AA"/>
    <w:rsid w:val="009268E8"/>
    <w:rsid w:val="00926AA8"/>
    <w:rsid w:val="00926CE7"/>
    <w:rsid w:val="00926E48"/>
    <w:rsid w:val="00926EB1"/>
    <w:rsid w:val="0092709C"/>
    <w:rsid w:val="0092717F"/>
    <w:rsid w:val="00927233"/>
    <w:rsid w:val="0092738D"/>
    <w:rsid w:val="0092743F"/>
    <w:rsid w:val="00927526"/>
    <w:rsid w:val="009275D2"/>
    <w:rsid w:val="00927744"/>
    <w:rsid w:val="00927760"/>
    <w:rsid w:val="00927804"/>
    <w:rsid w:val="0092788F"/>
    <w:rsid w:val="009278D0"/>
    <w:rsid w:val="00927A91"/>
    <w:rsid w:val="00927AAC"/>
    <w:rsid w:val="00927AE3"/>
    <w:rsid w:val="00927B05"/>
    <w:rsid w:val="00927CC8"/>
    <w:rsid w:val="00927D5C"/>
    <w:rsid w:val="00927DBD"/>
    <w:rsid w:val="00927F63"/>
    <w:rsid w:val="00927F88"/>
    <w:rsid w:val="00927FA3"/>
    <w:rsid w:val="00927FF1"/>
    <w:rsid w:val="00930299"/>
    <w:rsid w:val="0093044A"/>
    <w:rsid w:val="0093076D"/>
    <w:rsid w:val="00930859"/>
    <w:rsid w:val="00930867"/>
    <w:rsid w:val="00930C26"/>
    <w:rsid w:val="00930C64"/>
    <w:rsid w:val="00930C83"/>
    <w:rsid w:val="00930C9E"/>
    <w:rsid w:val="00930CEF"/>
    <w:rsid w:val="00930EA1"/>
    <w:rsid w:val="00930F4E"/>
    <w:rsid w:val="00930FE9"/>
    <w:rsid w:val="00931115"/>
    <w:rsid w:val="00931206"/>
    <w:rsid w:val="009314E9"/>
    <w:rsid w:val="009314FC"/>
    <w:rsid w:val="009316A1"/>
    <w:rsid w:val="009316C4"/>
    <w:rsid w:val="009317DC"/>
    <w:rsid w:val="009318AA"/>
    <w:rsid w:val="0093192D"/>
    <w:rsid w:val="00931A05"/>
    <w:rsid w:val="00931A26"/>
    <w:rsid w:val="00931DCA"/>
    <w:rsid w:val="00931E3E"/>
    <w:rsid w:val="00932070"/>
    <w:rsid w:val="009320ED"/>
    <w:rsid w:val="009321D6"/>
    <w:rsid w:val="0093220D"/>
    <w:rsid w:val="00932422"/>
    <w:rsid w:val="00932758"/>
    <w:rsid w:val="009329F8"/>
    <w:rsid w:val="00932D2C"/>
    <w:rsid w:val="00932D5B"/>
    <w:rsid w:val="009331D8"/>
    <w:rsid w:val="009332A9"/>
    <w:rsid w:val="009337AD"/>
    <w:rsid w:val="00933867"/>
    <w:rsid w:val="00933900"/>
    <w:rsid w:val="00933961"/>
    <w:rsid w:val="00933A64"/>
    <w:rsid w:val="00933BC5"/>
    <w:rsid w:val="00933C52"/>
    <w:rsid w:val="00933CAC"/>
    <w:rsid w:val="00933E9B"/>
    <w:rsid w:val="0093435B"/>
    <w:rsid w:val="00934417"/>
    <w:rsid w:val="00934561"/>
    <w:rsid w:val="00934701"/>
    <w:rsid w:val="0093475F"/>
    <w:rsid w:val="009349AF"/>
    <w:rsid w:val="00934BE0"/>
    <w:rsid w:val="00934D3C"/>
    <w:rsid w:val="00935130"/>
    <w:rsid w:val="00935317"/>
    <w:rsid w:val="00935363"/>
    <w:rsid w:val="009355CC"/>
    <w:rsid w:val="009357A9"/>
    <w:rsid w:val="009358A8"/>
    <w:rsid w:val="00935B81"/>
    <w:rsid w:val="00935D37"/>
    <w:rsid w:val="00935D92"/>
    <w:rsid w:val="00936062"/>
    <w:rsid w:val="00936145"/>
    <w:rsid w:val="00936204"/>
    <w:rsid w:val="00936345"/>
    <w:rsid w:val="009363C4"/>
    <w:rsid w:val="0093649C"/>
    <w:rsid w:val="0093649E"/>
    <w:rsid w:val="00936887"/>
    <w:rsid w:val="009369D3"/>
    <w:rsid w:val="00936A86"/>
    <w:rsid w:val="009374E9"/>
    <w:rsid w:val="009375D7"/>
    <w:rsid w:val="00937682"/>
    <w:rsid w:val="00937762"/>
    <w:rsid w:val="00937956"/>
    <w:rsid w:val="00937ADD"/>
    <w:rsid w:val="00937ADE"/>
    <w:rsid w:val="00937B58"/>
    <w:rsid w:val="00937BF8"/>
    <w:rsid w:val="00937CAA"/>
    <w:rsid w:val="00937CBE"/>
    <w:rsid w:val="00937D3E"/>
    <w:rsid w:val="00937F4D"/>
    <w:rsid w:val="0094002A"/>
    <w:rsid w:val="009400F9"/>
    <w:rsid w:val="00940170"/>
    <w:rsid w:val="00940362"/>
    <w:rsid w:val="00940487"/>
    <w:rsid w:val="00940A1E"/>
    <w:rsid w:val="00940B94"/>
    <w:rsid w:val="00940BA7"/>
    <w:rsid w:val="00940BF8"/>
    <w:rsid w:val="00940D06"/>
    <w:rsid w:val="00940D83"/>
    <w:rsid w:val="00940E4F"/>
    <w:rsid w:val="0094113E"/>
    <w:rsid w:val="00941158"/>
    <w:rsid w:val="009411A3"/>
    <w:rsid w:val="00941245"/>
    <w:rsid w:val="009413A5"/>
    <w:rsid w:val="009413F6"/>
    <w:rsid w:val="009414BB"/>
    <w:rsid w:val="0094162D"/>
    <w:rsid w:val="00941838"/>
    <w:rsid w:val="00941915"/>
    <w:rsid w:val="00941933"/>
    <w:rsid w:val="009419F5"/>
    <w:rsid w:val="00941A40"/>
    <w:rsid w:val="00941A54"/>
    <w:rsid w:val="00941B6A"/>
    <w:rsid w:val="00941C5A"/>
    <w:rsid w:val="00941C83"/>
    <w:rsid w:val="00941D36"/>
    <w:rsid w:val="00941D78"/>
    <w:rsid w:val="0094216C"/>
    <w:rsid w:val="0094221A"/>
    <w:rsid w:val="0094229C"/>
    <w:rsid w:val="009425E2"/>
    <w:rsid w:val="0094287D"/>
    <w:rsid w:val="00942BAC"/>
    <w:rsid w:val="00942DAE"/>
    <w:rsid w:val="00942F3A"/>
    <w:rsid w:val="0094303B"/>
    <w:rsid w:val="00943146"/>
    <w:rsid w:val="0094344D"/>
    <w:rsid w:val="0094350E"/>
    <w:rsid w:val="00943667"/>
    <w:rsid w:val="00943771"/>
    <w:rsid w:val="009437C1"/>
    <w:rsid w:val="00943C1E"/>
    <w:rsid w:val="00943D67"/>
    <w:rsid w:val="00943DFA"/>
    <w:rsid w:val="00943EED"/>
    <w:rsid w:val="00943FC0"/>
    <w:rsid w:val="00944087"/>
    <w:rsid w:val="009440D1"/>
    <w:rsid w:val="009440EE"/>
    <w:rsid w:val="00944245"/>
    <w:rsid w:val="009442DE"/>
    <w:rsid w:val="0094436A"/>
    <w:rsid w:val="009443DD"/>
    <w:rsid w:val="00944487"/>
    <w:rsid w:val="00944513"/>
    <w:rsid w:val="00944628"/>
    <w:rsid w:val="0094489E"/>
    <w:rsid w:val="009448E1"/>
    <w:rsid w:val="0094496B"/>
    <w:rsid w:val="00944AAC"/>
    <w:rsid w:val="00944C2E"/>
    <w:rsid w:val="00944CD8"/>
    <w:rsid w:val="00944CFA"/>
    <w:rsid w:val="00944D24"/>
    <w:rsid w:val="00944E74"/>
    <w:rsid w:val="00944EDE"/>
    <w:rsid w:val="00945008"/>
    <w:rsid w:val="009450EA"/>
    <w:rsid w:val="00945351"/>
    <w:rsid w:val="00945379"/>
    <w:rsid w:val="00945984"/>
    <w:rsid w:val="00945C0B"/>
    <w:rsid w:val="00945C0D"/>
    <w:rsid w:val="00945F85"/>
    <w:rsid w:val="0094611F"/>
    <w:rsid w:val="00946223"/>
    <w:rsid w:val="009462F8"/>
    <w:rsid w:val="0094630F"/>
    <w:rsid w:val="009463F9"/>
    <w:rsid w:val="009464C3"/>
    <w:rsid w:val="00946533"/>
    <w:rsid w:val="009465C1"/>
    <w:rsid w:val="00946BA3"/>
    <w:rsid w:val="00946C44"/>
    <w:rsid w:val="00946C88"/>
    <w:rsid w:val="00946D61"/>
    <w:rsid w:val="009471A6"/>
    <w:rsid w:val="00947270"/>
    <w:rsid w:val="0094729B"/>
    <w:rsid w:val="0094745B"/>
    <w:rsid w:val="0094747A"/>
    <w:rsid w:val="00947488"/>
    <w:rsid w:val="0094759D"/>
    <w:rsid w:val="0094760C"/>
    <w:rsid w:val="00947632"/>
    <w:rsid w:val="009476B1"/>
    <w:rsid w:val="009479FC"/>
    <w:rsid w:val="00947BB5"/>
    <w:rsid w:val="00947E5D"/>
    <w:rsid w:val="00950046"/>
    <w:rsid w:val="0095005E"/>
    <w:rsid w:val="0095012E"/>
    <w:rsid w:val="00950132"/>
    <w:rsid w:val="00950592"/>
    <w:rsid w:val="00950611"/>
    <w:rsid w:val="00950675"/>
    <w:rsid w:val="009507B9"/>
    <w:rsid w:val="0095096F"/>
    <w:rsid w:val="00950C24"/>
    <w:rsid w:val="00950FE7"/>
    <w:rsid w:val="0095104A"/>
    <w:rsid w:val="009510F3"/>
    <w:rsid w:val="0095113E"/>
    <w:rsid w:val="0095135D"/>
    <w:rsid w:val="009514BF"/>
    <w:rsid w:val="009515D2"/>
    <w:rsid w:val="00951829"/>
    <w:rsid w:val="00951834"/>
    <w:rsid w:val="00951934"/>
    <w:rsid w:val="00951A55"/>
    <w:rsid w:val="00951CB8"/>
    <w:rsid w:val="00951D4B"/>
    <w:rsid w:val="00951E77"/>
    <w:rsid w:val="0095207B"/>
    <w:rsid w:val="00952227"/>
    <w:rsid w:val="00952280"/>
    <w:rsid w:val="009522E5"/>
    <w:rsid w:val="009524A4"/>
    <w:rsid w:val="009525AE"/>
    <w:rsid w:val="00952798"/>
    <w:rsid w:val="00952BDF"/>
    <w:rsid w:val="00952BE3"/>
    <w:rsid w:val="00952BFF"/>
    <w:rsid w:val="00952C55"/>
    <w:rsid w:val="00952DD2"/>
    <w:rsid w:val="00952E77"/>
    <w:rsid w:val="00952ED9"/>
    <w:rsid w:val="00953152"/>
    <w:rsid w:val="009532C8"/>
    <w:rsid w:val="0095340C"/>
    <w:rsid w:val="0095354F"/>
    <w:rsid w:val="009535F0"/>
    <w:rsid w:val="009537B8"/>
    <w:rsid w:val="009537C7"/>
    <w:rsid w:val="00953818"/>
    <w:rsid w:val="009538C0"/>
    <w:rsid w:val="00953AB7"/>
    <w:rsid w:val="00953B07"/>
    <w:rsid w:val="00953BCA"/>
    <w:rsid w:val="00953C52"/>
    <w:rsid w:val="00953E0B"/>
    <w:rsid w:val="009540C0"/>
    <w:rsid w:val="0095432F"/>
    <w:rsid w:val="00954428"/>
    <w:rsid w:val="00954615"/>
    <w:rsid w:val="009547AA"/>
    <w:rsid w:val="009548E5"/>
    <w:rsid w:val="00954A09"/>
    <w:rsid w:val="00954B77"/>
    <w:rsid w:val="00954C2F"/>
    <w:rsid w:val="00954C8C"/>
    <w:rsid w:val="00954D7C"/>
    <w:rsid w:val="00954DB9"/>
    <w:rsid w:val="009550EF"/>
    <w:rsid w:val="009552BE"/>
    <w:rsid w:val="00955594"/>
    <w:rsid w:val="009556A9"/>
    <w:rsid w:val="00955733"/>
    <w:rsid w:val="00955897"/>
    <w:rsid w:val="009558DE"/>
    <w:rsid w:val="00955CF2"/>
    <w:rsid w:val="00955E42"/>
    <w:rsid w:val="00955EA0"/>
    <w:rsid w:val="00955F8B"/>
    <w:rsid w:val="00956096"/>
    <w:rsid w:val="009561DD"/>
    <w:rsid w:val="00956208"/>
    <w:rsid w:val="009565CD"/>
    <w:rsid w:val="00956745"/>
    <w:rsid w:val="0095687E"/>
    <w:rsid w:val="009568D4"/>
    <w:rsid w:val="009569F3"/>
    <w:rsid w:val="00956A7D"/>
    <w:rsid w:val="00956ACE"/>
    <w:rsid w:val="00956B07"/>
    <w:rsid w:val="00956B62"/>
    <w:rsid w:val="00956C5D"/>
    <w:rsid w:val="00956C88"/>
    <w:rsid w:val="00956CE1"/>
    <w:rsid w:val="00956CF6"/>
    <w:rsid w:val="00956D59"/>
    <w:rsid w:val="0095702A"/>
    <w:rsid w:val="009570A5"/>
    <w:rsid w:val="00957240"/>
    <w:rsid w:val="009572A0"/>
    <w:rsid w:val="00957307"/>
    <w:rsid w:val="009575CF"/>
    <w:rsid w:val="0095761A"/>
    <w:rsid w:val="009576B3"/>
    <w:rsid w:val="009578F0"/>
    <w:rsid w:val="00957918"/>
    <w:rsid w:val="00957AA6"/>
    <w:rsid w:val="00957B05"/>
    <w:rsid w:val="00957C16"/>
    <w:rsid w:val="00957D24"/>
    <w:rsid w:val="00957D9B"/>
    <w:rsid w:val="009600AB"/>
    <w:rsid w:val="00960534"/>
    <w:rsid w:val="0096062A"/>
    <w:rsid w:val="00960663"/>
    <w:rsid w:val="0096072F"/>
    <w:rsid w:val="009608B7"/>
    <w:rsid w:val="009609F0"/>
    <w:rsid w:val="00960C1C"/>
    <w:rsid w:val="00960DCF"/>
    <w:rsid w:val="0096104B"/>
    <w:rsid w:val="00961076"/>
    <w:rsid w:val="009612F2"/>
    <w:rsid w:val="0096133A"/>
    <w:rsid w:val="00961376"/>
    <w:rsid w:val="00961419"/>
    <w:rsid w:val="009614C0"/>
    <w:rsid w:val="009615CB"/>
    <w:rsid w:val="009615CE"/>
    <w:rsid w:val="0096161B"/>
    <w:rsid w:val="0096184E"/>
    <w:rsid w:val="009619B6"/>
    <w:rsid w:val="00961A7D"/>
    <w:rsid w:val="00961B39"/>
    <w:rsid w:val="00961B53"/>
    <w:rsid w:val="00961B85"/>
    <w:rsid w:val="00961CE5"/>
    <w:rsid w:val="00961DEF"/>
    <w:rsid w:val="00961F55"/>
    <w:rsid w:val="0096201D"/>
    <w:rsid w:val="009621A8"/>
    <w:rsid w:val="009626E8"/>
    <w:rsid w:val="00962A4A"/>
    <w:rsid w:val="00962A72"/>
    <w:rsid w:val="00962E35"/>
    <w:rsid w:val="00963113"/>
    <w:rsid w:val="009631E7"/>
    <w:rsid w:val="00963217"/>
    <w:rsid w:val="00963218"/>
    <w:rsid w:val="00963259"/>
    <w:rsid w:val="00963264"/>
    <w:rsid w:val="0096329A"/>
    <w:rsid w:val="009633F3"/>
    <w:rsid w:val="00963479"/>
    <w:rsid w:val="009637BC"/>
    <w:rsid w:val="009637FB"/>
    <w:rsid w:val="0096389D"/>
    <w:rsid w:val="009639A1"/>
    <w:rsid w:val="00963A16"/>
    <w:rsid w:val="00963A52"/>
    <w:rsid w:val="00963DAE"/>
    <w:rsid w:val="00963EB0"/>
    <w:rsid w:val="00963FF1"/>
    <w:rsid w:val="0096411E"/>
    <w:rsid w:val="0096414A"/>
    <w:rsid w:val="00964256"/>
    <w:rsid w:val="00964290"/>
    <w:rsid w:val="00964454"/>
    <w:rsid w:val="009644D6"/>
    <w:rsid w:val="0096458E"/>
    <w:rsid w:val="00964681"/>
    <w:rsid w:val="0096498C"/>
    <w:rsid w:val="009649D6"/>
    <w:rsid w:val="00964AA4"/>
    <w:rsid w:val="00964BB3"/>
    <w:rsid w:val="00964BBD"/>
    <w:rsid w:val="00964CD1"/>
    <w:rsid w:val="00964D71"/>
    <w:rsid w:val="00964EE3"/>
    <w:rsid w:val="00964FFC"/>
    <w:rsid w:val="009651C6"/>
    <w:rsid w:val="0096537B"/>
    <w:rsid w:val="009653EC"/>
    <w:rsid w:val="009656AE"/>
    <w:rsid w:val="009656C7"/>
    <w:rsid w:val="00965F33"/>
    <w:rsid w:val="00965FA9"/>
    <w:rsid w:val="00966027"/>
    <w:rsid w:val="009664E5"/>
    <w:rsid w:val="009666BB"/>
    <w:rsid w:val="00966ABC"/>
    <w:rsid w:val="00966C40"/>
    <w:rsid w:val="00966C8D"/>
    <w:rsid w:val="00966CBD"/>
    <w:rsid w:val="00966CCE"/>
    <w:rsid w:val="00966F60"/>
    <w:rsid w:val="00967136"/>
    <w:rsid w:val="00967164"/>
    <w:rsid w:val="009671CA"/>
    <w:rsid w:val="0096725B"/>
    <w:rsid w:val="009673DC"/>
    <w:rsid w:val="009673FB"/>
    <w:rsid w:val="00967549"/>
    <w:rsid w:val="009676C0"/>
    <w:rsid w:val="009676D5"/>
    <w:rsid w:val="0096774E"/>
    <w:rsid w:val="00967772"/>
    <w:rsid w:val="00967AE5"/>
    <w:rsid w:val="00967B0E"/>
    <w:rsid w:val="00967B5C"/>
    <w:rsid w:val="00967CC5"/>
    <w:rsid w:val="00967D0D"/>
    <w:rsid w:val="00967D15"/>
    <w:rsid w:val="00967E1B"/>
    <w:rsid w:val="00970005"/>
    <w:rsid w:val="009700CC"/>
    <w:rsid w:val="009701C4"/>
    <w:rsid w:val="009701E3"/>
    <w:rsid w:val="0097033C"/>
    <w:rsid w:val="00970392"/>
    <w:rsid w:val="00970412"/>
    <w:rsid w:val="00970478"/>
    <w:rsid w:val="00970620"/>
    <w:rsid w:val="00970725"/>
    <w:rsid w:val="0097085D"/>
    <w:rsid w:val="00970899"/>
    <w:rsid w:val="0097091B"/>
    <w:rsid w:val="009709DF"/>
    <w:rsid w:val="00970DCC"/>
    <w:rsid w:val="00970F21"/>
    <w:rsid w:val="009713A7"/>
    <w:rsid w:val="00971495"/>
    <w:rsid w:val="0097161D"/>
    <w:rsid w:val="009716FA"/>
    <w:rsid w:val="009717A0"/>
    <w:rsid w:val="0097183C"/>
    <w:rsid w:val="009718C0"/>
    <w:rsid w:val="00971946"/>
    <w:rsid w:val="00971A8A"/>
    <w:rsid w:val="00971AC5"/>
    <w:rsid w:val="00971B2F"/>
    <w:rsid w:val="00971B76"/>
    <w:rsid w:val="00971CCD"/>
    <w:rsid w:val="00971D87"/>
    <w:rsid w:val="00971EC8"/>
    <w:rsid w:val="00971FD2"/>
    <w:rsid w:val="0097210B"/>
    <w:rsid w:val="00972369"/>
    <w:rsid w:val="009723A5"/>
    <w:rsid w:val="00972484"/>
    <w:rsid w:val="00972523"/>
    <w:rsid w:val="0097263D"/>
    <w:rsid w:val="00972803"/>
    <w:rsid w:val="009729BD"/>
    <w:rsid w:val="00972A72"/>
    <w:rsid w:val="00972CAB"/>
    <w:rsid w:val="00972D2A"/>
    <w:rsid w:val="00972D39"/>
    <w:rsid w:val="00972EE8"/>
    <w:rsid w:val="00972F8B"/>
    <w:rsid w:val="00973014"/>
    <w:rsid w:val="009730AD"/>
    <w:rsid w:val="00973304"/>
    <w:rsid w:val="009733E0"/>
    <w:rsid w:val="009736B3"/>
    <w:rsid w:val="00973713"/>
    <w:rsid w:val="0097395E"/>
    <w:rsid w:val="00973A51"/>
    <w:rsid w:val="00973B4C"/>
    <w:rsid w:val="00973BE7"/>
    <w:rsid w:val="00973DB5"/>
    <w:rsid w:val="00973E6F"/>
    <w:rsid w:val="00973F0C"/>
    <w:rsid w:val="00974029"/>
    <w:rsid w:val="00974309"/>
    <w:rsid w:val="0097458D"/>
    <w:rsid w:val="009746A7"/>
    <w:rsid w:val="009746EC"/>
    <w:rsid w:val="009748EF"/>
    <w:rsid w:val="009749BE"/>
    <w:rsid w:val="009749D5"/>
    <w:rsid w:val="009749D6"/>
    <w:rsid w:val="00974AD9"/>
    <w:rsid w:val="00974B2D"/>
    <w:rsid w:val="00974B64"/>
    <w:rsid w:val="00974C4C"/>
    <w:rsid w:val="00974CFE"/>
    <w:rsid w:val="00974FA5"/>
    <w:rsid w:val="00974FC0"/>
    <w:rsid w:val="0097526E"/>
    <w:rsid w:val="00975408"/>
    <w:rsid w:val="00975808"/>
    <w:rsid w:val="00975915"/>
    <w:rsid w:val="00975A2E"/>
    <w:rsid w:val="00975A95"/>
    <w:rsid w:val="00975C3F"/>
    <w:rsid w:val="00975D21"/>
    <w:rsid w:val="00975D9F"/>
    <w:rsid w:val="00975DB3"/>
    <w:rsid w:val="00975F2F"/>
    <w:rsid w:val="00975F60"/>
    <w:rsid w:val="00976257"/>
    <w:rsid w:val="009763F2"/>
    <w:rsid w:val="00976464"/>
    <w:rsid w:val="009765B5"/>
    <w:rsid w:val="00976615"/>
    <w:rsid w:val="00976828"/>
    <w:rsid w:val="00976838"/>
    <w:rsid w:val="00976948"/>
    <w:rsid w:val="00976C53"/>
    <w:rsid w:val="00976E5E"/>
    <w:rsid w:val="00976FD1"/>
    <w:rsid w:val="00976FE4"/>
    <w:rsid w:val="00977209"/>
    <w:rsid w:val="009774A5"/>
    <w:rsid w:val="0097762E"/>
    <w:rsid w:val="0097764E"/>
    <w:rsid w:val="0097799A"/>
    <w:rsid w:val="009779D3"/>
    <w:rsid w:val="00977A36"/>
    <w:rsid w:val="00977AC7"/>
    <w:rsid w:val="00977B60"/>
    <w:rsid w:val="00977BFD"/>
    <w:rsid w:val="00977C07"/>
    <w:rsid w:val="009800C5"/>
    <w:rsid w:val="00980182"/>
    <w:rsid w:val="009803A9"/>
    <w:rsid w:val="009803CB"/>
    <w:rsid w:val="009803D4"/>
    <w:rsid w:val="009804E1"/>
    <w:rsid w:val="0098051F"/>
    <w:rsid w:val="0098056A"/>
    <w:rsid w:val="00980698"/>
    <w:rsid w:val="009807A2"/>
    <w:rsid w:val="00980836"/>
    <w:rsid w:val="00980963"/>
    <w:rsid w:val="009809F4"/>
    <w:rsid w:val="00980AEC"/>
    <w:rsid w:val="00980BC9"/>
    <w:rsid w:val="00980BD9"/>
    <w:rsid w:val="00980FAF"/>
    <w:rsid w:val="009811AB"/>
    <w:rsid w:val="009811AF"/>
    <w:rsid w:val="00981288"/>
    <w:rsid w:val="0098130C"/>
    <w:rsid w:val="0098131E"/>
    <w:rsid w:val="00981435"/>
    <w:rsid w:val="00981662"/>
    <w:rsid w:val="009816B2"/>
    <w:rsid w:val="009818E9"/>
    <w:rsid w:val="0098199C"/>
    <w:rsid w:val="00981AEB"/>
    <w:rsid w:val="00981B0A"/>
    <w:rsid w:val="00981B4D"/>
    <w:rsid w:val="00981C4B"/>
    <w:rsid w:val="00981C7B"/>
    <w:rsid w:val="00981DBF"/>
    <w:rsid w:val="00982180"/>
    <w:rsid w:val="009821AD"/>
    <w:rsid w:val="0098228F"/>
    <w:rsid w:val="009822E9"/>
    <w:rsid w:val="0098230E"/>
    <w:rsid w:val="009824C5"/>
    <w:rsid w:val="009825CC"/>
    <w:rsid w:val="0098268D"/>
    <w:rsid w:val="00982759"/>
    <w:rsid w:val="009827B1"/>
    <w:rsid w:val="0098295F"/>
    <w:rsid w:val="00982B69"/>
    <w:rsid w:val="00982C75"/>
    <w:rsid w:val="00982EF0"/>
    <w:rsid w:val="00982F4B"/>
    <w:rsid w:val="009830AF"/>
    <w:rsid w:val="00983110"/>
    <w:rsid w:val="009839C1"/>
    <w:rsid w:val="00983A4D"/>
    <w:rsid w:val="00983C80"/>
    <w:rsid w:val="00983CCC"/>
    <w:rsid w:val="00984165"/>
    <w:rsid w:val="0098426A"/>
    <w:rsid w:val="00984498"/>
    <w:rsid w:val="00984651"/>
    <w:rsid w:val="00984BE4"/>
    <w:rsid w:val="00984C2C"/>
    <w:rsid w:val="00984C6C"/>
    <w:rsid w:val="00984CCE"/>
    <w:rsid w:val="00984CD8"/>
    <w:rsid w:val="00984F31"/>
    <w:rsid w:val="009850A8"/>
    <w:rsid w:val="00985225"/>
    <w:rsid w:val="009853CF"/>
    <w:rsid w:val="00985401"/>
    <w:rsid w:val="009854CE"/>
    <w:rsid w:val="009854D2"/>
    <w:rsid w:val="009855A5"/>
    <w:rsid w:val="009857CA"/>
    <w:rsid w:val="009858CA"/>
    <w:rsid w:val="0098590F"/>
    <w:rsid w:val="00985AAF"/>
    <w:rsid w:val="00985B13"/>
    <w:rsid w:val="00985D73"/>
    <w:rsid w:val="00985E76"/>
    <w:rsid w:val="009860F1"/>
    <w:rsid w:val="0098635B"/>
    <w:rsid w:val="00986428"/>
    <w:rsid w:val="00986577"/>
    <w:rsid w:val="009865CD"/>
    <w:rsid w:val="009869BB"/>
    <w:rsid w:val="00986AC5"/>
    <w:rsid w:val="00987000"/>
    <w:rsid w:val="0098704D"/>
    <w:rsid w:val="00987088"/>
    <w:rsid w:val="0098722D"/>
    <w:rsid w:val="00987294"/>
    <w:rsid w:val="00987344"/>
    <w:rsid w:val="009873F3"/>
    <w:rsid w:val="00987499"/>
    <w:rsid w:val="009874AD"/>
    <w:rsid w:val="009874D1"/>
    <w:rsid w:val="009874D5"/>
    <w:rsid w:val="00987629"/>
    <w:rsid w:val="00987656"/>
    <w:rsid w:val="00987702"/>
    <w:rsid w:val="00987AC1"/>
    <w:rsid w:val="00987B2D"/>
    <w:rsid w:val="00987B34"/>
    <w:rsid w:val="00987BC2"/>
    <w:rsid w:val="00987C30"/>
    <w:rsid w:val="00987E0F"/>
    <w:rsid w:val="00987EF8"/>
    <w:rsid w:val="00987F51"/>
    <w:rsid w:val="0099029D"/>
    <w:rsid w:val="009906FE"/>
    <w:rsid w:val="009907E2"/>
    <w:rsid w:val="00990883"/>
    <w:rsid w:val="0099093B"/>
    <w:rsid w:val="009909CD"/>
    <w:rsid w:val="00990BED"/>
    <w:rsid w:val="00990C29"/>
    <w:rsid w:val="00990E02"/>
    <w:rsid w:val="00990F90"/>
    <w:rsid w:val="00991140"/>
    <w:rsid w:val="00991195"/>
    <w:rsid w:val="0099131A"/>
    <w:rsid w:val="00991473"/>
    <w:rsid w:val="0099155B"/>
    <w:rsid w:val="00991645"/>
    <w:rsid w:val="009916A2"/>
    <w:rsid w:val="0099170D"/>
    <w:rsid w:val="00991E31"/>
    <w:rsid w:val="00991E62"/>
    <w:rsid w:val="00991E67"/>
    <w:rsid w:val="00991EFB"/>
    <w:rsid w:val="00992087"/>
    <w:rsid w:val="009921ED"/>
    <w:rsid w:val="00992403"/>
    <w:rsid w:val="009924CE"/>
    <w:rsid w:val="0099258E"/>
    <w:rsid w:val="009927A9"/>
    <w:rsid w:val="009928A0"/>
    <w:rsid w:val="009928C7"/>
    <w:rsid w:val="009929EC"/>
    <w:rsid w:val="00992A11"/>
    <w:rsid w:val="00992D00"/>
    <w:rsid w:val="00992E10"/>
    <w:rsid w:val="00992ED1"/>
    <w:rsid w:val="00992FC1"/>
    <w:rsid w:val="009930BC"/>
    <w:rsid w:val="00993168"/>
    <w:rsid w:val="009931C7"/>
    <w:rsid w:val="00993376"/>
    <w:rsid w:val="009933A9"/>
    <w:rsid w:val="00993400"/>
    <w:rsid w:val="00993438"/>
    <w:rsid w:val="009936AD"/>
    <w:rsid w:val="009936CC"/>
    <w:rsid w:val="009936E6"/>
    <w:rsid w:val="00993A50"/>
    <w:rsid w:val="00993ABB"/>
    <w:rsid w:val="00993AE8"/>
    <w:rsid w:val="00993BCF"/>
    <w:rsid w:val="00993D26"/>
    <w:rsid w:val="00993E85"/>
    <w:rsid w:val="00993F69"/>
    <w:rsid w:val="00994437"/>
    <w:rsid w:val="0099460E"/>
    <w:rsid w:val="0099469D"/>
    <w:rsid w:val="009946EB"/>
    <w:rsid w:val="00994750"/>
    <w:rsid w:val="0099483B"/>
    <w:rsid w:val="0099483D"/>
    <w:rsid w:val="00994AB3"/>
    <w:rsid w:val="00994ABD"/>
    <w:rsid w:val="00994AFE"/>
    <w:rsid w:val="00994B16"/>
    <w:rsid w:val="00994DC9"/>
    <w:rsid w:val="00994E0D"/>
    <w:rsid w:val="00994E8E"/>
    <w:rsid w:val="00994FE3"/>
    <w:rsid w:val="009950F7"/>
    <w:rsid w:val="0099526E"/>
    <w:rsid w:val="0099552B"/>
    <w:rsid w:val="00995538"/>
    <w:rsid w:val="00995809"/>
    <w:rsid w:val="00995843"/>
    <w:rsid w:val="009958D2"/>
    <w:rsid w:val="009959AF"/>
    <w:rsid w:val="009959D0"/>
    <w:rsid w:val="00995B89"/>
    <w:rsid w:val="00995DBF"/>
    <w:rsid w:val="00995DD3"/>
    <w:rsid w:val="00995E1A"/>
    <w:rsid w:val="00995E98"/>
    <w:rsid w:val="00995F36"/>
    <w:rsid w:val="00995FA2"/>
    <w:rsid w:val="00996195"/>
    <w:rsid w:val="0099621D"/>
    <w:rsid w:val="009963BC"/>
    <w:rsid w:val="009963F2"/>
    <w:rsid w:val="009964B7"/>
    <w:rsid w:val="00996592"/>
    <w:rsid w:val="0099665D"/>
    <w:rsid w:val="0099680D"/>
    <w:rsid w:val="009969A9"/>
    <w:rsid w:val="009969E9"/>
    <w:rsid w:val="00996B6B"/>
    <w:rsid w:val="00996DB5"/>
    <w:rsid w:val="00996F15"/>
    <w:rsid w:val="00996F5B"/>
    <w:rsid w:val="0099709B"/>
    <w:rsid w:val="0099741F"/>
    <w:rsid w:val="0099743D"/>
    <w:rsid w:val="0099762D"/>
    <w:rsid w:val="00997992"/>
    <w:rsid w:val="009979A9"/>
    <w:rsid w:val="009979B8"/>
    <w:rsid w:val="00997A23"/>
    <w:rsid w:val="00997BA8"/>
    <w:rsid w:val="00997DA2"/>
    <w:rsid w:val="009A01BC"/>
    <w:rsid w:val="009A0240"/>
    <w:rsid w:val="009A03F4"/>
    <w:rsid w:val="009A042B"/>
    <w:rsid w:val="009A04FA"/>
    <w:rsid w:val="009A06F4"/>
    <w:rsid w:val="009A0702"/>
    <w:rsid w:val="009A0778"/>
    <w:rsid w:val="009A0802"/>
    <w:rsid w:val="009A09F9"/>
    <w:rsid w:val="009A0A74"/>
    <w:rsid w:val="009A0AB9"/>
    <w:rsid w:val="009A0B65"/>
    <w:rsid w:val="009A0B8E"/>
    <w:rsid w:val="009A0D99"/>
    <w:rsid w:val="009A0D9F"/>
    <w:rsid w:val="009A0E3C"/>
    <w:rsid w:val="009A0E69"/>
    <w:rsid w:val="009A0FF7"/>
    <w:rsid w:val="009A109E"/>
    <w:rsid w:val="009A152E"/>
    <w:rsid w:val="009A16AF"/>
    <w:rsid w:val="009A1874"/>
    <w:rsid w:val="009A18C5"/>
    <w:rsid w:val="009A1A5F"/>
    <w:rsid w:val="009A1A76"/>
    <w:rsid w:val="009A1D65"/>
    <w:rsid w:val="009A1E58"/>
    <w:rsid w:val="009A1EAA"/>
    <w:rsid w:val="009A1F5E"/>
    <w:rsid w:val="009A2332"/>
    <w:rsid w:val="009A23B0"/>
    <w:rsid w:val="009A2769"/>
    <w:rsid w:val="009A278B"/>
    <w:rsid w:val="009A2F74"/>
    <w:rsid w:val="009A2FF5"/>
    <w:rsid w:val="009A352A"/>
    <w:rsid w:val="009A358E"/>
    <w:rsid w:val="009A3778"/>
    <w:rsid w:val="009A37C5"/>
    <w:rsid w:val="009A3A8C"/>
    <w:rsid w:val="009A3D64"/>
    <w:rsid w:val="009A3E2E"/>
    <w:rsid w:val="009A3FAA"/>
    <w:rsid w:val="009A44D0"/>
    <w:rsid w:val="009A45D5"/>
    <w:rsid w:val="009A46BB"/>
    <w:rsid w:val="009A4700"/>
    <w:rsid w:val="009A4716"/>
    <w:rsid w:val="009A4967"/>
    <w:rsid w:val="009A4BB3"/>
    <w:rsid w:val="009A4DFC"/>
    <w:rsid w:val="009A51C1"/>
    <w:rsid w:val="009A54A8"/>
    <w:rsid w:val="009A56F4"/>
    <w:rsid w:val="009A5A1D"/>
    <w:rsid w:val="009A5AA0"/>
    <w:rsid w:val="009A5C3C"/>
    <w:rsid w:val="009A5CCF"/>
    <w:rsid w:val="009A5DD1"/>
    <w:rsid w:val="009A5E5F"/>
    <w:rsid w:val="009A6135"/>
    <w:rsid w:val="009A6219"/>
    <w:rsid w:val="009A6296"/>
    <w:rsid w:val="009A62C3"/>
    <w:rsid w:val="009A644C"/>
    <w:rsid w:val="009A6559"/>
    <w:rsid w:val="009A65D8"/>
    <w:rsid w:val="009A66AB"/>
    <w:rsid w:val="009A69A4"/>
    <w:rsid w:val="009A6B27"/>
    <w:rsid w:val="009A6BEE"/>
    <w:rsid w:val="009A6C3D"/>
    <w:rsid w:val="009A6CA5"/>
    <w:rsid w:val="009A6CBA"/>
    <w:rsid w:val="009A6F66"/>
    <w:rsid w:val="009A6FCE"/>
    <w:rsid w:val="009A71A1"/>
    <w:rsid w:val="009A73E7"/>
    <w:rsid w:val="009A7407"/>
    <w:rsid w:val="009A7893"/>
    <w:rsid w:val="009A78B9"/>
    <w:rsid w:val="009A7ACF"/>
    <w:rsid w:val="009A7B15"/>
    <w:rsid w:val="009A7C7F"/>
    <w:rsid w:val="009A7CC4"/>
    <w:rsid w:val="009A7D25"/>
    <w:rsid w:val="009A7D82"/>
    <w:rsid w:val="009A7EFF"/>
    <w:rsid w:val="009A7F34"/>
    <w:rsid w:val="009B01B4"/>
    <w:rsid w:val="009B0360"/>
    <w:rsid w:val="009B0419"/>
    <w:rsid w:val="009B060D"/>
    <w:rsid w:val="009B069C"/>
    <w:rsid w:val="009B083B"/>
    <w:rsid w:val="009B0841"/>
    <w:rsid w:val="009B096B"/>
    <w:rsid w:val="009B0CEC"/>
    <w:rsid w:val="009B0DA4"/>
    <w:rsid w:val="009B0E99"/>
    <w:rsid w:val="009B0FFB"/>
    <w:rsid w:val="009B104F"/>
    <w:rsid w:val="009B1159"/>
    <w:rsid w:val="009B1254"/>
    <w:rsid w:val="009B1388"/>
    <w:rsid w:val="009B13D0"/>
    <w:rsid w:val="009B147A"/>
    <w:rsid w:val="009B15B5"/>
    <w:rsid w:val="009B1751"/>
    <w:rsid w:val="009B1937"/>
    <w:rsid w:val="009B1980"/>
    <w:rsid w:val="009B1BFE"/>
    <w:rsid w:val="009B1C8D"/>
    <w:rsid w:val="009B1CC1"/>
    <w:rsid w:val="009B1DEC"/>
    <w:rsid w:val="009B1E99"/>
    <w:rsid w:val="009B1F67"/>
    <w:rsid w:val="009B1FD4"/>
    <w:rsid w:val="009B2245"/>
    <w:rsid w:val="009B2582"/>
    <w:rsid w:val="009B258E"/>
    <w:rsid w:val="009B2652"/>
    <w:rsid w:val="009B2770"/>
    <w:rsid w:val="009B298D"/>
    <w:rsid w:val="009B2AE5"/>
    <w:rsid w:val="009B2B30"/>
    <w:rsid w:val="009B2E0E"/>
    <w:rsid w:val="009B2EF6"/>
    <w:rsid w:val="009B2F2D"/>
    <w:rsid w:val="009B2F48"/>
    <w:rsid w:val="009B307C"/>
    <w:rsid w:val="009B30C8"/>
    <w:rsid w:val="009B316A"/>
    <w:rsid w:val="009B3320"/>
    <w:rsid w:val="009B358C"/>
    <w:rsid w:val="009B3724"/>
    <w:rsid w:val="009B3740"/>
    <w:rsid w:val="009B376E"/>
    <w:rsid w:val="009B39FA"/>
    <w:rsid w:val="009B3D88"/>
    <w:rsid w:val="009B3EA3"/>
    <w:rsid w:val="009B4064"/>
    <w:rsid w:val="009B40DD"/>
    <w:rsid w:val="009B417E"/>
    <w:rsid w:val="009B460E"/>
    <w:rsid w:val="009B46FD"/>
    <w:rsid w:val="009B47FD"/>
    <w:rsid w:val="009B4E6A"/>
    <w:rsid w:val="009B5060"/>
    <w:rsid w:val="009B50E0"/>
    <w:rsid w:val="009B5519"/>
    <w:rsid w:val="009B5606"/>
    <w:rsid w:val="009B57BD"/>
    <w:rsid w:val="009B58C0"/>
    <w:rsid w:val="009B58EC"/>
    <w:rsid w:val="009B5997"/>
    <w:rsid w:val="009B5A2D"/>
    <w:rsid w:val="009B5C92"/>
    <w:rsid w:val="009B5D9C"/>
    <w:rsid w:val="009B5F8B"/>
    <w:rsid w:val="009B6098"/>
    <w:rsid w:val="009B61C1"/>
    <w:rsid w:val="009B61DE"/>
    <w:rsid w:val="009B61F9"/>
    <w:rsid w:val="009B66A8"/>
    <w:rsid w:val="009B66B7"/>
    <w:rsid w:val="009B6772"/>
    <w:rsid w:val="009B6814"/>
    <w:rsid w:val="009B68F3"/>
    <w:rsid w:val="009B6B23"/>
    <w:rsid w:val="009B6B29"/>
    <w:rsid w:val="009B6B2F"/>
    <w:rsid w:val="009B6C5A"/>
    <w:rsid w:val="009B6C89"/>
    <w:rsid w:val="009B6E76"/>
    <w:rsid w:val="009B6F35"/>
    <w:rsid w:val="009B6F81"/>
    <w:rsid w:val="009B6FA7"/>
    <w:rsid w:val="009B7555"/>
    <w:rsid w:val="009B7642"/>
    <w:rsid w:val="009B7643"/>
    <w:rsid w:val="009B7814"/>
    <w:rsid w:val="009B7986"/>
    <w:rsid w:val="009B7ABD"/>
    <w:rsid w:val="009B7BE2"/>
    <w:rsid w:val="009B7C04"/>
    <w:rsid w:val="009B7C0D"/>
    <w:rsid w:val="009B7D19"/>
    <w:rsid w:val="009B7E18"/>
    <w:rsid w:val="009B7F66"/>
    <w:rsid w:val="009C005A"/>
    <w:rsid w:val="009C020E"/>
    <w:rsid w:val="009C027E"/>
    <w:rsid w:val="009C02BE"/>
    <w:rsid w:val="009C0664"/>
    <w:rsid w:val="009C0671"/>
    <w:rsid w:val="009C06C8"/>
    <w:rsid w:val="009C07C0"/>
    <w:rsid w:val="009C08BF"/>
    <w:rsid w:val="009C0928"/>
    <w:rsid w:val="009C093D"/>
    <w:rsid w:val="009C0A77"/>
    <w:rsid w:val="009C0A78"/>
    <w:rsid w:val="009C0B16"/>
    <w:rsid w:val="009C0B5C"/>
    <w:rsid w:val="009C0B7B"/>
    <w:rsid w:val="009C0D46"/>
    <w:rsid w:val="009C0EF2"/>
    <w:rsid w:val="009C0F01"/>
    <w:rsid w:val="009C10FE"/>
    <w:rsid w:val="009C1225"/>
    <w:rsid w:val="009C1534"/>
    <w:rsid w:val="009C15E1"/>
    <w:rsid w:val="009C173E"/>
    <w:rsid w:val="009C1904"/>
    <w:rsid w:val="009C193F"/>
    <w:rsid w:val="009C1AE0"/>
    <w:rsid w:val="009C1BE1"/>
    <w:rsid w:val="009C1C76"/>
    <w:rsid w:val="009C1D1E"/>
    <w:rsid w:val="009C1D27"/>
    <w:rsid w:val="009C1DA5"/>
    <w:rsid w:val="009C1EC5"/>
    <w:rsid w:val="009C1FC2"/>
    <w:rsid w:val="009C20B3"/>
    <w:rsid w:val="009C22B1"/>
    <w:rsid w:val="009C2313"/>
    <w:rsid w:val="009C24AE"/>
    <w:rsid w:val="009C2615"/>
    <w:rsid w:val="009C2989"/>
    <w:rsid w:val="009C2A0B"/>
    <w:rsid w:val="009C2AE9"/>
    <w:rsid w:val="009C2DDF"/>
    <w:rsid w:val="009C31AB"/>
    <w:rsid w:val="009C31D1"/>
    <w:rsid w:val="009C33A5"/>
    <w:rsid w:val="009C354B"/>
    <w:rsid w:val="009C3631"/>
    <w:rsid w:val="009C38E0"/>
    <w:rsid w:val="009C3B86"/>
    <w:rsid w:val="009C3B9E"/>
    <w:rsid w:val="009C3BD9"/>
    <w:rsid w:val="009C3FE1"/>
    <w:rsid w:val="009C42F3"/>
    <w:rsid w:val="009C4487"/>
    <w:rsid w:val="009C455F"/>
    <w:rsid w:val="009C484C"/>
    <w:rsid w:val="009C4943"/>
    <w:rsid w:val="009C4C2C"/>
    <w:rsid w:val="009C4DC1"/>
    <w:rsid w:val="009C4F6C"/>
    <w:rsid w:val="009C5046"/>
    <w:rsid w:val="009C513A"/>
    <w:rsid w:val="009C53EB"/>
    <w:rsid w:val="009C5551"/>
    <w:rsid w:val="009C55BC"/>
    <w:rsid w:val="009C55E3"/>
    <w:rsid w:val="009C5723"/>
    <w:rsid w:val="009C58A8"/>
    <w:rsid w:val="009C5B82"/>
    <w:rsid w:val="009C5C3E"/>
    <w:rsid w:val="009C5CCC"/>
    <w:rsid w:val="009C5D73"/>
    <w:rsid w:val="009C5E42"/>
    <w:rsid w:val="009C5EC2"/>
    <w:rsid w:val="009C6295"/>
    <w:rsid w:val="009C629C"/>
    <w:rsid w:val="009C6329"/>
    <w:rsid w:val="009C6908"/>
    <w:rsid w:val="009C69AA"/>
    <w:rsid w:val="009C6A5D"/>
    <w:rsid w:val="009C6B3E"/>
    <w:rsid w:val="009C6C0D"/>
    <w:rsid w:val="009C6E7C"/>
    <w:rsid w:val="009C7023"/>
    <w:rsid w:val="009C7089"/>
    <w:rsid w:val="009C71BB"/>
    <w:rsid w:val="009C727E"/>
    <w:rsid w:val="009C72DD"/>
    <w:rsid w:val="009C73FB"/>
    <w:rsid w:val="009C74D9"/>
    <w:rsid w:val="009C756E"/>
    <w:rsid w:val="009C75D0"/>
    <w:rsid w:val="009C7607"/>
    <w:rsid w:val="009C76DA"/>
    <w:rsid w:val="009C7928"/>
    <w:rsid w:val="009C7929"/>
    <w:rsid w:val="009C7970"/>
    <w:rsid w:val="009C7B3D"/>
    <w:rsid w:val="009C7EF1"/>
    <w:rsid w:val="009D00A2"/>
    <w:rsid w:val="009D00C0"/>
    <w:rsid w:val="009D06E5"/>
    <w:rsid w:val="009D0900"/>
    <w:rsid w:val="009D0A3B"/>
    <w:rsid w:val="009D0B9C"/>
    <w:rsid w:val="009D0C03"/>
    <w:rsid w:val="009D1029"/>
    <w:rsid w:val="009D12A8"/>
    <w:rsid w:val="009D15BE"/>
    <w:rsid w:val="009D1800"/>
    <w:rsid w:val="009D1944"/>
    <w:rsid w:val="009D1A6B"/>
    <w:rsid w:val="009D212E"/>
    <w:rsid w:val="009D21BE"/>
    <w:rsid w:val="009D21FA"/>
    <w:rsid w:val="009D2335"/>
    <w:rsid w:val="009D25AE"/>
    <w:rsid w:val="009D25F6"/>
    <w:rsid w:val="009D286B"/>
    <w:rsid w:val="009D29BE"/>
    <w:rsid w:val="009D2ACD"/>
    <w:rsid w:val="009D2C44"/>
    <w:rsid w:val="009D2D69"/>
    <w:rsid w:val="009D2E03"/>
    <w:rsid w:val="009D2F08"/>
    <w:rsid w:val="009D3238"/>
    <w:rsid w:val="009D331B"/>
    <w:rsid w:val="009D3371"/>
    <w:rsid w:val="009D33ED"/>
    <w:rsid w:val="009D33FA"/>
    <w:rsid w:val="009D35E4"/>
    <w:rsid w:val="009D3607"/>
    <w:rsid w:val="009D3A5B"/>
    <w:rsid w:val="009D3C23"/>
    <w:rsid w:val="009D3C3D"/>
    <w:rsid w:val="009D3E21"/>
    <w:rsid w:val="009D3E67"/>
    <w:rsid w:val="009D4085"/>
    <w:rsid w:val="009D4195"/>
    <w:rsid w:val="009D4245"/>
    <w:rsid w:val="009D4282"/>
    <w:rsid w:val="009D438F"/>
    <w:rsid w:val="009D440E"/>
    <w:rsid w:val="009D4414"/>
    <w:rsid w:val="009D441E"/>
    <w:rsid w:val="009D4630"/>
    <w:rsid w:val="009D46FA"/>
    <w:rsid w:val="009D4B33"/>
    <w:rsid w:val="009D4B37"/>
    <w:rsid w:val="009D4BEB"/>
    <w:rsid w:val="009D4C13"/>
    <w:rsid w:val="009D4D3A"/>
    <w:rsid w:val="009D4D6E"/>
    <w:rsid w:val="009D5021"/>
    <w:rsid w:val="009D5196"/>
    <w:rsid w:val="009D525F"/>
    <w:rsid w:val="009D5288"/>
    <w:rsid w:val="009D5299"/>
    <w:rsid w:val="009D529C"/>
    <w:rsid w:val="009D54AA"/>
    <w:rsid w:val="009D569B"/>
    <w:rsid w:val="009D5ECD"/>
    <w:rsid w:val="009D5FF8"/>
    <w:rsid w:val="009D602F"/>
    <w:rsid w:val="009D61D0"/>
    <w:rsid w:val="009D6246"/>
    <w:rsid w:val="009D627D"/>
    <w:rsid w:val="009D646A"/>
    <w:rsid w:val="009D6524"/>
    <w:rsid w:val="009D65AB"/>
    <w:rsid w:val="009D6ABB"/>
    <w:rsid w:val="009D6B79"/>
    <w:rsid w:val="009D6C1E"/>
    <w:rsid w:val="009D6CB6"/>
    <w:rsid w:val="009D6D6E"/>
    <w:rsid w:val="009D6EA5"/>
    <w:rsid w:val="009D7667"/>
    <w:rsid w:val="009D76C7"/>
    <w:rsid w:val="009D7824"/>
    <w:rsid w:val="009D786F"/>
    <w:rsid w:val="009D7B43"/>
    <w:rsid w:val="009D7BAA"/>
    <w:rsid w:val="009D7F23"/>
    <w:rsid w:val="009E050C"/>
    <w:rsid w:val="009E0608"/>
    <w:rsid w:val="009E077B"/>
    <w:rsid w:val="009E07AB"/>
    <w:rsid w:val="009E0846"/>
    <w:rsid w:val="009E0856"/>
    <w:rsid w:val="009E09C7"/>
    <w:rsid w:val="009E09EB"/>
    <w:rsid w:val="009E0A34"/>
    <w:rsid w:val="009E0AEC"/>
    <w:rsid w:val="009E0BE7"/>
    <w:rsid w:val="009E0CB4"/>
    <w:rsid w:val="009E0E4B"/>
    <w:rsid w:val="009E0FF6"/>
    <w:rsid w:val="009E1088"/>
    <w:rsid w:val="009E108C"/>
    <w:rsid w:val="009E1148"/>
    <w:rsid w:val="009E11EE"/>
    <w:rsid w:val="009E126A"/>
    <w:rsid w:val="009E12AF"/>
    <w:rsid w:val="009E1612"/>
    <w:rsid w:val="009E1D0B"/>
    <w:rsid w:val="009E2230"/>
    <w:rsid w:val="009E2437"/>
    <w:rsid w:val="009E2683"/>
    <w:rsid w:val="009E2702"/>
    <w:rsid w:val="009E2996"/>
    <w:rsid w:val="009E2AC3"/>
    <w:rsid w:val="009E2AD3"/>
    <w:rsid w:val="009E2B21"/>
    <w:rsid w:val="009E2E71"/>
    <w:rsid w:val="009E2EA2"/>
    <w:rsid w:val="009E30A5"/>
    <w:rsid w:val="009E3241"/>
    <w:rsid w:val="009E327F"/>
    <w:rsid w:val="009E328B"/>
    <w:rsid w:val="009E32F2"/>
    <w:rsid w:val="009E335B"/>
    <w:rsid w:val="009E34E8"/>
    <w:rsid w:val="009E3711"/>
    <w:rsid w:val="009E3982"/>
    <w:rsid w:val="009E3BAE"/>
    <w:rsid w:val="009E3BCD"/>
    <w:rsid w:val="009E3DA4"/>
    <w:rsid w:val="009E3E63"/>
    <w:rsid w:val="009E4204"/>
    <w:rsid w:val="009E4496"/>
    <w:rsid w:val="009E47E5"/>
    <w:rsid w:val="009E4817"/>
    <w:rsid w:val="009E49BE"/>
    <w:rsid w:val="009E49F7"/>
    <w:rsid w:val="009E4A0D"/>
    <w:rsid w:val="009E4AFC"/>
    <w:rsid w:val="009E4C76"/>
    <w:rsid w:val="009E4D7A"/>
    <w:rsid w:val="009E52B1"/>
    <w:rsid w:val="009E5503"/>
    <w:rsid w:val="009E5865"/>
    <w:rsid w:val="009E58DA"/>
    <w:rsid w:val="009E5B9F"/>
    <w:rsid w:val="009E5D6B"/>
    <w:rsid w:val="009E5E10"/>
    <w:rsid w:val="009E5EDC"/>
    <w:rsid w:val="009E5FD0"/>
    <w:rsid w:val="009E5FF4"/>
    <w:rsid w:val="009E6030"/>
    <w:rsid w:val="009E62F7"/>
    <w:rsid w:val="009E6332"/>
    <w:rsid w:val="009E652A"/>
    <w:rsid w:val="009E69FC"/>
    <w:rsid w:val="009E6DFC"/>
    <w:rsid w:val="009E6E6F"/>
    <w:rsid w:val="009E6F13"/>
    <w:rsid w:val="009E6F42"/>
    <w:rsid w:val="009E6FBE"/>
    <w:rsid w:val="009E702A"/>
    <w:rsid w:val="009E722C"/>
    <w:rsid w:val="009E72CE"/>
    <w:rsid w:val="009E737C"/>
    <w:rsid w:val="009E7996"/>
    <w:rsid w:val="009E7AD0"/>
    <w:rsid w:val="009E7ADC"/>
    <w:rsid w:val="009E7B9B"/>
    <w:rsid w:val="009E7D4B"/>
    <w:rsid w:val="009E7DFE"/>
    <w:rsid w:val="009E7F0A"/>
    <w:rsid w:val="009E7F53"/>
    <w:rsid w:val="009F002E"/>
    <w:rsid w:val="009F00CB"/>
    <w:rsid w:val="009F036A"/>
    <w:rsid w:val="009F03FE"/>
    <w:rsid w:val="009F0484"/>
    <w:rsid w:val="009F053A"/>
    <w:rsid w:val="009F06AE"/>
    <w:rsid w:val="009F08D8"/>
    <w:rsid w:val="009F08E1"/>
    <w:rsid w:val="009F0D5F"/>
    <w:rsid w:val="009F0D6F"/>
    <w:rsid w:val="009F0DDA"/>
    <w:rsid w:val="009F0F27"/>
    <w:rsid w:val="009F0F43"/>
    <w:rsid w:val="009F1019"/>
    <w:rsid w:val="009F1087"/>
    <w:rsid w:val="009F1227"/>
    <w:rsid w:val="009F146F"/>
    <w:rsid w:val="009F14D5"/>
    <w:rsid w:val="009F14FE"/>
    <w:rsid w:val="009F15F3"/>
    <w:rsid w:val="009F1624"/>
    <w:rsid w:val="009F16A9"/>
    <w:rsid w:val="009F175C"/>
    <w:rsid w:val="009F1821"/>
    <w:rsid w:val="009F18D5"/>
    <w:rsid w:val="009F1904"/>
    <w:rsid w:val="009F19CA"/>
    <w:rsid w:val="009F20E2"/>
    <w:rsid w:val="009F21C0"/>
    <w:rsid w:val="009F2213"/>
    <w:rsid w:val="009F230A"/>
    <w:rsid w:val="009F24CC"/>
    <w:rsid w:val="009F254E"/>
    <w:rsid w:val="009F261A"/>
    <w:rsid w:val="009F27C7"/>
    <w:rsid w:val="009F2AD8"/>
    <w:rsid w:val="009F2BFB"/>
    <w:rsid w:val="009F2DC1"/>
    <w:rsid w:val="009F2DDF"/>
    <w:rsid w:val="009F2E07"/>
    <w:rsid w:val="009F30CA"/>
    <w:rsid w:val="009F30EA"/>
    <w:rsid w:val="009F327F"/>
    <w:rsid w:val="009F3299"/>
    <w:rsid w:val="009F3536"/>
    <w:rsid w:val="009F373F"/>
    <w:rsid w:val="009F3873"/>
    <w:rsid w:val="009F3941"/>
    <w:rsid w:val="009F3BE5"/>
    <w:rsid w:val="009F3C48"/>
    <w:rsid w:val="009F3C53"/>
    <w:rsid w:val="009F3C5E"/>
    <w:rsid w:val="009F3C75"/>
    <w:rsid w:val="009F3D8E"/>
    <w:rsid w:val="009F4068"/>
    <w:rsid w:val="009F4070"/>
    <w:rsid w:val="009F420A"/>
    <w:rsid w:val="009F4874"/>
    <w:rsid w:val="009F489D"/>
    <w:rsid w:val="009F48EA"/>
    <w:rsid w:val="009F49A3"/>
    <w:rsid w:val="009F49CD"/>
    <w:rsid w:val="009F4B8E"/>
    <w:rsid w:val="009F4C37"/>
    <w:rsid w:val="009F4D09"/>
    <w:rsid w:val="009F4D27"/>
    <w:rsid w:val="009F4D33"/>
    <w:rsid w:val="009F4EDD"/>
    <w:rsid w:val="009F50A5"/>
    <w:rsid w:val="009F50EC"/>
    <w:rsid w:val="009F51CD"/>
    <w:rsid w:val="009F5211"/>
    <w:rsid w:val="009F52AF"/>
    <w:rsid w:val="009F56C6"/>
    <w:rsid w:val="009F577C"/>
    <w:rsid w:val="009F5789"/>
    <w:rsid w:val="009F57A1"/>
    <w:rsid w:val="009F5960"/>
    <w:rsid w:val="009F5BA8"/>
    <w:rsid w:val="009F5CD4"/>
    <w:rsid w:val="009F5CF8"/>
    <w:rsid w:val="009F5D63"/>
    <w:rsid w:val="009F5E99"/>
    <w:rsid w:val="009F5F25"/>
    <w:rsid w:val="009F66F2"/>
    <w:rsid w:val="009F675D"/>
    <w:rsid w:val="009F680A"/>
    <w:rsid w:val="009F6E07"/>
    <w:rsid w:val="009F6EA3"/>
    <w:rsid w:val="009F6FDA"/>
    <w:rsid w:val="009F7033"/>
    <w:rsid w:val="009F70D2"/>
    <w:rsid w:val="009F7144"/>
    <w:rsid w:val="009F7393"/>
    <w:rsid w:val="009F741F"/>
    <w:rsid w:val="009F76B7"/>
    <w:rsid w:val="009F7718"/>
    <w:rsid w:val="009F78FC"/>
    <w:rsid w:val="009F7C93"/>
    <w:rsid w:val="009F7CB0"/>
    <w:rsid w:val="009F7DCD"/>
    <w:rsid w:val="009F7FB9"/>
    <w:rsid w:val="009F7FBB"/>
    <w:rsid w:val="009F7FFD"/>
    <w:rsid w:val="00A00034"/>
    <w:rsid w:val="00A00087"/>
    <w:rsid w:val="00A001E6"/>
    <w:rsid w:val="00A00253"/>
    <w:rsid w:val="00A00259"/>
    <w:rsid w:val="00A00263"/>
    <w:rsid w:val="00A00281"/>
    <w:rsid w:val="00A0037E"/>
    <w:rsid w:val="00A0052A"/>
    <w:rsid w:val="00A008AB"/>
    <w:rsid w:val="00A008CC"/>
    <w:rsid w:val="00A00981"/>
    <w:rsid w:val="00A00F9E"/>
    <w:rsid w:val="00A01303"/>
    <w:rsid w:val="00A013E8"/>
    <w:rsid w:val="00A0185E"/>
    <w:rsid w:val="00A019DD"/>
    <w:rsid w:val="00A019E6"/>
    <w:rsid w:val="00A01A6E"/>
    <w:rsid w:val="00A01B11"/>
    <w:rsid w:val="00A01D63"/>
    <w:rsid w:val="00A01EB4"/>
    <w:rsid w:val="00A01F1A"/>
    <w:rsid w:val="00A0230E"/>
    <w:rsid w:val="00A02373"/>
    <w:rsid w:val="00A02728"/>
    <w:rsid w:val="00A02779"/>
    <w:rsid w:val="00A027E0"/>
    <w:rsid w:val="00A02831"/>
    <w:rsid w:val="00A02968"/>
    <w:rsid w:val="00A02AA5"/>
    <w:rsid w:val="00A02C4F"/>
    <w:rsid w:val="00A02DCF"/>
    <w:rsid w:val="00A02F72"/>
    <w:rsid w:val="00A030C5"/>
    <w:rsid w:val="00A03246"/>
    <w:rsid w:val="00A0328A"/>
    <w:rsid w:val="00A0332B"/>
    <w:rsid w:val="00A03331"/>
    <w:rsid w:val="00A033B1"/>
    <w:rsid w:val="00A033E8"/>
    <w:rsid w:val="00A036B7"/>
    <w:rsid w:val="00A03723"/>
    <w:rsid w:val="00A039B7"/>
    <w:rsid w:val="00A03A05"/>
    <w:rsid w:val="00A03A71"/>
    <w:rsid w:val="00A03CD8"/>
    <w:rsid w:val="00A03E86"/>
    <w:rsid w:val="00A03ED4"/>
    <w:rsid w:val="00A03FA6"/>
    <w:rsid w:val="00A04077"/>
    <w:rsid w:val="00A0420A"/>
    <w:rsid w:val="00A042FF"/>
    <w:rsid w:val="00A043F2"/>
    <w:rsid w:val="00A0457F"/>
    <w:rsid w:val="00A0461B"/>
    <w:rsid w:val="00A0473B"/>
    <w:rsid w:val="00A04984"/>
    <w:rsid w:val="00A049D6"/>
    <w:rsid w:val="00A04A09"/>
    <w:rsid w:val="00A04BC6"/>
    <w:rsid w:val="00A04BE7"/>
    <w:rsid w:val="00A04C74"/>
    <w:rsid w:val="00A05092"/>
    <w:rsid w:val="00A052A3"/>
    <w:rsid w:val="00A052AE"/>
    <w:rsid w:val="00A05369"/>
    <w:rsid w:val="00A055C4"/>
    <w:rsid w:val="00A05726"/>
    <w:rsid w:val="00A05821"/>
    <w:rsid w:val="00A0598A"/>
    <w:rsid w:val="00A05AE6"/>
    <w:rsid w:val="00A05C37"/>
    <w:rsid w:val="00A05D1D"/>
    <w:rsid w:val="00A05EA2"/>
    <w:rsid w:val="00A06101"/>
    <w:rsid w:val="00A0669D"/>
    <w:rsid w:val="00A069D9"/>
    <w:rsid w:val="00A06C0B"/>
    <w:rsid w:val="00A06D4E"/>
    <w:rsid w:val="00A06D7F"/>
    <w:rsid w:val="00A06DC7"/>
    <w:rsid w:val="00A06E82"/>
    <w:rsid w:val="00A06FCE"/>
    <w:rsid w:val="00A07065"/>
    <w:rsid w:val="00A07225"/>
    <w:rsid w:val="00A0728B"/>
    <w:rsid w:val="00A07326"/>
    <w:rsid w:val="00A07424"/>
    <w:rsid w:val="00A076CC"/>
    <w:rsid w:val="00A077BA"/>
    <w:rsid w:val="00A077CF"/>
    <w:rsid w:val="00A079BB"/>
    <w:rsid w:val="00A07A14"/>
    <w:rsid w:val="00A07A54"/>
    <w:rsid w:val="00A07AFB"/>
    <w:rsid w:val="00A07BA9"/>
    <w:rsid w:val="00A07C40"/>
    <w:rsid w:val="00A07CA9"/>
    <w:rsid w:val="00A07CDE"/>
    <w:rsid w:val="00A07DF6"/>
    <w:rsid w:val="00A07FF7"/>
    <w:rsid w:val="00A102B8"/>
    <w:rsid w:val="00A104E5"/>
    <w:rsid w:val="00A10590"/>
    <w:rsid w:val="00A10679"/>
    <w:rsid w:val="00A109B9"/>
    <w:rsid w:val="00A10C57"/>
    <w:rsid w:val="00A10C6A"/>
    <w:rsid w:val="00A10CF1"/>
    <w:rsid w:val="00A10D18"/>
    <w:rsid w:val="00A10F19"/>
    <w:rsid w:val="00A10F31"/>
    <w:rsid w:val="00A10FB1"/>
    <w:rsid w:val="00A10FB8"/>
    <w:rsid w:val="00A112B9"/>
    <w:rsid w:val="00A113C1"/>
    <w:rsid w:val="00A11495"/>
    <w:rsid w:val="00A1165C"/>
    <w:rsid w:val="00A11A65"/>
    <w:rsid w:val="00A11A7A"/>
    <w:rsid w:val="00A11AE7"/>
    <w:rsid w:val="00A11B6F"/>
    <w:rsid w:val="00A120E7"/>
    <w:rsid w:val="00A12175"/>
    <w:rsid w:val="00A122D2"/>
    <w:rsid w:val="00A12369"/>
    <w:rsid w:val="00A1243E"/>
    <w:rsid w:val="00A125A1"/>
    <w:rsid w:val="00A125D6"/>
    <w:rsid w:val="00A126BE"/>
    <w:rsid w:val="00A12B5B"/>
    <w:rsid w:val="00A12DE0"/>
    <w:rsid w:val="00A12F1B"/>
    <w:rsid w:val="00A13006"/>
    <w:rsid w:val="00A131BC"/>
    <w:rsid w:val="00A1324E"/>
    <w:rsid w:val="00A135C4"/>
    <w:rsid w:val="00A1373E"/>
    <w:rsid w:val="00A13799"/>
    <w:rsid w:val="00A13A87"/>
    <w:rsid w:val="00A13D50"/>
    <w:rsid w:val="00A13E0D"/>
    <w:rsid w:val="00A13E19"/>
    <w:rsid w:val="00A13E68"/>
    <w:rsid w:val="00A143C8"/>
    <w:rsid w:val="00A145E6"/>
    <w:rsid w:val="00A147D2"/>
    <w:rsid w:val="00A14817"/>
    <w:rsid w:val="00A14895"/>
    <w:rsid w:val="00A149F5"/>
    <w:rsid w:val="00A14C4F"/>
    <w:rsid w:val="00A14D13"/>
    <w:rsid w:val="00A14DA5"/>
    <w:rsid w:val="00A14DD5"/>
    <w:rsid w:val="00A14E53"/>
    <w:rsid w:val="00A14F76"/>
    <w:rsid w:val="00A14FC9"/>
    <w:rsid w:val="00A15063"/>
    <w:rsid w:val="00A152BD"/>
    <w:rsid w:val="00A153F0"/>
    <w:rsid w:val="00A15580"/>
    <w:rsid w:val="00A15666"/>
    <w:rsid w:val="00A1566C"/>
    <w:rsid w:val="00A15710"/>
    <w:rsid w:val="00A15828"/>
    <w:rsid w:val="00A159E8"/>
    <w:rsid w:val="00A15B4C"/>
    <w:rsid w:val="00A15B58"/>
    <w:rsid w:val="00A15D24"/>
    <w:rsid w:val="00A15D39"/>
    <w:rsid w:val="00A15E90"/>
    <w:rsid w:val="00A15F2F"/>
    <w:rsid w:val="00A160C9"/>
    <w:rsid w:val="00A1614F"/>
    <w:rsid w:val="00A1620B"/>
    <w:rsid w:val="00A16334"/>
    <w:rsid w:val="00A1641A"/>
    <w:rsid w:val="00A16449"/>
    <w:rsid w:val="00A165C6"/>
    <w:rsid w:val="00A16606"/>
    <w:rsid w:val="00A1666D"/>
    <w:rsid w:val="00A166F5"/>
    <w:rsid w:val="00A16722"/>
    <w:rsid w:val="00A1679C"/>
    <w:rsid w:val="00A16804"/>
    <w:rsid w:val="00A1681C"/>
    <w:rsid w:val="00A169C7"/>
    <w:rsid w:val="00A16C82"/>
    <w:rsid w:val="00A16E2D"/>
    <w:rsid w:val="00A16E38"/>
    <w:rsid w:val="00A16EC7"/>
    <w:rsid w:val="00A16F07"/>
    <w:rsid w:val="00A1700F"/>
    <w:rsid w:val="00A174D1"/>
    <w:rsid w:val="00A17574"/>
    <w:rsid w:val="00A177A1"/>
    <w:rsid w:val="00A17942"/>
    <w:rsid w:val="00A17A51"/>
    <w:rsid w:val="00A17BE4"/>
    <w:rsid w:val="00A204C4"/>
    <w:rsid w:val="00A20D0E"/>
    <w:rsid w:val="00A20EBB"/>
    <w:rsid w:val="00A20FF6"/>
    <w:rsid w:val="00A2103C"/>
    <w:rsid w:val="00A211CC"/>
    <w:rsid w:val="00A21259"/>
    <w:rsid w:val="00A2132A"/>
    <w:rsid w:val="00A21382"/>
    <w:rsid w:val="00A213A6"/>
    <w:rsid w:val="00A21480"/>
    <w:rsid w:val="00A21610"/>
    <w:rsid w:val="00A216D2"/>
    <w:rsid w:val="00A21721"/>
    <w:rsid w:val="00A21AF0"/>
    <w:rsid w:val="00A21C1A"/>
    <w:rsid w:val="00A21D07"/>
    <w:rsid w:val="00A21D0B"/>
    <w:rsid w:val="00A21D64"/>
    <w:rsid w:val="00A22070"/>
    <w:rsid w:val="00A220A9"/>
    <w:rsid w:val="00A2235A"/>
    <w:rsid w:val="00A224F3"/>
    <w:rsid w:val="00A22A50"/>
    <w:rsid w:val="00A22B26"/>
    <w:rsid w:val="00A22B28"/>
    <w:rsid w:val="00A22B98"/>
    <w:rsid w:val="00A22EFC"/>
    <w:rsid w:val="00A22F01"/>
    <w:rsid w:val="00A22F48"/>
    <w:rsid w:val="00A22F6F"/>
    <w:rsid w:val="00A230D5"/>
    <w:rsid w:val="00A232C6"/>
    <w:rsid w:val="00A2335E"/>
    <w:rsid w:val="00A23417"/>
    <w:rsid w:val="00A23435"/>
    <w:rsid w:val="00A235FF"/>
    <w:rsid w:val="00A23729"/>
    <w:rsid w:val="00A23782"/>
    <w:rsid w:val="00A23830"/>
    <w:rsid w:val="00A23A07"/>
    <w:rsid w:val="00A23BC9"/>
    <w:rsid w:val="00A23CA0"/>
    <w:rsid w:val="00A23D60"/>
    <w:rsid w:val="00A2449B"/>
    <w:rsid w:val="00A24512"/>
    <w:rsid w:val="00A24835"/>
    <w:rsid w:val="00A24882"/>
    <w:rsid w:val="00A248B4"/>
    <w:rsid w:val="00A24A4F"/>
    <w:rsid w:val="00A24B61"/>
    <w:rsid w:val="00A24D36"/>
    <w:rsid w:val="00A24F77"/>
    <w:rsid w:val="00A25380"/>
    <w:rsid w:val="00A2544A"/>
    <w:rsid w:val="00A25478"/>
    <w:rsid w:val="00A25B35"/>
    <w:rsid w:val="00A25E4B"/>
    <w:rsid w:val="00A26159"/>
    <w:rsid w:val="00A26199"/>
    <w:rsid w:val="00A26285"/>
    <w:rsid w:val="00A262B9"/>
    <w:rsid w:val="00A26389"/>
    <w:rsid w:val="00A265D3"/>
    <w:rsid w:val="00A26690"/>
    <w:rsid w:val="00A26B57"/>
    <w:rsid w:val="00A26D75"/>
    <w:rsid w:val="00A26F13"/>
    <w:rsid w:val="00A2711A"/>
    <w:rsid w:val="00A27132"/>
    <w:rsid w:val="00A273B6"/>
    <w:rsid w:val="00A273B7"/>
    <w:rsid w:val="00A274C0"/>
    <w:rsid w:val="00A2772B"/>
    <w:rsid w:val="00A277DF"/>
    <w:rsid w:val="00A2781B"/>
    <w:rsid w:val="00A27905"/>
    <w:rsid w:val="00A27992"/>
    <w:rsid w:val="00A27B70"/>
    <w:rsid w:val="00A27C04"/>
    <w:rsid w:val="00A27E22"/>
    <w:rsid w:val="00A30093"/>
    <w:rsid w:val="00A303B8"/>
    <w:rsid w:val="00A3070E"/>
    <w:rsid w:val="00A30794"/>
    <w:rsid w:val="00A307CF"/>
    <w:rsid w:val="00A30A96"/>
    <w:rsid w:val="00A30BF9"/>
    <w:rsid w:val="00A30F96"/>
    <w:rsid w:val="00A31009"/>
    <w:rsid w:val="00A31254"/>
    <w:rsid w:val="00A314DC"/>
    <w:rsid w:val="00A31920"/>
    <w:rsid w:val="00A31991"/>
    <w:rsid w:val="00A31BFE"/>
    <w:rsid w:val="00A31D2D"/>
    <w:rsid w:val="00A31F0B"/>
    <w:rsid w:val="00A31F0F"/>
    <w:rsid w:val="00A31FC2"/>
    <w:rsid w:val="00A3202D"/>
    <w:rsid w:val="00A32205"/>
    <w:rsid w:val="00A32307"/>
    <w:rsid w:val="00A3240A"/>
    <w:rsid w:val="00A3251F"/>
    <w:rsid w:val="00A3254E"/>
    <w:rsid w:val="00A3290B"/>
    <w:rsid w:val="00A329F1"/>
    <w:rsid w:val="00A32C59"/>
    <w:rsid w:val="00A32D30"/>
    <w:rsid w:val="00A32DA3"/>
    <w:rsid w:val="00A3300F"/>
    <w:rsid w:val="00A334B5"/>
    <w:rsid w:val="00A33559"/>
    <w:rsid w:val="00A335AD"/>
    <w:rsid w:val="00A33655"/>
    <w:rsid w:val="00A3377B"/>
    <w:rsid w:val="00A337A5"/>
    <w:rsid w:val="00A33956"/>
    <w:rsid w:val="00A339B4"/>
    <w:rsid w:val="00A33AB6"/>
    <w:rsid w:val="00A33C4B"/>
    <w:rsid w:val="00A33C97"/>
    <w:rsid w:val="00A33D4A"/>
    <w:rsid w:val="00A33DEE"/>
    <w:rsid w:val="00A33EDF"/>
    <w:rsid w:val="00A3433A"/>
    <w:rsid w:val="00A34670"/>
    <w:rsid w:val="00A34800"/>
    <w:rsid w:val="00A348BE"/>
    <w:rsid w:val="00A349DF"/>
    <w:rsid w:val="00A34A37"/>
    <w:rsid w:val="00A34A8D"/>
    <w:rsid w:val="00A350E4"/>
    <w:rsid w:val="00A351CA"/>
    <w:rsid w:val="00A353D8"/>
    <w:rsid w:val="00A353F4"/>
    <w:rsid w:val="00A35475"/>
    <w:rsid w:val="00A355BB"/>
    <w:rsid w:val="00A35632"/>
    <w:rsid w:val="00A3572D"/>
    <w:rsid w:val="00A357E0"/>
    <w:rsid w:val="00A358D9"/>
    <w:rsid w:val="00A35A6D"/>
    <w:rsid w:val="00A35AB1"/>
    <w:rsid w:val="00A35AD3"/>
    <w:rsid w:val="00A35BFB"/>
    <w:rsid w:val="00A35E51"/>
    <w:rsid w:val="00A35EC8"/>
    <w:rsid w:val="00A35F4D"/>
    <w:rsid w:val="00A3612C"/>
    <w:rsid w:val="00A361C3"/>
    <w:rsid w:val="00A362FD"/>
    <w:rsid w:val="00A3657C"/>
    <w:rsid w:val="00A36674"/>
    <w:rsid w:val="00A36AAB"/>
    <w:rsid w:val="00A36AD9"/>
    <w:rsid w:val="00A36C00"/>
    <w:rsid w:val="00A36C3D"/>
    <w:rsid w:val="00A36E4A"/>
    <w:rsid w:val="00A36EC1"/>
    <w:rsid w:val="00A36F9F"/>
    <w:rsid w:val="00A3701C"/>
    <w:rsid w:val="00A3731F"/>
    <w:rsid w:val="00A3737E"/>
    <w:rsid w:val="00A373E9"/>
    <w:rsid w:val="00A3757C"/>
    <w:rsid w:val="00A376EE"/>
    <w:rsid w:val="00A37700"/>
    <w:rsid w:val="00A37838"/>
    <w:rsid w:val="00A37AE4"/>
    <w:rsid w:val="00A37B6F"/>
    <w:rsid w:val="00A37C07"/>
    <w:rsid w:val="00A37E27"/>
    <w:rsid w:val="00A40568"/>
    <w:rsid w:val="00A405B9"/>
    <w:rsid w:val="00A406E4"/>
    <w:rsid w:val="00A406FB"/>
    <w:rsid w:val="00A40868"/>
    <w:rsid w:val="00A40A8C"/>
    <w:rsid w:val="00A40AB7"/>
    <w:rsid w:val="00A40AE4"/>
    <w:rsid w:val="00A40E14"/>
    <w:rsid w:val="00A40F6D"/>
    <w:rsid w:val="00A41020"/>
    <w:rsid w:val="00A41091"/>
    <w:rsid w:val="00A411FA"/>
    <w:rsid w:val="00A413FF"/>
    <w:rsid w:val="00A414C7"/>
    <w:rsid w:val="00A416A2"/>
    <w:rsid w:val="00A417EC"/>
    <w:rsid w:val="00A418E0"/>
    <w:rsid w:val="00A41A72"/>
    <w:rsid w:val="00A41B6A"/>
    <w:rsid w:val="00A41CAF"/>
    <w:rsid w:val="00A41CCC"/>
    <w:rsid w:val="00A41CE6"/>
    <w:rsid w:val="00A41F15"/>
    <w:rsid w:val="00A41F47"/>
    <w:rsid w:val="00A41F89"/>
    <w:rsid w:val="00A41FDC"/>
    <w:rsid w:val="00A42085"/>
    <w:rsid w:val="00A422F6"/>
    <w:rsid w:val="00A424A7"/>
    <w:rsid w:val="00A4256C"/>
    <w:rsid w:val="00A42574"/>
    <w:rsid w:val="00A428ED"/>
    <w:rsid w:val="00A42935"/>
    <w:rsid w:val="00A4298B"/>
    <w:rsid w:val="00A429CC"/>
    <w:rsid w:val="00A42D7C"/>
    <w:rsid w:val="00A42DE4"/>
    <w:rsid w:val="00A42F47"/>
    <w:rsid w:val="00A42FCF"/>
    <w:rsid w:val="00A42FE6"/>
    <w:rsid w:val="00A431D5"/>
    <w:rsid w:val="00A43222"/>
    <w:rsid w:val="00A43545"/>
    <w:rsid w:val="00A43660"/>
    <w:rsid w:val="00A43696"/>
    <w:rsid w:val="00A4383D"/>
    <w:rsid w:val="00A43922"/>
    <w:rsid w:val="00A439B8"/>
    <w:rsid w:val="00A439E5"/>
    <w:rsid w:val="00A43B6A"/>
    <w:rsid w:val="00A43C8D"/>
    <w:rsid w:val="00A43F26"/>
    <w:rsid w:val="00A4401A"/>
    <w:rsid w:val="00A44041"/>
    <w:rsid w:val="00A44138"/>
    <w:rsid w:val="00A4414F"/>
    <w:rsid w:val="00A441B2"/>
    <w:rsid w:val="00A44342"/>
    <w:rsid w:val="00A44462"/>
    <w:rsid w:val="00A4449E"/>
    <w:rsid w:val="00A4489C"/>
    <w:rsid w:val="00A449D9"/>
    <w:rsid w:val="00A44CD5"/>
    <w:rsid w:val="00A44E12"/>
    <w:rsid w:val="00A44EC1"/>
    <w:rsid w:val="00A4506C"/>
    <w:rsid w:val="00A451D0"/>
    <w:rsid w:val="00A451D9"/>
    <w:rsid w:val="00A4542F"/>
    <w:rsid w:val="00A4544A"/>
    <w:rsid w:val="00A4546A"/>
    <w:rsid w:val="00A4546E"/>
    <w:rsid w:val="00A454B3"/>
    <w:rsid w:val="00A4557F"/>
    <w:rsid w:val="00A45740"/>
    <w:rsid w:val="00A459EE"/>
    <w:rsid w:val="00A459FC"/>
    <w:rsid w:val="00A45A0A"/>
    <w:rsid w:val="00A45B6C"/>
    <w:rsid w:val="00A45C31"/>
    <w:rsid w:val="00A45C3A"/>
    <w:rsid w:val="00A45C89"/>
    <w:rsid w:val="00A45CF8"/>
    <w:rsid w:val="00A45E52"/>
    <w:rsid w:val="00A4611D"/>
    <w:rsid w:val="00A46276"/>
    <w:rsid w:val="00A462C2"/>
    <w:rsid w:val="00A46351"/>
    <w:rsid w:val="00A46521"/>
    <w:rsid w:val="00A46532"/>
    <w:rsid w:val="00A46652"/>
    <w:rsid w:val="00A468C2"/>
    <w:rsid w:val="00A469CF"/>
    <w:rsid w:val="00A46D15"/>
    <w:rsid w:val="00A46E52"/>
    <w:rsid w:val="00A46F1D"/>
    <w:rsid w:val="00A47047"/>
    <w:rsid w:val="00A4713D"/>
    <w:rsid w:val="00A4714C"/>
    <w:rsid w:val="00A4732C"/>
    <w:rsid w:val="00A47334"/>
    <w:rsid w:val="00A4758C"/>
    <w:rsid w:val="00A47815"/>
    <w:rsid w:val="00A47854"/>
    <w:rsid w:val="00A4787A"/>
    <w:rsid w:val="00A47B8D"/>
    <w:rsid w:val="00A47EA9"/>
    <w:rsid w:val="00A5012C"/>
    <w:rsid w:val="00A50153"/>
    <w:rsid w:val="00A501A1"/>
    <w:rsid w:val="00A501ED"/>
    <w:rsid w:val="00A50209"/>
    <w:rsid w:val="00A503F0"/>
    <w:rsid w:val="00A5048F"/>
    <w:rsid w:val="00A5059D"/>
    <w:rsid w:val="00A50687"/>
    <w:rsid w:val="00A50B04"/>
    <w:rsid w:val="00A50B70"/>
    <w:rsid w:val="00A50BDE"/>
    <w:rsid w:val="00A50BFE"/>
    <w:rsid w:val="00A50C06"/>
    <w:rsid w:val="00A50CA3"/>
    <w:rsid w:val="00A50D1D"/>
    <w:rsid w:val="00A50D5B"/>
    <w:rsid w:val="00A510E6"/>
    <w:rsid w:val="00A5121A"/>
    <w:rsid w:val="00A51A47"/>
    <w:rsid w:val="00A51DEF"/>
    <w:rsid w:val="00A51E01"/>
    <w:rsid w:val="00A51F50"/>
    <w:rsid w:val="00A51FC4"/>
    <w:rsid w:val="00A5219A"/>
    <w:rsid w:val="00A52325"/>
    <w:rsid w:val="00A5237C"/>
    <w:rsid w:val="00A52404"/>
    <w:rsid w:val="00A529BD"/>
    <w:rsid w:val="00A52A0C"/>
    <w:rsid w:val="00A52AE3"/>
    <w:rsid w:val="00A52B25"/>
    <w:rsid w:val="00A52BC9"/>
    <w:rsid w:val="00A52D88"/>
    <w:rsid w:val="00A52DDC"/>
    <w:rsid w:val="00A52E11"/>
    <w:rsid w:val="00A52EB1"/>
    <w:rsid w:val="00A52F2A"/>
    <w:rsid w:val="00A52FBD"/>
    <w:rsid w:val="00A530C1"/>
    <w:rsid w:val="00A5323B"/>
    <w:rsid w:val="00A53627"/>
    <w:rsid w:val="00A53769"/>
    <w:rsid w:val="00A539BF"/>
    <w:rsid w:val="00A53BA7"/>
    <w:rsid w:val="00A53BA8"/>
    <w:rsid w:val="00A53DA8"/>
    <w:rsid w:val="00A53EA3"/>
    <w:rsid w:val="00A53F48"/>
    <w:rsid w:val="00A53FD4"/>
    <w:rsid w:val="00A54181"/>
    <w:rsid w:val="00A542B2"/>
    <w:rsid w:val="00A54352"/>
    <w:rsid w:val="00A5435D"/>
    <w:rsid w:val="00A543BA"/>
    <w:rsid w:val="00A54472"/>
    <w:rsid w:val="00A5482C"/>
    <w:rsid w:val="00A5490E"/>
    <w:rsid w:val="00A549DF"/>
    <w:rsid w:val="00A54C6F"/>
    <w:rsid w:val="00A54DAF"/>
    <w:rsid w:val="00A54DC6"/>
    <w:rsid w:val="00A54E27"/>
    <w:rsid w:val="00A54F2C"/>
    <w:rsid w:val="00A54F55"/>
    <w:rsid w:val="00A54FB4"/>
    <w:rsid w:val="00A55110"/>
    <w:rsid w:val="00A552E9"/>
    <w:rsid w:val="00A553A3"/>
    <w:rsid w:val="00A553CF"/>
    <w:rsid w:val="00A554BC"/>
    <w:rsid w:val="00A555F4"/>
    <w:rsid w:val="00A5566F"/>
    <w:rsid w:val="00A556E6"/>
    <w:rsid w:val="00A55939"/>
    <w:rsid w:val="00A55A07"/>
    <w:rsid w:val="00A55A61"/>
    <w:rsid w:val="00A55B7D"/>
    <w:rsid w:val="00A55DB2"/>
    <w:rsid w:val="00A55DF9"/>
    <w:rsid w:val="00A55E07"/>
    <w:rsid w:val="00A55E29"/>
    <w:rsid w:val="00A56136"/>
    <w:rsid w:val="00A56152"/>
    <w:rsid w:val="00A5619E"/>
    <w:rsid w:val="00A562AB"/>
    <w:rsid w:val="00A5634C"/>
    <w:rsid w:val="00A563DC"/>
    <w:rsid w:val="00A564B8"/>
    <w:rsid w:val="00A56656"/>
    <w:rsid w:val="00A567F7"/>
    <w:rsid w:val="00A5680D"/>
    <w:rsid w:val="00A56906"/>
    <w:rsid w:val="00A569C9"/>
    <w:rsid w:val="00A56B6D"/>
    <w:rsid w:val="00A56BF0"/>
    <w:rsid w:val="00A56CC0"/>
    <w:rsid w:val="00A56DE0"/>
    <w:rsid w:val="00A56E43"/>
    <w:rsid w:val="00A56E51"/>
    <w:rsid w:val="00A56E5B"/>
    <w:rsid w:val="00A56FA2"/>
    <w:rsid w:val="00A571E9"/>
    <w:rsid w:val="00A5722A"/>
    <w:rsid w:val="00A573C3"/>
    <w:rsid w:val="00A573C7"/>
    <w:rsid w:val="00A574D0"/>
    <w:rsid w:val="00A577B5"/>
    <w:rsid w:val="00A578D9"/>
    <w:rsid w:val="00A578F0"/>
    <w:rsid w:val="00A57A15"/>
    <w:rsid w:val="00A57C0F"/>
    <w:rsid w:val="00A57C16"/>
    <w:rsid w:val="00A57D32"/>
    <w:rsid w:val="00A57E37"/>
    <w:rsid w:val="00A57F1C"/>
    <w:rsid w:val="00A57FF4"/>
    <w:rsid w:val="00A6014D"/>
    <w:rsid w:val="00A6029F"/>
    <w:rsid w:val="00A604AD"/>
    <w:rsid w:val="00A60793"/>
    <w:rsid w:val="00A60917"/>
    <w:rsid w:val="00A60919"/>
    <w:rsid w:val="00A60BAF"/>
    <w:rsid w:val="00A60C20"/>
    <w:rsid w:val="00A60D9C"/>
    <w:rsid w:val="00A61097"/>
    <w:rsid w:val="00A61168"/>
    <w:rsid w:val="00A61187"/>
    <w:rsid w:val="00A611AE"/>
    <w:rsid w:val="00A61208"/>
    <w:rsid w:val="00A612FA"/>
    <w:rsid w:val="00A615B4"/>
    <w:rsid w:val="00A61C7C"/>
    <w:rsid w:val="00A61D14"/>
    <w:rsid w:val="00A61ED7"/>
    <w:rsid w:val="00A6220B"/>
    <w:rsid w:val="00A622E5"/>
    <w:rsid w:val="00A62418"/>
    <w:rsid w:val="00A6242E"/>
    <w:rsid w:val="00A62533"/>
    <w:rsid w:val="00A6267D"/>
    <w:rsid w:val="00A6282C"/>
    <w:rsid w:val="00A628E1"/>
    <w:rsid w:val="00A62A42"/>
    <w:rsid w:val="00A62A4C"/>
    <w:rsid w:val="00A62B72"/>
    <w:rsid w:val="00A62CC0"/>
    <w:rsid w:val="00A62CDE"/>
    <w:rsid w:val="00A62D48"/>
    <w:rsid w:val="00A62EC7"/>
    <w:rsid w:val="00A62EFA"/>
    <w:rsid w:val="00A6313D"/>
    <w:rsid w:val="00A63255"/>
    <w:rsid w:val="00A6372E"/>
    <w:rsid w:val="00A637D6"/>
    <w:rsid w:val="00A637DA"/>
    <w:rsid w:val="00A638CC"/>
    <w:rsid w:val="00A63A65"/>
    <w:rsid w:val="00A63C18"/>
    <w:rsid w:val="00A643FD"/>
    <w:rsid w:val="00A6455D"/>
    <w:rsid w:val="00A646BB"/>
    <w:rsid w:val="00A64756"/>
    <w:rsid w:val="00A6493B"/>
    <w:rsid w:val="00A64B04"/>
    <w:rsid w:val="00A64E32"/>
    <w:rsid w:val="00A64F92"/>
    <w:rsid w:val="00A64FA4"/>
    <w:rsid w:val="00A6512C"/>
    <w:rsid w:val="00A65132"/>
    <w:rsid w:val="00A651BF"/>
    <w:rsid w:val="00A6529B"/>
    <w:rsid w:val="00A652F7"/>
    <w:rsid w:val="00A65359"/>
    <w:rsid w:val="00A6549F"/>
    <w:rsid w:val="00A654C4"/>
    <w:rsid w:val="00A655A8"/>
    <w:rsid w:val="00A65648"/>
    <w:rsid w:val="00A65733"/>
    <w:rsid w:val="00A65760"/>
    <w:rsid w:val="00A65812"/>
    <w:rsid w:val="00A658C8"/>
    <w:rsid w:val="00A65922"/>
    <w:rsid w:val="00A65D19"/>
    <w:rsid w:val="00A65F9D"/>
    <w:rsid w:val="00A6610C"/>
    <w:rsid w:val="00A661C3"/>
    <w:rsid w:val="00A662DC"/>
    <w:rsid w:val="00A66341"/>
    <w:rsid w:val="00A6657E"/>
    <w:rsid w:val="00A665DF"/>
    <w:rsid w:val="00A66659"/>
    <w:rsid w:val="00A66D0F"/>
    <w:rsid w:val="00A6724E"/>
    <w:rsid w:val="00A6741B"/>
    <w:rsid w:val="00A678FC"/>
    <w:rsid w:val="00A67931"/>
    <w:rsid w:val="00A679C5"/>
    <w:rsid w:val="00A679CA"/>
    <w:rsid w:val="00A67A54"/>
    <w:rsid w:val="00A67BF2"/>
    <w:rsid w:val="00A67D56"/>
    <w:rsid w:val="00A70677"/>
    <w:rsid w:val="00A70696"/>
    <w:rsid w:val="00A70728"/>
    <w:rsid w:val="00A7081B"/>
    <w:rsid w:val="00A70841"/>
    <w:rsid w:val="00A70990"/>
    <w:rsid w:val="00A70B23"/>
    <w:rsid w:val="00A711DE"/>
    <w:rsid w:val="00A715C9"/>
    <w:rsid w:val="00A715D1"/>
    <w:rsid w:val="00A71634"/>
    <w:rsid w:val="00A7163C"/>
    <w:rsid w:val="00A71762"/>
    <w:rsid w:val="00A71804"/>
    <w:rsid w:val="00A718CB"/>
    <w:rsid w:val="00A71918"/>
    <w:rsid w:val="00A71A19"/>
    <w:rsid w:val="00A71D0F"/>
    <w:rsid w:val="00A724BE"/>
    <w:rsid w:val="00A724DF"/>
    <w:rsid w:val="00A72620"/>
    <w:rsid w:val="00A7280A"/>
    <w:rsid w:val="00A728F1"/>
    <w:rsid w:val="00A7297E"/>
    <w:rsid w:val="00A72BD4"/>
    <w:rsid w:val="00A72CC6"/>
    <w:rsid w:val="00A72E4C"/>
    <w:rsid w:val="00A72EC8"/>
    <w:rsid w:val="00A730F6"/>
    <w:rsid w:val="00A73230"/>
    <w:rsid w:val="00A73335"/>
    <w:rsid w:val="00A73371"/>
    <w:rsid w:val="00A7340F"/>
    <w:rsid w:val="00A735CC"/>
    <w:rsid w:val="00A73810"/>
    <w:rsid w:val="00A738D8"/>
    <w:rsid w:val="00A73914"/>
    <w:rsid w:val="00A739C2"/>
    <w:rsid w:val="00A73B90"/>
    <w:rsid w:val="00A73BD5"/>
    <w:rsid w:val="00A73C3A"/>
    <w:rsid w:val="00A73DA2"/>
    <w:rsid w:val="00A74024"/>
    <w:rsid w:val="00A7403F"/>
    <w:rsid w:val="00A74226"/>
    <w:rsid w:val="00A7426E"/>
    <w:rsid w:val="00A74292"/>
    <w:rsid w:val="00A74550"/>
    <w:rsid w:val="00A747C2"/>
    <w:rsid w:val="00A747D8"/>
    <w:rsid w:val="00A74942"/>
    <w:rsid w:val="00A74D6C"/>
    <w:rsid w:val="00A75113"/>
    <w:rsid w:val="00A7526E"/>
    <w:rsid w:val="00A753A7"/>
    <w:rsid w:val="00A754D4"/>
    <w:rsid w:val="00A755BC"/>
    <w:rsid w:val="00A7562B"/>
    <w:rsid w:val="00A75765"/>
    <w:rsid w:val="00A757B0"/>
    <w:rsid w:val="00A75867"/>
    <w:rsid w:val="00A759CE"/>
    <w:rsid w:val="00A75A1F"/>
    <w:rsid w:val="00A75B00"/>
    <w:rsid w:val="00A75C30"/>
    <w:rsid w:val="00A75E7E"/>
    <w:rsid w:val="00A7628D"/>
    <w:rsid w:val="00A76366"/>
    <w:rsid w:val="00A764F2"/>
    <w:rsid w:val="00A76522"/>
    <w:rsid w:val="00A765A0"/>
    <w:rsid w:val="00A765D3"/>
    <w:rsid w:val="00A76919"/>
    <w:rsid w:val="00A76AA1"/>
    <w:rsid w:val="00A76BCD"/>
    <w:rsid w:val="00A76D41"/>
    <w:rsid w:val="00A76D4E"/>
    <w:rsid w:val="00A76DA4"/>
    <w:rsid w:val="00A76DCA"/>
    <w:rsid w:val="00A771B4"/>
    <w:rsid w:val="00A772C7"/>
    <w:rsid w:val="00A7731A"/>
    <w:rsid w:val="00A773B5"/>
    <w:rsid w:val="00A776A4"/>
    <w:rsid w:val="00A77768"/>
    <w:rsid w:val="00A77A90"/>
    <w:rsid w:val="00A77B1B"/>
    <w:rsid w:val="00A77B90"/>
    <w:rsid w:val="00A77F2F"/>
    <w:rsid w:val="00A77FCF"/>
    <w:rsid w:val="00A801E8"/>
    <w:rsid w:val="00A8038C"/>
    <w:rsid w:val="00A803FF"/>
    <w:rsid w:val="00A80429"/>
    <w:rsid w:val="00A8049D"/>
    <w:rsid w:val="00A8062A"/>
    <w:rsid w:val="00A8082A"/>
    <w:rsid w:val="00A8097B"/>
    <w:rsid w:val="00A80A1B"/>
    <w:rsid w:val="00A80AC9"/>
    <w:rsid w:val="00A80C23"/>
    <w:rsid w:val="00A80FE4"/>
    <w:rsid w:val="00A81095"/>
    <w:rsid w:val="00A81211"/>
    <w:rsid w:val="00A8125A"/>
    <w:rsid w:val="00A8125E"/>
    <w:rsid w:val="00A813E1"/>
    <w:rsid w:val="00A815C0"/>
    <w:rsid w:val="00A8162B"/>
    <w:rsid w:val="00A81A57"/>
    <w:rsid w:val="00A81BEF"/>
    <w:rsid w:val="00A81C57"/>
    <w:rsid w:val="00A81D09"/>
    <w:rsid w:val="00A81F18"/>
    <w:rsid w:val="00A81F62"/>
    <w:rsid w:val="00A8225A"/>
    <w:rsid w:val="00A822C2"/>
    <w:rsid w:val="00A823E3"/>
    <w:rsid w:val="00A82646"/>
    <w:rsid w:val="00A82667"/>
    <w:rsid w:val="00A827DD"/>
    <w:rsid w:val="00A828B1"/>
    <w:rsid w:val="00A82926"/>
    <w:rsid w:val="00A82990"/>
    <w:rsid w:val="00A82995"/>
    <w:rsid w:val="00A82B00"/>
    <w:rsid w:val="00A82B06"/>
    <w:rsid w:val="00A82B1C"/>
    <w:rsid w:val="00A82B5F"/>
    <w:rsid w:val="00A82BC7"/>
    <w:rsid w:val="00A82C02"/>
    <w:rsid w:val="00A82C2F"/>
    <w:rsid w:val="00A82D37"/>
    <w:rsid w:val="00A82D41"/>
    <w:rsid w:val="00A83027"/>
    <w:rsid w:val="00A830DF"/>
    <w:rsid w:val="00A83147"/>
    <w:rsid w:val="00A8319E"/>
    <w:rsid w:val="00A831AA"/>
    <w:rsid w:val="00A831E5"/>
    <w:rsid w:val="00A83733"/>
    <w:rsid w:val="00A83755"/>
    <w:rsid w:val="00A8376E"/>
    <w:rsid w:val="00A837F2"/>
    <w:rsid w:val="00A83873"/>
    <w:rsid w:val="00A838F3"/>
    <w:rsid w:val="00A8395F"/>
    <w:rsid w:val="00A83988"/>
    <w:rsid w:val="00A839A3"/>
    <w:rsid w:val="00A839C9"/>
    <w:rsid w:val="00A83AB0"/>
    <w:rsid w:val="00A83BBD"/>
    <w:rsid w:val="00A83CA3"/>
    <w:rsid w:val="00A83D90"/>
    <w:rsid w:val="00A83E78"/>
    <w:rsid w:val="00A83FE2"/>
    <w:rsid w:val="00A84334"/>
    <w:rsid w:val="00A84363"/>
    <w:rsid w:val="00A843EF"/>
    <w:rsid w:val="00A847B1"/>
    <w:rsid w:val="00A8484A"/>
    <w:rsid w:val="00A84859"/>
    <w:rsid w:val="00A84889"/>
    <w:rsid w:val="00A84A57"/>
    <w:rsid w:val="00A84D1E"/>
    <w:rsid w:val="00A84D5C"/>
    <w:rsid w:val="00A84DB7"/>
    <w:rsid w:val="00A84E21"/>
    <w:rsid w:val="00A84F86"/>
    <w:rsid w:val="00A84FFB"/>
    <w:rsid w:val="00A85140"/>
    <w:rsid w:val="00A85145"/>
    <w:rsid w:val="00A852C6"/>
    <w:rsid w:val="00A856B0"/>
    <w:rsid w:val="00A8583E"/>
    <w:rsid w:val="00A85908"/>
    <w:rsid w:val="00A85977"/>
    <w:rsid w:val="00A85D97"/>
    <w:rsid w:val="00A85E95"/>
    <w:rsid w:val="00A86210"/>
    <w:rsid w:val="00A862BD"/>
    <w:rsid w:val="00A86503"/>
    <w:rsid w:val="00A867C4"/>
    <w:rsid w:val="00A868BE"/>
    <w:rsid w:val="00A86D5C"/>
    <w:rsid w:val="00A871E8"/>
    <w:rsid w:val="00A8721A"/>
    <w:rsid w:val="00A8745D"/>
    <w:rsid w:val="00A87480"/>
    <w:rsid w:val="00A87546"/>
    <w:rsid w:val="00A8772B"/>
    <w:rsid w:val="00A87801"/>
    <w:rsid w:val="00A87853"/>
    <w:rsid w:val="00A87A12"/>
    <w:rsid w:val="00A87BF3"/>
    <w:rsid w:val="00A87D29"/>
    <w:rsid w:val="00A90005"/>
    <w:rsid w:val="00A9000F"/>
    <w:rsid w:val="00A90084"/>
    <w:rsid w:val="00A90387"/>
    <w:rsid w:val="00A90401"/>
    <w:rsid w:val="00A90738"/>
    <w:rsid w:val="00A9077F"/>
    <w:rsid w:val="00A90A0A"/>
    <w:rsid w:val="00A90BBE"/>
    <w:rsid w:val="00A90CAD"/>
    <w:rsid w:val="00A90E39"/>
    <w:rsid w:val="00A91012"/>
    <w:rsid w:val="00A9131D"/>
    <w:rsid w:val="00A913E7"/>
    <w:rsid w:val="00A91654"/>
    <w:rsid w:val="00A9189F"/>
    <w:rsid w:val="00A919B4"/>
    <w:rsid w:val="00A919CA"/>
    <w:rsid w:val="00A91A6E"/>
    <w:rsid w:val="00A91C86"/>
    <w:rsid w:val="00A91D35"/>
    <w:rsid w:val="00A91F62"/>
    <w:rsid w:val="00A91FF8"/>
    <w:rsid w:val="00A920E7"/>
    <w:rsid w:val="00A92137"/>
    <w:rsid w:val="00A921E3"/>
    <w:rsid w:val="00A92506"/>
    <w:rsid w:val="00A9260C"/>
    <w:rsid w:val="00A927FC"/>
    <w:rsid w:val="00A92808"/>
    <w:rsid w:val="00A92977"/>
    <w:rsid w:val="00A92C2B"/>
    <w:rsid w:val="00A92C7A"/>
    <w:rsid w:val="00A92C7B"/>
    <w:rsid w:val="00A92C9A"/>
    <w:rsid w:val="00A92F2B"/>
    <w:rsid w:val="00A93064"/>
    <w:rsid w:val="00A930BD"/>
    <w:rsid w:val="00A930C2"/>
    <w:rsid w:val="00A93235"/>
    <w:rsid w:val="00A932D0"/>
    <w:rsid w:val="00A933D9"/>
    <w:rsid w:val="00A934CD"/>
    <w:rsid w:val="00A93518"/>
    <w:rsid w:val="00A938C2"/>
    <w:rsid w:val="00A9390A"/>
    <w:rsid w:val="00A93974"/>
    <w:rsid w:val="00A939D4"/>
    <w:rsid w:val="00A93A78"/>
    <w:rsid w:val="00A93C30"/>
    <w:rsid w:val="00A93EF5"/>
    <w:rsid w:val="00A94895"/>
    <w:rsid w:val="00A94B14"/>
    <w:rsid w:val="00A94C3C"/>
    <w:rsid w:val="00A94D20"/>
    <w:rsid w:val="00A94D34"/>
    <w:rsid w:val="00A94D89"/>
    <w:rsid w:val="00A95119"/>
    <w:rsid w:val="00A95136"/>
    <w:rsid w:val="00A9520E"/>
    <w:rsid w:val="00A954BB"/>
    <w:rsid w:val="00A9557E"/>
    <w:rsid w:val="00A955EC"/>
    <w:rsid w:val="00A95612"/>
    <w:rsid w:val="00A95704"/>
    <w:rsid w:val="00A95764"/>
    <w:rsid w:val="00A957DE"/>
    <w:rsid w:val="00A958FE"/>
    <w:rsid w:val="00A95925"/>
    <w:rsid w:val="00A959DC"/>
    <w:rsid w:val="00A95E2E"/>
    <w:rsid w:val="00A95F90"/>
    <w:rsid w:val="00A96095"/>
    <w:rsid w:val="00A96117"/>
    <w:rsid w:val="00A962AD"/>
    <w:rsid w:val="00A96394"/>
    <w:rsid w:val="00A963DF"/>
    <w:rsid w:val="00A963EE"/>
    <w:rsid w:val="00A965B9"/>
    <w:rsid w:val="00A96679"/>
    <w:rsid w:val="00A96734"/>
    <w:rsid w:val="00A96895"/>
    <w:rsid w:val="00A96A11"/>
    <w:rsid w:val="00A96A84"/>
    <w:rsid w:val="00A96AEA"/>
    <w:rsid w:val="00A96F6A"/>
    <w:rsid w:val="00A96F8A"/>
    <w:rsid w:val="00A9752B"/>
    <w:rsid w:val="00A97643"/>
    <w:rsid w:val="00A976F4"/>
    <w:rsid w:val="00A977BD"/>
    <w:rsid w:val="00A97842"/>
    <w:rsid w:val="00A9788B"/>
    <w:rsid w:val="00A97AD2"/>
    <w:rsid w:val="00A97BCC"/>
    <w:rsid w:val="00A97C0D"/>
    <w:rsid w:val="00A97C1C"/>
    <w:rsid w:val="00A97C20"/>
    <w:rsid w:val="00A97D0C"/>
    <w:rsid w:val="00A97D75"/>
    <w:rsid w:val="00A97F9E"/>
    <w:rsid w:val="00A97FB5"/>
    <w:rsid w:val="00AA0294"/>
    <w:rsid w:val="00AA055A"/>
    <w:rsid w:val="00AA05AE"/>
    <w:rsid w:val="00AA0676"/>
    <w:rsid w:val="00AA095A"/>
    <w:rsid w:val="00AA0A5C"/>
    <w:rsid w:val="00AA0A64"/>
    <w:rsid w:val="00AA0B76"/>
    <w:rsid w:val="00AA0D00"/>
    <w:rsid w:val="00AA0D57"/>
    <w:rsid w:val="00AA0D71"/>
    <w:rsid w:val="00AA0EED"/>
    <w:rsid w:val="00AA11FD"/>
    <w:rsid w:val="00AA12C9"/>
    <w:rsid w:val="00AA13A2"/>
    <w:rsid w:val="00AA152E"/>
    <w:rsid w:val="00AA1544"/>
    <w:rsid w:val="00AA162E"/>
    <w:rsid w:val="00AA19A6"/>
    <w:rsid w:val="00AA1A62"/>
    <w:rsid w:val="00AA1B59"/>
    <w:rsid w:val="00AA1B61"/>
    <w:rsid w:val="00AA1D57"/>
    <w:rsid w:val="00AA1F07"/>
    <w:rsid w:val="00AA2443"/>
    <w:rsid w:val="00AA2461"/>
    <w:rsid w:val="00AA2798"/>
    <w:rsid w:val="00AA2865"/>
    <w:rsid w:val="00AA29EF"/>
    <w:rsid w:val="00AA2A77"/>
    <w:rsid w:val="00AA2CBF"/>
    <w:rsid w:val="00AA2CFB"/>
    <w:rsid w:val="00AA3218"/>
    <w:rsid w:val="00AA35DD"/>
    <w:rsid w:val="00AA363E"/>
    <w:rsid w:val="00AA36BA"/>
    <w:rsid w:val="00AA37DC"/>
    <w:rsid w:val="00AA3906"/>
    <w:rsid w:val="00AA391E"/>
    <w:rsid w:val="00AA3A9B"/>
    <w:rsid w:val="00AA3BF1"/>
    <w:rsid w:val="00AA3CB1"/>
    <w:rsid w:val="00AA3DAF"/>
    <w:rsid w:val="00AA40B5"/>
    <w:rsid w:val="00AA41A2"/>
    <w:rsid w:val="00AA449F"/>
    <w:rsid w:val="00AA48D4"/>
    <w:rsid w:val="00AA4A82"/>
    <w:rsid w:val="00AA4D79"/>
    <w:rsid w:val="00AA51A2"/>
    <w:rsid w:val="00AA5203"/>
    <w:rsid w:val="00AA5230"/>
    <w:rsid w:val="00AA5410"/>
    <w:rsid w:val="00AA56D6"/>
    <w:rsid w:val="00AA59D2"/>
    <w:rsid w:val="00AA5A33"/>
    <w:rsid w:val="00AA5BB8"/>
    <w:rsid w:val="00AA5DB4"/>
    <w:rsid w:val="00AA6153"/>
    <w:rsid w:val="00AA62EE"/>
    <w:rsid w:val="00AA6546"/>
    <w:rsid w:val="00AA66BC"/>
    <w:rsid w:val="00AA67C9"/>
    <w:rsid w:val="00AA6A37"/>
    <w:rsid w:val="00AA6AA7"/>
    <w:rsid w:val="00AA6CA1"/>
    <w:rsid w:val="00AA6D64"/>
    <w:rsid w:val="00AA6D99"/>
    <w:rsid w:val="00AA704E"/>
    <w:rsid w:val="00AA7112"/>
    <w:rsid w:val="00AA730E"/>
    <w:rsid w:val="00AA73D1"/>
    <w:rsid w:val="00AA740D"/>
    <w:rsid w:val="00AA7445"/>
    <w:rsid w:val="00AA7447"/>
    <w:rsid w:val="00AA7449"/>
    <w:rsid w:val="00AA79F2"/>
    <w:rsid w:val="00AA7A61"/>
    <w:rsid w:val="00AA7F87"/>
    <w:rsid w:val="00AA7FED"/>
    <w:rsid w:val="00AB0025"/>
    <w:rsid w:val="00AB0309"/>
    <w:rsid w:val="00AB0398"/>
    <w:rsid w:val="00AB0650"/>
    <w:rsid w:val="00AB06C3"/>
    <w:rsid w:val="00AB0760"/>
    <w:rsid w:val="00AB0ADC"/>
    <w:rsid w:val="00AB0BCE"/>
    <w:rsid w:val="00AB0C02"/>
    <w:rsid w:val="00AB0C33"/>
    <w:rsid w:val="00AB0FBB"/>
    <w:rsid w:val="00AB1129"/>
    <w:rsid w:val="00AB116F"/>
    <w:rsid w:val="00AB129A"/>
    <w:rsid w:val="00AB14AE"/>
    <w:rsid w:val="00AB14F2"/>
    <w:rsid w:val="00AB1661"/>
    <w:rsid w:val="00AB1665"/>
    <w:rsid w:val="00AB1A81"/>
    <w:rsid w:val="00AB1CB6"/>
    <w:rsid w:val="00AB1D72"/>
    <w:rsid w:val="00AB1F6C"/>
    <w:rsid w:val="00AB211B"/>
    <w:rsid w:val="00AB21C6"/>
    <w:rsid w:val="00AB24E4"/>
    <w:rsid w:val="00AB25A2"/>
    <w:rsid w:val="00AB27AF"/>
    <w:rsid w:val="00AB2841"/>
    <w:rsid w:val="00AB2849"/>
    <w:rsid w:val="00AB289C"/>
    <w:rsid w:val="00AB2948"/>
    <w:rsid w:val="00AB29E5"/>
    <w:rsid w:val="00AB2A8B"/>
    <w:rsid w:val="00AB2BD6"/>
    <w:rsid w:val="00AB2BE8"/>
    <w:rsid w:val="00AB2FA3"/>
    <w:rsid w:val="00AB30D7"/>
    <w:rsid w:val="00AB3126"/>
    <w:rsid w:val="00AB3487"/>
    <w:rsid w:val="00AB348C"/>
    <w:rsid w:val="00AB34E0"/>
    <w:rsid w:val="00AB3611"/>
    <w:rsid w:val="00AB375D"/>
    <w:rsid w:val="00AB39C8"/>
    <w:rsid w:val="00AB3A78"/>
    <w:rsid w:val="00AB3EBA"/>
    <w:rsid w:val="00AB3F14"/>
    <w:rsid w:val="00AB4014"/>
    <w:rsid w:val="00AB40EC"/>
    <w:rsid w:val="00AB428C"/>
    <w:rsid w:val="00AB42F4"/>
    <w:rsid w:val="00AB44E4"/>
    <w:rsid w:val="00AB46A2"/>
    <w:rsid w:val="00AB47A9"/>
    <w:rsid w:val="00AB47DB"/>
    <w:rsid w:val="00AB48F0"/>
    <w:rsid w:val="00AB4CEA"/>
    <w:rsid w:val="00AB504D"/>
    <w:rsid w:val="00AB50F4"/>
    <w:rsid w:val="00AB5150"/>
    <w:rsid w:val="00AB517C"/>
    <w:rsid w:val="00AB5373"/>
    <w:rsid w:val="00AB537A"/>
    <w:rsid w:val="00AB546B"/>
    <w:rsid w:val="00AB54B3"/>
    <w:rsid w:val="00AB57A7"/>
    <w:rsid w:val="00AB57C2"/>
    <w:rsid w:val="00AB5995"/>
    <w:rsid w:val="00AB5B2C"/>
    <w:rsid w:val="00AB5B99"/>
    <w:rsid w:val="00AB5D4B"/>
    <w:rsid w:val="00AB5D63"/>
    <w:rsid w:val="00AB5E5C"/>
    <w:rsid w:val="00AB6103"/>
    <w:rsid w:val="00AB61E0"/>
    <w:rsid w:val="00AB62D5"/>
    <w:rsid w:val="00AB649E"/>
    <w:rsid w:val="00AB64C3"/>
    <w:rsid w:val="00AB67B1"/>
    <w:rsid w:val="00AB695A"/>
    <w:rsid w:val="00AB6C28"/>
    <w:rsid w:val="00AB7075"/>
    <w:rsid w:val="00AB716D"/>
    <w:rsid w:val="00AB729F"/>
    <w:rsid w:val="00AB72FD"/>
    <w:rsid w:val="00AB7335"/>
    <w:rsid w:val="00AB760E"/>
    <w:rsid w:val="00AB78FD"/>
    <w:rsid w:val="00AB7A01"/>
    <w:rsid w:val="00AB7D01"/>
    <w:rsid w:val="00AB7D4B"/>
    <w:rsid w:val="00AB7D71"/>
    <w:rsid w:val="00AB7DE5"/>
    <w:rsid w:val="00AB7E22"/>
    <w:rsid w:val="00AC006A"/>
    <w:rsid w:val="00AC006C"/>
    <w:rsid w:val="00AC0077"/>
    <w:rsid w:val="00AC0146"/>
    <w:rsid w:val="00AC01E4"/>
    <w:rsid w:val="00AC0301"/>
    <w:rsid w:val="00AC033B"/>
    <w:rsid w:val="00AC03D7"/>
    <w:rsid w:val="00AC0831"/>
    <w:rsid w:val="00AC08F3"/>
    <w:rsid w:val="00AC0AA8"/>
    <w:rsid w:val="00AC0BD2"/>
    <w:rsid w:val="00AC0C51"/>
    <w:rsid w:val="00AC10B4"/>
    <w:rsid w:val="00AC11A6"/>
    <w:rsid w:val="00AC1204"/>
    <w:rsid w:val="00AC1300"/>
    <w:rsid w:val="00AC1360"/>
    <w:rsid w:val="00AC16FF"/>
    <w:rsid w:val="00AC1891"/>
    <w:rsid w:val="00AC1B87"/>
    <w:rsid w:val="00AC1C47"/>
    <w:rsid w:val="00AC1FB7"/>
    <w:rsid w:val="00AC2680"/>
    <w:rsid w:val="00AC279D"/>
    <w:rsid w:val="00AC289B"/>
    <w:rsid w:val="00AC2917"/>
    <w:rsid w:val="00AC2B03"/>
    <w:rsid w:val="00AC2BC8"/>
    <w:rsid w:val="00AC2C6A"/>
    <w:rsid w:val="00AC2EE9"/>
    <w:rsid w:val="00AC2F06"/>
    <w:rsid w:val="00AC3150"/>
    <w:rsid w:val="00AC32CF"/>
    <w:rsid w:val="00AC3802"/>
    <w:rsid w:val="00AC3950"/>
    <w:rsid w:val="00AC3AEA"/>
    <w:rsid w:val="00AC3B77"/>
    <w:rsid w:val="00AC3B9D"/>
    <w:rsid w:val="00AC3D64"/>
    <w:rsid w:val="00AC3DC3"/>
    <w:rsid w:val="00AC3DC8"/>
    <w:rsid w:val="00AC3EBE"/>
    <w:rsid w:val="00AC3F6F"/>
    <w:rsid w:val="00AC403A"/>
    <w:rsid w:val="00AC4280"/>
    <w:rsid w:val="00AC42D7"/>
    <w:rsid w:val="00AC439A"/>
    <w:rsid w:val="00AC471F"/>
    <w:rsid w:val="00AC4C75"/>
    <w:rsid w:val="00AC4D6F"/>
    <w:rsid w:val="00AC4DD3"/>
    <w:rsid w:val="00AC4EF9"/>
    <w:rsid w:val="00AC5078"/>
    <w:rsid w:val="00AC54A8"/>
    <w:rsid w:val="00AC55C4"/>
    <w:rsid w:val="00AC5651"/>
    <w:rsid w:val="00AC56D6"/>
    <w:rsid w:val="00AC57BD"/>
    <w:rsid w:val="00AC5975"/>
    <w:rsid w:val="00AC5A7E"/>
    <w:rsid w:val="00AC5ABC"/>
    <w:rsid w:val="00AC5ACF"/>
    <w:rsid w:val="00AC5C84"/>
    <w:rsid w:val="00AC5D79"/>
    <w:rsid w:val="00AC5D7E"/>
    <w:rsid w:val="00AC5E68"/>
    <w:rsid w:val="00AC5EBD"/>
    <w:rsid w:val="00AC60B0"/>
    <w:rsid w:val="00AC624E"/>
    <w:rsid w:val="00AC62E3"/>
    <w:rsid w:val="00AC67E6"/>
    <w:rsid w:val="00AC69EE"/>
    <w:rsid w:val="00AC6B50"/>
    <w:rsid w:val="00AC6E61"/>
    <w:rsid w:val="00AC6F7D"/>
    <w:rsid w:val="00AC70E9"/>
    <w:rsid w:val="00AC714A"/>
    <w:rsid w:val="00AC720A"/>
    <w:rsid w:val="00AC7226"/>
    <w:rsid w:val="00AC72D6"/>
    <w:rsid w:val="00AC735A"/>
    <w:rsid w:val="00AC7450"/>
    <w:rsid w:val="00AC75AA"/>
    <w:rsid w:val="00AC789A"/>
    <w:rsid w:val="00AC7AAE"/>
    <w:rsid w:val="00AC7AB2"/>
    <w:rsid w:val="00AC7AF9"/>
    <w:rsid w:val="00AC7D23"/>
    <w:rsid w:val="00AC7D4E"/>
    <w:rsid w:val="00AC7F1F"/>
    <w:rsid w:val="00AC7F5D"/>
    <w:rsid w:val="00AD0582"/>
    <w:rsid w:val="00AD07F3"/>
    <w:rsid w:val="00AD086A"/>
    <w:rsid w:val="00AD0936"/>
    <w:rsid w:val="00AD0A29"/>
    <w:rsid w:val="00AD0C1A"/>
    <w:rsid w:val="00AD0C94"/>
    <w:rsid w:val="00AD0DBB"/>
    <w:rsid w:val="00AD11C0"/>
    <w:rsid w:val="00AD13CD"/>
    <w:rsid w:val="00AD15BD"/>
    <w:rsid w:val="00AD1655"/>
    <w:rsid w:val="00AD1C5C"/>
    <w:rsid w:val="00AD1DCC"/>
    <w:rsid w:val="00AD21CC"/>
    <w:rsid w:val="00AD2314"/>
    <w:rsid w:val="00AD26C5"/>
    <w:rsid w:val="00AD278A"/>
    <w:rsid w:val="00AD27E4"/>
    <w:rsid w:val="00AD2875"/>
    <w:rsid w:val="00AD2898"/>
    <w:rsid w:val="00AD292B"/>
    <w:rsid w:val="00AD29EB"/>
    <w:rsid w:val="00AD2DFC"/>
    <w:rsid w:val="00AD305D"/>
    <w:rsid w:val="00AD3523"/>
    <w:rsid w:val="00AD3548"/>
    <w:rsid w:val="00AD3730"/>
    <w:rsid w:val="00AD37B2"/>
    <w:rsid w:val="00AD37EA"/>
    <w:rsid w:val="00AD3A10"/>
    <w:rsid w:val="00AD3A52"/>
    <w:rsid w:val="00AD3AA3"/>
    <w:rsid w:val="00AD3B84"/>
    <w:rsid w:val="00AD3C70"/>
    <w:rsid w:val="00AD3D40"/>
    <w:rsid w:val="00AD3D42"/>
    <w:rsid w:val="00AD3ED5"/>
    <w:rsid w:val="00AD41EE"/>
    <w:rsid w:val="00AD42E6"/>
    <w:rsid w:val="00AD44AC"/>
    <w:rsid w:val="00AD4955"/>
    <w:rsid w:val="00AD49AA"/>
    <w:rsid w:val="00AD4A8B"/>
    <w:rsid w:val="00AD4B03"/>
    <w:rsid w:val="00AD4C4A"/>
    <w:rsid w:val="00AD4CAA"/>
    <w:rsid w:val="00AD4FFE"/>
    <w:rsid w:val="00AD531E"/>
    <w:rsid w:val="00AD554B"/>
    <w:rsid w:val="00AD5879"/>
    <w:rsid w:val="00AD5C69"/>
    <w:rsid w:val="00AD5DF3"/>
    <w:rsid w:val="00AD5F10"/>
    <w:rsid w:val="00AD601B"/>
    <w:rsid w:val="00AD60E5"/>
    <w:rsid w:val="00AD60EA"/>
    <w:rsid w:val="00AD61EE"/>
    <w:rsid w:val="00AD6211"/>
    <w:rsid w:val="00AD62B0"/>
    <w:rsid w:val="00AD6445"/>
    <w:rsid w:val="00AD65AA"/>
    <w:rsid w:val="00AD67D4"/>
    <w:rsid w:val="00AD699F"/>
    <w:rsid w:val="00AD6A55"/>
    <w:rsid w:val="00AD6BBB"/>
    <w:rsid w:val="00AD6DFD"/>
    <w:rsid w:val="00AD6E64"/>
    <w:rsid w:val="00AD6EC3"/>
    <w:rsid w:val="00AD712F"/>
    <w:rsid w:val="00AD7423"/>
    <w:rsid w:val="00AD7580"/>
    <w:rsid w:val="00AD760F"/>
    <w:rsid w:val="00AD7786"/>
    <w:rsid w:val="00AD7840"/>
    <w:rsid w:val="00AD7885"/>
    <w:rsid w:val="00AD79AD"/>
    <w:rsid w:val="00AD7A0C"/>
    <w:rsid w:val="00AD7AF2"/>
    <w:rsid w:val="00AD7B85"/>
    <w:rsid w:val="00AD7BB5"/>
    <w:rsid w:val="00AD7D59"/>
    <w:rsid w:val="00AD7F13"/>
    <w:rsid w:val="00AD7F39"/>
    <w:rsid w:val="00AD7F44"/>
    <w:rsid w:val="00AE009D"/>
    <w:rsid w:val="00AE00B9"/>
    <w:rsid w:val="00AE0577"/>
    <w:rsid w:val="00AE0782"/>
    <w:rsid w:val="00AE094C"/>
    <w:rsid w:val="00AE0A87"/>
    <w:rsid w:val="00AE0B10"/>
    <w:rsid w:val="00AE0C60"/>
    <w:rsid w:val="00AE0C9D"/>
    <w:rsid w:val="00AE0D97"/>
    <w:rsid w:val="00AE1387"/>
    <w:rsid w:val="00AE13AD"/>
    <w:rsid w:val="00AE196C"/>
    <w:rsid w:val="00AE19B4"/>
    <w:rsid w:val="00AE19D6"/>
    <w:rsid w:val="00AE1B24"/>
    <w:rsid w:val="00AE1C58"/>
    <w:rsid w:val="00AE1D0F"/>
    <w:rsid w:val="00AE1F96"/>
    <w:rsid w:val="00AE1FD9"/>
    <w:rsid w:val="00AE2035"/>
    <w:rsid w:val="00AE2076"/>
    <w:rsid w:val="00AE20B6"/>
    <w:rsid w:val="00AE20F5"/>
    <w:rsid w:val="00AE23CB"/>
    <w:rsid w:val="00AE25F7"/>
    <w:rsid w:val="00AE267F"/>
    <w:rsid w:val="00AE268E"/>
    <w:rsid w:val="00AE26D1"/>
    <w:rsid w:val="00AE273E"/>
    <w:rsid w:val="00AE27D7"/>
    <w:rsid w:val="00AE2939"/>
    <w:rsid w:val="00AE2A0E"/>
    <w:rsid w:val="00AE2C00"/>
    <w:rsid w:val="00AE2C52"/>
    <w:rsid w:val="00AE2CE6"/>
    <w:rsid w:val="00AE2D76"/>
    <w:rsid w:val="00AE2DF6"/>
    <w:rsid w:val="00AE3035"/>
    <w:rsid w:val="00AE3067"/>
    <w:rsid w:val="00AE30E4"/>
    <w:rsid w:val="00AE319E"/>
    <w:rsid w:val="00AE323B"/>
    <w:rsid w:val="00AE3274"/>
    <w:rsid w:val="00AE3574"/>
    <w:rsid w:val="00AE3581"/>
    <w:rsid w:val="00AE3677"/>
    <w:rsid w:val="00AE3B4C"/>
    <w:rsid w:val="00AE3B91"/>
    <w:rsid w:val="00AE3CA5"/>
    <w:rsid w:val="00AE3E61"/>
    <w:rsid w:val="00AE3F34"/>
    <w:rsid w:val="00AE3FE8"/>
    <w:rsid w:val="00AE41A5"/>
    <w:rsid w:val="00AE4331"/>
    <w:rsid w:val="00AE45EF"/>
    <w:rsid w:val="00AE4BB6"/>
    <w:rsid w:val="00AE4C42"/>
    <w:rsid w:val="00AE4D5F"/>
    <w:rsid w:val="00AE4E35"/>
    <w:rsid w:val="00AE4E5A"/>
    <w:rsid w:val="00AE4E8C"/>
    <w:rsid w:val="00AE5093"/>
    <w:rsid w:val="00AE5200"/>
    <w:rsid w:val="00AE5217"/>
    <w:rsid w:val="00AE548C"/>
    <w:rsid w:val="00AE54CE"/>
    <w:rsid w:val="00AE5E8F"/>
    <w:rsid w:val="00AE5E99"/>
    <w:rsid w:val="00AE5FD7"/>
    <w:rsid w:val="00AE614D"/>
    <w:rsid w:val="00AE626E"/>
    <w:rsid w:val="00AE659A"/>
    <w:rsid w:val="00AE67E9"/>
    <w:rsid w:val="00AE6B6C"/>
    <w:rsid w:val="00AE6B9A"/>
    <w:rsid w:val="00AE6BBC"/>
    <w:rsid w:val="00AE6C3E"/>
    <w:rsid w:val="00AE6F1D"/>
    <w:rsid w:val="00AE6F48"/>
    <w:rsid w:val="00AE72A6"/>
    <w:rsid w:val="00AE73DE"/>
    <w:rsid w:val="00AE73F6"/>
    <w:rsid w:val="00AE7498"/>
    <w:rsid w:val="00AE74AF"/>
    <w:rsid w:val="00AE74C8"/>
    <w:rsid w:val="00AE7804"/>
    <w:rsid w:val="00AE7849"/>
    <w:rsid w:val="00AE7977"/>
    <w:rsid w:val="00AE7C7D"/>
    <w:rsid w:val="00AE7F87"/>
    <w:rsid w:val="00AF01BE"/>
    <w:rsid w:val="00AF01D5"/>
    <w:rsid w:val="00AF05A3"/>
    <w:rsid w:val="00AF0BF7"/>
    <w:rsid w:val="00AF0E5B"/>
    <w:rsid w:val="00AF0FA0"/>
    <w:rsid w:val="00AF0FF0"/>
    <w:rsid w:val="00AF105E"/>
    <w:rsid w:val="00AF108B"/>
    <w:rsid w:val="00AF12D9"/>
    <w:rsid w:val="00AF1365"/>
    <w:rsid w:val="00AF146E"/>
    <w:rsid w:val="00AF149E"/>
    <w:rsid w:val="00AF1582"/>
    <w:rsid w:val="00AF15B7"/>
    <w:rsid w:val="00AF175D"/>
    <w:rsid w:val="00AF1C0E"/>
    <w:rsid w:val="00AF1D8A"/>
    <w:rsid w:val="00AF1E90"/>
    <w:rsid w:val="00AF1EDF"/>
    <w:rsid w:val="00AF1F10"/>
    <w:rsid w:val="00AF21AB"/>
    <w:rsid w:val="00AF22EB"/>
    <w:rsid w:val="00AF23E2"/>
    <w:rsid w:val="00AF24A5"/>
    <w:rsid w:val="00AF265D"/>
    <w:rsid w:val="00AF26D5"/>
    <w:rsid w:val="00AF2D1A"/>
    <w:rsid w:val="00AF2DB4"/>
    <w:rsid w:val="00AF333C"/>
    <w:rsid w:val="00AF335B"/>
    <w:rsid w:val="00AF33C3"/>
    <w:rsid w:val="00AF33DA"/>
    <w:rsid w:val="00AF347F"/>
    <w:rsid w:val="00AF348E"/>
    <w:rsid w:val="00AF36A2"/>
    <w:rsid w:val="00AF36A6"/>
    <w:rsid w:val="00AF374A"/>
    <w:rsid w:val="00AF39D3"/>
    <w:rsid w:val="00AF3B70"/>
    <w:rsid w:val="00AF3D39"/>
    <w:rsid w:val="00AF3DFC"/>
    <w:rsid w:val="00AF40EE"/>
    <w:rsid w:val="00AF41D0"/>
    <w:rsid w:val="00AF440E"/>
    <w:rsid w:val="00AF4444"/>
    <w:rsid w:val="00AF4472"/>
    <w:rsid w:val="00AF4842"/>
    <w:rsid w:val="00AF497B"/>
    <w:rsid w:val="00AF498F"/>
    <w:rsid w:val="00AF4DB3"/>
    <w:rsid w:val="00AF4F29"/>
    <w:rsid w:val="00AF5105"/>
    <w:rsid w:val="00AF5235"/>
    <w:rsid w:val="00AF523E"/>
    <w:rsid w:val="00AF52E2"/>
    <w:rsid w:val="00AF535F"/>
    <w:rsid w:val="00AF5549"/>
    <w:rsid w:val="00AF55CD"/>
    <w:rsid w:val="00AF572E"/>
    <w:rsid w:val="00AF59B3"/>
    <w:rsid w:val="00AF5B2D"/>
    <w:rsid w:val="00AF5B7D"/>
    <w:rsid w:val="00AF5BA0"/>
    <w:rsid w:val="00AF5CD6"/>
    <w:rsid w:val="00AF5D4E"/>
    <w:rsid w:val="00AF5D76"/>
    <w:rsid w:val="00AF5DD3"/>
    <w:rsid w:val="00AF627B"/>
    <w:rsid w:val="00AF6431"/>
    <w:rsid w:val="00AF6788"/>
    <w:rsid w:val="00AF690E"/>
    <w:rsid w:val="00AF6A4C"/>
    <w:rsid w:val="00AF6BAC"/>
    <w:rsid w:val="00AF6C46"/>
    <w:rsid w:val="00AF6C5E"/>
    <w:rsid w:val="00AF6CE9"/>
    <w:rsid w:val="00AF6DA0"/>
    <w:rsid w:val="00AF6E12"/>
    <w:rsid w:val="00AF6EE9"/>
    <w:rsid w:val="00AF7155"/>
    <w:rsid w:val="00AF7511"/>
    <w:rsid w:val="00AF75A9"/>
    <w:rsid w:val="00AF7886"/>
    <w:rsid w:val="00AF789F"/>
    <w:rsid w:val="00AF78F2"/>
    <w:rsid w:val="00AF7A23"/>
    <w:rsid w:val="00AF7AE0"/>
    <w:rsid w:val="00AF7BE4"/>
    <w:rsid w:val="00AF7C4E"/>
    <w:rsid w:val="00AF7C8A"/>
    <w:rsid w:val="00AF7C97"/>
    <w:rsid w:val="00AF7DFC"/>
    <w:rsid w:val="00AF7F43"/>
    <w:rsid w:val="00B0007F"/>
    <w:rsid w:val="00B0014A"/>
    <w:rsid w:val="00B00225"/>
    <w:rsid w:val="00B00825"/>
    <w:rsid w:val="00B0091A"/>
    <w:rsid w:val="00B009BD"/>
    <w:rsid w:val="00B00A02"/>
    <w:rsid w:val="00B00A9D"/>
    <w:rsid w:val="00B00B52"/>
    <w:rsid w:val="00B00BB1"/>
    <w:rsid w:val="00B00C40"/>
    <w:rsid w:val="00B00E1C"/>
    <w:rsid w:val="00B00F56"/>
    <w:rsid w:val="00B01120"/>
    <w:rsid w:val="00B0115B"/>
    <w:rsid w:val="00B01223"/>
    <w:rsid w:val="00B01308"/>
    <w:rsid w:val="00B01450"/>
    <w:rsid w:val="00B014D2"/>
    <w:rsid w:val="00B01509"/>
    <w:rsid w:val="00B01600"/>
    <w:rsid w:val="00B01618"/>
    <w:rsid w:val="00B0165D"/>
    <w:rsid w:val="00B0199A"/>
    <w:rsid w:val="00B01A76"/>
    <w:rsid w:val="00B01CF6"/>
    <w:rsid w:val="00B01EDA"/>
    <w:rsid w:val="00B02047"/>
    <w:rsid w:val="00B02078"/>
    <w:rsid w:val="00B020E8"/>
    <w:rsid w:val="00B02183"/>
    <w:rsid w:val="00B024B8"/>
    <w:rsid w:val="00B0258A"/>
    <w:rsid w:val="00B02768"/>
    <w:rsid w:val="00B02823"/>
    <w:rsid w:val="00B0297D"/>
    <w:rsid w:val="00B02A22"/>
    <w:rsid w:val="00B02C63"/>
    <w:rsid w:val="00B02D71"/>
    <w:rsid w:val="00B02E80"/>
    <w:rsid w:val="00B02E9F"/>
    <w:rsid w:val="00B03123"/>
    <w:rsid w:val="00B03704"/>
    <w:rsid w:val="00B037D0"/>
    <w:rsid w:val="00B03AB0"/>
    <w:rsid w:val="00B03B31"/>
    <w:rsid w:val="00B040C7"/>
    <w:rsid w:val="00B040D8"/>
    <w:rsid w:val="00B041B2"/>
    <w:rsid w:val="00B0447D"/>
    <w:rsid w:val="00B0458A"/>
    <w:rsid w:val="00B045A9"/>
    <w:rsid w:val="00B0478A"/>
    <w:rsid w:val="00B047C2"/>
    <w:rsid w:val="00B04B11"/>
    <w:rsid w:val="00B04B73"/>
    <w:rsid w:val="00B04CB1"/>
    <w:rsid w:val="00B04CE3"/>
    <w:rsid w:val="00B04CF0"/>
    <w:rsid w:val="00B04F2A"/>
    <w:rsid w:val="00B052BC"/>
    <w:rsid w:val="00B052EB"/>
    <w:rsid w:val="00B05394"/>
    <w:rsid w:val="00B05493"/>
    <w:rsid w:val="00B0551B"/>
    <w:rsid w:val="00B0552E"/>
    <w:rsid w:val="00B05538"/>
    <w:rsid w:val="00B05635"/>
    <w:rsid w:val="00B056BD"/>
    <w:rsid w:val="00B056DD"/>
    <w:rsid w:val="00B056FD"/>
    <w:rsid w:val="00B05745"/>
    <w:rsid w:val="00B05888"/>
    <w:rsid w:val="00B05C85"/>
    <w:rsid w:val="00B05C9E"/>
    <w:rsid w:val="00B05CB7"/>
    <w:rsid w:val="00B05E89"/>
    <w:rsid w:val="00B05EEA"/>
    <w:rsid w:val="00B06050"/>
    <w:rsid w:val="00B060F0"/>
    <w:rsid w:val="00B0653C"/>
    <w:rsid w:val="00B0656F"/>
    <w:rsid w:val="00B0666D"/>
    <w:rsid w:val="00B066A3"/>
    <w:rsid w:val="00B06755"/>
    <w:rsid w:val="00B06756"/>
    <w:rsid w:val="00B06782"/>
    <w:rsid w:val="00B067A1"/>
    <w:rsid w:val="00B06850"/>
    <w:rsid w:val="00B06943"/>
    <w:rsid w:val="00B0696E"/>
    <w:rsid w:val="00B069D6"/>
    <w:rsid w:val="00B06A93"/>
    <w:rsid w:val="00B06B77"/>
    <w:rsid w:val="00B06D36"/>
    <w:rsid w:val="00B06EFF"/>
    <w:rsid w:val="00B06F1A"/>
    <w:rsid w:val="00B0752B"/>
    <w:rsid w:val="00B07620"/>
    <w:rsid w:val="00B078B6"/>
    <w:rsid w:val="00B07C0F"/>
    <w:rsid w:val="00B07CB5"/>
    <w:rsid w:val="00B07D98"/>
    <w:rsid w:val="00B07DB6"/>
    <w:rsid w:val="00B07DFF"/>
    <w:rsid w:val="00B07E1E"/>
    <w:rsid w:val="00B07E81"/>
    <w:rsid w:val="00B07F5B"/>
    <w:rsid w:val="00B1007D"/>
    <w:rsid w:val="00B10231"/>
    <w:rsid w:val="00B10294"/>
    <w:rsid w:val="00B1029D"/>
    <w:rsid w:val="00B103F8"/>
    <w:rsid w:val="00B106A8"/>
    <w:rsid w:val="00B107D2"/>
    <w:rsid w:val="00B10945"/>
    <w:rsid w:val="00B109BA"/>
    <w:rsid w:val="00B10A34"/>
    <w:rsid w:val="00B10A37"/>
    <w:rsid w:val="00B10C16"/>
    <w:rsid w:val="00B10DBF"/>
    <w:rsid w:val="00B10E3D"/>
    <w:rsid w:val="00B10E44"/>
    <w:rsid w:val="00B10EC1"/>
    <w:rsid w:val="00B10F12"/>
    <w:rsid w:val="00B10FE5"/>
    <w:rsid w:val="00B1106E"/>
    <w:rsid w:val="00B11078"/>
    <w:rsid w:val="00B111E5"/>
    <w:rsid w:val="00B1145E"/>
    <w:rsid w:val="00B11641"/>
    <w:rsid w:val="00B116AD"/>
    <w:rsid w:val="00B1171B"/>
    <w:rsid w:val="00B11908"/>
    <w:rsid w:val="00B119AD"/>
    <w:rsid w:val="00B11ADB"/>
    <w:rsid w:val="00B11CF8"/>
    <w:rsid w:val="00B11D40"/>
    <w:rsid w:val="00B11D6E"/>
    <w:rsid w:val="00B11E86"/>
    <w:rsid w:val="00B11EC4"/>
    <w:rsid w:val="00B11F07"/>
    <w:rsid w:val="00B12286"/>
    <w:rsid w:val="00B122B7"/>
    <w:rsid w:val="00B12397"/>
    <w:rsid w:val="00B1247A"/>
    <w:rsid w:val="00B127B3"/>
    <w:rsid w:val="00B128B2"/>
    <w:rsid w:val="00B12960"/>
    <w:rsid w:val="00B12991"/>
    <w:rsid w:val="00B12CA8"/>
    <w:rsid w:val="00B12F9A"/>
    <w:rsid w:val="00B12FEF"/>
    <w:rsid w:val="00B13049"/>
    <w:rsid w:val="00B1314F"/>
    <w:rsid w:val="00B131DB"/>
    <w:rsid w:val="00B132E7"/>
    <w:rsid w:val="00B13566"/>
    <w:rsid w:val="00B13712"/>
    <w:rsid w:val="00B1388E"/>
    <w:rsid w:val="00B139A5"/>
    <w:rsid w:val="00B13C7D"/>
    <w:rsid w:val="00B13CA0"/>
    <w:rsid w:val="00B13E9E"/>
    <w:rsid w:val="00B13F8A"/>
    <w:rsid w:val="00B14006"/>
    <w:rsid w:val="00B14171"/>
    <w:rsid w:val="00B14684"/>
    <w:rsid w:val="00B14781"/>
    <w:rsid w:val="00B14828"/>
    <w:rsid w:val="00B14A04"/>
    <w:rsid w:val="00B14A2C"/>
    <w:rsid w:val="00B14B39"/>
    <w:rsid w:val="00B14D4B"/>
    <w:rsid w:val="00B14EF0"/>
    <w:rsid w:val="00B14F55"/>
    <w:rsid w:val="00B150B4"/>
    <w:rsid w:val="00B1513F"/>
    <w:rsid w:val="00B151CF"/>
    <w:rsid w:val="00B153DA"/>
    <w:rsid w:val="00B15426"/>
    <w:rsid w:val="00B156A9"/>
    <w:rsid w:val="00B157A9"/>
    <w:rsid w:val="00B157C1"/>
    <w:rsid w:val="00B15B03"/>
    <w:rsid w:val="00B15B9F"/>
    <w:rsid w:val="00B15BD0"/>
    <w:rsid w:val="00B15CD6"/>
    <w:rsid w:val="00B15CF3"/>
    <w:rsid w:val="00B15DD1"/>
    <w:rsid w:val="00B15F06"/>
    <w:rsid w:val="00B16019"/>
    <w:rsid w:val="00B16328"/>
    <w:rsid w:val="00B163AB"/>
    <w:rsid w:val="00B163CD"/>
    <w:rsid w:val="00B1665A"/>
    <w:rsid w:val="00B1666D"/>
    <w:rsid w:val="00B166C5"/>
    <w:rsid w:val="00B1680B"/>
    <w:rsid w:val="00B169BC"/>
    <w:rsid w:val="00B16AB3"/>
    <w:rsid w:val="00B16C32"/>
    <w:rsid w:val="00B16CC3"/>
    <w:rsid w:val="00B16D5A"/>
    <w:rsid w:val="00B16DA8"/>
    <w:rsid w:val="00B16DC4"/>
    <w:rsid w:val="00B16DDB"/>
    <w:rsid w:val="00B16F93"/>
    <w:rsid w:val="00B170D4"/>
    <w:rsid w:val="00B17461"/>
    <w:rsid w:val="00B17831"/>
    <w:rsid w:val="00B178C8"/>
    <w:rsid w:val="00B1797C"/>
    <w:rsid w:val="00B17A74"/>
    <w:rsid w:val="00B17B1E"/>
    <w:rsid w:val="00B17DB7"/>
    <w:rsid w:val="00B17E71"/>
    <w:rsid w:val="00B2001D"/>
    <w:rsid w:val="00B200D1"/>
    <w:rsid w:val="00B204DF"/>
    <w:rsid w:val="00B20524"/>
    <w:rsid w:val="00B206BA"/>
    <w:rsid w:val="00B20777"/>
    <w:rsid w:val="00B2099A"/>
    <w:rsid w:val="00B20ACD"/>
    <w:rsid w:val="00B20CED"/>
    <w:rsid w:val="00B20EB3"/>
    <w:rsid w:val="00B20EF8"/>
    <w:rsid w:val="00B20F70"/>
    <w:rsid w:val="00B211D0"/>
    <w:rsid w:val="00B21308"/>
    <w:rsid w:val="00B214A4"/>
    <w:rsid w:val="00B21605"/>
    <w:rsid w:val="00B21757"/>
    <w:rsid w:val="00B21A45"/>
    <w:rsid w:val="00B21AC0"/>
    <w:rsid w:val="00B21CFA"/>
    <w:rsid w:val="00B21DB6"/>
    <w:rsid w:val="00B21DC4"/>
    <w:rsid w:val="00B22090"/>
    <w:rsid w:val="00B2261D"/>
    <w:rsid w:val="00B2280F"/>
    <w:rsid w:val="00B2299F"/>
    <w:rsid w:val="00B22BA2"/>
    <w:rsid w:val="00B22C4C"/>
    <w:rsid w:val="00B22E14"/>
    <w:rsid w:val="00B22F07"/>
    <w:rsid w:val="00B230DD"/>
    <w:rsid w:val="00B2316D"/>
    <w:rsid w:val="00B231B6"/>
    <w:rsid w:val="00B23565"/>
    <w:rsid w:val="00B23A90"/>
    <w:rsid w:val="00B23BC6"/>
    <w:rsid w:val="00B23C28"/>
    <w:rsid w:val="00B24100"/>
    <w:rsid w:val="00B24308"/>
    <w:rsid w:val="00B24414"/>
    <w:rsid w:val="00B245BD"/>
    <w:rsid w:val="00B24710"/>
    <w:rsid w:val="00B247AD"/>
    <w:rsid w:val="00B24822"/>
    <w:rsid w:val="00B24878"/>
    <w:rsid w:val="00B24C97"/>
    <w:rsid w:val="00B24CB1"/>
    <w:rsid w:val="00B24CC2"/>
    <w:rsid w:val="00B24DD3"/>
    <w:rsid w:val="00B24EE6"/>
    <w:rsid w:val="00B24EEE"/>
    <w:rsid w:val="00B24FC7"/>
    <w:rsid w:val="00B24FF4"/>
    <w:rsid w:val="00B25059"/>
    <w:rsid w:val="00B25128"/>
    <w:rsid w:val="00B251CA"/>
    <w:rsid w:val="00B252DC"/>
    <w:rsid w:val="00B2535C"/>
    <w:rsid w:val="00B25380"/>
    <w:rsid w:val="00B253AA"/>
    <w:rsid w:val="00B25467"/>
    <w:rsid w:val="00B256E8"/>
    <w:rsid w:val="00B2572B"/>
    <w:rsid w:val="00B258E9"/>
    <w:rsid w:val="00B259D3"/>
    <w:rsid w:val="00B259F6"/>
    <w:rsid w:val="00B25BD8"/>
    <w:rsid w:val="00B25C76"/>
    <w:rsid w:val="00B25D01"/>
    <w:rsid w:val="00B25D05"/>
    <w:rsid w:val="00B25D44"/>
    <w:rsid w:val="00B25F6D"/>
    <w:rsid w:val="00B25FC1"/>
    <w:rsid w:val="00B26206"/>
    <w:rsid w:val="00B26287"/>
    <w:rsid w:val="00B26382"/>
    <w:rsid w:val="00B2658B"/>
    <w:rsid w:val="00B26622"/>
    <w:rsid w:val="00B26669"/>
    <w:rsid w:val="00B26730"/>
    <w:rsid w:val="00B2699F"/>
    <w:rsid w:val="00B26B02"/>
    <w:rsid w:val="00B26B81"/>
    <w:rsid w:val="00B26CC0"/>
    <w:rsid w:val="00B26D77"/>
    <w:rsid w:val="00B26EA7"/>
    <w:rsid w:val="00B271DE"/>
    <w:rsid w:val="00B2732C"/>
    <w:rsid w:val="00B2741A"/>
    <w:rsid w:val="00B27692"/>
    <w:rsid w:val="00B276B4"/>
    <w:rsid w:val="00B276E2"/>
    <w:rsid w:val="00B277EF"/>
    <w:rsid w:val="00B278A1"/>
    <w:rsid w:val="00B2791D"/>
    <w:rsid w:val="00B27A60"/>
    <w:rsid w:val="00B27C0C"/>
    <w:rsid w:val="00B27E99"/>
    <w:rsid w:val="00B30018"/>
    <w:rsid w:val="00B301C6"/>
    <w:rsid w:val="00B30337"/>
    <w:rsid w:val="00B30343"/>
    <w:rsid w:val="00B303F6"/>
    <w:rsid w:val="00B305D7"/>
    <w:rsid w:val="00B306A0"/>
    <w:rsid w:val="00B306C4"/>
    <w:rsid w:val="00B307B7"/>
    <w:rsid w:val="00B30DFD"/>
    <w:rsid w:val="00B30EB0"/>
    <w:rsid w:val="00B30ECA"/>
    <w:rsid w:val="00B30FBB"/>
    <w:rsid w:val="00B312F8"/>
    <w:rsid w:val="00B312FD"/>
    <w:rsid w:val="00B3139A"/>
    <w:rsid w:val="00B313B5"/>
    <w:rsid w:val="00B3162E"/>
    <w:rsid w:val="00B3168F"/>
    <w:rsid w:val="00B31812"/>
    <w:rsid w:val="00B319EE"/>
    <w:rsid w:val="00B31B85"/>
    <w:rsid w:val="00B31D23"/>
    <w:rsid w:val="00B31E91"/>
    <w:rsid w:val="00B31EC4"/>
    <w:rsid w:val="00B32009"/>
    <w:rsid w:val="00B3232F"/>
    <w:rsid w:val="00B32436"/>
    <w:rsid w:val="00B324CA"/>
    <w:rsid w:val="00B32715"/>
    <w:rsid w:val="00B328E0"/>
    <w:rsid w:val="00B328FF"/>
    <w:rsid w:val="00B3290D"/>
    <w:rsid w:val="00B32A51"/>
    <w:rsid w:val="00B32BAA"/>
    <w:rsid w:val="00B32BD6"/>
    <w:rsid w:val="00B32C0F"/>
    <w:rsid w:val="00B32CB6"/>
    <w:rsid w:val="00B32CCA"/>
    <w:rsid w:val="00B32E42"/>
    <w:rsid w:val="00B32EA1"/>
    <w:rsid w:val="00B32F6C"/>
    <w:rsid w:val="00B330E9"/>
    <w:rsid w:val="00B331A5"/>
    <w:rsid w:val="00B33216"/>
    <w:rsid w:val="00B333AF"/>
    <w:rsid w:val="00B333CD"/>
    <w:rsid w:val="00B333DF"/>
    <w:rsid w:val="00B33549"/>
    <w:rsid w:val="00B3356B"/>
    <w:rsid w:val="00B336D9"/>
    <w:rsid w:val="00B3374B"/>
    <w:rsid w:val="00B3374C"/>
    <w:rsid w:val="00B33805"/>
    <w:rsid w:val="00B33960"/>
    <w:rsid w:val="00B33D07"/>
    <w:rsid w:val="00B33D57"/>
    <w:rsid w:val="00B33E5A"/>
    <w:rsid w:val="00B33F95"/>
    <w:rsid w:val="00B3419C"/>
    <w:rsid w:val="00B34263"/>
    <w:rsid w:val="00B34364"/>
    <w:rsid w:val="00B343F9"/>
    <w:rsid w:val="00B344DF"/>
    <w:rsid w:val="00B3453C"/>
    <w:rsid w:val="00B349E4"/>
    <w:rsid w:val="00B34A6C"/>
    <w:rsid w:val="00B34B09"/>
    <w:rsid w:val="00B34B3A"/>
    <w:rsid w:val="00B34B6D"/>
    <w:rsid w:val="00B34BFC"/>
    <w:rsid w:val="00B34C73"/>
    <w:rsid w:val="00B34CD1"/>
    <w:rsid w:val="00B350B9"/>
    <w:rsid w:val="00B351EF"/>
    <w:rsid w:val="00B3525B"/>
    <w:rsid w:val="00B3535A"/>
    <w:rsid w:val="00B35776"/>
    <w:rsid w:val="00B3581F"/>
    <w:rsid w:val="00B3587A"/>
    <w:rsid w:val="00B359A2"/>
    <w:rsid w:val="00B35CD9"/>
    <w:rsid w:val="00B35DE2"/>
    <w:rsid w:val="00B36028"/>
    <w:rsid w:val="00B360F9"/>
    <w:rsid w:val="00B36495"/>
    <w:rsid w:val="00B366FD"/>
    <w:rsid w:val="00B36862"/>
    <w:rsid w:val="00B36991"/>
    <w:rsid w:val="00B36AB2"/>
    <w:rsid w:val="00B36E40"/>
    <w:rsid w:val="00B36FBA"/>
    <w:rsid w:val="00B3701C"/>
    <w:rsid w:val="00B370E8"/>
    <w:rsid w:val="00B37176"/>
    <w:rsid w:val="00B3718F"/>
    <w:rsid w:val="00B37503"/>
    <w:rsid w:val="00B37515"/>
    <w:rsid w:val="00B3766C"/>
    <w:rsid w:val="00B37732"/>
    <w:rsid w:val="00B3776D"/>
    <w:rsid w:val="00B3780D"/>
    <w:rsid w:val="00B378B6"/>
    <w:rsid w:val="00B37990"/>
    <w:rsid w:val="00B379E3"/>
    <w:rsid w:val="00B37D02"/>
    <w:rsid w:val="00B40064"/>
    <w:rsid w:val="00B4012A"/>
    <w:rsid w:val="00B4027B"/>
    <w:rsid w:val="00B402A1"/>
    <w:rsid w:val="00B40358"/>
    <w:rsid w:val="00B4055B"/>
    <w:rsid w:val="00B406D0"/>
    <w:rsid w:val="00B409EA"/>
    <w:rsid w:val="00B40AD2"/>
    <w:rsid w:val="00B40AFA"/>
    <w:rsid w:val="00B40B9E"/>
    <w:rsid w:val="00B40CDA"/>
    <w:rsid w:val="00B40DC4"/>
    <w:rsid w:val="00B40EDF"/>
    <w:rsid w:val="00B40EE7"/>
    <w:rsid w:val="00B4104E"/>
    <w:rsid w:val="00B410CC"/>
    <w:rsid w:val="00B41436"/>
    <w:rsid w:val="00B416CA"/>
    <w:rsid w:val="00B41799"/>
    <w:rsid w:val="00B41959"/>
    <w:rsid w:val="00B419B8"/>
    <w:rsid w:val="00B41A67"/>
    <w:rsid w:val="00B41BE0"/>
    <w:rsid w:val="00B41D14"/>
    <w:rsid w:val="00B420D0"/>
    <w:rsid w:val="00B42157"/>
    <w:rsid w:val="00B4223E"/>
    <w:rsid w:val="00B424FA"/>
    <w:rsid w:val="00B42604"/>
    <w:rsid w:val="00B426C1"/>
    <w:rsid w:val="00B427FE"/>
    <w:rsid w:val="00B42892"/>
    <w:rsid w:val="00B42BD2"/>
    <w:rsid w:val="00B42D13"/>
    <w:rsid w:val="00B42F07"/>
    <w:rsid w:val="00B43032"/>
    <w:rsid w:val="00B4304E"/>
    <w:rsid w:val="00B43148"/>
    <w:rsid w:val="00B43260"/>
    <w:rsid w:val="00B43919"/>
    <w:rsid w:val="00B43A7B"/>
    <w:rsid w:val="00B43AA6"/>
    <w:rsid w:val="00B43AD8"/>
    <w:rsid w:val="00B43BEA"/>
    <w:rsid w:val="00B43D42"/>
    <w:rsid w:val="00B43D55"/>
    <w:rsid w:val="00B441BE"/>
    <w:rsid w:val="00B441D9"/>
    <w:rsid w:val="00B442CE"/>
    <w:rsid w:val="00B445D0"/>
    <w:rsid w:val="00B447C6"/>
    <w:rsid w:val="00B449FB"/>
    <w:rsid w:val="00B44B59"/>
    <w:rsid w:val="00B44CA3"/>
    <w:rsid w:val="00B44EC1"/>
    <w:rsid w:val="00B44FB2"/>
    <w:rsid w:val="00B45046"/>
    <w:rsid w:val="00B450DF"/>
    <w:rsid w:val="00B453A8"/>
    <w:rsid w:val="00B453F2"/>
    <w:rsid w:val="00B454B6"/>
    <w:rsid w:val="00B4550E"/>
    <w:rsid w:val="00B45520"/>
    <w:rsid w:val="00B4576B"/>
    <w:rsid w:val="00B457E6"/>
    <w:rsid w:val="00B457EC"/>
    <w:rsid w:val="00B45B53"/>
    <w:rsid w:val="00B45C30"/>
    <w:rsid w:val="00B45C78"/>
    <w:rsid w:val="00B45EF1"/>
    <w:rsid w:val="00B46013"/>
    <w:rsid w:val="00B46237"/>
    <w:rsid w:val="00B46253"/>
    <w:rsid w:val="00B46358"/>
    <w:rsid w:val="00B464FD"/>
    <w:rsid w:val="00B46719"/>
    <w:rsid w:val="00B46759"/>
    <w:rsid w:val="00B468A6"/>
    <w:rsid w:val="00B46A1C"/>
    <w:rsid w:val="00B46FEC"/>
    <w:rsid w:val="00B476D7"/>
    <w:rsid w:val="00B4774F"/>
    <w:rsid w:val="00B47937"/>
    <w:rsid w:val="00B479B9"/>
    <w:rsid w:val="00B47AB2"/>
    <w:rsid w:val="00B47D8D"/>
    <w:rsid w:val="00B47F7B"/>
    <w:rsid w:val="00B50016"/>
    <w:rsid w:val="00B50477"/>
    <w:rsid w:val="00B504C2"/>
    <w:rsid w:val="00B507E1"/>
    <w:rsid w:val="00B507E6"/>
    <w:rsid w:val="00B5097B"/>
    <w:rsid w:val="00B509EF"/>
    <w:rsid w:val="00B50A44"/>
    <w:rsid w:val="00B50A62"/>
    <w:rsid w:val="00B50B4D"/>
    <w:rsid w:val="00B50BB2"/>
    <w:rsid w:val="00B50C82"/>
    <w:rsid w:val="00B50E52"/>
    <w:rsid w:val="00B50F59"/>
    <w:rsid w:val="00B50FB2"/>
    <w:rsid w:val="00B50FF7"/>
    <w:rsid w:val="00B511DB"/>
    <w:rsid w:val="00B511DE"/>
    <w:rsid w:val="00B51268"/>
    <w:rsid w:val="00B513AC"/>
    <w:rsid w:val="00B51583"/>
    <w:rsid w:val="00B5168D"/>
    <w:rsid w:val="00B517D1"/>
    <w:rsid w:val="00B518B5"/>
    <w:rsid w:val="00B51AB0"/>
    <w:rsid w:val="00B51C1A"/>
    <w:rsid w:val="00B51F64"/>
    <w:rsid w:val="00B52368"/>
    <w:rsid w:val="00B5279A"/>
    <w:rsid w:val="00B52B5F"/>
    <w:rsid w:val="00B52B61"/>
    <w:rsid w:val="00B52CC2"/>
    <w:rsid w:val="00B52FB5"/>
    <w:rsid w:val="00B52FC7"/>
    <w:rsid w:val="00B53237"/>
    <w:rsid w:val="00B533CB"/>
    <w:rsid w:val="00B536AF"/>
    <w:rsid w:val="00B5388A"/>
    <w:rsid w:val="00B53912"/>
    <w:rsid w:val="00B5397E"/>
    <w:rsid w:val="00B539B6"/>
    <w:rsid w:val="00B53DE1"/>
    <w:rsid w:val="00B5435D"/>
    <w:rsid w:val="00B5451C"/>
    <w:rsid w:val="00B54675"/>
    <w:rsid w:val="00B54778"/>
    <w:rsid w:val="00B54C76"/>
    <w:rsid w:val="00B54CD7"/>
    <w:rsid w:val="00B55215"/>
    <w:rsid w:val="00B552CC"/>
    <w:rsid w:val="00B55402"/>
    <w:rsid w:val="00B554B5"/>
    <w:rsid w:val="00B55524"/>
    <w:rsid w:val="00B555EB"/>
    <w:rsid w:val="00B5566E"/>
    <w:rsid w:val="00B55961"/>
    <w:rsid w:val="00B55990"/>
    <w:rsid w:val="00B559CF"/>
    <w:rsid w:val="00B55A49"/>
    <w:rsid w:val="00B55B85"/>
    <w:rsid w:val="00B55DFC"/>
    <w:rsid w:val="00B55F03"/>
    <w:rsid w:val="00B55F36"/>
    <w:rsid w:val="00B56015"/>
    <w:rsid w:val="00B56105"/>
    <w:rsid w:val="00B56126"/>
    <w:rsid w:val="00B56155"/>
    <w:rsid w:val="00B56289"/>
    <w:rsid w:val="00B56575"/>
    <w:rsid w:val="00B5662A"/>
    <w:rsid w:val="00B567AC"/>
    <w:rsid w:val="00B568B9"/>
    <w:rsid w:val="00B56D1E"/>
    <w:rsid w:val="00B56DD3"/>
    <w:rsid w:val="00B56E62"/>
    <w:rsid w:val="00B56E8F"/>
    <w:rsid w:val="00B56F7E"/>
    <w:rsid w:val="00B57336"/>
    <w:rsid w:val="00B574F8"/>
    <w:rsid w:val="00B575BF"/>
    <w:rsid w:val="00B575F0"/>
    <w:rsid w:val="00B576DA"/>
    <w:rsid w:val="00B57A4E"/>
    <w:rsid w:val="00B57B40"/>
    <w:rsid w:val="00B57C4A"/>
    <w:rsid w:val="00B57F08"/>
    <w:rsid w:val="00B6018F"/>
    <w:rsid w:val="00B602CC"/>
    <w:rsid w:val="00B6048E"/>
    <w:rsid w:val="00B60628"/>
    <w:rsid w:val="00B607E2"/>
    <w:rsid w:val="00B6084C"/>
    <w:rsid w:val="00B60A3F"/>
    <w:rsid w:val="00B60BD7"/>
    <w:rsid w:val="00B60CEA"/>
    <w:rsid w:val="00B60EC4"/>
    <w:rsid w:val="00B60EEB"/>
    <w:rsid w:val="00B60F9A"/>
    <w:rsid w:val="00B61048"/>
    <w:rsid w:val="00B610BD"/>
    <w:rsid w:val="00B61140"/>
    <w:rsid w:val="00B61173"/>
    <w:rsid w:val="00B612EA"/>
    <w:rsid w:val="00B6131E"/>
    <w:rsid w:val="00B6141D"/>
    <w:rsid w:val="00B6149B"/>
    <w:rsid w:val="00B6156B"/>
    <w:rsid w:val="00B61C66"/>
    <w:rsid w:val="00B61DB2"/>
    <w:rsid w:val="00B61F26"/>
    <w:rsid w:val="00B61F75"/>
    <w:rsid w:val="00B6226B"/>
    <w:rsid w:val="00B6229F"/>
    <w:rsid w:val="00B62358"/>
    <w:rsid w:val="00B6238D"/>
    <w:rsid w:val="00B624A1"/>
    <w:rsid w:val="00B624C8"/>
    <w:rsid w:val="00B62604"/>
    <w:rsid w:val="00B628A9"/>
    <w:rsid w:val="00B62C42"/>
    <w:rsid w:val="00B62DA4"/>
    <w:rsid w:val="00B62DF2"/>
    <w:rsid w:val="00B6335A"/>
    <w:rsid w:val="00B63555"/>
    <w:rsid w:val="00B63667"/>
    <w:rsid w:val="00B63973"/>
    <w:rsid w:val="00B639C9"/>
    <w:rsid w:val="00B63E76"/>
    <w:rsid w:val="00B63FDC"/>
    <w:rsid w:val="00B64115"/>
    <w:rsid w:val="00B6414A"/>
    <w:rsid w:val="00B64317"/>
    <w:rsid w:val="00B6447B"/>
    <w:rsid w:val="00B64492"/>
    <w:rsid w:val="00B644CD"/>
    <w:rsid w:val="00B644D1"/>
    <w:rsid w:val="00B64697"/>
    <w:rsid w:val="00B6471F"/>
    <w:rsid w:val="00B64967"/>
    <w:rsid w:val="00B649F3"/>
    <w:rsid w:val="00B64A0A"/>
    <w:rsid w:val="00B65220"/>
    <w:rsid w:val="00B6522A"/>
    <w:rsid w:val="00B65287"/>
    <w:rsid w:val="00B655C1"/>
    <w:rsid w:val="00B659D3"/>
    <w:rsid w:val="00B65B34"/>
    <w:rsid w:val="00B65F17"/>
    <w:rsid w:val="00B65FF2"/>
    <w:rsid w:val="00B65FFA"/>
    <w:rsid w:val="00B6607D"/>
    <w:rsid w:val="00B66158"/>
    <w:rsid w:val="00B6669E"/>
    <w:rsid w:val="00B6674F"/>
    <w:rsid w:val="00B6681A"/>
    <w:rsid w:val="00B668C8"/>
    <w:rsid w:val="00B669FA"/>
    <w:rsid w:val="00B66A34"/>
    <w:rsid w:val="00B66A5C"/>
    <w:rsid w:val="00B66A6C"/>
    <w:rsid w:val="00B66A87"/>
    <w:rsid w:val="00B66CAD"/>
    <w:rsid w:val="00B66CF0"/>
    <w:rsid w:val="00B66D27"/>
    <w:rsid w:val="00B6716B"/>
    <w:rsid w:val="00B67189"/>
    <w:rsid w:val="00B671F3"/>
    <w:rsid w:val="00B674AF"/>
    <w:rsid w:val="00B6759B"/>
    <w:rsid w:val="00B675A8"/>
    <w:rsid w:val="00B675BF"/>
    <w:rsid w:val="00B67AF8"/>
    <w:rsid w:val="00B67F8F"/>
    <w:rsid w:val="00B700F3"/>
    <w:rsid w:val="00B7025B"/>
    <w:rsid w:val="00B7031E"/>
    <w:rsid w:val="00B703F3"/>
    <w:rsid w:val="00B70536"/>
    <w:rsid w:val="00B7055B"/>
    <w:rsid w:val="00B7056B"/>
    <w:rsid w:val="00B7078B"/>
    <w:rsid w:val="00B7087E"/>
    <w:rsid w:val="00B708CD"/>
    <w:rsid w:val="00B7097D"/>
    <w:rsid w:val="00B7099B"/>
    <w:rsid w:val="00B70AFD"/>
    <w:rsid w:val="00B70C81"/>
    <w:rsid w:val="00B70DF8"/>
    <w:rsid w:val="00B70EB4"/>
    <w:rsid w:val="00B7110A"/>
    <w:rsid w:val="00B7113D"/>
    <w:rsid w:val="00B712D0"/>
    <w:rsid w:val="00B7155A"/>
    <w:rsid w:val="00B715D3"/>
    <w:rsid w:val="00B71618"/>
    <w:rsid w:val="00B71665"/>
    <w:rsid w:val="00B7192B"/>
    <w:rsid w:val="00B71D13"/>
    <w:rsid w:val="00B7229B"/>
    <w:rsid w:val="00B72428"/>
    <w:rsid w:val="00B7251A"/>
    <w:rsid w:val="00B7298E"/>
    <w:rsid w:val="00B729F8"/>
    <w:rsid w:val="00B72A7C"/>
    <w:rsid w:val="00B72C9E"/>
    <w:rsid w:val="00B72CBB"/>
    <w:rsid w:val="00B72FAF"/>
    <w:rsid w:val="00B72FB2"/>
    <w:rsid w:val="00B7300F"/>
    <w:rsid w:val="00B730CD"/>
    <w:rsid w:val="00B731BA"/>
    <w:rsid w:val="00B7364B"/>
    <w:rsid w:val="00B738CE"/>
    <w:rsid w:val="00B73941"/>
    <w:rsid w:val="00B739AF"/>
    <w:rsid w:val="00B739C3"/>
    <w:rsid w:val="00B73A1C"/>
    <w:rsid w:val="00B73A32"/>
    <w:rsid w:val="00B73A66"/>
    <w:rsid w:val="00B73E16"/>
    <w:rsid w:val="00B73F31"/>
    <w:rsid w:val="00B7431A"/>
    <w:rsid w:val="00B74466"/>
    <w:rsid w:val="00B7447B"/>
    <w:rsid w:val="00B7459D"/>
    <w:rsid w:val="00B74710"/>
    <w:rsid w:val="00B7471E"/>
    <w:rsid w:val="00B747FB"/>
    <w:rsid w:val="00B74834"/>
    <w:rsid w:val="00B748F1"/>
    <w:rsid w:val="00B74A21"/>
    <w:rsid w:val="00B74BE1"/>
    <w:rsid w:val="00B74C25"/>
    <w:rsid w:val="00B74C2E"/>
    <w:rsid w:val="00B74C44"/>
    <w:rsid w:val="00B74DAC"/>
    <w:rsid w:val="00B75028"/>
    <w:rsid w:val="00B7508E"/>
    <w:rsid w:val="00B75130"/>
    <w:rsid w:val="00B75316"/>
    <w:rsid w:val="00B753ED"/>
    <w:rsid w:val="00B7549E"/>
    <w:rsid w:val="00B75569"/>
    <w:rsid w:val="00B7577E"/>
    <w:rsid w:val="00B757E5"/>
    <w:rsid w:val="00B757F1"/>
    <w:rsid w:val="00B75865"/>
    <w:rsid w:val="00B75906"/>
    <w:rsid w:val="00B75A20"/>
    <w:rsid w:val="00B75B7A"/>
    <w:rsid w:val="00B75C3D"/>
    <w:rsid w:val="00B75CA6"/>
    <w:rsid w:val="00B75E70"/>
    <w:rsid w:val="00B7613A"/>
    <w:rsid w:val="00B762C9"/>
    <w:rsid w:val="00B76C52"/>
    <w:rsid w:val="00B76D0C"/>
    <w:rsid w:val="00B76DCC"/>
    <w:rsid w:val="00B76EB7"/>
    <w:rsid w:val="00B76ED6"/>
    <w:rsid w:val="00B76F59"/>
    <w:rsid w:val="00B77035"/>
    <w:rsid w:val="00B770EA"/>
    <w:rsid w:val="00B77470"/>
    <w:rsid w:val="00B775B7"/>
    <w:rsid w:val="00B77625"/>
    <w:rsid w:val="00B77AFB"/>
    <w:rsid w:val="00B77C98"/>
    <w:rsid w:val="00B77EC4"/>
    <w:rsid w:val="00B77FD2"/>
    <w:rsid w:val="00B801B2"/>
    <w:rsid w:val="00B8071E"/>
    <w:rsid w:val="00B807D5"/>
    <w:rsid w:val="00B80991"/>
    <w:rsid w:val="00B80B95"/>
    <w:rsid w:val="00B80BCE"/>
    <w:rsid w:val="00B8100B"/>
    <w:rsid w:val="00B81143"/>
    <w:rsid w:val="00B811E0"/>
    <w:rsid w:val="00B813F1"/>
    <w:rsid w:val="00B8155B"/>
    <w:rsid w:val="00B81667"/>
    <w:rsid w:val="00B81762"/>
    <w:rsid w:val="00B8184D"/>
    <w:rsid w:val="00B818A9"/>
    <w:rsid w:val="00B818FF"/>
    <w:rsid w:val="00B81E18"/>
    <w:rsid w:val="00B81E2D"/>
    <w:rsid w:val="00B81ECA"/>
    <w:rsid w:val="00B81EEE"/>
    <w:rsid w:val="00B81F0B"/>
    <w:rsid w:val="00B81F17"/>
    <w:rsid w:val="00B81F38"/>
    <w:rsid w:val="00B8202F"/>
    <w:rsid w:val="00B820E6"/>
    <w:rsid w:val="00B821B4"/>
    <w:rsid w:val="00B821C2"/>
    <w:rsid w:val="00B8224B"/>
    <w:rsid w:val="00B8225F"/>
    <w:rsid w:val="00B82263"/>
    <w:rsid w:val="00B822A3"/>
    <w:rsid w:val="00B8246F"/>
    <w:rsid w:val="00B824EE"/>
    <w:rsid w:val="00B82691"/>
    <w:rsid w:val="00B826A4"/>
    <w:rsid w:val="00B8270F"/>
    <w:rsid w:val="00B82728"/>
    <w:rsid w:val="00B82746"/>
    <w:rsid w:val="00B8286D"/>
    <w:rsid w:val="00B8292F"/>
    <w:rsid w:val="00B8296F"/>
    <w:rsid w:val="00B82A5A"/>
    <w:rsid w:val="00B82B3E"/>
    <w:rsid w:val="00B83137"/>
    <w:rsid w:val="00B832AB"/>
    <w:rsid w:val="00B83300"/>
    <w:rsid w:val="00B834CA"/>
    <w:rsid w:val="00B8387A"/>
    <w:rsid w:val="00B83AE1"/>
    <w:rsid w:val="00B83B62"/>
    <w:rsid w:val="00B83E6A"/>
    <w:rsid w:val="00B841D6"/>
    <w:rsid w:val="00B8440C"/>
    <w:rsid w:val="00B846FF"/>
    <w:rsid w:val="00B848A5"/>
    <w:rsid w:val="00B849CB"/>
    <w:rsid w:val="00B84A91"/>
    <w:rsid w:val="00B84D2D"/>
    <w:rsid w:val="00B84DDA"/>
    <w:rsid w:val="00B84E89"/>
    <w:rsid w:val="00B84EBC"/>
    <w:rsid w:val="00B8503C"/>
    <w:rsid w:val="00B8535F"/>
    <w:rsid w:val="00B85920"/>
    <w:rsid w:val="00B859C6"/>
    <w:rsid w:val="00B85B63"/>
    <w:rsid w:val="00B85BE2"/>
    <w:rsid w:val="00B860E6"/>
    <w:rsid w:val="00B8631B"/>
    <w:rsid w:val="00B863F9"/>
    <w:rsid w:val="00B86485"/>
    <w:rsid w:val="00B86869"/>
    <w:rsid w:val="00B86A4F"/>
    <w:rsid w:val="00B86ADF"/>
    <w:rsid w:val="00B86BF0"/>
    <w:rsid w:val="00B86F20"/>
    <w:rsid w:val="00B86F3E"/>
    <w:rsid w:val="00B87029"/>
    <w:rsid w:val="00B870BA"/>
    <w:rsid w:val="00B870F3"/>
    <w:rsid w:val="00B87396"/>
    <w:rsid w:val="00B87593"/>
    <w:rsid w:val="00B8771C"/>
    <w:rsid w:val="00B8781E"/>
    <w:rsid w:val="00B878CD"/>
    <w:rsid w:val="00B87C08"/>
    <w:rsid w:val="00B87FC0"/>
    <w:rsid w:val="00B87FF3"/>
    <w:rsid w:val="00B9005F"/>
    <w:rsid w:val="00B90127"/>
    <w:rsid w:val="00B90174"/>
    <w:rsid w:val="00B901FE"/>
    <w:rsid w:val="00B90318"/>
    <w:rsid w:val="00B9035A"/>
    <w:rsid w:val="00B9039D"/>
    <w:rsid w:val="00B90434"/>
    <w:rsid w:val="00B906D4"/>
    <w:rsid w:val="00B90949"/>
    <w:rsid w:val="00B90CFD"/>
    <w:rsid w:val="00B90D2F"/>
    <w:rsid w:val="00B90D46"/>
    <w:rsid w:val="00B90D4D"/>
    <w:rsid w:val="00B90DC7"/>
    <w:rsid w:val="00B91341"/>
    <w:rsid w:val="00B9140D"/>
    <w:rsid w:val="00B9151F"/>
    <w:rsid w:val="00B91664"/>
    <w:rsid w:val="00B91948"/>
    <w:rsid w:val="00B919B7"/>
    <w:rsid w:val="00B919E4"/>
    <w:rsid w:val="00B91A4F"/>
    <w:rsid w:val="00B91C98"/>
    <w:rsid w:val="00B91CB1"/>
    <w:rsid w:val="00B91E32"/>
    <w:rsid w:val="00B9215E"/>
    <w:rsid w:val="00B922AD"/>
    <w:rsid w:val="00B92367"/>
    <w:rsid w:val="00B9243C"/>
    <w:rsid w:val="00B9249B"/>
    <w:rsid w:val="00B924D2"/>
    <w:rsid w:val="00B9264D"/>
    <w:rsid w:val="00B926FE"/>
    <w:rsid w:val="00B9281B"/>
    <w:rsid w:val="00B9289B"/>
    <w:rsid w:val="00B930ED"/>
    <w:rsid w:val="00B932E4"/>
    <w:rsid w:val="00B9338A"/>
    <w:rsid w:val="00B934D9"/>
    <w:rsid w:val="00B934F6"/>
    <w:rsid w:val="00B937A9"/>
    <w:rsid w:val="00B93A94"/>
    <w:rsid w:val="00B93AC7"/>
    <w:rsid w:val="00B93B46"/>
    <w:rsid w:val="00B93C4C"/>
    <w:rsid w:val="00B93C58"/>
    <w:rsid w:val="00B93CA4"/>
    <w:rsid w:val="00B94313"/>
    <w:rsid w:val="00B94451"/>
    <w:rsid w:val="00B9463E"/>
    <w:rsid w:val="00B9475C"/>
    <w:rsid w:val="00B9488D"/>
    <w:rsid w:val="00B94A4F"/>
    <w:rsid w:val="00B94B84"/>
    <w:rsid w:val="00B94CA8"/>
    <w:rsid w:val="00B94E58"/>
    <w:rsid w:val="00B94EAD"/>
    <w:rsid w:val="00B95054"/>
    <w:rsid w:val="00B95135"/>
    <w:rsid w:val="00B95306"/>
    <w:rsid w:val="00B9536C"/>
    <w:rsid w:val="00B95773"/>
    <w:rsid w:val="00B957CB"/>
    <w:rsid w:val="00B957CD"/>
    <w:rsid w:val="00B95859"/>
    <w:rsid w:val="00B958B9"/>
    <w:rsid w:val="00B95964"/>
    <w:rsid w:val="00B95B2A"/>
    <w:rsid w:val="00B960F4"/>
    <w:rsid w:val="00B9656D"/>
    <w:rsid w:val="00B96780"/>
    <w:rsid w:val="00B967D9"/>
    <w:rsid w:val="00B9681D"/>
    <w:rsid w:val="00B96867"/>
    <w:rsid w:val="00B9689B"/>
    <w:rsid w:val="00B969AA"/>
    <w:rsid w:val="00B96C2F"/>
    <w:rsid w:val="00B96C8D"/>
    <w:rsid w:val="00B97056"/>
    <w:rsid w:val="00B9705A"/>
    <w:rsid w:val="00B97383"/>
    <w:rsid w:val="00B97393"/>
    <w:rsid w:val="00B97609"/>
    <w:rsid w:val="00B97623"/>
    <w:rsid w:val="00B97826"/>
    <w:rsid w:val="00B97ED4"/>
    <w:rsid w:val="00BA00C0"/>
    <w:rsid w:val="00BA0371"/>
    <w:rsid w:val="00BA038C"/>
    <w:rsid w:val="00BA03AC"/>
    <w:rsid w:val="00BA0596"/>
    <w:rsid w:val="00BA0620"/>
    <w:rsid w:val="00BA0736"/>
    <w:rsid w:val="00BA089E"/>
    <w:rsid w:val="00BA0949"/>
    <w:rsid w:val="00BA09F2"/>
    <w:rsid w:val="00BA0CCE"/>
    <w:rsid w:val="00BA0D1F"/>
    <w:rsid w:val="00BA0DF2"/>
    <w:rsid w:val="00BA0E31"/>
    <w:rsid w:val="00BA0F16"/>
    <w:rsid w:val="00BA100D"/>
    <w:rsid w:val="00BA10A7"/>
    <w:rsid w:val="00BA1149"/>
    <w:rsid w:val="00BA1362"/>
    <w:rsid w:val="00BA146B"/>
    <w:rsid w:val="00BA1506"/>
    <w:rsid w:val="00BA1687"/>
    <w:rsid w:val="00BA1726"/>
    <w:rsid w:val="00BA1822"/>
    <w:rsid w:val="00BA186C"/>
    <w:rsid w:val="00BA198A"/>
    <w:rsid w:val="00BA1B7A"/>
    <w:rsid w:val="00BA1CCC"/>
    <w:rsid w:val="00BA1E27"/>
    <w:rsid w:val="00BA1FDA"/>
    <w:rsid w:val="00BA1FFB"/>
    <w:rsid w:val="00BA2537"/>
    <w:rsid w:val="00BA26F1"/>
    <w:rsid w:val="00BA2820"/>
    <w:rsid w:val="00BA2B3F"/>
    <w:rsid w:val="00BA2C8C"/>
    <w:rsid w:val="00BA2DE6"/>
    <w:rsid w:val="00BA31D2"/>
    <w:rsid w:val="00BA3236"/>
    <w:rsid w:val="00BA323C"/>
    <w:rsid w:val="00BA35A8"/>
    <w:rsid w:val="00BA36E9"/>
    <w:rsid w:val="00BA39B5"/>
    <w:rsid w:val="00BA3C4A"/>
    <w:rsid w:val="00BA3DC0"/>
    <w:rsid w:val="00BA3ED3"/>
    <w:rsid w:val="00BA3F6A"/>
    <w:rsid w:val="00BA417A"/>
    <w:rsid w:val="00BA423E"/>
    <w:rsid w:val="00BA4296"/>
    <w:rsid w:val="00BA435E"/>
    <w:rsid w:val="00BA4711"/>
    <w:rsid w:val="00BA4722"/>
    <w:rsid w:val="00BA47FE"/>
    <w:rsid w:val="00BA4913"/>
    <w:rsid w:val="00BA4A96"/>
    <w:rsid w:val="00BA4AA4"/>
    <w:rsid w:val="00BA4ACD"/>
    <w:rsid w:val="00BA4CC3"/>
    <w:rsid w:val="00BA4E45"/>
    <w:rsid w:val="00BA4FBB"/>
    <w:rsid w:val="00BA5138"/>
    <w:rsid w:val="00BA51C0"/>
    <w:rsid w:val="00BA52CE"/>
    <w:rsid w:val="00BA52F9"/>
    <w:rsid w:val="00BA536D"/>
    <w:rsid w:val="00BA5604"/>
    <w:rsid w:val="00BA59FB"/>
    <w:rsid w:val="00BA5A16"/>
    <w:rsid w:val="00BA5A20"/>
    <w:rsid w:val="00BA5AEE"/>
    <w:rsid w:val="00BA5B88"/>
    <w:rsid w:val="00BA5C29"/>
    <w:rsid w:val="00BA5CD6"/>
    <w:rsid w:val="00BA5E6F"/>
    <w:rsid w:val="00BA5F82"/>
    <w:rsid w:val="00BA604D"/>
    <w:rsid w:val="00BA66AC"/>
    <w:rsid w:val="00BA66F5"/>
    <w:rsid w:val="00BA6769"/>
    <w:rsid w:val="00BA69FE"/>
    <w:rsid w:val="00BA6C1F"/>
    <w:rsid w:val="00BA6C96"/>
    <w:rsid w:val="00BA6CCB"/>
    <w:rsid w:val="00BA6CD8"/>
    <w:rsid w:val="00BA6CFC"/>
    <w:rsid w:val="00BA6D61"/>
    <w:rsid w:val="00BA7034"/>
    <w:rsid w:val="00BA7079"/>
    <w:rsid w:val="00BA72CF"/>
    <w:rsid w:val="00BA737C"/>
    <w:rsid w:val="00BA73AB"/>
    <w:rsid w:val="00BA7404"/>
    <w:rsid w:val="00BA7540"/>
    <w:rsid w:val="00BA7611"/>
    <w:rsid w:val="00BA77FD"/>
    <w:rsid w:val="00BA78AC"/>
    <w:rsid w:val="00BA794A"/>
    <w:rsid w:val="00BA7C8B"/>
    <w:rsid w:val="00BB027E"/>
    <w:rsid w:val="00BB0286"/>
    <w:rsid w:val="00BB02B4"/>
    <w:rsid w:val="00BB02E2"/>
    <w:rsid w:val="00BB0308"/>
    <w:rsid w:val="00BB03D2"/>
    <w:rsid w:val="00BB03EC"/>
    <w:rsid w:val="00BB049B"/>
    <w:rsid w:val="00BB063C"/>
    <w:rsid w:val="00BB06E1"/>
    <w:rsid w:val="00BB08AC"/>
    <w:rsid w:val="00BB0910"/>
    <w:rsid w:val="00BB092B"/>
    <w:rsid w:val="00BB0AEF"/>
    <w:rsid w:val="00BB0D1A"/>
    <w:rsid w:val="00BB0E28"/>
    <w:rsid w:val="00BB0F62"/>
    <w:rsid w:val="00BB105A"/>
    <w:rsid w:val="00BB10AC"/>
    <w:rsid w:val="00BB10E1"/>
    <w:rsid w:val="00BB12E0"/>
    <w:rsid w:val="00BB1369"/>
    <w:rsid w:val="00BB149B"/>
    <w:rsid w:val="00BB14A3"/>
    <w:rsid w:val="00BB1600"/>
    <w:rsid w:val="00BB1A3B"/>
    <w:rsid w:val="00BB20CC"/>
    <w:rsid w:val="00BB220F"/>
    <w:rsid w:val="00BB2293"/>
    <w:rsid w:val="00BB252D"/>
    <w:rsid w:val="00BB26A5"/>
    <w:rsid w:val="00BB2979"/>
    <w:rsid w:val="00BB2A51"/>
    <w:rsid w:val="00BB2F66"/>
    <w:rsid w:val="00BB3160"/>
    <w:rsid w:val="00BB3594"/>
    <w:rsid w:val="00BB37D0"/>
    <w:rsid w:val="00BB380C"/>
    <w:rsid w:val="00BB38A2"/>
    <w:rsid w:val="00BB3AEF"/>
    <w:rsid w:val="00BB3B01"/>
    <w:rsid w:val="00BB3B12"/>
    <w:rsid w:val="00BB4254"/>
    <w:rsid w:val="00BB4264"/>
    <w:rsid w:val="00BB4314"/>
    <w:rsid w:val="00BB447B"/>
    <w:rsid w:val="00BB45BB"/>
    <w:rsid w:val="00BB46A8"/>
    <w:rsid w:val="00BB4CBA"/>
    <w:rsid w:val="00BB4E8D"/>
    <w:rsid w:val="00BB4FE6"/>
    <w:rsid w:val="00BB5036"/>
    <w:rsid w:val="00BB5104"/>
    <w:rsid w:val="00BB5229"/>
    <w:rsid w:val="00BB52C1"/>
    <w:rsid w:val="00BB559A"/>
    <w:rsid w:val="00BB55C5"/>
    <w:rsid w:val="00BB56E7"/>
    <w:rsid w:val="00BB56E8"/>
    <w:rsid w:val="00BB59FB"/>
    <w:rsid w:val="00BB5A92"/>
    <w:rsid w:val="00BB5B5F"/>
    <w:rsid w:val="00BB628E"/>
    <w:rsid w:val="00BB62EC"/>
    <w:rsid w:val="00BB63DF"/>
    <w:rsid w:val="00BB6564"/>
    <w:rsid w:val="00BB6597"/>
    <w:rsid w:val="00BB65D7"/>
    <w:rsid w:val="00BB668C"/>
    <w:rsid w:val="00BB6695"/>
    <w:rsid w:val="00BB6769"/>
    <w:rsid w:val="00BB67CE"/>
    <w:rsid w:val="00BB68ED"/>
    <w:rsid w:val="00BB69CA"/>
    <w:rsid w:val="00BB6AFB"/>
    <w:rsid w:val="00BB6D93"/>
    <w:rsid w:val="00BB6DEC"/>
    <w:rsid w:val="00BB6F3E"/>
    <w:rsid w:val="00BB6F77"/>
    <w:rsid w:val="00BB7346"/>
    <w:rsid w:val="00BB73BF"/>
    <w:rsid w:val="00BB773B"/>
    <w:rsid w:val="00BB7833"/>
    <w:rsid w:val="00BB7B2F"/>
    <w:rsid w:val="00BB7DB2"/>
    <w:rsid w:val="00BB7F99"/>
    <w:rsid w:val="00BC01F4"/>
    <w:rsid w:val="00BC07C5"/>
    <w:rsid w:val="00BC09DB"/>
    <w:rsid w:val="00BC0ADF"/>
    <w:rsid w:val="00BC0C0C"/>
    <w:rsid w:val="00BC0CB9"/>
    <w:rsid w:val="00BC0D42"/>
    <w:rsid w:val="00BC1439"/>
    <w:rsid w:val="00BC15DE"/>
    <w:rsid w:val="00BC17C8"/>
    <w:rsid w:val="00BC1936"/>
    <w:rsid w:val="00BC1945"/>
    <w:rsid w:val="00BC1B4E"/>
    <w:rsid w:val="00BC1B5E"/>
    <w:rsid w:val="00BC1B6C"/>
    <w:rsid w:val="00BC1C25"/>
    <w:rsid w:val="00BC1C84"/>
    <w:rsid w:val="00BC1E0A"/>
    <w:rsid w:val="00BC1EC6"/>
    <w:rsid w:val="00BC2147"/>
    <w:rsid w:val="00BC22BA"/>
    <w:rsid w:val="00BC24FA"/>
    <w:rsid w:val="00BC25E8"/>
    <w:rsid w:val="00BC25F7"/>
    <w:rsid w:val="00BC26B4"/>
    <w:rsid w:val="00BC27F2"/>
    <w:rsid w:val="00BC283D"/>
    <w:rsid w:val="00BC2C5D"/>
    <w:rsid w:val="00BC2DEA"/>
    <w:rsid w:val="00BC2EA0"/>
    <w:rsid w:val="00BC2FC5"/>
    <w:rsid w:val="00BC2FDD"/>
    <w:rsid w:val="00BC30EE"/>
    <w:rsid w:val="00BC323E"/>
    <w:rsid w:val="00BC3630"/>
    <w:rsid w:val="00BC3675"/>
    <w:rsid w:val="00BC369C"/>
    <w:rsid w:val="00BC3717"/>
    <w:rsid w:val="00BC37BB"/>
    <w:rsid w:val="00BC39AB"/>
    <w:rsid w:val="00BC3A77"/>
    <w:rsid w:val="00BC3D5F"/>
    <w:rsid w:val="00BC3FFC"/>
    <w:rsid w:val="00BC4298"/>
    <w:rsid w:val="00BC43DF"/>
    <w:rsid w:val="00BC45CE"/>
    <w:rsid w:val="00BC4972"/>
    <w:rsid w:val="00BC49C2"/>
    <w:rsid w:val="00BC49E8"/>
    <w:rsid w:val="00BC4BBB"/>
    <w:rsid w:val="00BC4CA2"/>
    <w:rsid w:val="00BC4FF4"/>
    <w:rsid w:val="00BC50A0"/>
    <w:rsid w:val="00BC50A1"/>
    <w:rsid w:val="00BC516C"/>
    <w:rsid w:val="00BC51BD"/>
    <w:rsid w:val="00BC5361"/>
    <w:rsid w:val="00BC575F"/>
    <w:rsid w:val="00BC57F8"/>
    <w:rsid w:val="00BC5821"/>
    <w:rsid w:val="00BC58E2"/>
    <w:rsid w:val="00BC59AF"/>
    <w:rsid w:val="00BC5A5F"/>
    <w:rsid w:val="00BC5A87"/>
    <w:rsid w:val="00BC5AAB"/>
    <w:rsid w:val="00BC5B9F"/>
    <w:rsid w:val="00BC5E35"/>
    <w:rsid w:val="00BC5F5B"/>
    <w:rsid w:val="00BC6032"/>
    <w:rsid w:val="00BC60A8"/>
    <w:rsid w:val="00BC620E"/>
    <w:rsid w:val="00BC62C1"/>
    <w:rsid w:val="00BC63F8"/>
    <w:rsid w:val="00BC6421"/>
    <w:rsid w:val="00BC64B8"/>
    <w:rsid w:val="00BC64BC"/>
    <w:rsid w:val="00BC6569"/>
    <w:rsid w:val="00BC658B"/>
    <w:rsid w:val="00BC6595"/>
    <w:rsid w:val="00BC6688"/>
    <w:rsid w:val="00BC67B9"/>
    <w:rsid w:val="00BC6897"/>
    <w:rsid w:val="00BC6C50"/>
    <w:rsid w:val="00BC6EAC"/>
    <w:rsid w:val="00BC6EE3"/>
    <w:rsid w:val="00BC71E3"/>
    <w:rsid w:val="00BC757E"/>
    <w:rsid w:val="00BC761E"/>
    <w:rsid w:val="00BC7683"/>
    <w:rsid w:val="00BC7770"/>
    <w:rsid w:val="00BC77D3"/>
    <w:rsid w:val="00BC78E1"/>
    <w:rsid w:val="00BC7A65"/>
    <w:rsid w:val="00BC7B04"/>
    <w:rsid w:val="00BC7B49"/>
    <w:rsid w:val="00BC7BFA"/>
    <w:rsid w:val="00BC7DDC"/>
    <w:rsid w:val="00BC7DEE"/>
    <w:rsid w:val="00BD006E"/>
    <w:rsid w:val="00BD016A"/>
    <w:rsid w:val="00BD047D"/>
    <w:rsid w:val="00BD0710"/>
    <w:rsid w:val="00BD085B"/>
    <w:rsid w:val="00BD08F5"/>
    <w:rsid w:val="00BD0AE8"/>
    <w:rsid w:val="00BD0C69"/>
    <w:rsid w:val="00BD0DE8"/>
    <w:rsid w:val="00BD0E3A"/>
    <w:rsid w:val="00BD0F0D"/>
    <w:rsid w:val="00BD12FF"/>
    <w:rsid w:val="00BD150C"/>
    <w:rsid w:val="00BD16F6"/>
    <w:rsid w:val="00BD1736"/>
    <w:rsid w:val="00BD176E"/>
    <w:rsid w:val="00BD1777"/>
    <w:rsid w:val="00BD1961"/>
    <w:rsid w:val="00BD1A5E"/>
    <w:rsid w:val="00BD1D7D"/>
    <w:rsid w:val="00BD1E44"/>
    <w:rsid w:val="00BD1E7F"/>
    <w:rsid w:val="00BD1EEF"/>
    <w:rsid w:val="00BD1F2D"/>
    <w:rsid w:val="00BD1F4B"/>
    <w:rsid w:val="00BD211A"/>
    <w:rsid w:val="00BD2173"/>
    <w:rsid w:val="00BD2302"/>
    <w:rsid w:val="00BD2372"/>
    <w:rsid w:val="00BD23AA"/>
    <w:rsid w:val="00BD2521"/>
    <w:rsid w:val="00BD2614"/>
    <w:rsid w:val="00BD28DC"/>
    <w:rsid w:val="00BD29A3"/>
    <w:rsid w:val="00BD2A10"/>
    <w:rsid w:val="00BD2AAA"/>
    <w:rsid w:val="00BD2EC8"/>
    <w:rsid w:val="00BD2EE9"/>
    <w:rsid w:val="00BD2F54"/>
    <w:rsid w:val="00BD323A"/>
    <w:rsid w:val="00BD325E"/>
    <w:rsid w:val="00BD332A"/>
    <w:rsid w:val="00BD33BA"/>
    <w:rsid w:val="00BD33D4"/>
    <w:rsid w:val="00BD358A"/>
    <w:rsid w:val="00BD3718"/>
    <w:rsid w:val="00BD3883"/>
    <w:rsid w:val="00BD39CA"/>
    <w:rsid w:val="00BD39F6"/>
    <w:rsid w:val="00BD39FE"/>
    <w:rsid w:val="00BD3AB8"/>
    <w:rsid w:val="00BD3E85"/>
    <w:rsid w:val="00BD3F60"/>
    <w:rsid w:val="00BD40A2"/>
    <w:rsid w:val="00BD40B1"/>
    <w:rsid w:val="00BD41D8"/>
    <w:rsid w:val="00BD434F"/>
    <w:rsid w:val="00BD43C4"/>
    <w:rsid w:val="00BD45C9"/>
    <w:rsid w:val="00BD47B6"/>
    <w:rsid w:val="00BD4BA1"/>
    <w:rsid w:val="00BD4DBE"/>
    <w:rsid w:val="00BD528B"/>
    <w:rsid w:val="00BD53D0"/>
    <w:rsid w:val="00BD573E"/>
    <w:rsid w:val="00BD5ADE"/>
    <w:rsid w:val="00BD6011"/>
    <w:rsid w:val="00BD61B4"/>
    <w:rsid w:val="00BD6251"/>
    <w:rsid w:val="00BD62FC"/>
    <w:rsid w:val="00BD639F"/>
    <w:rsid w:val="00BD63E3"/>
    <w:rsid w:val="00BD652F"/>
    <w:rsid w:val="00BD6846"/>
    <w:rsid w:val="00BD6AE1"/>
    <w:rsid w:val="00BD6AF0"/>
    <w:rsid w:val="00BD6D4D"/>
    <w:rsid w:val="00BD6E04"/>
    <w:rsid w:val="00BD6F2B"/>
    <w:rsid w:val="00BD70F2"/>
    <w:rsid w:val="00BD714E"/>
    <w:rsid w:val="00BD71F6"/>
    <w:rsid w:val="00BD7261"/>
    <w:rsid w:val="00BD7367"/>
    <w:rsid w:val="00BD7421"/>
    <w:rsid w:val="00BD75A6"/>
    <w:rsid w:val="00BD76AF"/>
    <w:rsid w:val="00BD782B"/>
    <w:rsid w:val="00BD7985"/>
    <w:rsid w:val="00BD7D3A"/>
    <w:rsid w:val="00BD7E65"/>
    <w:rsid w:val="00BE01CE"/>
    <w:rsid w:val="00BE0210"/>
    <w:rsid w:val="00BE024C"/>
    <w:rsid w:val="00BE02BC"/>
    <w:rsid w:val="00BE0490"/>
    <w:rsid w:val="00BE0881"/>
    <w:rsid w:val="00BE0972"/>
    <w:rsid w:val="00BE0C5B"/>
    <w:rsid w:val="00BE1041"/>
    <w:rsid w:val="00BE1126"/>
    <w:rsid w:val="00BE1370"/>
    <w:rsid w:val="00BE139F"/>
    <w:rsid w:val="00BE13A7"/>
    <w:rsid w:val="00BE14F7"/>
    <w:rsid w:val="00BE1750"/>
    <w:rsid w:val="00BE17A8"/>
    <w:rsid w:val="00BE1A12"/>
    <w:rsid w:val="00BE1A22"/>
    <w:rsid w:val="00BE1BB5"/>
    <w:rsid w:val="00BE1D68"/>
    <w:rsid w:val="00BE2114"/>
    <w:rsid w:val="00BE2133"/>
    <w:rsid w:val="00BE21D8"/>
    <w:rsid w:val="00BE2468"/>
    <w:rsid w:val="00BE2621"/>
    <w:rsid w:val="00BE262F"/>
    <w:rsid w:val="00BE2866"/>
    <w:rsid w:val="00BE2880"/>
    <w:rsid w:val="00BE2B5E"/>
    <w:rsid w:val="00BE2BA3"/>
    <w:rsid w:val="00BE2BDB"/>
    <w:rsid w:val="00BE2F60"/>
    <w:rsid w:val="00BE3135"/>
    <w:rsid w:val="00BE3149"/>
    <w:rsid w:val="00BE3285"/>
    <w:rsid w:val="00BE33B6"/>
    <w:rsid w:val="00BE3616"/>
    <w:rsid w:val="00BE36AF"/>
    <w:rsid w:val="00BE374C"/>
    <w:rsid w:val="00BE3893"/>
    <w:rsid w:val="00BE38E1"/>
    <w:rsid w:val="00BE39A5"/>
    <w:rsid w:val="00BE3B54"/>
    <w:rsid w:val="00BE3BB6"/>
    <w:rsid w:val="00BE4522"/>
    <w:rsid w:val="00BE4558"/>
    <w:rsid w:val="00BE4643"/>
    <w:rsid w:val="00BE47BF"/>
    <w:rsid w:val="00BE486F"/>
    <w:rsid w:val="00BE496B"/>
    <w:rsid w:val="00BE4A51"/>
    <w:rsid w:val="00BE4B77"/>
    <w:rsid w:val="00BE4BE1"/>
    <w:rsid w:val="00BE4D31"/>
    <w:rsid w:val="00BE4D52"/>
    <w:rsid w:val="00BE4D6A"/>
    <w:rsid w:val="00BE5186"/>
    <w:rsid w:val="00BE5374"/>
    <w:rsid w:val="00BE561C"/>
    <w:rsid w:val="00BE563C"/>
    <w:rsid w:val="00BE58E9"/>
    <w:rsid w:val="00BE5BFA"/>
    <w:rsid w:val="00BE61D6"/>
    <w:rsid w:val="00BE6212"/>
    <w:rsid w:val="00BE627A"/>
    <w:rsid w:val="00BE6543"/>
    <w:rsid w:val="00BE660D"/>
    <w:rsid w:val="00BE6621"/>
    <w:rsid w:val="00BE662D"/>
    <w:rsid w:val="00BE6884"/>
    <w:rsid w:val="00BE6CE8"/>
    <w:rsid w:val="00BE6D33"/>
    <w:rsid w:val="00BE6D9C"/>
    <w:rsid w:val="00BE6F67"/>
    <w:rsid w:val="00BE706F"/>
    <w:rsid w:val="00BE70AD"/>
    <w:rsid w:val="00BE721C"/>
    <w:rsid w:val="00BE72F0"/>
    <w:rsid w:val="00BE72FD"/>
    <w:rsid w:val="00BE7753"/>
    <w:rsid w:val="00BE77FD"/>
    <w:rsid w:val="00BE7A94"/>
    <w:rsid w:val="00BE7E5C"/>
    <w:rsid w:val="00BE7EC8"/>
    <w:rsid w:val="00BF01A0"/>
    <w:rsid w:val="00BF0287"/>
    <w:rsid w:val="00BF0357"/>
    <w:rsid w:val="00BF04B3"/>
    <w:rsid w:val="00BF04D8"/>
    <w:rsid w:val="00BF06D1"/>
    <w:rsid w:val="00BF0711"/>
    <w:rsid w:val="00BF0820"/>
    <w:rsid w:val="00BF091C"/>
    <w:rsid w:val="00BF09FE"/>
    <w:rsid w:val="00BF0B44"/>
    <w:rsid w:val="00BF0CD3"/>
    <w:rsid w:val="00BF0E19"/>
    <w:rsid w:val="00BF0E1F"/>
    <w:rsid w:val="00BF0E60"/>
    <w:rsid w:val="00BF11AC"/>
    <w:rsid w:val="00BF123B"/>
    <w:rsid w:val="00BF1304"/>
    <w:rsid w:val="00BF13D3"/>
    <w:rsid w:val="00BF140B"/>
    <w:rsid w:val="00BF186E"/>
    <w:rsid w:val="00BF18D5"/>
    <w:rsid w:val="00BF1B93"/>
    <w:rsid w:val="00BF1C77"/>
    <w:rsid w:val="00BF1C85"/>
    <w:rsid w:val="00BF1D46"/>
    <w:rsid w:val="00BF1F3A"/>
    <w:rsid w:val="00BF1FC7"/>
    <w:rsid w:val="00BF2095"/>
    <w:rsid w:val="00BF211F"/>
    <w:rsid w:val="00BF2198"/>
    <w:rsid w:val="00BF2233"/>
    <w:rsid w:val="00BF2245"/>
    <w:rsid w:val="00BF2398"/>
    <w:rsid w:val="00BF23F3"/>
    <w:rsid w:val="00BF2410"/>
    <w:rsid w:val="00BF24EE"/>
    <w:rsid w:val="00BF2584"/>
    <w:rsid w:val="00BF25A5"/>
    <w:rsid w:val="00BF29C2"/>
    <w:rsid w:val="00BF2B36"/>
    <w:rsid w:val="00BF2DFC"/>
    <w:rsid w:val="00BF2E49"/>
    <w:rsid w:val="00BF2F1C"/>
    <w:rsid w:val="00BF3100"/>
    <w:rsid w:val="00BF310C"/>
    <w:rsid w:val="00BF3191"/>
    <w:rsid w:val="00BF33BB"/>
    <w:rsid w:val="00BF357D"/>
    <w:rsid w:val="00BF3599"/>
    <w:rsid w:val="00BF38A4"/>
    <w:rsid w:val="00BF38DE"/>
    <w:rsid w:val="00BF393A"/>
    <w:rsid w:val="00BF39FF"/>
    <w:rsid w:val="00BF3FB9"/>
    <w:rsid w:val="00BF41C3"/>
    <w:rsid w:val="00BF4259"/>
    <w:rsid w:val="00BF4692"/>
    <w:rsid w:val="00BF49C6"/>
    <w:rsid w:val="00BF4BCB"/>
    <w:rsid w:val="00BF4F16"/>
    <w:rsid w:val="00BF4F89"/>
    <w:rsid w:val="00BF4F9F"/>
    <w:rsid w:val="00BF5219"/>
    <w:rsid w:val="00BF529D"/>
    <w:rsid w:val="00BF52F8"/>
    <w:rsid w:val="00BF539D"/>
    <w:rsid w:val="00BF55AD"/>
    <w:rsid w:val="00BF5816"/>
    <w:rsid w:val="00BF5876"/>
    <w:rsid w:val="00BF58E5"/>
    <w:rsid w:val="00BF59AD"/>
    <w:rsid w:val="00BF5A29"/>
    <w:rsid w:val="00BF5A65"/>
    <w:rsid w:val="00BF5BB0"/>
    <w:rsid w:val="00BF5C35"/>
    <w:rsid w:val="00BF5C8E"/>
    <w:rsid w:val="00BF5CA9"/>
    <w:rsid w:val="00BF5CDA"/>
    <w:rsid w:val="00BF5E86"/>
    <w:rsid w:val="00BF5E89"/>
    <w:rsid w:val="00BF5EC7"/>
    <w:rsid w:val="00BF6028"/>
    <w:rsid w:val="00BF607B"/>
    <w:rsid w:val="00BF611B"/>
    <w:rsid w:val="00BF6220"/>
    <w:rsid w:val="00BF63D7"/>
    <w:rsid w:val="00BF6554"/>
    <w:rsid w:val="00BF6577"/>
    <w:rsid w:val="00BF6579"/>
    <w:rsid w:val="00BF6693"/>
    <w:rsid w:val="00BF66D8"/>
    <w:rsid w:val="00BF6767"/>
    <w:rsid w:val="00BF6798"/>
    <w:rsid w:val="00BF69C1"/>
    <w:rsid w:val="00BF6A88"/>
    <w:rsid w:val="00BF6CF0"/>
    <w:rsid w:val="00BF70AB"/>
    <w:rsid w:val="00BF710D"/>
    <w:rsid w:val="00BF7162"/>
    <w:rsid w:val="00BF72EF"/>
    <w:rsid w:val="00BF746D"/>
    <w:rsid w:val="00BF74B3"/>
    <w:rsid w:val="00BF74F7"/>
    <w:rsid w:val="00BF76A7"/>
    <w:rsid w:val="00BF7713"/>
    <w:rsid w:val="00BF78A0"/>
    <w:rsid w:val="00BF797F"/>
    <w:rsid w:val="00BF7C54"/>
    <w:rsid w:val="00BF7C7C"/>
    <w:rsid w:val="00BF7CB0"/>
    <w:rsid w:val="00BF7DF5"/>
    <w:rsid w:val="00C0005E"/>
    <w:rsid w:val="00C001AB"/>
    <w:rsid w:val="00C004AB"/>
    <w:rsid w:val="00C006AE"/>
    <w:rsid w:val="00C00715"/>
    <w:rsid w:val="00C007E4"/>
    <w:rsid w:val="00C00C62"/>
    <w:rsid w:val="00C014F8"/>
    <w:rsid w:val="00C0171C"/>
    <w:rsid w:val="00C01838"/>
    <w:rsid w:val="00C01ACC"/>
    <w:rsid w:val="00C01D5F"/>
    <w:rsid w:val="00C01D7E"/>
    <w:rsid w:val="00C01E94"/>
    <w:rsid w:val="00C02117"/>
    <w:rsid w:val="00C0221A"/>
    <w:rsid w:val="00C02280"/>
    <w:rsid w:val="00C024EE"/>
    <w:rsid w:val="00C02510"/>
    <w:rsid w:val="00C02843"/>
    <w:rsid w:val="00C028CE"/>
    <w:rsid w:val="00C02A1A"/>
    <w:rsid w:val="00C02B62"/>
    <w:rsid w:val="00C02CDE"/>
    <w:rsid w:val="00C02F44"/>
    <w:rsid w:val="00C031FD"/>
    <w:rsid w:val="00C03357"/>
    <w:rsid w:val="00C0345A"/>
    <w:rsid w:val="00C03483"/>
    <w:rsid w:val="00C0350E"/>
    <w:rsid w:val="00C03511"/>
    <w:rsid w:val="00C03B53"/>
    <w:rsid w:val="00C03BC0"/>
    <w:rsid w:val="00C03C40"/>
    <w:rsid w:val="00C03C75"/>
    <w:rsid w:val="00C03DAD"/>
    <w:rsid w:val="00C03E8B"/>
    <w:rsid w:val="00C03EBC"/>
    <w:rsid w:val="00C03F2A"/>
    <w:rsid w:val="00C03FD1"/>
    <w:rsid w:val="00C03FD2"/>
    <w:rsid w:val="00C040E4"/>
    <w:rsid w:val="00C0424D"/>
    <w:rsid w:val="00C0439D"/>
    <w:rsid w:val="00C044AB"/>
    <w:rsid w:val="00C0468F"/>
    <w:rsid w:val="00C0480A"/>
    <w:rsid w:val="00C048A0"/>
    <w:rsid w:val="00C048BA"/>
    <w:rsid w:val="00C0491D"/>
    <w:rsid w:val="00C049D8"/>
    <w:rsid w:val="00C04A23"/>
    <w:rsid w:val="00C04AC8"/>
    <w:rsid w:val="00C04B28"/>
    <w:rsid w:val="00C04C3A"/>
    <w:rsid w:val="00C04E68"/>
    <w:rsid w:val="00C04E8E"/>
    <w:rsid w:val="00C04F48"/>
    <w:rsid w:val="00C0550F"/>
    <w:rsid w:val="00C055DA"/>
    <w:rsid w:val="00C05700"/>
    <w:rsid w:val="00C05780"/>
    <w:rsid w:val="00C05795"/>
    <w:rsid w:val="00C057B9"/>
    <w:rsid w:val="00C057BC"/>
    <w:rsid w:val="00C05BB6"/>
    <w:rsid w:val="00C05E15"/>
    <w:rsid w:val="00C05EA4"/>
    <w:rsid w:val="00C05FA8"/>
    <w:rsid w:val="00C06051"/>
    <w:rsid w:val="00C062A8"/>
    <w:rsid w:val="00C06345"/>
    <w:rsid w:val="00C0662F"/>
    <w:rsid w:val="00C0681A"/>
    <w:rsid w:val="00C06A7D"/>
    <w:rsid w:val="00C06B07"/>
    <w:rsid w:val="00C06FFB"/>
    <w:rsid w:val="00C0701D"/>
    <w:rsid w:val="00C072D7"/>
    <w:rsid w:val="00C072E6"/>
    <w:rsid w:val="00C074CD"/>
    <w:rsid w:val="00C074D5"/>
    <w:rsid w:val="00C075C0"/>
    <w:rsid w:val="00C076D4"/>
    <w:rsid w:val="00C0780A"/>
    <w:rsid w:val="00C07859"/>
    <w:rsid w:val="00C07888"/>
    <w:rsid w:val="00C07913"/>
    <w:rsid w:val="00C07FBF"/>
    <w:rsid w:val="00C1001C"/>
    <w:rsid w:val="00C1017C"/>
    <w:rsid w:val="00C10191"/>
    <w:rsid w:val="00C10459"/>
    <w:rsid w:val="00C10487"/>
    <w:rsid w:val="00C104AB"/>
    <w:rsid w:val="00C104CE"/>
    <w:rsid w:val="00C1067B"/>
    <w:rsid w:val="00C107C3"/>
    <w:rsid w:val="00C10886"/>
    <w:rsid w:val="00C10934"/>
    <w:rsid w:val="00C109D9"/>
    <w:rsid w:val="00C10AFA"/>
    <w:rsid w:val="00C10B37"/>
    <w:rsid w:val="00C10C8F"/>
    <w:rsid w:val="00C10DE2"/>
    <w:rsid w:val="00C10F24"/>
    <w:rsid w:val="00C10FDA"/>
    <w:rsid w:val="00C11025"/>
    <w:rsid w:val="00C11394"/>
    <w:rsid w:val="00C113CA"/>
    <w:rsid w:val="00C1146E"/>
    <w:rsid w:val="00C115FD"/>
    <w:rsid w:val="00C117B7"/>
    <w:rsid w:val="00C1190A"/>
    <w:rsid w:val="00C11A41"/>
    <w:rsid w:val="00C11BE2"/>
    <w:rsid w:val="00C11D51"/>
    <w:rsid w:val="00C11D75"/>
    <w:rsid w:val="00C11D7C"/>
    <w:rsid w:val="00C11E40"/>
    <w:rsid w:val="00C11F74"/>
    <w:rsid w:val="00C1241A"/>
    <w:rsid w:val="00C12824"/>
    <w:rsid w:val="00C129E4"/>
    <w:rsid w:val="00C12AF2"/>
    <w:rsid w:val="00C12B77"/>
    <w:rsid w:val="00C12D1A"/>
    <w:rsid w:val="00C13066"/>
    <w:rsid w:val="00C1318F"/>
    <w:rsid w:val="00C13266"/>
    <w:rsid w:val="00C13390"/>
    <w:rsid w:val="00C133E7"/>
    <w:rsid w:val="00C13520"/>
    <w:rsid w:val="00C13716"/>
    <w:rsid w:val="00C1395C"/>
    <w:rsid w:val="00C13BFC"/>
    <w:rsid w:val="00C13CF5"/>
    <w:rsid w:val="00C1421B"/>
    <w:rsid w:val="00C1422F"/>
    <w:rsid w:val="00C14391"/>
    <w:rsid w:val="00C14547"/>
    <w:rsid w:val="00C14577"/>
    <w:rsid w:val="00C146F6"/>
    <w:rsid w:val="00C14955"/>
    <w:rsid w:val="00C14A54"/>
    <w:rsid w:val="00C14BDC"/>
    <w:rsid w:val="00C14D5F"/>
    <w:rsid w:val="00C14F9B"/>
    <w:rsid w:val="00C14FAB"/>
    <w:rsid w:val="00C1525C"/>
    <w:rsid w:val="00C152E1"/>
    <w:rsid w:val="00C15825"/>
    <w:rsid w:val="00C15A0B"/>
    <w:rsid w:val="00C15A4E"/>
    <w:rsid w:val="00C15BB3"/>
    <w:rsid w:val="00C15C30"/>
    <w:rsid w:val="00C15F42"/>
    <w:rsid w:val="00C1610B"/>
    <w:rsid w:val="00C1611D"/>
    <w:rsid w:val="00C163C0"/>
    <w:rsid w:val="00C16693"/>
    <w:rsid w:val="00C167A0"/>
    <w:rsid w:val="00C168B6"/>
    <w:rsid w:val="00C16C2E"/>
    <w:rsid w:val="00C16C4C"/>
    <w:rsid w:val="00C16C9A"/>
    <w:rsid w:val="00C16CEB"/>
    <w:rsid w:val="00C16ED3"/>
    <w:rsid w:val="00C16EFD"/>
    <w:rsid w:val="00C171CD"/>
    <w:rsid w:val="00C171D1"/>
    <w:rsid w:val="00C171D4"/>
    <w:rsid w:val="00C17369"/>
    <w:rsid w:val="00C17386"/>
    <w:rsid w:val="00C173AD"/>
    <w:rsid w:val="00C17550"/>
    <w:rsid w:val="00C175E4"/>
    <w:rsid w:val="00C17667"/>
    <w:rsid w:val="00C17C6E"/>
    <w:rsid w:val="00C17D56"/>
    <w:rsid w:val="00C17E20"/>
    <w:rsid w:val="00C202D5"/>
    <w:rsid w:val="00C203A3"/>
    <w:rsid w:val="00C204C4"/>
    <w:rsid w:val="00C204CF"/>
    <w:rsid w:val="00C206BD"/>
    <w:rsid w:val="00C20804"/>
    <w:rsid w:val="00C2081D"/>
    <w:rsid w:val="00C2081E"/>
    <w:rsid w:val="00C20BB4"/>
    <w:rsid w:val="00C20C35"/>
    <w:rsid w:val="00C20C65"/>
    <w:rsid w:val="00C20EA8"/>
    <w:rsid w:val="00C20EBE"/>
    <w:rsid w:val="00C20F65"/>
    <w:rsid w:val="00C20F6C"/>
    <w:rsid w:val="00C21185"/>
    <w:rsid w:val="00C21548"/>
    <w:rsid w:val="00C217E7"/>
    <w:rsid w:val="00C21B7A"/>
    <w:rsid w:val="00C221DA"/>
    <w:rsid w:val="00C22389"/>
    <w:rsid w:val="00C223CA"/>
    <w:rsid w:val="00C224D4"/>
    <w:rsid w:val="00C225A7"/>
    <w:rsid w:val="00C22869"/>
    <w:rsid w:val="00C229DA"/>
    <w:rsid w:val="00C22B28"/>
    <w:rsid w:val="00C22BC0"/>
    <w:rsid w:val="00C22E52"/>
    <w:rsid w:val="00C22F52"/>
    <w:rsid w:val="00C22F6F"/>
    <w:rsid w:val="00C23172"/>
    <w:rsid w:val="00C231E1"/>
    <w:rsid w:val="00C231F0"/>
    <w:rsid w:val="00C23278"/>
    <w:rsid w:val="00C232E0"/>
    <w:rsid w:val="00C2383A"/>
    <w:rsid w:val="00C238C5"/>
    <w:rsid w:val="00C23935"/>
    <w:rsid w:val="00C23A06"/>
    <w:rsid w:val="00C23A41"/>
    <w:rsid w:val="00C23AC4"/>
    <w:rsid w:val="00C23CA1"/>
    <w:rsid w:val="00C23F8D"/>
    <w:rsid w:val="00C23FA9"/>
    <w:rsid w:val="00C24104"/>
    <w:rsid w:val="00C24443"/>
    <w:rsid w:val="00C245B2"/>
    <w:rsid w:val="00C2466A"/>
    <w:rsid w:val="00C24774"/>
    <w:rsid w:val="00C24978"/>
    <w:rsid w:val="00C249DE"/>
    <w:rsid w:val="00C24B5E"/>
    <w:rsid w:val="00C24C8B"/>
    <w:rsid w:val="00C24DA6"/>
    <w:rsid w:val="00C24DBC"/>
    <w:rsid w:val="00C24F61"/>
    <w:rsid w:val="00C25020"/>
    <w:rsid w:val="00C2505B"/>
    <w:rsid w:val="00C251D1"/>
    <w:rsid w:val="00C251FB"/>
    <w:rsid w:val="00C25319"/>
    <w:rsid w:val="00C2534F"/>
    <w:rsid w:val="00C254AE"/>
    <w:rsid w:val="00C25A53"/>
    <w:rsid w:val="00C25CFB"/>
    <w:rsid w:val="00C25E2D"/>
    <w:rsid w:val="00C25EAE"/>
    <w:rsid w:val="00C25ED5"/>
    <w:rsid w:val="00C25FB6"/>
    <w:rsid w:val="00C25FE0"/>
    <w:rsid w:val="00C26057"/>
    <w:rsid w:val="00C260B2"/>
    <w:rsid w:val="00C26328"/>
    <w:rsid w:val="00C2638F"/>
    <w:rsid w:val="00C263B9"/>
    <w:rsid w:val="00C266BF"/>
    <w:rsid w:val="00C269A3"/>
    <w:rsid w:val="00C269B9"/>
    <w:rsid w:val="00C26AAB"/>
    <w:rsid w:val="00C26B82"/>
    <w:rsid w:val="00C26CA5"/>
    <w:rsid w:val="00C26CDC"/>
    <w:rsid w:val="00C26EBE"/>
    <w:rsid w:val="00C26FB7"/>
    <w:rsid w:val="00C27015"/>
    <w:rsid w:val="00C270C5"/>
    <w:rsid w:val="00C2745D"/>
    <w:rsid w:val="00C2746E"/>
    <w:rsid w:val="00C2747A"/>
    <w:rsid w:val="00C276FB"/>
    <w:rsid w:val="00C27759"/>
    <w:rsid w:val="00C2778C"/>
    <w:rsid w:val="00C27AE7"/>
    <w:rsid w:val="00C27D02"/>
    <w:rsid w:val="00C27D93"/>
    <w:rsid w:val="00C27DBB"/>
    <w:rsid w:val="00C27E27"/>
    <w:rsid w:val="00C27F73"/>
    <w:rsid w:val="00C27FD9"/>
    <w:rsid w:val="00C30058"/>
    <w:rsid w:val="00C300A9"/>
    <w:rsid w:val="00C3056D"/>
    <w:rsid w:val="00C30662"/>
    <w:rsid w:val="00C30A18"/>
    <w:rsid w:val="00C30B32"/>
    <w:rsid w:val="00C30BEE"/>
    <w:rsid w:val="00C30BF6"/>
    <w:rsid w:val="00C30D42"/>
    <w:rsid w:val="00C30D8C"/>
    <w:rsid w:val="00C30EC6"/>
    <w:rsid w:val="00C30ED4"/>
    <w:rsid w:val="00C30EE7"/>
    <w:rsid w:val="00C30F57"/>
    <w:rsid w:val="00C310E2"/>
    <w:rsid w:val="00C31270"/>
    <w:rsid w:val="00C312C3"/>
    <w:rsid w:val="00C31488"/>
    <w:rsid w:val="00C317A2"/>
    <w:rsid w:val="00C319ED"/>
    <w:rsid w:val="00C31B4B"/>
    <w:rsid w:val="00C31B6C"/>
    <w:rsid w:val="00C31CC8"/>
    <w:rsid w:val="00C31D3D"/>
    <w:rsid w:val="00C31DDE"/>
    <w:rsid w:val="00C31E9E"/>
    <w:rsid w:val="00C31FED"/>
    <w:rsid w:val="00C323CE"/>
    <w:rsid w:val="00C323ED"/>
    <w:rsid w:val="00C32491"/>
    <w:rsid w:val="00C324D1"/>
    <w:rsid w:val="00C326CA"/>
    <w:rsid w:val="00C3285E"/>
    <w:rsid w:val="00C32890"/>
    <w:rsid w:val="00C32A5B"/>
    <w:rsid w:val="00C32AB0"/>
    <w:rsid w:val="00C32B1E"/>
    <w:rsid w:val="00C32DCB"/>
    <w:rsid w:val="00C32E2F"/>
    <w:rsid w:val="00C32E86"/>
    <w:rsid w:val="00C33024"/>
    <w:rsid w:val="00C33321"/>
    <w:rsid w:val="00C3383C"/>
    <w:rsid w:val="00C3388C"/>
    <w:rsid w:val="00C33922"/>
    <w:rsid w:val="00C33A71"/>
    <w:rsid w:val="00C33A79"/>
    <w:rsid w:val="00C33EBF"/>
    <w:rsid w:val="00C33FD9"/>
    <w:rsid w:val="00C340CC"/>
    <w:rsid w:val="00C340FA"/>
    <w:rsid w:val="00C341A4"/>
    <w:rsid w:val="00C34362"/>
    <w:rsid w:val="00C343FC"/>
    <w:rsid w:val="00C34422"/>
    <w:rsid w:val="00C3466F"/>
    <w:rsid w:val="00C346F6"/>
    <w:rsid w:val="00C34713"/>
    <w:rsid w:val="00C34714"/>
    <w:rsid w:val="00C3474E"/>
    <w:rsid w:val="00C347A8"/>
    <w:rsid w:val="00C348B1"/>
    <w:rsid w:val="00C348E3"/>
    <w:rsid w:val="00C348EB"/>
    <w:rsid w:val="00C34C53"/>
    <w:rsid w:val="00C34DD9"/>
    <w:rsid w:val="00C34E8E"/>
    <w:rsid w:val="00C34FB7"/>
    <w:rsid w:val="00C3501C"/>
    <w:rsid w:val="00C35199"/>
    <w:rsid w:val="00C357BF"/>
    <w:rsid w:val="00C3584B"/>
    <w:rsid w:val="00C35B22"/>
    <w:rsid w:val="00C35B79"/>
    <w:rsid w:val="00C35D78"/>
    <w:rsid w:val="00C35E1E"/>
    <w:rsid w:val="00C35E96"/>
    <w:rsid w:val="00C3603D"/>
    <w:rsid w:val="00C3629C"/>
    <w:rsid w:val="00C362DC"/>
    <w:rsid w:val="00C36441"/>
    <w:rsid w:val="00C364D7"/>
    <w:rsid w:val="00C364DA"/>
    <w:rsid w:val="00C3650E"/>
    <w:rsid w:val="00C3651F"/>
    <w:rsid w:val="00C36633"/>
    <w:rsid w:val="00C36651"/>
    <w:rsid w:val="00C367C2"/>
    <w:rsid w:val="00C36808"/>
    <w:rsid w:val="00C36854"/>
    <w:rsid w:val="00C36871"/>
    <w:rsid w:val="00C36926"/>
    <w:rsid w:val="00C369E6"/>
    <w:rsid w:val="00C36BB1"/>
    <w:rsid w:val="00C36BF9"/>
    <w:rsid w:val="00C36E9D"/>
    <w:rsid w:val="00C37338"/>
    <w:rsid w:val="00C374D8"/>
    <w:rsid w:val="00C37B9D"/>
    <w:rsid w:val="00C37C86"/>
    <w:rsid w:val="00C37CFE"/>
    <w:rsid w:val="00C37E2B"/>
    <w:rsid w:val="00C37EC7"/>
    <w:rsid w:val="00C4033E"/>
    <w:rsid w:val="00C4038D"/>
    <w:rsid w:val="00C403FF"/>
    <w:rsid w:val="00C40429"/>
    <w:rsid w:val="00C409E8"/>
    <w:rsid w:val="00C40A34"/>
    <w:rsid w:val="00C40A76"/>
    <w:rsid w:val="00C40AE4"/>
    <w:rsid w:val="00C40BAE"/>
    <w:rsid w:val="00C40DC3"/>
    <w:rsid w:val="00C40F7A"/>
    <w:rsid w:val="00C41176"/>
    <w:rsid w:val="00C412B1"/>
    <w:rsid w:val="00C412C2"/>
    <w:rsid w:val="00C413E1"/>
    <w:rsid w:val="00C41549"/>
    <w:rsid w:val="00C41828"/>
    <w:rsid w:val="00C4196A"/>
    <w:rsid w:val="00C41AE9"/>
    <w:rsid w:val="00C41BFE"/>
    <w:rsid w:val="00C41EA4"/>
    <w:rsid w:val="00C42179"/>
    <w:rsid w:val="00C42242"/>
    <w:rsid w:val="00C4228B"/>
    <w:rsid w:val="00C42321"/>
    <w:rsid w:val="00C42482"/>
    <w:rsid w:val="00C42569"/>
    <w:rsid w:val="00C42739"/>
    <w:rsid w:val="00C427DD"/>
    <w:rsid w:val="00C429AF"/>
    <w:rsid w:val="00C429DB"/>
    <w:rsid w:val="00C42F84"/>
    <w:rsid w:val="00C430C1"/>
    <w:rsid w:val="00C431FE"/>
    <w:rsid w:val="00C4328D"/>
    <w:rsid w:val="00C4341F"/>
    <w:rsid w:val="00C4347D"/>
    <w:rsid w:val="00C436E8"/>
    <w:rsid w:val="00C439BB"/>
    <w:rsid w:val="00C43D24"/>
    <w:rsid w:val="00C43F44"/>
    <w:rsid w:val="00C4415B"/>
    <w:rsid w:val="00C44198"/>
    <w:rsid w:val="00C44228"/>
    <w:rsid w:val="00C4423F"/>
    <w:rsid w:val="00C4436C"/>
    <w:rsid w:val="00C444B5"/>
    <w:rsid w:val="00C44564"/>
    <w:rsid w:val="00C44633"/>
    <w:rsid w:val="00C447A6"/>
    <w:rsid w:val="00C4483C"/>
    <w:rsid w:val="00C44A0C"/>
    <w:rsid w:val="00C44A72"/>
    <w:rsid w:val="00C44B8E"/>
    <w:rsid w:val="00C44EC3"/>
    <w:rsid w:val="00C4506B"/>
    <w:rsid w:val="00C4516F"/>
    <w:rsid w:val="00C45372"/>
    <w:rsid w:val="00C4579B"/>
    <w:rsid w:val="00C4596C"/>
    <w:rsid w:val="00C45A2D"/>
    <w:rsid w:val="00C45A62"/>
    <w:rsid w:val="00C45B1A"/>
    <w:rsid w:val="00C45BD7"/>
    <w:rsid w:val="00C46019"/>
    <w:rsid w:val="00C46059"/>
    <w:rsid w:val="00C460B6"/>
    <w:rsid w:val="00C461B2"/>
    <w:rsid w:val="00C463A8"/>
    <w:rsid w:val="00C463AD"/>
    <w:rsid w:val="00C4645C"/>
    <w:rsid w:val="00C46643"/>
    <w:rsid w:val="00C468AB"/>
    <w:rsid w:val="00C46C57"/>
    <w:rsid w:val="00C46C80"/>
    <w:rsid w:val="00C46CEC"/>
    <w:rsid w:val="00C46E32"/>
    <w:rsid w:val="00C46FD2"/>
    <w:rsid w:val="00C47279"/>
    <w:rsid w:val="00C47370"/>
    <w:rsid w:val="00C477CC"/>
    <w:rsid w:val="00C47A63"/>
    <w:rsid w:val="00C47B9C"/>
    <w:rsid w:val="00C47C8E"/>
    <w:rsid w:val="00C47CE8"/>
    <w:rsid w:val="00C47D25"/>
    <w:rsid w:val="00C50064"/>
    <w:rsid w:val="00C502E5"/>
    <w:rsid w:val="00C5035E"/>
    <w:rsid w:val="00C503D0"/>
    <w:rsid w:val="00C5046A"/>
    <w:rsid w:val="00C505FB"/>
    <w:rsid w:val="00C5088D"/>
    <w:rsid w:val="00C509E0"/>
    <w:rsid w:val="00C50C2F"/>
    <w:rsid w:val="00C50D2F"/>
    <w:rsid w:val="00C50FE9"/>
    <w:rsid w:val="00C51087"/>
    <w:rsid w:val="00C51267"/>
    <w:rsid w:val="00C512A3"/>
    <w:rsid w:val="00C5132C"/>
    <w:rsid w:val="00C5134C"/>
    <w:rsid w:val="00C51397"/>
    <w:rsid w:val="00C5147D"/>
    <w:rsid w:val="00C51505"/>
    <w:rsid w:val="00C5158F"/>
    <w:rsid w:val="00C51657"/>
    <w:rsid w:val="00C516E0"/>
    <w:rsid w:val="00C51726"/>
    <w:rsid w:val="00C51855"/>
    <w:rsid w:val="00C51E78"/>
    <w:rsid w:val="00C51FE8"/>
    <w:rsid w:val="00C52019"/>
    <w:rsid w:val="00C52034"/>
    <w:rsid w:val="00C520D5"/>
    <w:rsid w:val="00C52325"/>
    <w:rsid w:val="00C5234D"/>
    <w:rsid w:val="00C523CE"/>
    <w:rsid w:val="00C52400"/>
    <w:rsid w:val="00C528BF"/>
    <w:rsid w:val="00C52996"/>
    <w:rsid w:val="00C529AD"/>
    <w:rsid w:val="00C52A96"/>
    <w:rsid w:val="00C52BA6"/>
    <w:rsid w:val="00C52D9B"/>
    <w:rsid w:val="00C52F00"/>
    <w:rsid w:val="00C52FD1"/>
    <w:rsid w:val="00C532A5"/>
    <w:rsid w:val="00C533FD"/>
    <w:rsid w:val="00C53427"/>
    <w:rsid w:val="00C53446"/>
    <w:rsid w:val="00C53576"/>
    <w:rsid w:val="00C5359B"/>
    <w:rsid w:val="00C5391B"/>
    <w:rsid w:val="00C53A7C"/>
    <w:rsid w:val="00C53AA6"/>
    <w:rsid w:val="00C53AF7"/>
    <w:rsid w:val="00C53B02"/>
    <w:rsid w:val="00C53CA1"/>
    <w:rsid w:val="00C53D6D"/>
    <w:rsid w:val="00C53D79"/>
    <w:rsid w:val="00C53DE1"/>
    <w:rsid w:val="00C53E1E"/>
    <w:rsid w:val="00C53E6A"/>
    <w:rsid w:val="00C541AF"/>
    <w:rsid w:val="00C54208"/>
    <w:rsid w:val="00C54250"/>
    <w:rsid w:val="00C545B5"/>
    <w:rsid w:val="00C545E3"/>
    <w:rsid w:val="00C5473B"/>
    <w:rsid w:val="00C548D5"/>
    <w:rsid w:val="00C5497E"/>
    <w:rsid w:val="00C54AA0"/>
    <w:rsid w:val="00C54D1E"/>
    <w:rsid w:val="00C54E73"/>
    <w:rsid w:val="00C55026"/>
    <w:rsid w:val="00C55063"/>
    <w:rsid w:val="00C550A0"/>
    <w:rsid w:val="00C551F9"/>
    <w:rsid w:val="00C554B5"/>
    <w:rsid w:val="00C55637"/>
    <w:rsid w:val="00C556D8"/>
    <w:rsid w:val="00C5572D"/>
    <w:rsid w:val="00C558AE"/>
    <w:rsid w:val="00C55941"/>
    <w:rsid w:val="00C55A65"/>
    <w:rsid w:val="00C55AA8"/>
    <w:rsid w:val="00C55BEF"/>
    <w:rsid w:val="00C55BF3"/>
    <w:rsid w:val="00C55CBC"/>
    <w:rsid w:val="00C55D3C"/>
    <w:rsid w:val="00C564AB"/>
    <w:rsid w:val="00C56A5E"/>
    <w:rsid w:val="00C56AA6"/>
    <w:rsid w:val="00C56BE3"/>
    <w:rsid w:val="00C56CDB"/>
    <w:rsid w:val="00C56D93"/>
    <w:rsid w:val="00C56DAF"/>
    <w:rsid w:val="00C56DD6"/>
    <w:rsid w:val="00C56EF2"/>
    <w:rsid w:val="00C56F22"/>
    <w:rsid w:val="00C56F88"/>
    <w:rsid w:val="00C57000"/>
    <w:rsid w:val="00C570A6"/>
    <w:rsid w:val="00C570F8"/>
    <w:rsid w:val="00C57168"/>
    <w:rsid w:val="00C5741C"/>
    <w:rsid w:val="00C57898"/>
    <w:rsid w:val="00C578E9"/>
    <w:rsid w:val="00C578F0"/>
    <w:rsid w:val="00C5792A"/>
    <w:rsid w:val="00C57952"/>
    <w:rsid w:val="00C579F3"/>
    <w:rsid w:val="00C57A48"/>
    <w:rsid w:val="00C57A8C"/>
    <w:rsid w:val="00C57BBA"/>
    <w:rsid w:val="00C57BD7"/>
    <w:rsid w:val="00C57E7D"/>
    <w:rsid w:val="00C57F17"/>
    <w:rsid w:val="00C600B3"/>
    <w:rsid w:val="00C600F3"/>
    <w:rsid w:val="00C60139"/>
    <w:rsid w:val="00C601F2"/>
    <w:rsid w:val="00C6048A"/>
    <w:rsid w:val="00C605DC"/>
    <w:rsid w:val="00C60701"/>
    <w:rsid w:val="00C608BC"/>
    <w:rsid w:val="00C60962"/>
    <w:rsid w:val="00C6096F"/>
    <w:rsid w:val="00C60BC6"/>
    <w:rsid w:val="00C60EF4"/>
    <w:rsid w:val="00C60F70"/>
    <w:rsid w:val="00C610C2"/>
    <w:rsid w:val="00C61122"/>
    <w:rsid w:val="00C613A1"/>
    <w:rsid w:val="00C61464"/>
    <w:rsid w:val="00C614C1"/>
    <w:rsid w:val="00C615E0"/>
    <w:rsid w:val="00C615E3"/>
    <w:rsid w:val="00C61653"/>
    <w:rsid w:val="00C6167A"/>
    <w:rsid w:val="00C61727"/>
    <w:rsid w:val="00C617D7"/>
    <w:rsid w:val="00C618C2"/>
    <w:rsid w:val="00C61910"/>
    <w:rsid w:val="00C61ACE"/>
    <w:rsid w:val="00C622D6"/>
    <w:rsid w:val="00C623FD"/>
    <w:rsid w:val="00C624DD"/>
    <w:rsid w:val="00C624EF"/>
    <w:rsid w:val="00C62536"/>
    <w:rsid w:val="00C625D2"/>
    <w:rsid w:val="00C6264B"/>
    <w:rsid w:val="00C6295B"/>
    <w:rsid w:val="00C62BE9"/>
    <w:rsid w:val="00C62F28"/>
    <w:rsid w:val="00C6307F"/>
    <w:rsid w:val="00C63160"/>
    <w:rsid w:val="00C631B0"/>
    <w:rsid w:val="00C63239"/>
    <w:rsid w:val="00C632C0"/>
    <w:rsid w:val="00C63309"/>
    <w:rsid w:val="00C635A1"/>
    <w:rsid w:val="00C6361A"/>
    <w:rsid w:val="00C6372C"/>
    <w:rsid w:val="00C63858"/>
    <w:rsid w:val="00C638C9"/>
    <w:rsid w:val="00C6397D"/>
    <w:rsid w:val="00C63A53"/>
    <w:rsid w:val="00C63DED"/>
    <w:rsid w:val="00C63F1D"/>
    <w:rsid w:val="00C63F38"/>
    <w:rsid w:val="00C63FF0"/>
    <w:rsid w:val="00C64004"/>
    <w:rsid w:val="00C641E7"/>
    <w:rsid w:val="00C6448A"/>
    <w:rsid w:val="00C644FD"/>
    <w:rsid w:val="00C6452E"/>
    <w:rsid w:val="00C6455A"/>
    <w:rsid w:val="00C645F5"/>
    <w:rsid w:val="00C64AD2"/>
    <w:rsid w:val="00C64E2A"/>
    <w:rsid w:val="00C64F73"/>
    <w:rsid w:val="00C64FFF"/>
    <w:rsid w:val="00C65131"/>
    <w:rsid w:val="00C651F1"/>
    <w:rsid w:val="00C652D8"/>
    <w:rsid w:val="00C65510"/>
    <w:rsid w:val="00C6566D"/>
    <w:rsid w:val="00C656DC"/>
    <w:rsid w:val="00C65762"/>
    <w:rsid w:val="00C659CE"/>
    <w:rsid w:val="00C65A0B"/>
    <w:rsid w:val="00C65A49"/>
    <w:rsid w:val="00C65CDA"/>
    <w:rsid w:val="00C65F1D"/>
    <w:rsid w:val="00C6607A"/>
    <w:rsid w:val="00C660B6"/>
    <w:rsid w:val="00C66122"/>
    <w:rsid w:val="00C66219"/>
    <w:rsid w:val="00C662AE"/>
    <w:rsid w:val="00C664FB"/>
    <w:rsid w:val="00C665A5"/>
    <w:rsid w:val="00C66BB2"/>
    <w:rsid w:val="00C66CA7"/>
    <w:rsid w:val="00C66CD6"/>
    <w:rsid w:val="00C66DC4"/>
    <w:rsid w:val="00C66FAF"/>
    <w:rsid w:val="00C670AA"/>
    <w:rsid w:val="00C6725B"/>
    <w:rsid w:val="00C6727B"/>
    <w:rsid w:val="00C673E9"/>
    <w:rsid w:val="00C67500"/>
    <w:rsid w:val="00C675E8"/>
    <w:rsid w:val="00C67978"/>
    <w:rsid w:val="00C67995"/>
    <w:rsid w:val="00C67A22"/>
    <w:rsid w:val="00C67BE5"/>
    <w:rsid w:val="00C67D15"/>
    <w:rsid w:val="00C67E8E"/>
    <w:rsid w:val="00C700C6"/>
    <w:rsid w:val="00C7013E"/>
    <w:rsid w:val="00C70352"/>
    <w:rsid w:val="00C703E9"/>
    <w:rsid w:val="00C70460"/>
    <w:rsid w:val="00C7099F"/>
    <w:rsid w:val="00C709E3"/>
    <w:rsid w:val="00C70A55"/>
    <w:rsid w:val="00C70B19"/>
    <w:rsid w:val="00C70B9E"/>
    <w:rsid w:val="00C70C35"/>
    <w:rsid w:val="00C70C55"/>
    <w:rsid w:val="00C70C7E"/>
    <w:rsid w:val="00C70CD5"/>
    <w:rsid w:val="00C70E86"/>
    <w:rsid w:val="00C71021"/>
    <w:rsid w:val="00C7102F"/>
    <w:rsid w:val="00C7126F"/>
    <w:rsid w:val="00C71723"/>
    <w:rsid w:val="00C7189A"/>
    <w:rsid w:val="00C71A8C"/>
    <w:rsid w:val="00C71BA9"/>
    <w:rsid w:val="00C71CAF"/>
    <w:rsid w:val="00C71D70"/>
    <w:rsid w:val="00C71E21"/>
    <w:rsid w:val="00C71EFB"/>
    <w:rsid w:val="00C71FE8"/>
    <w:rsid w:val="00C71FFF"/>
    <w:rsid w:val="00C72124"/>
    <w:rsid w:val="00C7213D"/>
    <w:rsid w:val="00C72177"/>
    <w:rsid w:val="00C722CF"/>
    <w:rsid w:val="00C723B3"/>
    <w:rsid w:val="00C72776"/>
    <w:rsid w:val="00C72850"/>
    <w:rsid w:val="00C7286B"/>
    <w:rsid w:val="00C72997"/>
    <w:rsid w:val="00C72AD5"/>
    <w:rsid w:val="00C72B7A"/>
    <w:rsid w:val="00C72D0F"/>
    <w:rsid w:val="00C72E6B"/>
    <w:rsid w:val="00C72EBF"/>
    <w:rsid w:val="00C730E0"/>
    <w:rsid w:val="00C731AB"/>
    <w:rsid w:val="00C733AE"/>
    <w:rsid w:val="00C73475"/>
    <w:rsid w:val="00C73690"/>
    <w:rsid w:val="00C73720"/>
    <w:rsid w:val="00C739CB"/>
    <w:rsid w:val="00C73B36"/>
    <w:rsid w:val="00C73F04"/>
    <w:rsid w:val="00C74172"/>
    <w:rsid w:val="00C741C8"/>
    <w:rsid w:val="00C7428C"/>
    <w:rsid w:val="00C742CE"/>
    <w:rsid w:val="00C74352"/>
    <w:rsid w:val="00C74393"/>
    <w:rsid w:val="00C743F0"/>
    <w:rsid w:val="00C748BD"/>
    <w:rsid w:val="00C74A86"/>
    <w:rsid w:val="00C74B3D"/>
    <w:rsid w:val="00C74B8C"/>
    <w:rsid w:val="00C74BB4"/>
    <w:rsid w:val="00C74C59"/>
    <w:rsid w:val="00C74D7A"/>
    <w:rsid w:val="00C74E2B"/>
    <w:rsid w:val="00C74F7C"/>
    <w:rsid w:val="00C750F7"/>
    <w:rsid w:val="00C7521B"/>
    <w:rsid w:val="00C7537A"/>
    <w:rsid w:val="00C7556C"/>
    <w:rsid w:val="00C756DC"/>
    <w:rsid w:val="00C75730"/>
    <w:rsid w:val="00C75B11"/>
    <w:rsid w:val="00C75BCD"/>
    <w:rsid w:val="00C75E9A"/>
    <w:rsid w:val="00C75FDA"/>
    <w:rsid w:val="00C760E0"/>
    <w:rsid w:val="00C761B8"/>
    <w:rsid w:val="00C76260"/>
    <w:rsid w:val="00C764A3"/>
    <w:rsid w:val="00C764CB"/>
    <w:rsid w:val="00C7665C"/>
    <w:rsid w:val="00C76779"/>
    <w:rsid w:val="00C76A0A"/>
    <w:rsid w:val="00C76A71"/>
    <w:rsid w:val="00C76AC9"/>
    <w:rsid w:val="00C76DD2"/>
    <w:rsid w:val="00C76E0A"/>
    <w:rsid w:val="00C76FF8"/>
    <w:rsid w:val="00C77001"/>
    <w:rsid w:val="00C77AA2"/>
    <w:rsid w:val="00C77B8E"/>
    <w:rsid w:val="00C77D6D"/>
    <w:rsid w:val="00C77E4E"/>
    <w:rsid w:val="00C77F4B"/>
    <w:rsid w:val="00C80152"/>
    <w:rsid w:val="00C8041D"/>
    <w:rsid w:val="00C805B1"/>
    <w:rsid w:val="00C805CA"/>
    <w:rsid w:val="00C806F2"/>
    <w:rsid w:val="00C808D2"/>
    <w:rsid w:val="00C80A42"/>
    <w:rsid w:val="00C80BE1"/>
    <w:rsid w:val="00C80C5C"/>
    <w:rsid w:val="00C80DFB"/>
    <w:rsid w:val="00C80EAA"/>
    <w:rsid w:val="00C80ED9"/>
    <w:rsid w:val="00C80F1E"/>
    <w:rsid w:val="00C80F97"/>
    <w:rsid w:val="00C81098"/>
    <w:rsid w:val="00C81180"/>
    <w:rsid w:val="00C81492"/>
    <w:rsid w:val="00C81750"/>
    <w:rsid w:val="00C817A5"/>
    <w:rsid w:val="00C81D3D"/>
    <w:rsid w:val="00C81E65"/>
    <w:rsid w:val="00C81EFF"/>
    <w:rsid w:val="00C81FB0"/>
    <w:rsid w:val="00C822CF"/>
    <w:rsid w:val="00C8230E"/>
    <w:rsid w:val="00C8243E"/>
    <w:rsid w:val="00C825FD"/>
    <w:rsid w:val="00C82623"/>
    <w:rsid w:val="00C8268F"/>
    <w:rsid w:val="00C826DC"/>
    <w:rsid w:val="00C82A5E"/>
    <w:rsid w:val="00C82C16"/>
    <w:rsid w:val="00C82D20"/>
    <w:rsid w:val="00C82D4B"/>
    <w:rsid w:val="00C82DC6"/>
    <w:rsid w:val="00C82DD1"/>
    <w:rsid w:val="00C82E48"/>
    <w:rsid w:val="00C82E4D"/>
    <w:rsid w:val="00C82E6F"/>
    <w:rsid w:val="00C82E9F"/>
    <w:rsid w:val="00C82F56"/>
    <w:rsid w:val="00C83133"/>
    <w:rsid w:val="00C831FA"/>
    <w:rsid w:val="00C83290"/>
    <w:rsid w:val="00C8351D"/>
    <w:rsid w:val="00C83535"/>
    <w:rsid w:val="00C83818"/>
    <w:rsid w:val="00C839D7"/>
    <w:rsid w:val="00C83A85"/>
    <w:rsid w:val="00C83D84"/>
    <w:rsid w:val="00C83EC4"/>
    <w:rsid w:val="00C83FC6"/>
    <w:rsid w:val="00C8409B"/>
    <w:rsid w:val="00C840E5"/>
    <w:rsid w:val="00C8427A"/>
    <w:rsid w:val="00C8438B"/>
    <w:rsid w:val="00C8485D"/>
    <w:rsid w:val="00C84C3F"/>
    <w:rsid w:val="00C84E48"/>
    <w:rsid w:val="00C85282"/>
    <w:rsid w:val="00C853C0"/>
    <w:rsid w:val="00C855D6"/>
    <w:rsid w:val="00C85630"/>
    <w:rsid w:val="00C8596D"/>
    <w:rsid w:val="00C85B1C"/>
    <w:rsid w:val="00C85B57"/>
    <w:rsid w:val="00C85C18"/>
    <w:rsid w:val="00C85E2F"/>
    <w:rsid w:val="00C85ECE"/>
    <w:rsid w:val="00C86013"/>
    <w:rsid w:val="00C861AE"/>
    <w:rsid w:val="00C86297"/>
    <w:rsid w:val="00C8647F"/>
    <w:rsid w:val="00C864F5"/>
    <w:rsid w:val="00C86592"/>
    <w:rsid w:val="00C865D6"/>
    <w:rsid w:val="00C865DC"/>
    <w:rsid w:val="00C865EF"/>
    <w:rsid w:val="00C866D0"/>
    <w:rsid w:val="00C86B52"/>
    <w:rsid w:val="00C86C6D"/>
    <w:rsid w:val="00C86CA6"/>
    <w:rsid w:val="00C86CB0"/>
    <w:rsid w:val="00C86D08"/>
    <w:rsid w:val="00C86D67"/>
    <w:rsid w:val="00C86D99"/>
    <w:rsid w:val="00C86DE2"/>
    <w:rsid w:val="00C870AB"/>
    <w:rsid w:val="00C870F1"/>
    <w:rsid w:val="00C87404"/>
    <w:rsid w:val="00C87436"/>
    <w:rsid w:val="00C874EC"/>
    <w:rsid w:val="00C87689"/>
    <w:rsid w:val="00C878CF"/>
    <w:rsid w:val="00C87936"/>
    <w:rsid w:val="00C8796F"/>
    <w:rsid w:val="00C87BE5"/>
    <w:rsid w:val="00C87DE2"/>
    <w:rsid w:val="00C87EA7"/>
    <w:rsid w:val="00C9003E"/>
    <w:rsid w:val="00C90050"/>
    <w:rsid w:val="00C9016B"/>
    <w:rsid w:val="00C90421"/>
    <w:rsid w:val="00C909ED"/>
    <w:rsid w:val="00C90AAA"/>
    <w:rsid w:val="00C90CC1"/>
    <w:rsid w:val="00C90D13"/>
    <w:rsid w:val="00C90D66"/>
    <w:rsid w:val="00C90D76"/>
    <w:rsid w:val="00C90DD8"/>
    <w:rsid w:val="00C90E25"/>
    <w:rsid w:val="00C90E4F"/>
    <w:rsid w:val="00C90EF0"/>
    <w:rsid w:val="00C90F95"/>
    <w:rsid w:val="00C91015"/>
    <w:rsid w:val="00C912CE"/>
    <w:rsid w:val="00C91480"/>
    <w:rsid w:val="00C91627"/>
    <w:rsid w:val="00C91651"/>
    <w:rsid w:val="00C91678"/>
    <w:rsid w:val="00C9167F"/>
    <w:rsid w:val="00C917A4"/>
    <w:rsid w:val="00C91826"/>
    <w:rsid w:val="00C9182A"/>
    <w:rsid w:val="00C91A87"/>
    <w:rsid w:val="00C91BA8"/>
    <w:rsid w:val="00C91C00"/>
    <w:rsid w:val="00C91C19"/>
    <w:rsid w:val="00C91CEE"/>
    <w:rsid w:val="00C91D76"/>
    <w:rsid w:val="00C91EB7"/>
    <w:rsid w:val="00C91F9D"/>
    <w:rsid w:val="00C921F5"/>
    <w:rsid w:val="00C92232"/>
    <w:rsid w:val="00C922A2"/>
    <w:rsid w:val="00C9273E"/>
    <w:rsid w:val="00C927F2"/>
    <w:rsid w:val="00C92870"/>
    <w:rsid w:val="00C929F3"/>
    <w:rsid w:val="00C92B5C"/>
    <w:rsid w:val="00C92E28"/>
    <w:rsid w:val="00C92EC9"/>
    <w:rsid w:val="00C93023"/>
    <w:rsid w:val="00C930DF"/>
    <w:rsid w:val="00C930E6"/>
    <w:rsid w:val="00C933B3"/>
    <w:rsid w:val="00C935CA"/>
    <w:rsid w:val="00C936B5"/>
    <w:rsid w:val="00C936ED"/>
    <w:rsid w:val="00C93726"/>
    <w:rsid w:val="00C939B0"/>
    <w:rsid w:val="00C93AB2"/>
    <w:rsid w:val="00C93AF6"/>
    <w:rsid w:val="00C93AF7"/>
    <w:rsid w:val="00C93CD8"/>
    <w:rsid w:val="00C93D8E"/>
    <w:rsid w:val="00C93E14"/>
    <w:rsid w:val="00C93E23"/>
    <w:rsid w:val="00C93E67"/>
    <w:rsid w:val="00C93E79"/>
    <w:rsid w:val="00C93E88"/>
    <w:rsid w:val="00C940FF"/>
    <w:rsid w:val="00C9417E"/>
    <w:rsid w:val="00C94187"/>
    <w:rsid w:val="00C9454D"/>
    <w:rsid w:val="00C94579"/>
    <w:rsid w:val="00C94761"/>
    <w:rsid w:val="00C94C4C"/>
    <w:rsid w:val="00C94CD7"/>
    <w:rsid w:val="00C94D14"/>
    <w:rsid w:val="00C94EB0"/>
    <w:rsid w:val="00C9503A"/>
    <w:rsid w:val="00C951BF"/>
    <w:rsid w:val="00C9521E"/>
    <w:rsid w:val="00C954A0"/>
    <w:rsid w:val="00C9567D"/>
    <w:rsid w:val="00C956C8"/>
    <w:rsid w:val="00C95A10"/>
    <w:rsid w:val="00C95A27"/>
    <w:rsid w:val="00C95B90"/>
    <w:rsid w:val="00C95B99"/>
    <w:rsid w:val="00C95D12"/>
    <w:rsid w:val="00C96000"/>
    <w:rsid w:val="00C961A0"/>
    <w:rsid w:val="00C964F3"/>
    <w:rsid w:val="00C96584"/>
    <w:rsid w:val="00C966B2"/>
    <w:rsid w:val="00C967B8"/>
    <w:rsid w:val="00C967F8"/>
    <w:rsid w:val="00C968E8"/>
    <w:rsid w:val="00C969D4"/>
    <w:rsid w:val="00C96A6B"/>
    <w:rsid w:val="00C96AE3"/>
    <w:rsid w:val="00C96F43"/>
    <w:rsid w:val="00C96F73"/>
    <w:rsid w:val="00C97856"/>
    <w:rsid w:val="00C97893"/>
    <w:rsid w:val="00C97CEE"/>
    <w:rsid w:val="00C97E03"/>
    <w:rsid w:val="00CA013D"/>
    <w:rsid w:val="00CA020B"/>
    <w:rsid w:val="00CA0358"/>
    <w:rsid w:val="00CA03A6"/>
    <w:rsid w:val="00CA03B8"/>
    <w:rsid w:val="00CA03DB"/>
    <w:rsid w:val="00CA07E7"/>
    <w:rsid w:val="00CA084E"/>
    <w:rsid w:val="00CA0863"/>
    <w:rsid w:val="00CA0B1E"/>
    <w:rsid w:val="00CA0B5B"/>
    <w:rsid w:val="00CA0E02"/>
    <w:rsid w:val="00CA1001"/>
    <w:rsid w:val="00CA11EE"/>
    <w:rsid w:val="00CA1214"/>
    <w:rsid w:val="00CA1380"/>
    <w:rsid w:val="00CA15B6"/>
    <w:rsid w:val="00CA172D"/>
    <w:rsid w:val="00CA1744"/>
    <w:rsid w:val="00CA185D"/>
    <w:rsid w:val="00CA1B8E"/>
    <w:rsid w:val="00CA1E7B"/>
    <w:rsid w:val="00CA1F03"/>
    <w:rsid w:val="00CA212F"/>
    <w:rsid w:val="00CA21BB"/>
    <w:rsid w:val="00CA23B2"/>
    <w:rsid w:val="00CA23CD"/>
    <w:rsid w:val="00CA252C"/>
    <w:rsid w:val="00CA26EA"/>
    <w:rsid w:val="00CA2715"/>
    <w:rsid w:val="00CA27CB"/>
    <w:rsid w:val="00CA2888"/>
    <w:rsid w:val="00CA2944"/>
    <w:rsid w:val="00CA2CEF"/>
    <w:rsid w:val="00CA2DCB"/>
    <w:rsid w:val="00CA2F16"/>
    <w:rsid w:val="00CA2F17"/>
    <w:rsid w:val="00CA2FB2"/>
    <w:rsid w:val="00CA320E"/>
    <w:rsid w:val="00CA3227"/>
    <w:rsid w:val="00CA343C"/>
    <w:rsid w:val="00CA35F9"/>
    <w:rsid w:val="00CA3654"/>
    <w:rsid w:val="00CA36CB"/>
    <w:rsid w:val="00CA3729"/>
    <w:rsid w:val="00CA3936"/>
    <w:rsid w:val="00CA39C2"/>
    <w:rsid w:val="00CA3ADC"/>
    <w:rsid w:val="00CA3D3A"/>
    <w:rsid w:val="00CA3F77"/>
    <w:rsid w:val="00CA3F80"/>
    <w:rsid w:val="00CA3FE7"/>
    <w:rsid w:val="00CA403A"/>
    <w:rsid w:val="00CA42D6"/>
    <w:rsid w:val="00CA431E"/>
    <w:rsid w:val="00CA4703"/>
    <w:rsid w:val="00CA472D"/>
    <w:rsid w:val="00CA496D"/>
    <w:rsid w:val="00CA4D64"/>
    <w:rsid w:val="00CA4F60"/>
    <w:rsid w:val="00CA5060"/>
    <w:rsid w:val="00CA5137"/>
    <w:rsid w:val="00CA5162"/>
    <w:rsid w:val="00CA51D8"/>
    <w:rsid w:val="00CA5246"/>
    <w:rsid w:val="00CA528A"/>
    <w:rsid w:val="00CA53F8"/>
    <w:rsid w:val="00CA54DD"/>
    <w:rsid w:val="00CA5528"/>
    <w:rsid w:val="00CA56AD"/>
    <w:rsid w:val="00CA57A4"/>
    <w:rsid w:val="00CA59A3"/>
    <w:rsid w:val="00CA5BEC"/>
    <w:rsid w:val="00CA5E81"/>
    <w:rsid w:val="00CA5EDD"/>
    <w:rsid w:val="00CA6003"/>
    <w:rsid w:val="00CA60F2"/>
    <w:rsid w:val="00CA614B"/>
    <w:rsid w:val="00CA617C"/>
    <w:rsid w:val="00CA64DD"/>
    <w:rsid w:val="00CA6638"/>
    <w:rsid w:val="00CA675A"/>
    <w:rsid w:val="00CA68EE"/>
    <w:rsid w:val="00CA6B7C"/>
    <w:rsid w:val="00CA6BA2"/>
    <w:rsid w:val="00CA6BB3"/>
    <w:rsid w:val="00CA6DCD"/>
    <w:rsid w:val="00CA6F04"/>
    <w:rsid w:val="00CA715F"/>
    <w:rsid w:val="00CA7448"/>
    <w:rsid w:val="00CA76A6"/>
    <w:rsid w:val="00CA7885"/>
    <w:rsid w:val="00CA795E"/>
    <w:rsid w:val="00CA7A96"/>
    <w:rsid w:val="00CA7B7C"/>
    <w:rsid w:val="00CA7D0A"/>
    <w:rsid w:val="00CA7F71"/>
    <w:rsid w:val="00CB0095"/>
    <w:rsid w:val="00CB0225"/>
    <w:rsid w:val="00CB0495"/>
    <w:rsid w:val="00CB0631"/>
    <w:rsid w:val="00CB06CD"/>
    <w:rsid w:val="00CB08E9"/>
    <w:rsid w:val="00CB09FA"/>
    <w:rsid w:val="00CB0BBA"/>
    <w:rsid w:val="00CB0BC9"/>
    <w:rsid w:val="00CB0C60"/>
    <w:rsid w:val="00CB0CE5"/>
    <w:rsid w:val="00CB0DCE"/>
    <w:rsid w:val="00CB13EA"/>
    <w:rsid w:val="00CB15E9"/>
    <w:rsid w:val="00CB1650"/>
    <w:rsid w:val="00CB16A5"/>
    <w:rsid w:val="00CB18E3"/>
    <w:rsid w:val="00CB19B3"/>
    <w:rsid w:val="00CB1C50"/>
    <w:rsid w:val="00CB1E91"/>
    <w:rsid w:val="00CB1F70"/>
    <w:rsid w:val="00CB21FD"/>
    <w:rsid w:val="00CB246F"/>
    <w:rsid w:val="00CB2493"/>
    <w:rsid w:val="00CB2634"/>
    <w:rsid w:val="00CB27AF"/>
    <w:rsid w:val="00CB2833"/>
    <w:rsid w:val="00CB2B33"/>
    <w:rsid w:val="00CB2BD5"/>
    <w:rsid w:val="00CB2CCC"/>
    <w:rsid w:val="00CB2D90"/>
    <w:rsid w:val="00CB2F68"/>
    <w:rsid w:val="00CB3007"/>
    <w:rsid w:val="00CB30BC"/>
    <w:rsid w:val="00CB3247"/>
    <w:rsid w:val="00CB35F3"/>
    <w:rsid w:val="00CB3611"/>
    <w:rsid w:val="00CB368E"/>
    <w:rsid w:val="00CB36F8"/>
    <w:rsid w:val="00CB3AB8"/>
    <w:rsid w:val="00CB3F7C"/>
    <w:rsid w:val="00CB4304"/>
    <w:rsid w:val="00CB43EE"/>
    <w:rsid w:val="00CB448A"/>
    <w:rsid w:val="00CB464E"/>
    <w:rsid w:val="00CB46AA"/>
    <w:rsid w:val="00CB46B9"/>
    <w:rsid w:val="00CB46DC"/>
    <w:rsid w:val="00CB4AA7"/>
    <w:rsid w:val="00CB4CA1"/>
    <w:rsid w:val="00CB4E60"/>
    <w:rsid w:val="00CB4F9D"/>
    <w:rsid w:val="00CB5322"/>
    <w:rsid w:val="00CB56B0"/>
    <w:rsid w:val="00CB56D8"/>
    <w:rsid w:val="00CB58C4"/>
    <w:rsid w:val="00CB5B1A"/>
    <w:rsid w:val="00CB5B4E"/>
    <w:rsid w:val="00CB5BF9"/>
    <w:rsid w:val="00CB5C2D"/>
    <w:rsid w:val="00CB5C55"/>
    <w:rsid w:val="00CB5C84"/>
    <w:rsid w:val="00CB5F53"/>
    <w:rsid w:val="00CB5F6E"/>
    <w:rsid w:val="00CB5F7C"/>
    <w:rsid w:val="00CB5FE2"/>
    <w:rsid w:val="00CB5FF8"/>
    <w:rsid w:val="00CB688C"/>
    <w:rsid w:val="00CB69F1"/>
    <w:rsid w:val="00CB6B3B"/>
    <w:rsid w:val="00CB6C23"/>
    <w:rsid w:val="00CB6D89"/>
    <w:rsid w:val="00CB6DB0"/>
    <w:rsid w:val="00CB70B4"/>
    <w:rsid w:val="00CB7108"/>
    <w:rsid w:val="00CB72CB"/>
    <w:rsid w:val="00CB72F6"/>
    <w:rsid w:val="00CB765D"/>
    <w:rsid w:val="00CB76C8"/>
    <w:rsid w:val="00CB776A"/>
    <w:rsid w:val="00CB7A3F"/>
    <w:rsid w:val="00CB7AA0"/>
    <w:rsid w:val="00CB7AD0"/>
    <w:rsid w:val="00CB7B6F"/>
    <w:rsid w:val="00CB7BA1"/>
    <w:rsid w:val="00CB7CA9"/>
    <w:rsid w:val="00CB7CB4"/>
    <w:rsid w:val="00CB7CD3"/>
    <w:rsid w:val="00CB7E87"/>
    <w:rsid w:val="00CC0043"/>
    <w:rsid w:val="00CC005F"/>
    <w:rsid w:val="00CC00D5"/>
    <w:rsid w:val="00CC0138"/>
    <w:rsid w:val="00CC013B"/>
    <w:rsid w:val="00CC0239"/>
    <w:rsid w:val="00CC0472"/>
    <w:rsid w:val="00CC0511"/>
    <w:rsid w:val="00CC06F7"/>
    <w:rsid w:val="00CC072D"/>
    <w:rsid w:val="00CC0757"/>
    <w:rsid w:val="00CC0899"/>
    <w:rsid w:val="00CC094E"/>
    <w:rsid w:val="00CC0A41"/>
    <w:rsid w:val="00CC0BB4"/>
    <w:rsid w:val="00CC0F04"/>
    <w:rsid w:val="00CC0FFA"/>
    <w:rsid w:val="00CC1204"/>
    <w:rsid w:val="00CC1272"/>
    <w:rsid w:val="00CC12CC"/>
    <w:rsid w:val="00CC12E1"/>
    <w:rsid w:val="00CC16A7"/>
    <w:rsid w:val="00CC17E6"/>
    <w:rsid w:val="00CC1814"/>
    <w:rsid w:val="00CC1969"/>
    <w:rsid w:val="00CC1BCE"/>
    <w:rsid w:val="00CC1CAE"/>
    <w:rsid w:val="00CC1D1A"/>
    <w:rsid w:val="00CC1F7A"/>
    <w:rsid w:val="00CC1F98"/>
    <w:rsid w:val="00CC2102"/>
    <w:rsid w:val="00CC2221"/>
    <w:rsid w:val="00CC2280"/>
    <w:rsid w:val="00CC26EB"/>
    <w:rsid w:val="00CC28C0"/>
    <w:rsid w:val="00CC2A76"/>
    <w:rsid w:val="00CC2B6C"/>
    <w:rsid w:val="00CC2BF1"/>
    <w:rsid w:val="00CC2D07"/>
    <w:rsid w:val="00CC2E22"/>
    <w:rsid w:val="00CC2E2D"/>
    <w:rsid w:val="00CC2E86"/>
    <w:rsid w:val="00CC3027"/>
    <w:rsid w:val="00CC326C"/>
    <w:rsid w:val="00CC32E6"/>
    <w:rsid w:val="00CC3595"/>
    <w:rsid w:val="00CC35BA"/>
    <w:rsid w:val="00CC3914"/>
    <w:rsid w:val="00CC3D8A"/>
    <w:rsid w:val="00CC3E5D"/>
    <w:rsid w:val="00CC3F65"/>
    <w:rsid w:val="00CC3FC9"/>
    <w:rsid w:val="00CC403E"/>
    <w:rsid w:val="00CC418E"/>
    <w:rsid w:val="00CC41AF"/>
    <w:rsid w:val="00CC4324"/>
    <w:rsid w:val="00CC4564"/>
    <w:rsid w:val="00CC461A"/>
    <w:rsid w:val="00CC483B"/>
    <w:rsid w:val="00CC4BD0"/>
    <w:rsid w:val="00CC4D7A"/>
    <w:rsid w:val="00CC4E98"/>
    <w:rsid w:val="00CC50AA"/>
    <w:rsid w:val="00CC50DA"/>
    <w:rsid w:val="00CC5150"/>
    <w:rsid w:val="00CC5194"/>
    <w:rsid w:val="00CC533D"/>
    <w:rsid w:val="00CC546B"/>
    <w:rsid w:val="00CC54B4"/>
    <w:rsid w:val="00CC557A"/>
    <w:rsid w:val="00CC55B5"/>
    <w:rsid w:val="00CC58AA"/>
    <w:rsid w:val="00CC5DD4"/>
    <w:rsid w:val="00CC5F4E"/>
    <w:rsid w:val="00CC6260"/>
    <w:rsid w:val="00CC6322"/>
    <w:rsid w:val="00CC6547"/>
    <w:rsid w:val="00CC6567"/>
    <w:rsid w:val="00CC680B"/>
    <w:rsid w:val="00CC688F"/>
    <w:rsid w:val="00CC6894"/>
    <w:rsid w:val="00CC69F2"/>
    <w:rsid w:val="00CC6B75"/>
    <w:rsid w:val="00CC6B86"/>
    <w:rsid w:val="00CC6C18"/>
    <w:rsid w:val="00CC6C26"/>
    <w:rsid w:val="00CC6C93"/>
    <w:rsid w:val="00CC6CD4"/>
    <w:rsid w:val="00CC7131"/>
    <w:rsid w:val="00CC73D6"/>
    <w:rsid w:val="00CC743C"/>
    <w:rsid w:val="00CC74CF"/>
    <w:rsid w:val="00CC7565"/>
    <w:rsid w:val="00CC78B1"/>
    <w:rsid w:val="00CC796A"/>
    <w:rsid w:val="00CC7A1F"/>
    <w:rsid w:val="00CC7B17"/>
    <w:rsid w:val="00CC7D3C"/>
    <w:rsid w:val="00CC7D8F"/>
    <w:rsid w:val="00CD02C7"/>
    <w:rsid w:val="00CD046B"/>
    <w:rsid w:val="00CD0572"/>
    <w:rsid w:val="00CD05D3"/>
    <w:rsid w:val="00CD06DD"/>
    <w:rsid w:val="00CD078E"/>
    <w:rsid w:val="00CD07DE"/>
    <w:rsid w:val="00CD0F01"/>
    <w:rsid w:val="00CD0F0D"/>
    <w:rsid w:val="00CD0F7C"/>
    <w:rsid w:val="00CD10D8"/>
    <w:rsid w:val="00CD1166"/>
    <w:rsid w:val="00CD1181"/>
    <w:rsid w:val="00CD1271"/>
    <w:rsid w:val="00CD131E"/>
    <w:rsid w:val="00CD1400"/>
    <w:rsid w:val="00CD1404"/>
    <w:rsid w:val="00CD177B"/>
    <w:rsid w:val="00CD18A3"/>
    <w:rsid w:val="00CD1DC9"/>
    <w:rsid w:val="00CD1DE9"/>
    <w:rsid w:val="00CD1E02"/>
    <w:rsid w:val="00CD21C7"/>
    <w:rsid w:val="00CD2503"/>
    <w:rsid w:val="00CD263E"/>
    <w:rsid w:val="00CD26D7"/>
    <w:rsid w:val="00CD28FC"/>
    <w:rsid w:val="00CD2CD1"/>
    <w:rsid w:val="00CD2E16"/>
    <w:rsid w:val="00CD2EA5"/>
    <w:rsid w:val="00CD2EE7"/>
    <w:rsid w:val="00CD2EF8"/>
    <w:rsid w:val="00CD2EF9"/>
    <w:rsid w:val="00CD30BD"/>
    <w:rsid w:val="00CD3268"/>
    <w:rsid w:val="00CD3286"/>
    <w:rsid w:val="00CD3369"/>
    <w:rsid w:val="00CD3477"/>
    <w:rsid w:val="00CD349B"/>
    <w:rsid w:val="00CD38EE"/>
    <w:rsid w:val="00CD39E3"/>
    <w:rsid w:val="00CD3C2D"/>
    <w:rsid w:val="00CD3DEC"/>
    <w:rsid w:val="00CD3E3D"/>
    <w:rsid w:val="00CD46D0"/>
    <w:rsid w:val="00CD46E0"/>
    <w:rsid w:val="00CD46FD"/>
    <w:rsid w:val="00CD4733"/>
    <w:rsid w:val="00CD4D4E"/>
    <w:rsid w:val="00CD4E4D"/>
    <w:rsid w:val="00CD4F2E"/>
    <w:rsid w:val="00CD505C"/>
    <w:rsid w:val="00CD50A7"/>
    <w:rsid w:val="00CD51D9"/>
    <w:rsid w:val="00CD5239"/>
    <w:rsid w:val="00CD557F"/>
    <w:rsid w:val="00CD56F0"/>
    <w:rsid w:val="00CD58C1"/>
    <w:rsid w:val="00CD58FE"/>
    <w:rsid w:val="00CD5A20"/>
    <w:rsid w:val="00CD5B9C"/>
    <w:rsid w:val="00CD5D3C"/>
    <w:rsid w:val="00CD5F3A"/>
    <w:rsid w:val="00CD5FD6"/>
    <w:rsid w:val="00CD6254"/>
    <w:rsid w:val="00CD62E1"/>
    <w:rsid w:val="00CD6323"/>
    <w:rsid w:val="00CD6380"/>
    <w:rsid w:val="00CD6403"/>
    <w:rsid w:val="00CD6427"/>
    <w:rsid w:val="00CD660A"/>
    <w:rsid w:val="00CD661D"/>
    <w:rsid w:val="00CD6717"/>
    <w:rsid w:val="00CD67A9"/>
    <w:rsid w:val="00CD680E"/>
    <w:rsid w:val="00CD69A0"/>
    <w:rsid w:val="00CD6C9B"/>
    <w:rsid w:val="00CD6CBF"/>
    <w:rsid w:val="00CD6CC2"/>
    <w:rsid w:val="00CD6CC5"/>
    <w:rsid w:val="00CD6E22"/>
    <w:rsid w:val="00CD6EC1"/>
    <w:rsid w:val="00CD707A"/>
    <w:rsid w:val="00CD70B0"/>
    <w:rsid w:val="00CD72E4"/>
    <w:rsid w:val="00CD7443"/>
    <w:rsid w:val="00CD74DF"/>
    <w:rsid w:val="00CD74F8"/>
    <w:rsid w:val="00CD75F5"/>
    <w:rsid w:val="00CD7620"/>
    <w:rsid w:val="00CD77DB"/>
    <w:rsid w:val="00CD77E0"/>
    <w:rsid w:val="00CD77FA"/>
    <w:rsid w:val="00CD7AB7"/>
    <w:rsid w:val="00CD7AFC"/>
    <w:rsid w:val="00CD7C52"/>
    <w:rsid w:val="00CD7D3C"/>
    <w:rsid w:val="00CD7F38"/>
    <w:rsid w:val="00CE0319"/>
    <w:rsid w:val="00CE0400"/>
    <w:rsid w:val="00CE0503"/>
    <w:rsid w:val="00CE05B4"/>
    <w:rsid w:val="00CE0800"/>
    <w:rsid w:val="00CE0944"/>
    <w:rsid w:val="00CE0AC9"/>
    <w:rsid w:val="00CE0BB7"/>
    <w:rsid w:val="00CE0BEA"/>
    <w:rsid w:val="00CE0C6A"/>
    <w:rsid w:val="00CE0D93"/>
    <w:rsid w:val="00CE0F95"/>
    <w:rsid w:val="00CE0FCC"/>
    <w:rsid w:val="00CE1092"/>
    <w:rsid w:val="00CE10BD"/>
    <w:rsid w:val="00CE117D"/>
    <w:rsid w:val="00CE11FA"/>
    <w:rsid w:val="00CE1A53"/>
    <w:rsid w:val="00CE1BBA"/>
    <w:rsid w:val="00CE1DB1"/>
    <w:rsid w:val="00CE1DF9"/>
    <w:rsid w:val="00CE1F8F"/>
    <w:rsid w:val="00CE221E"/>
    <w:rsid w:val="00CE25DA"/>
    <w:rsid w:val="00CE264F"/>
    <w:rsid w:val="00CE2717"/>
    <w:rsid w:val="00CE28B4"/>
    <w:rsid w:val="00CE28E3"/>
    <w:rsid w:val="00CE2B23"/>
    <w:rsid w:val="00CE2B79"/>
    <w:rsid w:val="00CE2BB8"/>
    <w:rsid w:val="00CE2F1E"/>
    <w:rsid w:val="00CE2F92"/>
    <w:rsid w:val="00CE3312"/>
    <w:rsid w:val="00CE33FE"/>
    <w:rsid w:val="00CE3439"/>
    <w:rsid w:val="00CE3673"/>
    <w:rsid w:val="00CE3863"/>
    <w:rsid w:val="00CE394C"/>
    <w:rsid w:val="00CE39B7"/>
    <w:rsid w:val="00CE3A84"/>
    <w:rsid w:val="00CE3ABA"/>
    <w:rsid w:val="00CE3BEF"/>
    <w:rsid w:val="00CE4119"/>
    <w:rsid w:val="00CE42A3"/>
    <w:rsid w:val="00CE4322"/>
    <w:rsid w:val="00CE440F"/>
    <w:rsid w:val="00CE45D4"/>
    <w:rsid w:val="00CE45F2"/>
    <w:rsid w:val="00CE4620"/>
    <w:rsid w:val="00CE4703"/>
    <w:rsid w:val="00CE483C"/>
    <w:rsid w:val="00CE4A34"/>
    <w:rsid w:val="00CE4B4C"/>
    <w:rsid w:val="00CE4DC8"/>
    <w:rsid w:val="00CE4DF5"/>
    <w:rsid w:val="00CE5126"/>
    <w:rsid w:val="00CE5164"/>
    <w:rsid w:val="00CE517B"/>
    <w:rsid w:val="00CE5255"/>
    <w:rsid w:val="00CE5271"/>
    <w:rsid w:val="00CE52E8"/>
    <w:rsid w:val="00CE5460"/>
    <w:rsid w:val="00CE54C4"/>
    <w:rsid w:val="00CE54E9"/>
    <w:rsid w:val="00CE5627"/>
    <w:rsid w:val="00CE5A3C"/>
    <w:rsid w:val="00CE5C94"/>
    <w:rsid w:val="00CE6406"/>
    <w:rsid w:val="00CE64EE"/>
    <w:rsid w:val="00CE668D"/>
    <w:rsid w:val="00CE6822"/>
    <w:rsid w:val="00CE690A"/>
    <w:rsid w:val="00CE699C"/>
    <w:rsid w:val="00CE6B04"/>
    <w:rsid w:val="00CE6B46"/>
    <w:rsid w:val="00CE6C99"/>
    <w:rsid w:val="00CE6FCB"/>
    <w:rsid w:val="00CE71D7"/>
    <w:rsid w:val="00CE7227"/>
    <w:rsid w:val="00CE7386"/>
    <w:rsid w:val="00CE751E"/>
    <w:rsid w:val="00CE75A9"/>
    <w:rsid w:val="00CE7643"/>
    <w:rsid w:val="00CE768A"/>
    <w:rsid w:val="00CE772B"/>
    <w:rsid w:val="00CE789A"/>
    <w:rsid w:val="00CE7A1D"/>
    <w:rsid w:val="00CE7B23"/>
    <w:rsid w:val="00CE7B93"/>
    <w:rsid w:val="00CE7BD7"/>
    <w:rsid w:val="00CE7C6C"/>
    <w:rsid w:val="00CE7D6C"/>
    <w:rsid w:val="00CE7D92"/>
    <w:rsid w:val="00CE7D98"/>
    <w:rsid w:val="00CE7F75"/>
    <w:rsid w:val="00CF0103"/>
    <w:rsid w:val="00CF01F9"/>
    <w:rsid w:val="00CF021C"/>
    <w:rsid w:val="00CF0406"/>
    <w:rsid w:val="00CF09BA"/>
    <w:rsid w:val="00CF0C1C"/>
    <w:rsid w:val="00CF0D75"/>
    <w:rsid w:val="00CF0DC3"/>
    <w:rsid w:val="00CF0E1D"/>
    <w:rsid w:val="00CF0F3F"/>
    <w:rsid w:val="00CF0FBC"/>
    <w:rsid w:val="00CF0FCE"/>
    <w:rsid w:val="00CF114A"/>
    <w:rsid w:val="00CF12CB"/>
    <w:rsid w:val="00CF132A"/>
    <w:rsid w:val="00CF14DE"/>
    <w:rsid w:val="00CF14E2"/>
    <w:rsid w:val="00CF1700"/>
    <w:rsid w:val="00CF1891"/>
    <w:rsid w:val="00CF18C5"/>
    <w:rsid w:val="00CF1A2D"/>
    <w:rsid w:val="00CF1A73"/>
    <w:rsid w:val="00CF1ACB"/>
    <w:rsid w:val="00CF1B1F"/>
    <w:rsid w:val="00CF1C88"/>
    <w:rsid w:val="00CF1C9C"/>
    <w:rsid w:val="00CF1D3E"/>
    <w:rsid w:val="00CF1D64"/>
    <w:rsid w:val="00CF1ECD"/>
    <w:rsid w:val="00CF1F14"/>
    <w:rsid w:val="00CF238A"/>
    <w:rsid w:val="00CF23A5"/>
    <w:rsid w:val="00CF2703"/>
    <w:rsid w:val="00CF271B"/>
    <w:rsid w:val="00CF2887"/>
    <w:rsid w:val="00CF28F6"/>
    <w:rsid w:val="00CF2913"/>
    <w:rsid w:val="00CF2F8F"/>
    <w:rsid w:val="00CF3295"/>
    <w:rsid w:val="00CF3785"/>
    <w:rsid w:val="00CF38E3"/>
    <w:rsid w:val="00CF3E1F"/>
    <w:rsid w:val="00CF3EBD"/>
    <w:rsid w:val="00CF3F6B"/>
    <w:rsid w:val="00CF4100"/>
    <w:rsid w:val="00CF4191"/>
    <w:rsid w:val="00CF439F"/>
    <w:rsid w:val="00CF448C"/>
    <w:rsid w:val="00CF4526"/>
    <w:rsid w:val="00CF457E"/>
    <w:rsid w:val="00CF46F7"/>
    <w:rsid w:val="00CF46FC"/>
    <w:rsid w:val="00CF483D"/>
    <w:rsid w:val="00CF48A7"/>
    <w:rsid w:val="00CF496D"/>
    <w:rsid w:val="00CF4B52"/>
    <w:rsid w:val="00CF4C16"/>
    <w:rsid w:val="00CF4E2A"/>
    <w:rsid w:val="00CF5017"/>
    <w:rsid w:val="00CF516C"/>
    <w:rsid w:val="00CF51C4"/>
    <w:rsid w:val="00CF52C9"/>
    <w:rsid w:val="00CF530A"/>
    <w:rsid w:val="00CF5468"/>
    <w:rsid w:val="00CF57B2"/>
    <w:rsid w:val="00CF57DD"/>
    <w:rsid w:val="00CF59A8"/>
    <w:rsid w:val="00CF59E4"/>
    <w:rsid w:val="00CF59EF"/>
    <w:rsid w:val="00CF5B90"/>
    <w:rsid w:val="00CF5F39"/>
    <w:rsid w:val="00CF5F3B"/>
    <w:rsid w:val="00CF5F95"/>
    <w:rsid w:val="00CF5FB8"/>
    <w:rsid w:val="00CF6276"/>
    <w:rsid w:val="00CF630D"/>
    <w:rsid w:val="00CF6419"/>
    <w:rsid w:val="00CF675C"/>
    <w:rsid w:val="00CF69A5"/>
    <w:rsid w:val="00CF6CE9"/>
    <w:rsid w:val="00CF710D"/>
    <w:rsid w:val="00CF7120"/>
    <w:rsid w:val="00CF7152"/>
    <w:rsid w:val="00CF724C"/>
    <w:rsid w:val="00CF75F1"/>
    <w:rsid w:val="00CF7668"/>
    <w:rsid w:val="00CF76AF"/>
    <w:rsid w:val="00CF7778"/>
    <w:rsid w:val="00CF77AD"/>
    <w:rsid w:val="00CF77B4"/>
    <w:rsid w:val="00CF789E"/>
    <w:rsid w:val="00CF78BD"/>
    <w:rsid w:val="00CF78BE"/>
    <w:rsid w:val="00CF7A40"/>
    <w:rsid w:val="00CF7B5D"/>
    <w:rsid w:val="00CF7FC0"/>
    <w:rsid w:val="00D001B4"/>
    <w:rsid w:val="00D002AD"/>
    <w:rsid w:val="00D00313"/>
    <w:rsid w:val="00D003A3"/>
    <w:rsid w:val="00D003B7"/>
    <w:rsid w:val="00D003CB"/>
    <w:rsid w:val="00D003FD"/>
    <w:rsid w:val="00D0049E"/>
    <w:rsid w:val="00D00855"/>
    <w:rsid w:val="00D00892"/>
    <w:rsid w:val="00D00981"/>
    <w:rsid w:val="00D00E25"/>
    <w:rsid w:val="00D00E36"/>
    <w:rsid w:val="00D01286"/>
    <w:rsid w:val="00D013AB"/>
    <w:rsid w:val="00D015EB"/>
    <w:rsid w:val="00D01657"/>
    <w:rsid w:val="00D0188B"/>
    <w:rsid w:val="00D01914"/>
    <w:rsid w:val="00D01920"/>
    <w:rsid w:val="00D0194C"/>
    <w:rsid w:val="00D01984"/>
    <w:rsid w:val="00D01A77"/>
    <w:rsid w:val="00D01B94"/>
    <w:rsid w:val="00D01BE4"/>
    <w:rsid w:val="00D01FC4"/>
    <w:rsid w:val="00D020E8"/>
    <w:rsid w:val="00D02135"/>
    <w:rsid w:val="00D0228B"/>
    <w:rsid w:val="00D02337"/>
    <w:rsid w:val="00D023D5"/>
    <w:rsid w:val="00D02498"/>
    <w:rsid w:val="00D02543"/>
    <w:rsid w:val="00D02623"/>
    <w:rsid w:val="00D02626"/>
    <w:rsid w:val="00D026C4"/>
    <w:rsid w:val="00D026D6"/>
    <w:rsid w:val="00D028F7"/>
    <w:rsid w:val="00D02BB7"/>
    <w:rsid w:val="00D02BDE"/>
    <w:rsid w:val="00D02D83"/>
    <w:rsid w:val="00D02EE3"/>
    <w:rsid w:val="00D02F4F"/>
    <w:rsid w:val="00D03273"/>
    <w:rsid w:val="00D03319"/>
    <w:rsid w:val="00D03517"/>
    <w:rsid w:val="00D037D9"/>
    <w:rsid w:val="00D03FCE"/>
    <w:rsid w:val="00D040B1"/>
    <w:rsid w:val="00D04143"/>
    <w:rsid w:val="00D04151"/>
    <w:rsid w:val="00D04286"/>
    <w:rsid w:val="00D044D5"/>
    <w:rsid w:val="00D047BB"/>
    <w:rsid w:val="00D048A2"/>
    <w:rsid w:val="00D048E1"/>
    <w:rsid w:val="00D04A9D"/>
    <w:rsid w:val="00D04AE6"/>
    <w:rsid w:val="00D04CB3"/>
    <w:rsid w:val="00D04CBC"/>
    <w:rsid w:val="00D04DB3"/>
    <w:rsid w:val="00D04EF5"/>
    <w:rsid w:val="00D0500A"/>
    <w:rsid w:val="00D05044"/>
    <w:rsid w:val="00D0511B"/>
    <w:rsid w:val="00D052D9"/>
    <w:rsid w:val="00D0536F"/>
    <w:rsid w:val="00D059EF"/>
    <w:rsid w:val="00D05A5A"/>
    <w:rsid w:val="00D05ADD"/>
    <w:rsid w:val="00D05B81"/>
    <w:rsid w:val="00D05DA2"/>
    <w:rsid w:val="00D05F60"/>
    <w:rsid w:val="00D05FA3"/>
    <w:rsid w:val="00D06024"/>
    <w:rsid w:val="00D06090"/>
    <w:rsid w:val="00D06565"/>
    <w:rsid w:val="00D06692"/>
    <w:rsid w:val="00D06860"/>
    <w:rsid w:val="00D068E6"/>
    <w:rsid w:val="00D06A1D"/>
    <w:rsid w:val="00D06B7F"/>
    <w:rsid w:val="00D06D07"/>
    <w:rsid w:val="00D071CC"/>
    <w:rsid w:val="00D07382"/>
    <w:rsid w:val="00D073DC"/>
    <w:rsid w:val="00D07674"/>
    <w:rsid w:val="00D0791D"/>
    <w:rsid w:val="00D079A3"/>
    <w:rsid w:val="00D07A4E"/>
    <w:rsid w:val="00D07AB3"/>
    <w:rsid w:val="00D07BF8"/>
    <w:rsid w:val="00D07C6E"/>
    <w:rsid w:val="00D07CC9"/>
    <w:rsid w:val="00D07D11"/>
    <w:rsid w:val="00D07D85"/>
    <w:rsid w:val="00D07EEC"/>
    <w:rsid w:val="00D07F3A"/>
    <w:rsid w:val="00D07F4E"/>
    <w:rsid w:val="00D07F8A"/>
    <w:rsid w:val="00D100C6"/>
    <w:rsid w:val="00D102A9"/>
    <w:rsid w:val="00D103D1"/>
    <w:rsid w:val="00D10437"/>
    <w:rsid w:val="00D104DE"/>
    <w:rsid w:val="00D1061D"/>
    <w:rsid w:val="00D1068C"/>
    <w:rsid w:val="00D10708"/>
    <w:rsid w:val="00D1075C"/>
    <w:rsid w:val="00D10856"/>
    <w:rsid w:val="00D10B20"/>
    <w:rsid w:val="00D10C6F"/>
    <w:rsid w:val="00D10D23"/>
    <w:rsid w:val="00D10FEE"/>
    <w:rsid w:val="00D1145C"/>
    <w:rsid w:val="00D1171A"/>
    <w:rsid w:val="00D11833"/>
    <w:rsid w:val="00D118DE"/>
    <w:rsid w:val="00D11BEC"/>
    <w:rsid w:val="00D11C38"/>
    <w:rsid w:val="00D11DBA"/>
    <w:rsid w:val="00D11E8F"/>
    <w:rsid w:val="00D12125"/>
    <w:rsid w:val="00D1228F"/>
    <w:rsid w:val="00D1248F"/>
    <w:rsid w:val="00D12619"/>
    <w:rsid w:val="00D126DA"/>
    <w:rsid w:val="00D127A7"/>
    <w:rsid w:val="00D127D3"/>
    <w:rsid w:val="00D12816"/>
    <w:rsid w:val="00D128B4"/>
    <w:rsid w:val="00D1292A"/>
    <w:rsid w:val="00D12973"/>
    <w:rsid w:val="00D12A8F"/>
    <w:rsid w:val="00D12D09"/>
    <w:rsid w:val="00D12EA6"/>
    <w:rsid w:val="00D12F2A"/>
    <w:rsid w:val="00D1300C"/>
    <w:rsid w:val="00D13057"/>
    <w:rsid w:val="00D1306F"/>
    <w:rsid w:val="00D134C7"/>
    <w:rsid w:val="00D135C2"/>
    <w:rsid w:val="00D13848"/>
    <w:rsid w:val="00D13865"/>
    <w:rsid w:val="00D13927"/>
    <w:rsid w:val="00D13983"/>
    <w:rsid w:val="00D13B62"/>
    <w:rsid w:val="00D13BF9"/>
    <w:rsid w:val="00D13CB3"/>
    <w:rsid w:val="00D13DB2"/>
    <w:rsid w:val="00D13E5A"/>
    <w:rsid w:val="00D13FD5"/>
    <w:rsid w:val="00D140EE"/>
    <w:rsid w:val="00D1443D"/>
    <w:rsid w:val="00D14451"/>
    <w:rsid w:val="00D1464F"/>
    <w:rsid w:val="00D14744"/>
    <w:rsid w:val="00D147A7"/>
    <w:rsid w:val="00D148B2"/>
    <w:rsid w:val="00D148BF"/>
    <w:rsid w:val="00D148C5"/>
    <w:rsid w:val="00D1490E"/>
    <w:rsid w:val="00D14930"/>
    <w:rsid w:val="00D14960"/>
    <w:rsid w:val="00D149C0"/>
    <w:rsid w:val="00D14A32"/>
    <w:rsid w:val="00D14ACD"/>
    <w:rsid w:val="00D14C34"/>
    <w:rsid w:val="00D14D9A"/>
    <w:rsid w:val="00D14E59"/>
    <w:rsid w:val="00D14E9C"/>
    <w:rsid w:val="00D150CE"/>
    <w:rsid w:val="00D151BC"/>
    <w:rsid w:val="00D1522E"/>
    <w:rsid w:val="00D152C2"/>
    <w:rsid w:val="00D155A6"/>
    <w:rsid w:val="00D1591C"/>
    <w:rsid w:val="00D15B97"/>
    <w:rsid w:val="00D15C80"/>
    <w:rsid w:val="00D15FE2"/>
    <w:rsid w:val="00D161CE"/>
    <w:rsid w:val="00D161D8"/>
    <w:rsid w:val="00D163AA"/>
    <w:rsid w:val="00D163C4"/>
    <w:rsid w:val="00D16510"/>
    <w:rsid w:val="00D1655B"/>
    <w:rsid w:val="00D1659F"/>
    <w:rsid w:val="00D166A2"/>
    <w:rsid w:val="00D1684D"/>
    <w:rsid w:val="00D16991"/>
    <w:rsid w:val="00D169F5"/>
    <w:rsid w:val="00D16CA0"/>
    <w:rsid w:val="00D16D14"/>
    <w:rsid w:val="00D16E0F"/>
    <w:rsid w:val="00D16F0C"/>
    <w:rsid w:val="00D171B6"/>
    <w:rsid w:val="00D17260"/>
    <w:rsid w:val="00D17356"/>
    <w:rsid w:val="00D1735F"/>
    <w:rsid w:val="00D17734"/>
    <w:rsid w:val="00D17746"/>
    <w:rsid w:val="00D178BC"/>
    <w:rsid w:val="00D17B1F"/>
    <w:rsid w:val="00D17BAD"/>
    <w:rsid w:val="00D17CC9"/>
    <w:rsid w:val="00D17D69"/>
    <w:rsid w:val="00D17DC2"/>
    <w:rsid w:val="00D19F99"/>
    <w:rsid w:val="00D20031"/>
    <w:rsid w:val="00D2009D"/>
    <w:rsid w:val="00D20162"/>
    <w:rsid w:val="00D201AE"/>
    <w:rsid w:val="00D20524"/>
    <w:rsid w:val="00D20681"/>
    <w:rsid w:val="00D2080E"/>
    <w:rsid w:val="00D20A44"/>
    <w:rsid w:val="00D20ABD"/>
    <w:rsid w:val="00D20C12"/>
    <w:rsid w:val="00D20D53"/>
    <w:rsid w:val="00D20E5A"/>
    <w:rsid w:val="00D210AD"/>
    <w:rsid w:val="00D210E5"/>
    <w:rsid w:val="00D213BD"/>
    <w:rsid w:val="00D21613"/>
    <w:rsid w:val="00D21754"/>
    <w:rsid w:val="00D218B4"/>
    <w:rsid w:val="00D218F4"/>
    <w:rsid w:val="00D219D4"/>
    <w:rsid w:val="00D21DE9"/>
    <w:rsid w:val="00D220CE"/>
    <w:rsid w:val="00D2211F"/>
    <w:rsid w:val="00D22359"/>
    <w:rsid w:val="00D223EF"/>
    <w:rsid w:val="00D22529"/>
    <w:rsid w:val="00D22679"/>
    <w:rsid w:val="00D227AC"/>
    <w:rsid w:val="00D227B7"/>
    <w:rsid w:val="00D2281A"/>
    <w:rsid w:val="00D22A90"/>
    <w:rsid w:val="00D22C6A"/>
    <w:rsid w:val="00D23178"/>
    <w:rsid w:val="00D232C1"/>
    <w:rsid w:val="00D2332B"/>
    <w:rsid w:val="00D2335E"/>
    <w:rsid w:val="00D23426"/>
    <w:rsid w:val="00D2342F"/>
    <w:rsid w:val="00D23454"/>
    <w:rsid w:val="00D2351F"/>
    <w:rsid w:val="00D23550"/>
    <w:rsid w:val="00D237DB"/>
    <w:rsid w:val="00D2382D"/>
    <w:rsid w:val="00D23B9E"/>
    <w:rsid w:val="00D23BF1"/>
    <w:rsid w:val="00D23D8C"/>
    <w:rsid w:val="00D23E3A"/>
    <w:rsid w:val="00D23EF4"/>
    <w:rsid w:val="00D23FD6"/>
    <w:rsid w:val="00D240AD"/>
    <w:rsid w:val="00D240ED"/>
    <w:rsid w:val="00D24111"/>
    <w:rsid w:val="00D241DA"/>
    <w:rsid w:val="00D24279"/>
    <w:rsid w:val="00D2429F"/>
    <w:rsid w:val="00D24392"/>
    <w:rsid w:val="00D2439E"/>
    <w:rsid w:val="00D24513"/>
    <w:rsid w:val="00D2484E"/>
    <w:rsid w:val="00D24895"/>
    <w:rsid w:val="00D2494F"/>
    <w:rsid w:val="00D24B3E"/>
    <w:rsid w:val="00D24C8A"/>
    <w:rsid w:val="00D24CAA"/>
    <w:rsid w:val="00D252CB"/>
    <w:rsid w:val="00D255CF"/>
    <w:rsid w:val="00D25665"/>
    <w:rsid w:val="00D2584B"/>
    <w:rsid w:val="00D25875"/>
    <w:rsid w:val="00D259CD"/>
    <w:rsid w:val="00D259D7"/>
    <w:rsid w:val="00D25B62"/>
    <w:rsid w:val="00D25C07"/>
    <w:rsid w:val="00D25F0E"/>
    <w:rsid w:val="00D2608E"/>
    <w:rsid w:val="00D263BF"/>
    <w:rsid w:val="00D26428"/>
    <w:rsid w:val="00D264C1"/>
    <w:rsid w:val="00D26522"/>
    <w:rsid w:val="00D26533"/>
    <w:rsid w:val="00D26808"/>
    <w:rsid w:val="00D269AB"/>
    <w:rsid w:val="00D26C3A"/>
    <w:rsid w:val="00D26F91"/>
    <w:rsid w:val="00D27107"/>
    <w:rsid w:val="00D272F1"/>
    <w:rsid w:val="00D27407"/>
    <w:rsid w:val="00D27598"/>
    <w:rsid w:val="00D27779"/>
    <w:rsid w:val="00D27890"/>
    <w:rsid w:val="00D279B2"/>
    <w:rsid w:val="00D27A4D"/>
    <w:rsid w:val="00D27A7A"/>
    <w:rsid w:val="00D27AD4"/>
    <w:rsid w:val="00D27D38"/>
    <w:rsid w:val="00D30187"/>
    <w:rsid w:val="00D305DE"/>
    <w:rsid w:val="00D3074D"/>
    <w:rsid w:val="00D308B1"/>
    <w:rsid w:val="00D30C75"/>
    <w:rsid w:val="00D30D08"/>
    <w:rsid w:val="00D30D40"/>
    <w:rsid w:val="00D30DF7"/>
    <w:rsid w:val="00D30E9F"/>
    <w:rsid w:val="00D31151"/>
    <w:rsid w:val="00D31167"/>
    <w:rsid w:val="00D31236"/>
    <w:rsid w:val="00D3134E"/>
    <w:rsid w:val="00D313B3"/>
    <w:rsid w:val="00D313F8"/>
    <w:rsid w:val="00D3149F"/>
    <w:rsid w:val="00D3171F"/>
    <w:rsid w:val="00D3178E"/>
    <w:rsid w:val="00D3221D"/>
    <w:rsid w:val="00D32411"/>
    <w:rsid w:val="00D32466"/>
    <w:rsid w:val="00D325D4"/>
    <w:rsid w:val="00D32652"/>
    <w:rsid w:val="00D3292B"/>
    <w:rsid w:val="00D32B83"/>
    <w:rsid w:val="00D32CF5"/>
    <w:rsid w:val="00D32D8C"/>
    <w:rsid w:val="00D32E7A"/>
    <w:rsid w:val="00D32F1F"/>
    <w:rsid w:val="00D330EE"/>
    <w:rsid w:val="00D331A6"/>
    <w:rsid w:val="00D33312"/>
    <w:rsid w:val="00D33516"/>
    <w:rsid w:val="00D3358C"/>
    <w:rsid w:val="00D33776"/>
    <w:rsid w:val="00D33930"/>
    <w:rsid w:val="00D33BD4"/>
    <w:rsid w:val="00D33D96"/>
    <w:rsid w:val="00D33DFA"/>
    <w:rsid w:val="00D33ED5"/>
    <w:rsid w:val="00D33F02"/>
    <w:rsid w:val="00D3415A"/>
    <w:rsid w:val="00D341C7"/>
    <w:rsid w:val="00D3422F"/>
    <w:rsid w:val="00D342CA"/>
    <w:rsid w:val="00D34412"/>
    <w:rsid w:val="00D346D3"/>
    <w:rsid w:val="00D34A86"/>
    <w:rsid w:val="00D34AAA"/>
    <w:rsid w:val="00D34AB8"/>
    <w:rsid w:val="00D34BF2"/>
    <w:rsid w:val="00D34C1E"/>
    <w:rsid w:val="00D34C38"/>
    <w:rsid w:val="00D34ED5"/>
    <w:rsid w:val="00D350B5"/>
    <w:rsid w:val="00D351C1"/>
    <w:rsid w:val="00D35269"/>
    <w:rsid w:val="00D35340"/>
    <w:rsid w:val="00D35637"/>
    <w:rsid w:val="00D35751"/>
    <w:rsid w:val="00D358F7"/>
    <w:rsid w:val="00D35B04"/>
    <w:rsid w:val="00D35CCD"/>
    <w:rsid w:val="00D35E15"/>
    <w:rsid w:val="00D35E21"/>
    <w:rsid w:val="00D35E3B"/>
    <w:rsid w:val="00D360D1"/>
    <w:rsid w:val="00D3620F"/>
    <w:rsid w:val="00D36376"/>
    <w:rsid w:val="00D3657C"/>
    <w:rsid w:val="00D36672"/>
    <w:rsid w:val="00D366EB"/>
    <w:rsid w:val="00D367E7"/>
    <w:rsid w:val="00D36873"/>
    <w:rsid w:val="00D368CD"/>
    <w:rsid w:val="00D36905"/>
    <w:rsid w:val="00D369E2"/>
    <w:rsid w:val="00D36A00"/>
    <w:rsid w:val="00D36ACB"/>
    <w:rsid w:val="00D36B9D"/>
    <w:rsid w:val="00D36C12"/>
    <w:rsid w:val="00D36DB2"/>
    <w:rsid w:val="00D36E04"/>
    <w:rsid w:val="00D36E67"/>
    <w:rsid w:val="00D36F37"/>
    <w:rsid w:val="00D36F4B"/>
    <w:rsid w:val="00D37012"/>
    <w:rsid w:val="00D37209"/>
    <w:rsid w:val="00D37376"/>
    <w:rsid w:val="00D374E2"/>
    <w:rsid w:val="00D37792"/>
    <w:rsid w:val="00D3783B"/>
    <w:rsid w:val="00D37C41"/>
    <w:rsid w:val="00D37EAC"/>
    <w:rsid w:val="00D37EF5"/>
    <w:rsid w:val="00D400F0"/>
    <w:rsid w:val="00D40227"/>
    <w:rsid w:val="00D4046D"/>
    <w:rsid w:val="00D404F0"/>
    <w:rsid w:val="00D4064A"/>
    <w:rsid w:val="00D4083A"/>
    <w:rsid w:val="00D4098B"/>
    <w:rsid w:val="00D40ABE"/>
    <w:rsid w:val="00D40B73"/>
    <w:rsid w:val="00D40C91"/>
    <w:rsid w:val="00D40F30"/>
    <w:rsid w:val="00D41055"/>
    <w:rsid w:val="00D4118C"/>
    <w:rsid w:val="00D415B9"/>
    <w:rsid w:val="00D41630"/>
    <w:rsid w:val="00D419C9"/>
    <w:rsid w:val="00D41D31"/>
    <w:rsid w:val="00D41D94"/>
    <w:rsid w:val="00D41DD6"/>
    <w:rsid w:val="00D41F42"/>
    <w:rsid w:val="00D41FAE"/>
    <w:rsid w:val="00D4221B"/>
    <w:rsid w:val="00D423E9"/>
    <w:rsid w:val="00D42643"/>
    <w:rsid w:val="00D4282B"/>
    <w:rsid w:val="00D428B9"/>
    <w:rsid w:val="00D428BB"/>
    <w:rsid w:val="00D42B01"/>
    <w:rsid w:val="00D42C3F"/>
    <w:rsid w:val="00D42D52"/>
    <w:rsid w:val="00D42D59"/>
    <w:rsid w:val="00D430D5"/>
    <w:rsid w:val="00D43246"/>
    <w:rsid w:val="00D43282"/>
    <w:rsid w:val="00D433D7"/>
    <w:rsid w:val="00D43551"/>
    <w:rsid w:val="00D43556"/>
    <w:rsid w:val="00D4355D"/>
    <w:rsid w:val="00D43616"/>
    <w:rsid w:val="00D43627"/>
    <w:rsid w:val="00D4364B"/>
    <w:rsid w:val="00D4385E"/>
    <w:rsid w:val="00D43895"/>
    <w:rsid w:val="00D438C2"/>
    <w:rsid w:val="00D439F5"/>
    <w:rsid w:val="00D43B46"/>
    <w:rsid w:val="00D43BF6"/>
    <w:rsid w:val="00D43C45"/>
    <w:rsid w:val="00D43DDE"/>
    <w:rsid w:val="00D44049"/>
    <w:rsid w:val="00D443FE"/>
    <w:rsid w:val="00D44502"/>
    <w:rsid w:val="00D447F5"/>
    <w:rsid w:val="00D4480D"/>
    <w:rsid w:val="00D44C6C"/>
    <w:rsid w:val="00D44CF9"/>
    <w:rsid w:val="00D44D88"/>
    <w:rsid w:val="00D44DD1"/>
    <w:rsid w:val="00D44F71"/>
    <w:rsid w:val="00D4501D"/>
    <w:rsid w:val="00D450DA"/>
    <w:rsid w:val="00D45301"/>
    <w:rsid w:val="00D45436"/>
    <w:rsid w:val="00D455AC"/>
    <w:rsid w:val="00D4566A"/>
    <w:rsid w:val="00D45750"/>
    <w:rsid w:val="00D457EA"/>
    <w:rsid w:val="00D458DE"/>
    <w:rsid w:val="00D45C42"/>
    <w:rsid w:val="00D45DBA"/>
    <w:rsid w:val="00D45E18"/>
    <w:rsid w:val="00D4621B"/>
    <w:rsid w:val="00D46360"/>
    <w:rsid w:val="00D4637E"/>
    <w:rsid w:val="00D4651F"/>
    <w:rsid w:val="00D46716"/>
    <w:rsid w:val="00D46866"/>
    <w:rsid w:val="00D468EC"/>
    <w:rsid w:val="00D46A90"/>
    <w:rsid w:val="00D46AFF"/>
    <w:rsid w:val="00D46D44"/>
    <w:rsid w:val="00D46E62"/>
    <w:rsid w:val="00D46FCF"/>
    <w:rsid w:val="00D46FF1"/>
    <w:rsid w:val="00D4724C"/>
    <w:rsid w:val="00D47382"/>
    <w:rsid w:val="00D476C0"/>
    <w:rsid w:val="00D477EF"/>
    <w:rsid w:val="00D477FD"/>
    <w:rsid w:val="00D47980"/>
    <w:rsid w:val="00D47BDB"/>
    <w:rsid w:val="00D47C00"/>
    <w:rsid w:val="00D47D23"/>
    <w:rsid w:val="00D47D4F"/>
    <w:rsid w:val="00D47EBE"/>
    <w:rsid w:val="00D47EDF"/>
    <w:rsid w:val="00D5012A"/>
    <w:rsid w:val="00D502DF"/>
    <w:rsid w:val="00D5069F"/>
    <w:rsid w:val="00D50726"/>
    <w:rsid w:val="00D5077F"/>
    <w:rsid w:val="00D507A0"/>
    <w:rsid w:val="00D5095E"/>
    <w:rsid w:val="00D50AF5"/>
    <w:rsid w:val="00D50D9A"/>
    <w:rsid w:val="00D50E6E"/>
    <w:rsid w:val="00D50F09"/>
    <w:rsid w:val="00D51091"/>
    <w:rsid w:val="00D5117D"/>
    <w:rsid w:val="00D51191"/>
    <w:rsid w:val="00D51198"/>
    <w:rsid w:val="00D511A1"/>
    <w:rsid w:val="00D511B7"/>
    <w:rsid w:val="00D51297"/>
    <w:rsid w:val="00D514F2"/>
    <w:rsid w:val="00D51514"/>
    <w:rsid w:val="00D519F3"/>
    <w:rsid w:val="00D51BE0"/>
    <w:rsid w:val="00D51CE2"/>
    <w:rsid w:val="00D52079"/>
    <w:rsid w:val="00D52090"/>
    <w:rsid w:val="00D5219F"/>
    <w:rsid w:val="00D521F0"/>
    <w:rsid w:val="00D52200"/>
    <w:rsid w:val="00D5226A"/>
    <w:rsid w:val="00D52364"/>
    <w:rsid w:val="00D524B3"/>
    <w:rsid w:val="00D5263B"/>
    <w:rsid w:val="00D5274A"/>
    <w:rsid w:val="00D52758"/>
    <w:rsid w:val="00D52847"/>
    <w:rsid w:val="00D528C8"/>
    <w:rsid w:val="00D52980"/>
    <w:rsid w:val="00D52DAC"/>
    <w:rsid w:val="00D52E54"/>
    <w:rsid w:val="00D52FF5"/>
    <w:rsid w:val="00D53137"/>
    <w:rsid w:val="00D53199"/>
    <w:rsid w:val="00D5319E"/>
    <w:rsid w:val="00D531B5"/>
    <w:rsid w:val="00D53225"/>
    <w:rsid w:val="00D532F5"/>
    <w:rsid w:val="00D53605"/>
    <w:rsid w:val="00D53C2A"/>
    <w:rsid w:val="00D53CCB"/>
    <w:rsid w:val="00D53E71"/>
    <w:rsid w:val="00D53F12"/>
    <w:rsid w:val="00D53F25"/>
    <w:rsid w:val="00D5405D"/>
    <w:rsid w:val="00D5406F"/>
    <w:rsid w:val="00D54234"/>
    <w:rsid w:val="00D543B0"/>
    <w:rsid w:val="00D5467B"/>
    <w:rsid w:val="00D54981"/>
    <w:rsid w:val="00D54A0D"/>
    <w:rsid w:val="00D54A64"/>
    <w:rsid w:val="00D54A75"/>
    <w:rsid w:val="00D54C74"/>
    <w:rsid w:val="00D54E89"/>
    <w:rsid w:val="00D54EA7"/>
    <w:rsid w:val="00D54F49"/>
    <w:rsid w:val="00D550A1"/>
    <w:rsid w:val="00D550D8"/>
    <w:rsid w:val="00D551BC"/>
    <w:rsid w:val="00D55775"/>
    <w:rsid w:val="00D55802"/>
    <w:rsid w:val="00D55E13"/>
    <w:rsid w:val="00D5602A"/>
    <w:rsid w:val="00D562B0"/>
    <w:rsid w:val="00D563C4"/>
    <w:rsid w:val="00D565DC"/>
    <w:rsid w:val="00D56636"/>
    <w:rsid w:val="00D56766"/>
    <w:rsid w:val="00D56854"/>
    <w:rsid w:val="00D5695E"/>
    <w:rsid w:val="00D56C24"/>
    <w:rsid w:val="00D56C47"/>
    <w:rsid w:val="00D56C68"/>
    <w:rsid w:val="00D56CBB"/>
    <w:rsid w:val="00D56CFD"/>
    <w:rsid w:val="00D56DFA"/>
    <w:rsid w:val="00D56E30"/>
    <w:rsid w:val="00D56ECA"/>
    <w:rsid w:val="00D56F3D"/>
    <w:rsid w:val="00D56FCC"/>
    <w:rsid w:val="00D5703A"/>
    <w:rsid w:val="00D5707B"/>
    <w:rsid w:val="00D57211"/>
    <w:rsid w:val="00D5747D"/>
    <w:rsid w:val="00D5749C"/>
    <w:rsid w:val="00D5754E"/>
    <w:rsid w:val="00D576F1"/>
    <w:rsid w:val="00D578C9"/>
    <w:rsid w:val="00D57A43"/>
    <w:rsid w:val="00D57C5B"/>
    <w:rsid w:val="00D57CA2"/>
    <w:rsid w:val="00D57CB8"/>
    <w:rsid w:val="00D57CBA"/>
    <w:rsid w:val="00D57D69"/>
    <w:rsid w:val="00D57E42"/>
    <w:rsid w:val="00D57FD3"/>
    <w:rsid w:val="00D6000F"/>
    <w:rsid w:val="00D6006F"/>
    <w:rsid w:val="00D601F6"/>
    <w:rsid w:val="00D60300"/>
    <w:rsid w:val="00D6068F"/>
    <w:rsid w:val="00D607E0"/>
    <w:rsid w:val="00D60807"/>
    <w:rsid w:val="00D609E9"/>
    <w:rsid w:val="00D60CAD"/>
    <w:rsid w:val="00D60E12"/>
    <w:rsid w:val="00D60E22"/>
    <w:rsid w:val="00D610F0"/>
    <w:rsid w:val="00D61189"/>
    <w:rsid w:val="00D61302"/>
    <w:rsid w:val="00D613D7"/>
    <w:rsid w:val="00D613F9"/>
    <w:rsid w:val="00D61425"/>
    <w:rsid w:val="00D618BA"/>
    <w:rsid w:val="00D61998"/>
    <w:rsid w:val="00D619DF"/>
    <w:rsid w:val="00D61B75"/>
    <w:rsid w:val="00D61C15"/>
    <w:rsid w:val="00D6228E"/>
    <w:rsid w:val="00D62335"/>
    <w:rsid w:val="00D62448"/>
    <w:rsid w:val="00D62506"/>
    <w:rsid w:val="00D626E6"/>
    <w:rsid w:val="00D62806"/>
    <w:rsid w:val="00D62A8C"/>
    <w:rsid w:val="00D62AF9"/>
    <w:rsid w:val="00D62DE1"/>
    <w:rsid w:val="00D62E44"/>
    <w:rsid w:val="00D62E7B"/>
    <w:rsid w:val="00D62F4D"/>
    <w:rsid w:val="00D63047"/>
    <w:rsid w:val="00D6317E"/>
    <w:rsid w:val="00D6327F"/>
    <w:rsid w:val="00D63286"/>
    <w:rsid w:val="00D632CB"/>
    <w:rsid w:val="00D6333F"/>
    <w:rsid w:val="00D63440"/>
    <w:rsid w:val="00D6352C"/>
    <w:rsid w:val="00D6356A"/>
    <w:rsid w:val="00D63597"/>
    <w:rsid w:val="00D6366B"/>
    <w:rsid w:val="00D6389D"/>
    <w:rsid w:val="00D63940"/>
    <w:rsid w:val="00D63B35"/>
    <w:rsid w:val="00D63BE9"/>
    <w:rsid w:val="00D63C2F"/>
    <w:rsid w:val="00D63CF3"/>
    <w:rsid w:val="00D63DB3"/>
    <w:rsid w:val="00D63F1F"/>
    <w:rsid w:val="00D640C1"/>
    <w:rsid w:val="00D6426F"/>
    <w:rsid w:val="00D642CF"/>
    <w:rsid w:val="00D64321"/>
    <w:rsid w:val="00D64379"/>
    <w:rsid w:val="00D6474A"/>
    <w:rsid w:val="00D6476A"/>
    <w:rsid w:val="00D647E6"/>
    <w:rsid w:val="00D64D39"/>
    <w:rsid w:val="00D64ED8"/>
    <w:rsid w:val="00D64F87"/>
    <w:rsid w:val="00D6522C"/>
    <w:rsid w:val="00D652D9"/>
    <w:rsid w:val="00D653BC"/>
    <w:rsid w:val="00D65704"/>
    <w:rsid w:val="00D65796"/>
    <w:rsid w:val="00D6584F"/>
    <w:rsid w:val="00D658F0"/>
    <w:rsid w:val="00D659B2"/>
    <w:rsid w:val="00D65B16"/>
    <w:rsid w:val="00D65B2D"/>
    <w:rsid w:val="00D6602B"/>
    <w:rsid w:val="00D660DD"/>
    <w:rsid w:val="00D660F2"/>
    <w:rsid w:val="00D66148"/>
    <w:rsid w:val="00D66477"/>
    <w:rsid w:val="00D66777"/>
    <w:rsid w:val="00D667E6"/>
    <w:rsid w:val="00D66923"/>
    <w:rsid w:val="00D66996"/>
    <w:rsid w:val="00D66DD7"/>
    <w:rsid w:val="00D66EFE"/>
    <w:rsid w:val="00D670A7"/>
    <w:rsid w:val="00D6719A"/>
    <w:rsid w:val="00D673DE"/>
    <w:rsid w:val="00D6740E"/>
    <w:rsid w:val="00D677CD"/>
    <w:rsid w:val="00D67BEA"/>
    <w:rsid w:val="00D67C4B"/>
    <w:rsid w:val="00D67EE3"/>
    <w:rsid w:val="00D7007B"/>
    <w:rsid w:val="00D702A1"/>
    <w:rsid w:val="00D70496"/>
    <w:rsid w:val="00D704EC"/>
    <w:rsid w:val="00D705C4"/>
    <w:rsid w:val="00D70CCF"/>
    <w:rsid w:val="00D70DD8"/>
    <w:rsid w:val="00D70DDA"/>
    <w:rsid w:val="00D70EAF"/>
    <w:rsid w:val="00D70FD6"/>
    <w:rsid w:val="00D7109B"/>
    <w:rsid w:val="00D71116"/>
    <w:rsid w:val="00D7128B"/>
    <w:rsid w:val="00D713F1"/>
    <w:rsid w:val="00D71402"/>
    <w:rsid w:val="00D71469"/>
    <w:rsid w:val="00D71533"/>
    <w:rsid w:val="00D715A4"/>
    <w:rsid w:val="00D71661"/>
    <w:rsid w:val="00D71715"/>
    <w:rsid w:val="00D719B3"/>
    <w:rsid w:val="00D719E3"/>
    <w:rsid w:val="00D71AFE"/>
    <w:rsid w:val="00D71BB2"/>
    <w:rsid w:val="00D72405"/>
    <w:rsid w:val="00D72463"/>
    <w:rsid w:val="00D724B4"/>
    <w:rsid w:val="00D724C9"/>
    <w:rsid w:val="00D7270C"/>
    <w:rsid w:val="00D7272A"/>
    <w:rsid w:val="00D727A0"/>
    <w:rsid w:val="00D727D4"/>
    <w:rsid w:val="00D728B9"/>
    <w:rsid w:val="00D72B4C"/>
    <w:rsid w:val="00D72E3D"/>
    <w:rsid w:val="00D72ED1"/>
    <w:rsid w:val="00D72F5A"/>
    <w:rsid w:val="00D72F96"/>
    <w:rsid w:val="00D7305D"/>
    <w:rsid w:val="00D73088"/>
    <w:rsid w:val="00D730C0"/>
    <w:rsid w:val="00D73180"/>
    <w:rsid w:val="00D73391"/>
    <w:rsid w:val="00D7348A"/>
    <w:rsid w:val="00D73498"/>
    <w:rsid w:val="00D734C4"/>
    <w:rsid w:val="00D736CB"/>
    <w:rsid w:val="00D73804"/>
    <w:rsid w:val="00D738DE"/>
    <w:rsid w:val="00D73ACF"/>
    <w:rsid w:val="00D73AD9"/>
    <w:rsid w:val="00D73C27"/>
    <w:rsid w:val="00D73D6C"/>
    <w:rsid w:val="00D740BB"/>
    <w:rsid w:val="00D74161"/>
    <w:rsid w:val="00D74369"/>
    <w:rsid w:val="00D7436C"/>
    <w:rsid w:val="00D74737"/>
    <w:rsid w:val="00D74754"/>
    <w:rsid w:val="00D747FA"/>
    <w:rsid w:val="00D748C8"/>
    <w:rsid w:val="00D748CF"/>
    <w:rsid w:val="00D749CA"/>
    <w:rsid w:val="00D74A4F"/>
    <w:rsid w:val="00D74A68"/>
    <w:rsid w:val="00D74B75"/>
    <w:rsid w:val="00D74BE5"/>
    <w:rsid w:val="00D74EA3"/>
    <w:rsid w:val="00D74F4E"/>
    <w:rsid w:val="00D750A3"/>
    <w:rsid w:val="00D75115"/>
    <w:rsid w:val="00D7516D"/>
    <w:rsid w:val="00D75182"/>
    <w:rsid w:val="00D751BA"/>
    <w:rsid w:val="00D753EB"/>
    <w:rsid w:val="00D756E6"/>
    <w:rsid w:val="00D75710"/>
    <w:rsid w:val="00D757D9"/>
    <w:rsid w:val="00D7581F"/>
    <w:rsid w:val="00D75A38"/>
    <w:rsid w:val="00D75A48"/>
    <w:rsid w:val="00D75A5C"/>
    <w:rsid w:val="00D75BD9"/>
    <w:rsid w:val="00D75DB3"/>
    <w:rsid w:val="00D75FC2"/>
    <w:rsid w:val="00D76060"/>
    <w:rsid w:val="00D76234"/>
    <w:rsid w:val="00D76289"/>
    <w:rsid w:val="00D76510"/>
    <w:rsid w:val="00D76708"/>
    <w:rsid w:val="00D76814"/>
    <w:rsid w:val="00D768A8"/>
    <w:rsid w:val="00D76A31"/>
    <w:rsid w:val="00D76AE6"/>
    <w:rsid w:val="00D76BF9"/>
    <w:rsid w:val="00D77029"/>
    <w:rsid w:val="00D77061"/>
    <w:rsid w:val="00D771A0"/>
    <w:rsid w:val="00D77350"/>
    <w:rsid w:val="00D77462"/>
    <w:rsid w:val="00D77627"/>
    <w:rsid w:val="00D77781"/>
    <w:rsid w:val="00D778B0"/>
    <w:rsid w:val="00D7792C"/>
    <w:rsid w:val="00D77EF1"/>
    <w:rsid w:val="00D8034E"/>
    <w:rsid w:val="00D8047F"/>
    <w:rsid w:val="00D805B7"/>
    <w:rsid w:val="00D805E3"/>
    <w:rsid w:val="00D8062E"/>
    <w:rsid w:val="00D806E8"/>
    <w:rsid w:val="00D80817"/>
    <w:rsid w:val="00D80C29"/>
    <w:rsid w:val="00D81056"/>
    <w:rsid w:val="00D810A5"/>
    <w:rsid w:val="00D81134"/>
    <w:rsid w:val="00D81144"/>
    <w:rsid w:val="00D811A4"/>
    <w:rsid w:val="00D81335"/>
    <w:rsid w:val="00D81364"/>
    <w:rsid w:val="00D813B5"/>
    <w:rsid w:val="00D81455"/>
    <w:rsid w:val="00D8171C"/>
    <w:rsid w:val="00D8178D"/>
    <w:rsid w:val="00D817AF"/>
    <w:rsid w:val="00D818B1"/>
    <w:rsid w:val="00D818DF"/>
    <w:rsid w:val="00D818E1"/>
    <w:rsid w:val="00D81925"/>
    <w:rsid w:val="00D8193E"/>
    <w:rsid w:val="00D8196E"/>
    <w:rsid w:val="00D819B4"/>
    <w:rsid w:val="00D81A80"/>
    <w:rsid w:val="00D81A91"/>
    <w:rsid w:val="00D81BD8"/>
    <w:rsid w:val="00D81C46"/>
    <w:rsid w:val="00D81CB0"/>
    <w:rsid w:val="00D81D6F"/>
    <w:rsid w:val="00D81F0F"/>
    <w:rsid w:val="00D82043"/>
    <w:rsid w:val="00D820B6"/>
    <w:rsid w:val="00D820F8"/>
    <w:rsid w:val="00D8217A"/>
    <w:rsid w:val="00D821B6"/>
    <w:rsid w:val="00D828BF"/>
    <w:rsid w:val="00D828DD"/>
    <w:rsid w:val="00D829CB"/>
    <w:rsid w:val="00D82A00"/>
    <w:rsid w:val="00D82BCD"/>
    <w:rsid w:val="00D82CC5"/>
    <w:rsid w:val="00D82DBC"/>
    <w:rsid w:val="00D82F4D"/>
    <w:rsid w:val="00D83013"/>
    <w:rsid w:val="00D8314C"/>
    <w:rsid w:val="00D8316D"/>
    <w:rsid w:val="00D83495"/>
    <w:rsid w:val="00D83809"/>
    <w:rsid w:val="00D83923"/>
    <w:rsid w:val="00D839BF"/>
    <w:rsid w:val="00D83B51"/>
    <w:rsid w:val="00D83C6A"/>
    <w:rsid w:val="00D83DB3"/>
    <w:rsid w:val="00D83E09"/>
    <w:rsid w:val="00D83FF7"/>
    <w:rsid w:val="00D84216"/>
    <w:rsid w:val="00D842B0"/>
    <w:rsid w:val="00D842E6"/>
    <w:rsid w:val="00D84365"/>
    <w:rsid w:val="00D84877"/>
    <w:rsid w:val="00D84B2D"/>
    <w:rsid w:val="00D84C74"/>
    <w:rsid w:val="00D84CDE"/>
    <w:rsid w:val="00D84ECA"/>
    <w:rsid w:val="00D84F8D"/>
    <w:rsid w:val="00D850AA"/>
    <w:rsid w:val="00D85237"/>
    <w:rsid w:val="00D8525E"/>
    <w:rsid w:val="00D8527B"/>
    <w:rsid w:val="00D85485"/>
    <w:rsid w:val="00D85516"/>
    <w:rsid w:val="00D856A4"/>
    <w:rsid w:val="00D857A4"/>
    <w:rsid w:val="00D85A2A"/>
    <w:rsid w:val="00D85A99"/>
    <w:rsid w:val="00D85CDF"/>
    <w:rsid w:val="00D85D9A"/>
    <w:rsid w:val="00D85FA1"/>
    <w:rsid w:val="00D8603C"/>
    <w:rsid w:val="00D860F2"/>
    <w:rsid w:val="00D862E5"/>
    <w:rsid w:val="00D86380"/>
    <w:rsid w:val="00D86440"/>
    <w:rsid w:val="00D8655B"/>
    <w:rsid w:val="00D8658C"/>
    <w:rsid w:val="00D865E0"/>
    <w:rsid w:val="00D86666"/>
    <w:rsid w:val="00D86840"/>
    <w:rsid w:val="00D86BBA"/>
    <w:rsid w:val="00D86D7B"/>
    <w:rsid w:val="00D8705F"/>
    <w:rsid w:val="00D870D2"/>
    <w:rsid w:val="00D871E1"/>
    <w:rsid w:val="00D8735A"/>
    <w:rsid w:val="00D87544"/>
    <w:rsid w:val="00D87786"/>
    <w:rsid w:val="00D877C1"/>
    <w:rsid w:val="00D87913"/>
    <w:rsid w:val="00D87C21"/>
    <w:rsid w:val="00D87E4C"/>
    <w:rsid w:val="00D9004C"/>
    <w:rsid w:val="00D9009D"/>
    <w:rsid w:val="00D90168"/>
    <w:rsid w:val="00D90321"/>
    <w:rsid w:val="00D903FA"/>
    <w:rsid w:val="00D9040A"/>
    <w:rsid w:val="00D9041B"/>
    <w:rsid w:val="00D9043A"/>
    <w:rsid w:val="00D90566"/>
    <w:rsid w:val="00D905FB"/>
    <w:rsid w:val="00D9067E"/>
    <w:rsid w:val="00D907AD"/>
    <w:rsid w:val="00D908D8"/>
    <w:rsid w:val="00D90B2D"/>
    <w:rsid w:val="00D90B43"/>
    <w:rsid w:val="00D90B56"/>
    <w:rsid w:val="00D90DBB"/>
    <w:rsid w:val="00D90FCC"/>
    <w:rsid w:val="00D91105"/>
    <w:rsid w:val="00D91244"/>
    <w:rsid w:val="00D9141D"/>
    <w:rsid w:val="00D91672"/>
    <w:rsid w:val="00D9191B"/>
    <w:rsid w:val="00D91A86"/>
    <w:rsid w:val="00D91EE2"/>
    <w:rsid w:val="00D91FAF"/>
    <w:rsid w:val="00D921F8"/>
    <w:rsid w:val="00D922B2"/>
    <w:rsid w:val="00D92374"/>
    <w:rsid w:val="00D9246F"/>
    <w:rsid w:val="00D9253D"/>
    <w:rsid w:val="00D925C3"/>
    <w:rsid w:val="00D927C7"/>
    <w:rsid w:val="00D92B79"/>
    <w:rsid w:val="00D92D16"/>
    <w:rsid w:val="00D92FAE"/>
    <w:rsid w:val="00D93029"/>
    <w:rsid w:val="00D93321"/>
    <w:rsid w:val="00D93403"/>
    <w:rsid w:val="00D934F2"/>
    <w:rsid w:val="00D935D2"/>
    <w:rsid w:val="00D93630"/>
    <w:rsid w:val="00D9365E"/>
    <w:rsid w:val="00D9368F"/>
    <w:rsid w:val="00D937F3"/>
    <w:rsid w:val="00D9382B"/>
    <w:rsid w:val="00D93876"/>
    <w:rsid w:val="00D938FD"/>
    <w:rsid w:val="00D93BAF"/>
    <w:rsid w:val="00D93C95"/>
    <w:rsid w:val="00D93CCB"/>
    <w:rsid w:val="00D93D65"/>
    <w:rsid w:val="00D940C1"/>
    <w:rsid w:val="00D940C3"/>
    <w:rsid w:val="00D94353"/>
    <w:rsid w:val="00D944BC"/>
    <w:rsid w:val="00D9450C"/>
    <w:rsid w:val="00D945BE"/>
    <w:rsid w:val="00D94659"/>
    <w:rsid w:val="00D946C9"/>
    <w:rsid w:val="00D94C96"/>
    <w:rsid w:val="00D94CAE"/>
    <w:rsid w:val="00D94CF3"/>
    <w:rsid w:val="00D94F8F"/>
    <w:rsid w:val="00D952E6"/>
    <w:rsid w:val="00D952F5"/>
    <w:rsid w:val="00D953D7"/>
    <w:rsid w:val="00D9556A"/>
    <w:rsid w:val="00D95637"/>
    <w:rsid w:val="00D959C6"/>
    <w:rsid w:val="00D95A9E"/>
    <w:rsid w:val="00D95B30"/>
    <w:rsid w:val="00D95C0F"/>
    <w:rsid w:val="00D95CC1"/>
    <w:rsid w:val="00D95DD3"/>
    <w:rsid w:val="00D95DF8"/>
    <w:rsid w:val="00D95E04"/>
    <w:rsid w:val="00D95EF7"/>
    <w:rsid w:val="00D962A3"/>
    <w:rsid w:val="00D962DD"/>
    <w:rsid w:val="00D96373"/>
    <w:rsid w:val="00D96411"/>
    <w:rsid w:val="00D9653E"/>
    <w:rsid w:val="00D967A8"/>
    <w:rsid w:val="00D9685C"/>
    <w:rsid w:val="00D96861"/>
    <w:rsid w:val="00D96925"/>
    <w:rsid w:val="00D96A59"/>
    <w:rsid w:val="00D96B48"/>
    <w:rsid w:val="00D96CC3"/>
    <w:rsid w:val="00D96F62"/>
    <w:rsid w:val="00D970AA"/>
    <w:rsid w:val="00D970D5"/>
    <w:rsid w:val="00D9717A"/>
    <w:rsid w:val="00D9718D"/>
    <w:rsid w:val="00D97349"/>
    <w:rsid w:val="00D9740F"/>
    <w:rsid w:val="00D974B2"/>
    <w:rsid w:val="00D974D3"/>
    <w:rsid w:val="00D9754C"/>
    <w:rsid w:val="00D975A7"/>
    <w:rsid w:val="00D9772B"/>
    <w:rsid w:val="00D97AFF"/>
    <w:rsid w:val="00D97B98"/>
    <w:rsid w:val="00D97D84"/>
    <w:rsid w:val="00D97DF3"/>
    <w:rsid w:val="00D97EBC"/>
    <w:rsid w:val="00D97F71"/>
    <w:rsid w:val="00D97FCC"/>
    <w:rsid w:val="00DA01FD"/>
    <w:rsid w:val="00DA02B0"/>
    <w:rsid w:val="00DA04B2"/>
    <w:rsid w:val="00DA058B"/>
    <w:rsid w:val="00DA058E"/>
    <w:rsid w:val="00DA0691"/>
    <w:rsid w:val="00DA06F8"/>
    <w:rsid w:val="00DA0B71"/>
    <w:rsid w:val="00DA0C62"/>
    <w:rsid w:val="00DA0E05"/>
    <w:rsid w:val="00DA0FD6"/>
    <w:rsid w:val="00DA10CB"/>
    <w:rsid w:val="00DA1152"/>
    <w:rsid w:val="00DA141F"/>
    <w:rsid w:val="00DA17F6"/>
    <w:rsid w:val="00DA193E"/>
    <w:rsid w:val="00DA19CF"/>
    <w:rsid w:val="00DA19E8"/>
    <w:rsid w:val="00DA1C2C"/>
    <w:rsid w:val="00DA1ED4"/>
    <w:rsid w:val="00DA20B2"/>
    <w:rsid w:val="00DA2118"/>
    <w:rsid w:val="00DA213D"/>
    <w:rsid w:val="00DA2539"/>
    <w:rsid w:val="00DA25D4"/>
    <w:rsid w:val="00DA278F"/>
    <w:rsid w:val="00DA2C01"/>
    <w:rsid w:val="00DA2D75"/>
    <w:rsid w:val="00DA2E3D"/>
    <w:rsid w:val="00DA2F8B"/>
    <w:rsid w:val="00DA3247"/>
    <w:rsid w:val="00DA3302"/>
    <w:rsid w:val="00DA346C"/>
    <w:rsid w:val="00DA351A"/>
    <w:rsid w:val="00DA3579"/>
    <w:rsid w:val="00DA36CD"/>
    <w:rsid w:val="00DA3739"/>
    <w:rsid w:val="00DA3945"/>
    <w:rsid w:val="00DA3960"/>
    <w:rsid w:val="00DA3C31"/>
    <w:rsid w:val="00DA3D0E"/>
    <w:rsid w:val="00DA3D11"/>
    <w:rsid w:val="00DA3D8D"/>
    <w:rsid w:val="00DA3EE0"/>
    <w:rsid w:val="00DA3F7C"/>
    <w:rsid w:val="00DA40B8"/>
    <w:rsid w:val="00DA4104"/>
    <w:rsid w:val="00DA41C1"/>
    <w:rsid w:val="00DA42C3"/>
    <w:rsid w:val="00DA4316"/>
    <w:rsid w:val="00DA46D5"/>
    <w:rsid w:val="00DA46FE"/>
    <w:rsid w:val="00DA4A27"/>
    <w:rsid w:val="00DA4A4B"/>
    <w:rsid w:val="00DA4AFB"/>
    <w:rsid w:val="00DA4D8F"/>
    <w:rsid w:val="00DA4E12"/>
    <w:rsid w:val="00DA4F29"/>
    <w:rsid w:val="00DA4F74"/>
    <w:rsid w:val="00DA4FEE"/>
    <w:rsid w:val="00DA512C"/>
    <w:rsid w:val="00DA5316"/>
    <w:rsid w:val="00DA53C1"/>
    <w:rsid w:val="00DA5769"/>
    <w:rsid w:val="00DA5776"/>
    <w:rsid w:val="00DA5927"/>
    <w:rsid w:val="00DA59C5"/>
    <w:rsid w:val="00DA5F6F"/>
    <w:rsid w:val="00DA61CA"/>
    <w:rsid w:val="00DA622E"/>
    <w:rsid w:val="00DA6451"/>
    <w:rsid w:val="00DA64EC"/>
    <w:rsid w:val="00DA6543"/>
    <w:rsid w:val="00DA6765"/>
    <w:rsid w:val="00DA6854"/>
    <w:rsid w:val="00DA6866"/>
    <w:rsid w:val="00DA689E"/>
    <w:rsid w:val="00DA6A33"/>
    <w:rsid w:val="00DA6A37"/>
    <w:rsid w:val="00DA6A6F"/>
    <w:rsid w:val="00DA6C5C"/>
    <w:rsid w:val="00DA6D43"/>
    <w:rsid w:val="00DA6EAA"/>
    <w:rsid w:val="00DA6EF9"/>
    <w:rsid w:val="00DA70B9"/>
    <w:rsid w:val="00DA71EF"/>
    <w:rsid w:val="00DA726C"/>
    <w:rsid w:val="00DA740D"/>
    <w:rsid w:val="00DA791B"/>
    <w:rsid w:val="00DA7A18"/>
    <w:rsid w:val="00DA7EBC"/>
    <w:rsid w:val="00DB003C"/>
    <w:rsid w:val="00DB0112"/>
    <w:rsid w:val="00DB0210"/>
    <w:rsid w:val="00DB038C"/>
    <w:rsid w:val="00DB0962"/>
    <w:rsid w:val="00DB09CB"/>
    <w:rsid w:val="00DB0A7F"/>
    <w:rsid w:val="00DB0B90"/>
    <w:rsid w:val="00DB0D2A"/>
    <w:rsid w:val="00DB0D91"/>
    <w:rsid w:val="00DB0E86"/>
    <w:rsid w:val="00DB0F42"/>
    <w:rsid w:val="00DB13A0"/>
    <w:rsid w:val="00DB156F"/>
    <w:rsid w:val="00DB1579"/>
    <w:rsid w:val="00DB159E"/>
    <w:rsid w:val="00DB17DA"/>
    <w:rsid w:val="00DB1818"/>
    <w:rsid w:val="00DB1835"/>
    <w:rsid w:val="00DB18EE"/>
    <w:rsid w:val="00DB1A0B"/>
    <w:rsid w:val="00DB1B49"/>
    <w:rsid w:val="00DB1C19"/>
    <w:rsid w:val="00DB1C2D"/>
    <w:rsid w:val="00DB1E91"/>
    <w:rsid w:val="00DB1EC1"/>
    <w:rsid w:val="00DB1F37"/>
    <w:rsid w:val="00DB20D3"/>
    <w:rsid w:val="00DB23C4"/>
    <w:rsid w:val="00DB25F5"/>
    <w:rsid w:val="00DB27F5"/>
    <w:rsid w:val="00DB28B5"/>
    <w:rsid w:val="00DB29E9"/>
    <w:rsid w:val="00DB2A21"/>
    <w:rsid w:val="00DB2A73"/>
    <w:rsid w:val="00DB2B9D"/>
    <w:rsid w:val="00DB2C12"/>
    <w:rsid w:val="00DB2EEB"/>
    <w:rsid w:val="00DB328B"/>
    <w:rsid w:val="00DB3364"/>
    <w:rsid w:val="00DB33D3"/>
    <w:rsid w:val="00DB3448"/>
    <w:rsid w:val="00DB354E"/>
    <w:rsid w:val="00DB3595"/>
    <w:rsid w:val="00DB35DC"/>
    <w:rsid w:val="00DB3755"/>
    <w:rsid w:val="00DB37AD"/>
    <w:rsid w:val="00DB39EE"/>
    <w:rsid w:val="00DB3A6A"/>
    <w:rsid w:val="00DB40C9"/>
    <w:rsid w:val="00DB4296"/>
    <w:rsid w:val="00DB42A8"/>
    <w:rsid w:val="00DB4339"/>
    <w:rsid w:val="00DB43C0"/>
    <w:rsid w:val="00DB4410"/>
    <w:rsid w:val="00DB45CA"/>
    <w:rsid w:val="00DB45F7"/>
    <w:rsid w:val="00DB47A5"/>
    <w:rsid w:val="00DB4A87"/>
    <w:rsid w:val="00DB4BA9"/>
    <w:rsid w:val="00DB4BFD"/>
    <w:rsid w:val="00DB4C24"/>
    <w:rsid w:val="00DB4D1C"/>
    <w:rsid w:val="00DB4D2B"/>
    <w:rsid w:val="00DB4D7F"/>
    <w:rsid w:val="00DB5117"/>
    <w:rsid w:val="00DB5401"/>
    <w:rsid w:val="00DB549B"/>
    <w:rsid w:val="00DB55A3"/>
    <w:rsid w:val="00DB55A6"/>
    <w:rsid w:val="00DB5775"/>
    <w:rsid w:val="00DB5A36"/>
    <w:rsid w:val="00DB5B28"/>
    <w:rsid w:val="00DB5CE5"/>
    <w:rsid w:val="00DB5D9C"/>
    <w:rsid w:val="00DB5F98"/>
    <w:rsid w:val="00DB6031"/>
    <w:rsid w:val="00DB6070"/>
    <w:rsid w:val="00DB6225"/>
    <w:rsid w:val="00DB627B"/>
    <w:rsid w:val="00DB6443"/>
    <w:rsid w:val="00DB6489"/>
    <w:rsid w:val="00DB664A"/>
    <w:rsid w:val="00DB6821"/>
    <w:rsid w:val="00DB68B1"/>
    <w:rsid w:val="00DB6A54"/>
    <w:rsid w:val="00DB6AAA"/>
    <w:rsid w:val="00DB6BC0"/>
    <w:rsid w:val="00DB6C10"/>
    <w:rsid w:val="00DB6DC5"/>
    <w:rsid w:val="00DB6FDB"/>
    <w:rsid w:val="00DB7131"/>
    <w:rsid w:val="00DB734E"/>
    <w:rsid w:val="00DB7463"/>
    <w:rsid w:val="00DB76BE"/>
    <w:rsid w:val="00DB76C2"/>
    <w:rsid w:val="00DB781F"/>
    <w:rsid w:val="00DB795B"/>
    <w:rsid w:val="00DB79F0"/>
    <w:rsid w:val="00DB7A32"/>
    <w:rsid w:val="00DB7AED"/>
    <w:rsid w:val="00DB7AF0"/>
    <w:rsid w:val="00DB7C0A"/>
    <w:rsid w:val="00DB7D65"/>
    <w:rsid w:val="00DB7E6E"/>
    <w:rsid w:val="00DB7EB8"/>
    <w:rsid w:val="00DB7F17"/>
    <w:rsid w:val="00DB7FD6"/>
    <w:rsid w:val="00DC0067"/>
    <w:rsid w:val="00DC0080"/>
    <w:rsid w:val="00DC0096"/>
    <w:rsid w:val="00DC00CE"/>
    <w:rsid w:val="00DC02A8"/>
    <w:rsid w:val="00DC039E"/>
    <w:rsid w:val="00DC0761"/>
    <w:rsid w:val="00DC07E6"/>
    <w:rsid w:val="00DC0A90"/>
    <w:rsid w:val="00DC0B31"/>
    <w:rsid w:val="00DC0B95"/>
    <w:rsid w:val="00DC0C3D"/>
    <w:rsid w:val="00DC0D29"/>
    <w:rsid w:val="00DC0FCA"/>
    <w:rsid w:val="00DC0FD4"/>
    <w:rsid w:val="00DC113A"/>
    <w:rsid w:val="00DC1299"/>
    <w:rsid w:val="00DC12E0"/>
    <w:rsid w:val="00DC14AF"/>
    <w:rsid w:val="00DC1600"/>
    <w:rsid w:val="00DC1720"/>
    <w:rsid w:val="00DC1AF1"/>
    <w:rsid w:val="00DC1BA5"/>
    <w:rsid w:val="00DC1CF7"/>
    <w:rsid w:val="00DC1DCB"/>
    <w:rsid w:val="00DC1E0B"/>
    <w:rsid w:val="00DC1E4E"/>
    <w:rsid w:val="00DC1E8E"/>
    <w:rsid w:val="00DC2097"/>
    <w:rsid w:val="00DC21CE"/>
    <w:rsid w:val="00DC2582"/>
    <w:rsid w:val="00DC27AB"/>
    <w:rsid w:val="00DC27E4"/>
    <w:rsid w:val="00DC286E"/>
    <w:rsid w:val="00DC28F0"/>
    <w:rsid w:val="00DC29E7"/>
    <w:rsid w:val="00DC2B33"/>
    <w:rsid w:val="00DC2B8B"/>
    <w:rsid w:val="00DC2BDC"/>
    <w:rsid w:val="00DC2C75"/>
    <w:rsid w:val="00DC2FE9"/>
    <w:rsid w:val="00DC338E"/>
    <w:rsid w:val="00DC34A1"/>
    <w:rsid w:val="00DC34A7"/>
    <w:rsid w:val="00DC35E2"/>
    <w:rsid w:val="00DC3633"/>
    <w:rsid w:val="00DC36F4"/>
    <w:rsid w:val="00DC37FB"/>
    <w:rsid w:val="00DC392F"/>
    <w:rsid w:val="00DC3AD5"/>
    <w:rsid w:val="00DC3C7F"/>
    <w:rsid w:val="00DC3CBB"/>
    <w:rsid w:val="00DC3DA6"/>
    <w:rsid w:val="00DC3EA4"/>
    <w:rsid w:val="00DC40D8"/>
    <w:rsid w:val="00DC4108"/>
    <w:rsid w:val="00DC41CA"/>
    <w:rsid w:val="00DC4359"/>
    <w:rsid w:val="00DC444B"/>
    <w:rsid w:val="00DC4478"/>
    <w:rsid w:val="00DC478D"/>
    <w:rsid w:val="00DC47A1"/>
    <w:rsid w:val="00DC48AE"/>
    <w:rsid w:val="00DC49F8"/>
    <w:rsid w:val="00DC4B91"/>
    <w:rsid w:val="00DC4C10"/>
    <w:rsid w:val="00DC4EC7"/>
    <w:rsid w:val="00DC4F64"/>
    <w:rsid w:val="00DC50C5"/>
    <w:rsid w:val="00DC52DE"/>
    <w:rsid w:val="00DC55AE"/>
    <w:rsid w:val="00DC5671"/>
    <w:rsid w:val="00DC5706"/>
    <w:rsid w:val="00DC57D2"/>
    <w:rsid w:val="00DC5B25"/>
    <w:rsid w:val="00DC5E11"/>
    <w:rsid w:val="00DC5E40"/>
    <w:rsid w:val="00DC6043"/>
    <w:rsid w:val="00DC6132"/>
    <w:rsid w:val="00DC61D3"/>
    <w:rsid w:val="00DC62E7"/>
    <w:rsid w:val="00DC63AA"/>
    <w:rsid w:val="00DC64A7"/>
    <w:rsid w:val="00DC67E8"/>
    <w:rsid w:val="00DC694B"/>
    <w:rsid w:val="00DC69FB"/>
    <w:rsid w:val="00DC6AB3"/>
    <w:rsid w:val="00DC6D71"/>
    <w:rsid w:val="00DC6E37"/>
    <w:rsid w:val="00DC70F5"/>
    <w:rsid w:val="00DC7184"/>
    <w:rsid w:val="00DC71ED"/>
    <w:rsid w:val="00DC7236"/>
    <w:rsid w:val="00DC7269"/>
    <w:rsid w:val="00DC7413"/>
    <w:rsid w:val="00DC7534"/>
    <w:rsid w:val="00DC7606"/>
    <w:rsid w:val="00DC76EC"/>
    <w:rsid w:val="00DC778F"/>
    <w:rsid w:val="00DC7972"/>
    <w:rsid w:val="00DC7BEF"/>
    <w:rsid w:val="00DC7C22"/>
    <w:rsid w:val="00DC7DAC"/>
    <w:rsid w:val="00DD001A"/>
    <w:rsid w:val="00DD00FA"/>
    <w:rsid w:val="00DD0234"/>
    <w:rsid w:val="00DD0257"/>
    <w:rsid w:val="00DD02F1"/>
    <w:rsid w:val="00DD03FF"/>
    <w:rsid w:val="00DD05A8"/>
    <w:rsid w:val="00DD05E6"/>
    <w:rsid w:val="00DD0603"/>
    <w:rsid w:val="00DD0773"/>
    <w:rsid w:val="00DD091E"/>
    <w:rsid w:val="00DD0953"/>
    <w:rsid w:val="00DD09EB"/>
    <w:rsid w:val="00DD0AAF"/>
    <w:rsid w:val="00DD0BA5"/>
    <w:rsid w:val="00DD0BF6"/>
    <w:rsid w:val="00DD0FE2"/>
    <w:rsid w:val="00DD1155"/>
    <w:rsid w:val="00DD1440"/>
    <w:rsid w:val="00DD1661"/>
    <w:rsid w:val="00DD1756"/>
    <w:rsid w:val="00DD1999"/>
    <w:rsid w:val="00DD1A95"/>
    <w:rsid w:val="00DD1F70"/>
    <w:rsid w:val="00DD2055"/>
    <w:rsid w:val="00DD2138"/>
    <w:rsid w:val="00DD217D"/>
    <w:rsid w:val="00DD22A0"/>
    <w:rsid w:val="00DD22C2"/>
    <w:rsid w:val="00DD22CD"/>
    <w:rsid w:val="00DD23BA"/>
    <w:rsid w:val="00DD2544"/>
    <w:rsid w:val="00DD2688"/>
    <w:rsid w:val="00DD275C"/>
    <w:rsid w:val="00DD279B"/>
    <w:rsid w:val="00DD2885"/>
    <w:rsid w:val="00DD298C"/>
    <w:rsid w:val="00DD2A13"/>
    <w:rsid w:val="00DD2AC9"/>
    <w:rsid w:val="00DD2C81"/>
    <w:rsid w:val="00DD2FDE"/>
    <w:rsid w:val="00DD302D"/>
    <w:rsid w:val="00DD3499"/>
    <w:rsid w:val="00DD39E1"/>
    <w:rsid w:val="00DD3BF6"/>
    <w:rsid w:val="00DD3EF7"/>
    <w:rsid w:val="00DD4509"/>
    <w:rsid w:val="00DD451E"/>
    <w:rsid w:val="00DD452D"/>
    <w:rsid w:val="00DD465C"/>
    <w:rsid w:val="00DD4C1C"/>
    <w:rsid w:val="00DD4D5A"/>
    <w:rsid w:val="00DD4E8E"/>
    <w:rsid w:val="00DD4F7C"/>
    <w:rsid w:val="00DD516A"/>
    <w:rsid w:val="00DD526C"/>
    <w:rsid w:val="00DD54CF"/>
    <w:rsid w:val="00DD54F8"/>
    <w:rsid w:val="00DD5522"/>
    <w:rsid w:val="00DD5680"/>
    <w:rsid w:val="00DD5794"/>
    <w:rsid w:val="00DD57B2"/>
    <w:rsid w:val="00DD57BF"/>
    <w:rsid w:val="00DD57D7"/>
    <w:rsid w:val="00DD5C14"/>
    <w:rsid w:val="00DD5C81"/>
    <w:rsid w:val="00DD5CC5"/>
    <w:rsid w:val="00DD5D45"/>
    <w:rsid w:val="00DD5FB5"/>
    <w:rsid w:val="00DD6301"/>
    <w:rsid w:val="00DD6447"/>
    <w:rsid w:val="00DD6A46"/>
    <w:rsid w:val="00DD6C3F"/>
    <w:rsid w:val="00DD6CE1"/>
    <w:rsid w:val="00DD6D39"/>
    <w:rsid w:val="00DD6DB5"/>
    <w:rsid w:val="00DD6F1D"/>
    <w:rsid w:val="00DD6F9F"/>
    <w:rsid w:val="00DD71E8"/>
    <w:rsid w:val="00DD748C"/>
    <w:rsid w:val="00DD7512"/>
    <w:rsid w:val="00DD752D"/>
    <w:rsid w:val="00DD7695"/>
    <w:rsid w:val="00DD76DE"/>
    <w:rsid w:val="00DD7876"/>
    <w:rsid w:val="00DD7A1D"/>
    <w:rsid w:val="00DD7A74"/>
    <w:rsid w:val="00DD7A7A"/>
    <w:rsid w:val="00DD7D4F"/>
    <w:rsid w:val="00DD7FB1"/>
    <w:rsid w:val="00DE00B9"/>
    <w:rsid w:val="00DE00D9"/>
    <w:rsid w:val="00DE045F"/>
    <w:rsid w:val="00DE0746"/>
    <w:rsid w:val="00DE0777"/>
    <w:rsid w:val="00DE0A3F"/>
    <w:rsid w:val="00DE0E2E"/>
    <w:rsid w:val="00DE0EAF"/>
    <w:rsid w:val="00DE10A0"/>
    <w:rsid w:val="00DE10E1"/>
    <w:rsid w:val="00DE10F8"/>
    <w:rsid w:val="00DE114C"/>
    <w:rsid w:val="00DE12C4"/>
    <w:rsid w:val="00DE131F"/>
    <w:rsid w:val="00DE173E"/>
    <w:rsid w:val="00DE17B1"/>
    <w:rsid w:val="00DE19C0"/>
    <w:rsid w:val="00DE1A78"/>
    <w:rsid w:val="00DE1AB0"/>
    <w:rsid w:val="00DE1B1D"/>
    <w:rsid w:val="00DE1D5D"/>
    <w:rsid w:val="00DE2232"/>
    <w:rsid w:val="00DE2294"/>
    <w:rsid w:val="00DE22EA"/>
    <w:rsid w:val="00DE248D"/>
    <w:rsid w:val="00DE2496"/>
    <w:rsid w:val="00DE24AF"/>
    <w:rsid w:val="00DE2617"/>
    <w:rsid w:val="00DE26FB"/>
    <w:rsid w:val="00DE2913"/>
    <w:rsid w:val="00DE296E"/>
    <w:rsid w:val="00DE2CEA"/>
    <w:rsid w:val="00DE302D"/>
    <w:rsid w:val="00DE32C1"/>
    <w:rsid w:val="00DE33AB"/>
    <w:rsid w:val="00DE33B2"/>
    <w:rsid w:val="00DE34DE"/>
    <w:rsid w:val="00DE34F6"/>
    <w:rsid w:val="00DE360E"/>
    <w:rsid w:val="00DE3673"/>
    <w:rsid w:val="00DE36E5"/>
    <w:rsid w:val="00DE380E"/>
    <w:rsid w:val="00DE386D"/>
    <w:rsid w:val="00DE3897"/>
    <w:rsid w:val="00DE39E1"/>
    <w:rsid w:val="00DE3C7D"/>
    <w:rsid w:val="00DE3C8F"/>
    <w:rsid w:val="00DE3CE6"/>
    <w:rsid w:val="00DE3E3D"/>
    <w:rsid w:val="00DE4157"/>
    <w:rsid w:val="00DE41CC"/>
    <w:rsid w:val="00DE43F9"/>
    <w:rsid w:val="00DE453A"/>
    <w:rsid w:val="00DE47CE"/>
    <w:rsid w:val="00DE47FB"/>
    <w:rsid w:val="00DE49AC"/>
    <w:rsid w:val="00DE4A3A"/>
    <w:rsid w:val="00DE4ABD"/>
    <w:rsid w:val="00DE4B09"/>
    <w:rsid w:val="00DE4B51"/>
    <w:rsid w:val="00DE4B97"/>
    <w:rsid w:val="00DE4BBC"/>
    <w:rsid w:val="00DE4C4B"/>
    <w:rsid w:val="00DE5109"/>
    <w:rsid w:val="00DE5268"/>
    <w:rsid w:val="00DE556B"/>
    <w:rsid w:val="00DE5697"/>
    <w:rsid w:val="00DE56B7"/>
    <w:rsid w:val="00DE5849"/>
    <w:rsid w:val="00DE5858"/>
    <w:rsid w:val="00DE58CD"/>
    <w:rsid w:val="00DE5A77"/>
    <w:rsid w:val="00DE5D7E"/>
    <w:rsid w:val="00DE5EBA"/>
    <w:rsid w:val="00DE62A3"/>
    <w:rsid w:val="00DE634F"/>
    <w:rsid w:val="00DE63F2"/>
    <w:rsid w:val="00DE6529"/>
    <w:rsid w:val="00DE65B8"/>
    <w:rsid w:val="00DE66D8"/>
    <w:rsid w:val="00DE6770"/>
    <w:rsid w:val="00DE6804"/>
    <w:rsid w:val="00DE6806"/>
    <w:rsid w:val="00DE6905"/>
    <w:rsid w:val="00DE6AD4"/>
    <w:rsid w:val="00DE6B38"/>
    <w:rsid w:val="00DE6CC6"/>
    <w:rsid w:val="00DE6DD0"/>
    <w:rsid w:val="00DE6F0F"/>
    <w:rsid w:val="00DE7099"/>
    <w:rsid w:val="00DE7213"/>
    <w:rsid w:val="00DE7365"/>
    <w:rsid w:val="00DE73E8"/>
    <w:rsid w:val="00DE76A4"/>
    <w:rsid w:val="00DE7700"/>
    <w:rsid w:val="00DE774A"/>
    <w:rsid w:val="00DE7882"/>
    <w:rsid w:val="00DE7AC4"/>
    <w:rsid w:val="00DE7B56"/>
    <w:rsid w:val="00DE7C87"/>
    <w:rsid w:val="00DE7D6B"/>
    <w:rsid w:val="00DE7E0D"/>
    <w:rsid w:val="00DF01AA"/>
    <w:rsid w:val="00DF042B"/>
    <w:rsid w:val="00DF04FD"/>
    <w:rsid w:val="00DF059E"/>
    <w:rsid w:val="00DF08FE"/>
    <w:rsid w:val="00DF0A32"/>
    <w:rsid w:val="00DF0A44"/>
    <w:rsid w:val="00DF0BC3"/>
    <w:rsid w:val="00DF0C48"/>
    <w:rsid w:val="00DF0CAD"/>
    <w:rsid w:val="00DF0D20"/>
    <w:rsid w:val="00DF0D33"/>
    <w:rsid w:val="00DF0E07"/>
    <w:rsid w:val="00DF0EA0"/>
    <w:rsid w:val="00DF0FAA"/>
    <w:rsid w:val="00DF0FD4"/>
    <w:rsid w:val="00DF111C"/>
    <w:rsid w:val="00DF11E2"/>
    <w:rsid w:val="00DF1312"/>
    <w:rsid w:val="00DF1439"/>
    <w:rsid w:val="00DF157D"/>
    <w:rsid w:val="00DF16C7"/>
    <w:rsid w:val="00DF1D55"/>
    <w:rsid w:val="00DF1F9F"/>
    <w:rsid w:val="00DF20C3"/>
    <w:rsid w:val="00DF20EE"/>
    <w:rsid w:val="00DF211F"/>
    <w:rsid w:val="00DF2143"/>
    <w:rsid w:val="00DF237E"/>
    <w:rsid w:val="00DF241E"/>
    <w:rsid w:val="00DF2695"/>
    <w:rsid w:val="00DF28E0"/>
    <w:rsid w:val="00DF2994"/>
    <w:rsid w:val="00DF2A73"/>
    <w:rsid w:val="00DF2BD3"/>
    <w:rsid w:val="00DF2BFF"/>
    <w:rsid w:val="00DF2C0E"/>
    <w:rsid w:val="00DF2C5A"/>
    <w:rsid w:val="00DF2CDF"/>
    <w:rsid w:val="00DF2F72"/>
    <w:rsid w:val="00DF2F95"/>
    <w:rsid w:val="00DF3071"/>
    <w:rsid w:val="00DF318D"/>
    <w:rsid w:val="00DF31FB"/>
    <w:rsid w:val="00DF3274"/>
    <w:rsid w:val="00DF329F"/>
    <w:rsid w:val="00DF341B"/>
    <w:rsid w:val="00DF349D"/>
    <w:rsid w:val="00DF3736"/>
    <w:rsid w:val="00DF3852"/>
    <w:rsid w:val="00DF38F4"/>
    <w:rsid w:val="00DF39E9"/>
    <w:rsid w:val="00DF3A6D"/>
    <w:rsid w:val="00DF3B03"/>
    <w:rsid w:val="00DF3B86"/>
    <w:rsid w:val="00DF3D03"/>
    <w:rsid w:val="00DF3E34"/>
    <w:rsid w:val="00DF3EDE"/>
    <w:rsid w:val="00DF3FC0"/>
    <w:rsid w:val="00DF3FE2"/>
    <w:rsid w:val="00DF3FEF"/>
    <w:rsid w:val="00DF4025"/>
    <w:rsid w:val="00DF431B"/>
    <w:rsid w:val="00DF4518"/>
    <w:rsid w:val="00DF47C3"/>
    <w:rsid w:val="00DF499C"/>
    <w:rsid w:val="00DF4A62"/>
    <w:rsid w:val="00DF4B4B"/>
    <w:rsid w:val="00DF4C9F"/>
    <w:rsid w:val="00DF4D18"/>
    <w:rsid w:val="00DF4E97"/>
    <w:rsid w:val="00DF4EA7"/>
    <w:rsid w:val="00DF4F24"/>
    <w:rsid w:val="00DF4F65"/>
    <w:rsid w:val="00DF4FD6"/>
    <w:rsid w:val="00DF4FF1"/>
    <w:rsid w:val="00DF4FF6"/>
    <w:rsid w:val="00DF520E"/>
    <w:rsid w:val="00DF5290"/>
    <w:rsid w:val="00DF53DB"/>
    <w:rsid w:val="00DF5550"/>
    <w:rsid w:val="00DF5B68"/>
    <w:rsid w:val="00DF5DB1"/>
    <w:rsid w:val="00DF5DCD"/>
    <w:rsid w:val="00DF5E65"/>
    <w:rsid w:val="00DF5E72"/>
    <w:rsid w:val="00DF5F37"/>
    <w:rsid w:val="00DF6128"/>
    <w:rsid w:val="00DF612B"/>
    <w:rsid w:val="00DF6187"/>
    <w:rsid w:val="00DF632C"/>
    <w:rsid w:val="00DF63A7"/>
    <w:rsid w:val="00DF63BC"/>
    <w:rsid w:val="00DF6569"/>
    <w:rsid w:val="00DF65B5"/>
    <w:rsid w:val="00DF65B7"/>
    <w:rsid w:val="00DF65D3"/>
    <w:rsid w:val="00DF6698"/>
    <w:rsid w:val="00DF670C"/>
    <w:rsid w:val="00DF6729"/>
    <w:rsid w:val="00DF677C"/>
    <w:rsid w:val="00DF697B"/>
    <w:rsid w:val="00DF6A67"/>
    <w:rsid w:val="00DF6DEA"/>
    <w:rsid w:val="00DF700B"/>
    <w:rsid w:val="00DF72C0"/>
    <w:rsid w:val="00DF74D9"/>
    <w:rsid w:val="00DF773B"/>
    <w:rsid w:val="00DF77C6"/>
    <w:rsid w:val="00DF786E"/>
    <w:rsid w:val="00DF7A2C"/>
    <w:rsid w:val="00DF7CD2"/>
    <w:rsid w:val="00DF7CF9"/>
    <w:rsid w:val="00DF7F3E"/>
    <w:rsid w:val="00DF7F61"/>
    <w:rsid w:val="00DF7FA7"/>
    <w:rsid w:val="00DF7FC6"/>
    <w:rsid w:val="00E0004A"/>
    <w:rsid w:val="00E000A2"/>
    <w:rsid w:val="00E00109"/>
    <w:rsid w:val="00E0010F"/>
    <w:rsid w:val="00E0015B"/>
    <w:rsid w:val="00E00171"/>
    <w:rsid w:val="00E00287"/>
    <w:rsid w:val="00E00947"/>
    <w:rsid w:val="00E00BA2"/>
    <w:rsid w:val="00E00BD8"/>
    <w:rsid w:val="00E00D7F"/>
    <w:rsid w:val="00E00DA5"/>
    <w:rsid w:val="00E00E5C"/>
    <w:rsid w:val="00E00E80"/>
    <w:rsid w:val="00E0101D"/>
    <w:rsid w:val="00E0101E"/>
    <w:rsid w:val="00E01343"/>
    <w:rsid w:val="00E01802"/>
    <w:rsid w:val="00E01A2B"/>
    <w:rsid w:val="00E01D0E"/>
    <w:rsid w:val="00E01D52"/>
    <w:rsid w:val="00E0211B"/>
    <w:rsid w:val="00E0246E"/>
    <w:rsid w:val="00E025E1"/>
    <w:rsid w:val="00E025ED"/>
    <w:rsid w:val="00E027B7"/>
    <w:rsid w:val="00E0280B"/>
    <w:rsid w:val="00E028A0"/>
    <w:rsid w:val="00E02902"/>
    <w:rsid w:val="00E02A15"/>
    <w:rsid w:val="00E02D9F"/>
    <w:rsid w:val="00E02F0B"/>
    <w:rsid w:val="00E03052"/>
    <w:rsid w:val="00E03060"/>
    <w:rsid w:val="00E03099"/>
    <w:rsid w:val="00E0316D"/>
    <w:rsid w:val="00E034F8"/>
    <w:rsid w:val="00E0351D"/>
    <w:rsid w:val="00E0360B"/>
    <w:rsid w:val="00E038F5"/>
    <w:rsid w:val="00E03A96"/>
    <w:rsid w:val="00E03AAC"/>
    <w:rsid w:val="00E03C7B"/>
    <w:rsid w:val="00E03E70"/>
    <w:rsid w:val="00E03F2C"/>
    <w:rsid w:val="00E03F83"/>
    <w:rsid w:val="00E04081"/>
    <w:rsid w:val="00E0455B"/>
    <w:rsid w:val="00E0464F"/>
    <w:rsid w:val="00E0480D"/>
    <w:rsid w:val="00E04858"/>
    <w:rsid w:val="00E04947"/>
    <w:rsid w:val="00E04A87"/>
    <w:rsid w:val="00E04A93"/>
    <w:rsid w:val="00E04F62"/>
    <w:rsid w:val="00E04FB2"/>
    <w:rsid w:val="00E05036"/>
    <w:rsid w:val="00E0518C"/>
    <w:rsid w:val="00E052C4"/>
    <w:rsid w:val="00E056B0"/>
    <w:rsid w:val="00E0583C"/>
    <w:rsid w:val="00E05896"/>
    <w:rsid w:val="00E05B6A"/>
    <w:rsid w:val="00E05BA9"/>
    <w:rsid w:val="00E05C56"/>
    <w:rsid w:val="00E05D56"/>
    <w:rsid w:val="00E05E8B"/>
    <w:rsid w:val="00E05EB6"/>
    <w:rsid w:val="00E060BF"/>
    <w:rsid w:val="00E060FC"/>
    <w:rsid w:val="00E063A6"/>
    <w:rsid w:val="00E06592"/>
    <w:rsid w:val="00E065D8"/>
    <w:rsid w:val="00E068AC"/>
    <w:rsid w:val="00E069BA"/>
    <w:rsid w:val="00E06DCB"/>
    <w:rsid w:val="00E06ED6"/>
    <w:rsid w:val="00E06F17"/>
    <w:rsid w:val="00E0700E"/>
    <w:rsid w:val="00E074DD"/>
    <w:rsid w:val="00E0753E"/>
    <w:rsid w:val="00E0778C"/>
    <w:rsid w:val="00E079B8"/>
    <w:rsid w:val="00E07A4F"/>
    <w:rsid w:val="00E07A70"/>
    <w:rsid w:val="00E07A9F"/>
    <w:rsid w:val="00E07D3D"/>
    <w:rsid w:val="00E07F71"/>
    <w:rsid w:val="00E07FA3"/>
    <w:rsid w:val="00E10223"/>
    <w:rsid w:val="00E10258"/>
    <w:rsid w:val="00E102BD"/>
    <w:rsid w:val="00E102C7"/>
    <w:rsid w:val="00E104A2"/>
    <w:rsid w:val="00E105A9"/>
    <w:rsid w:val="00E10698"/>
    <w:rsid w:val="00E109AC"/>
    <w:rsid w:val="00E109BA"/>
    <w:rsid w:val="00E10CE0"/>
    <w:rsid w:val="00E10E61"/>
    <w:rsid w:val="00E10F9C"/>
    <w:rsid w:val="00E10FC9"/>
    <w:rsid w:val="00E110EB"/>
    <w:rsid w:val="00E11100"/>
    <w:rsid w:val="00E11286"/>
    <w:rsid w:val="00E112FC"/>
    <w:rsid w:val="00E1139B"/>
    <w:rsid w:val="00E11426"/>
    <w:rsid w:val="00E11482"/>
    <w:rsid w:val="00E11546"/>
    <w:rsid w:val="00E1173E"/>
    <w:rsid w:val="00E11B04"/>
    <w:rsid w:val="00E11B78"/>
    <w:rsid w:val="00E11D80"/>
    <w:rsid w:val="00E11F8D"/>
    <w:rsid w:val="00E120A8"/>
    <w:rsid w:val="00E1213D"/>
    <w:rsid w:val="00E12154"/>
    <w:rsid w:val="00E121E7"/>
    <w:rsid w:val="00E123A9"/>
    <w:rsid w:val="00E1243C"/>
    <w:rsid w:val="00E12476"/>
    <w:rsid w:val="00E124AD"/>
    <w:rsid w:val="00E124AF"/>
    <w:rsid w:val="00E126FC"/>
    <w:rsid w:val="00E12768"/>
    <w:rsid w:val="00E12823"/>
    <w:rsid w:val="00E12924"/>
    <w:rsid w:val="00E1298A"/>
    <w:rsid w:val="00E129E3"/>
    <w:rsid w:val="00E12AAC"/>
    <w:rsid w:val="00E12BCA"/>
    <w:rsid w:val="00E12D79"/>
    <w:rsid w:val="00E131F3"/>
    <w:rsid w:val="00E13420"/>
    <w:rsid w:val="00E13475"/>
    <w:rsid w:val="00E13553"/>
    <w:rsid w:val="00E135E3"/>
    <w:rsid w:val="00E13689"/>
    <w:rsid w:val="00E13754"/>
    <w:rsid w:val="00E139FD"/>
    <w:rsid w:val="00E13C52"/>
    <w:rsid w:val="00E13DEE"/>
    <w:rsid w:val="00E1424B"/>
    <w:rsid w:val="00E14402"/>
    <w:rsid w:val="00E14504"/>
    <w:rsid w:val="00E14562"/>
    <w:rsid w:val="00E1458F"/>
    <w:rsid w:val="00E145C8"/>
    <w:rsid w:val="00E146EA"/>
    <w:rsid w:val="00E147F0"/>
    <w:rsid w:val="00E14B8D"/>
    <w:rsid w:val="00E14E6D"/>
    <w:rsid w:val="00E14F07"/>
    <w:rsid w:val="00E14F51"/>
    <w:rsid w:val="00E15056"/>
    <w:rsid w:val="00E1523D"/>
    <w:rsid w:val="00E152EA"/>
    <w:rsid w:val="00E15311"/>
    <w:rsid w:val="00E15470"/>
    <w:rsid w:val="00E15588"/>
    <w:rsid w:val="00E1558C"/>
    <w:rsid w:val="00E157C0"/>
    <w:rsid w:val="00E15DB1"/>
    <w:rsid w:val="00E160D0"/>
    <w:rsid w:val="00E165F9"/>
    <w:rsid w:val="00E166D8"/>
    <w:rsid w:val="00E166EF"/>
    <w:rsid w:val="00E16830"/>
    <w:rsid w:val="00E16B45"/>
    <w:rsid w:val="00E16B53"/>
    <w:rsid w:val="00E16CDB"/>
    <w:rsid w:val="00E16D54"/>
    <w:rsid w:val="00E16E4E"/>
    <w:rsid w:val="00E170EA"/>
    <w:rsid w:val="00E171C1"/>
    <w:rsid w:val="00E17242"/>
    <w:rsid w:val="00E17552"/>
    <w:rsid w:val="00E17691"/>
    <w:rsid w:val="00E178C8"/>
    <w:rsid w:val="00E17A4E"/>
    <w:rsid w:val="00E17AB8"/>
    <w:rsid w:val="00E17B1D"/>
    <w:rsid w:val="00E17B32"/>
    <w:rsid w:val="00E17C8B"/>
    <w:rsid w:val="00E17EED"/>
    <w:rsid w:val="00E2015F"/>
    <w:rsid w:val="00E20248"/>
    <w:rsid w:val="00E203F7"/>
    <w:rsid w:val="00E203FA"/>
    <w:rsid w:val="00E2056F"/>
    <w:rsid w:val="00E2059B"/>
    <w:rsid w:val="00E205BC"/>
    <w:rsid w:val="00E2075C"/>
    <w:rsid w:val="00E208F2"/>
    <w:rsid w:val="00E20922"/>
    <w:rsid w:val="00E209BD"/>
    <w:rsid w:val="00E20A53"/>
    <w:rsid w:val="00E20BF1"/>
    <w:rsid w:val="00E20C1A"/>
    <w:rsid w:val="00E20C60"/>
    <w:rsid w:val="00E20E23"/>
    <w:rsid w:val="00E20EC7"/>
    <w:rsid w:val="00E20FC5"/>
    <w:rsid w:val="00E210A2"/>
    <w:rsid w:val="00E212BC"/>
    <w:rsid w:val="00E212F2"/>
    <w:rsid w:val="00E213B0"/>
    <w:rsid w:val="00E217B2"/>
    <w:rsid w:val="00E217CE"/>
    <w:rsid w:val="00E21B03"/>
    <w:rsid w:val="00E21BE8"/>
    <w:rsid w:val="00E21CE0"/>
    <w:rsid w:val="00E21D27"/>
    <w:rsid w:val="00E21E36"/>
    <w:rsid w:val="00E21E41"/>
    <w:rsid w:val="00E21EB8"/>
    <w:rsid w:val="00E21F79"/>
    <w:rsid w:val="00E21FBD"/>
    <w:rsid w:val="00E21FDD"/>
    <w:rsid w:val="00E2200A"/>
    <w:rsid w:val="00E22142"/>
    <w:rsid w:val="00E2241A"/>
    <w:rsid w:val="00E22445"/>
    <w:rsid w:val="00E224C6"/>
    <w:rsid w:val="00E224D7"/>
    <w:rsid w:val="00E227B1"/>
    <w:rsid w:val="00E22838"/>
    <w:rsid w:val="00E2298C"/>
    <w:rsid w:val="00E22B2F"/>
    <w:rsid w:val="00E22B3F"/>
    <w:rsid w:val="00E23581"/>
    <w:rsid w:val="00E2371D"/>
    <w:rsid w:val="00E237D0"/>
    <w:rsid w:val="00E2384A"/>
    <w:rsid w:val="00E23C6A"/>
    <w:rsid w:val="00E23E2A"/>
    <w:rsid w:val="00E23EF5"/>
    <w:rsid w:val="00E23FB7"/>
    <w:rsid w:val="00E23FB9"/>
    <w:rsid w:val="00E24094"/>
    <w:rsid w:val="00E24193"/>
    <w:rsid w:val="00E241CA"/>
    <w:rsid w:val="00E245EB"/>
    <w:rsid w:val="00E245F7"/>
    <w:rsid w:val="00E2463B"/>
    <w:rsid w:val="00E24765"/>
    <w:rsid w:val="00E24BB7"/>
    <w:rsid w:val="00E24F19"/>
    <w:rsid w:val="00E24F48"/>
    <w:rsid w:val="00E2505A"/>
    <w:rsid w:val="00E2536B"/>
    <w:rsid w:val="00E253BF"/>
    <w:rsid w:val="00E256EF"/>
    <w:rsid w:val="00E2570F"/>
    <w:rsid w:val="00E2581D"/>
    <w:rsid w:val="00E259DB"/>
    <w:rsid w:val="00E25C42"/>
    <w:rsid w:val="00E25C4B"/>
    <w:rsid w:val="00E25C92"/>
    <w:rsid w:val="00E25CAA"/>
    <w:rsid w:val="00E25CCC"/>
    <w:rsid w:val="00E25F59"/>
    <w:rsid w:val="00E25FA0"/>
    <w:rsid w:val="00E25FA9"/>
    <w:rsid w:val="00E26087"/>
    <w:rsid w:val="00E260A3"/>
    <w:rsid w:val="00E263C4"/>
    <w:rsid w:val="00E264E7"/>
    <w:rsid w:val="00E26649"/>
    <w:rsid w:val="00E26B42"/>
    <w:rsid w:val="00E26D15"/>
    <w:rsid w:val="00E26D2E"/>
    <w:rsid w:val="00E26F47"/>
    <w:rsid w:val="00E26FCB"/>
    <w:rsid w:val="00E27070"/>
    <w:rsid w:val="00E27161"/>
    <w:rsid w:val="00E271C4"/>
    <w:rsid w:val="00E27279"/>
    <w:rsid w:val="00E277AD"/>
    <w:rsid w:val="00E277C0"/>
    <w:rsid w:val="00E27800"/>
    <w:rsid w:val="00E278CD"/>
    <w:rsid w:val="00E2790E"/>
    <w:rsid w:val="00E27A8C"/>
    <w:rsid w:val="00E27A97"/>
    <w:rsid w:val="00E27C00"/>
    <w:rsid w:val="00E27D3F"/>
    <w:rsid w:val="00E27D4F"/>
    <w:rsid w:val="00E27DBF"/>
    <w:rsid w:val="00E27DDB"/>
    <w:rsid w:val="00E27E1B"/>
    <w:rsid w:val="00E3013F"/>
    <w:rsid w:val="00E30144"/>
    <w:rsid w:val="00E3022E"/>
    <w:rsid w:val="00E302FC"/>
    <w:rsid w:val="00E3047A"/>
    <w:rsid w:val="00E30650"/>
    <w:rsid w:val="00E30C81"/>
    <w:rsid w:val="00E30E6F"/>
    <w:rsid w:val="00E31171"/>
    <w:rsid w:val="00E311D7"/>
    <w:rsid w:val="00E31222"/>
    <w:rsid w:val="00E3122E"/>
    <w:rsid w:val="00E312FA"/>
    <w:rsid w:val="00E31313"/>
    <w:rsid w:val="00E315E1"/>
    <w:rsid w:val="00E3169C"/>
    <w:rsid w:val="00E316E9"/>
    <w:rsid w:val="00E31702"/>
    <w:rsid w:val="00E31706"/>
    <w:rsid w:val="00E3183D"/>
    <w:rsid w:val="00E31887"/>
    <w:rsid w:val="00E318C3"/>
    <w:rsid w:val="00E3194A"/>
    <w:rsid w:val="00E31A22"/>
    <w:rsid w:val="00E31A3B"/>
    <w:rsid w:val="00E31AC6"/>
    <w:rsid w:val="00E31B6A"/>
    <w:rsid w:val="00E31B75"/>
    <w:rsid w:val="00E31C7C"/>
    <w:rsid w:val="00E31D11"/>
    <w:rsid w:val="00E31DF0"/>
    <w:rsid w:val="00E31E38"/>
    <w:rsid w:val="00E31FFE"/>
    <w:rsid w:val="00E32010"/>
    <w:rsid w:val="00E320F7"/>
    <w:rsid w:val="00E32397"/>
    <w:rsid w:val="00E3242E"/>
    <w:rsid w:val="00E32470"/>
    <w:rsid w:val="00E3298E"/>
    <w:rsid w:val="00E32A2F"/>
    <w:rsid w:val="00E32B32"/>
    <w:rsid w:val="00E32B52"/>
    <w:rsid w:val="00E32BC4"/>
    <w:rsid w:val="00E32C11"/>
    <w:rsid w:val="00E32D33"/>
    <w:rsid w:val="00E32E51"/>
    <w:rsid w:val="00E330C0"/>
    <w:rsid w:val="00E330C9"/>
    <w:rsid w:val="00E3314A"/>
    <w:rsid w:val="00E33208"/>
    <w:rsid w:val="00E3330E"/>
    <w:rsid w:val="00E33451"/>
    <w:rsid w:val="00E334B3"/>
    <w:rsid w:val="00E3351F"/>
    <w:rsid w:val="00E33771"/>
    <w:rsid w:val="00E337ED"/>
    <w:rsid w:val="00E33845"/>
    <w:rsid w:val="00E33992"/>
    <w:rsid w:val="00E33998"/>
    <w:rsid w:val="00E339BC"/>
    <w:rsid w:val="00E33C8E"/>
    <w:rsid w:val="00E33D44"/>
    <w:rsid w:val="00E33E8E"/>
    <w:rsid w:val="00E33EE9"/>
    <w:rsid w:val="00E33EF2"/>
    <w:rsid w:val="00E33F2C"/>
    <w:rsid w:val="00E33F87"/>
    <w:rsid w:val="00E33FFF"/>
    <w:rsid w:val="00E3411A"/>
    <w:rsid w:val="00E34123"/>
    <w:rsid w:val="00E341A7"/>
    <w:rsid w:val="00E341BA"/>
    <w:rsid w:val="00E34257"/>
    <w:rsid w:val="00E3436A"/>
    <w:rsid w:val="00E346BF"/>
    <w:rsid w:val="00E34838"/>
    <w:rsid w:val="00E348AD"/>
    <w:rsid w:val="00E34BC3"/>
    <w:rsid w:val="00E34F63"/>
    <w:rsid w:val="00E35019"/>
    <w:rsid w:val="00E3502C"/>
    <w:rsid w:val="00E35634"/>
    <w:rsid w:val="00E35727"/>
    <w:rsid w:val="00E35812"/>
    <w:rsid w:val="00E35952"/>
    <w:rsid w:val="00E35966"/>
    <w:rsid w:val="00E35A1F"/>
    <w:rsid w:val="00E35C32"/>
    <w:rsid w:val="00E35C65"/>
    <w:rsid w:val="00E35DB2"/>
    <w:rsid w:val="00E35DD8"/>
    <w:rsid w:val="00E35EAC"/>
    <w:rsid w:val="00E35F1C"/>
    <w:rsid w:val="00E35FBF"/>
    <w:rsid w:val="00E3601C"/>
    <w:rsid w:val="00E36202"/>
    <w:rsid w:val="00E364C7"/>
    <w:rsid w:val="00E36A6D"/>
    <w:rsid w:val="00E36A8B"/>
    <w:rsid w:val="00E36AF2"/>
    <w:rsid w:val="00E36DC1"/>
    <w:rsid w:val="00E3710E"/>
    <w:rsid w:val="00E372DA"/>
    <w:rsid w:val="00E3731A"/>
    <w:rsid w:val="00E373D2"/>
    <w:rsid w:val="00E37450"/>
    <w:rsid w:val="00E37466"/>
    <w:rsid w:val="00E37502"/>
    <w:rsid w:val="00E37772"/>
    <w:rsid w:val="00E37907"/>
    <w:rsid w:val="00E379D1"/>
    <w:rsid w:val="00E37A46"/>
    <w:rsid w:val="00E37BF3"/>
    <w:rsid w:val="00E37C19"/>
    <w:rsid w:val="00E37C5F"/>
    <w:rsid w:val="00E37D00"/>
    <w:rsid w:val="00E37D0A"/>
    <w:rsid w:val="00E37E81"/>
    <w:rsid w:val="00E37EFB"/>
    <w:rsid w:val="00E37FEC"/>
    <w:rsid w:val="00E400B9"/>
    <w:rsid w:val="00E403F8"/>
    <w:rsid w:val="00E405CA"/>
    <w:rsid w:val="00E40911"/>
    <w:rsid w:val="00E40982"/>
    <w:rsid w:val="00E40992"/>
    <w:rsid w:val="00E409A8"/>
    <w:rsid w:val="00E40D03"/>
    <w:rsid w:val="00E40D26"/>
    <w:rsid w:val="00E40D48"/>
    <w:rsid w:val="00E40D66"/>
    <w:rsid w:val="00E40D9D"/>
    <w:rsid w:val="00E40DAE"/>
    <w:rsid w:val="00E40EA9"/>
    <w:rsid w:val="00E40F62"/>
    <w:rsid w:val="00E41016"/>
    <w:rsid w:val="00E412B1"/>
    <w:rsid w:val="00E41437"/>
    <w:rsid w:val="00E41643"/>
    <w:rsid w:val="00E41728"/>
    <w:rsid w:val="00E4172C"/>
    <w:rsid w:val="00E41BC0"/>
    <w:rsid w:val="00E41C8C"/>
    <w:rsid w:val="00E41C8F"/>
    <w:rsid w:val="00E41D22"/>
    <w:rsid w:val="00E41DEC"/>
    <w:rsid w:val="00E41E72"/>
    <w:rsid w:val="00E41FF1"/>
    <w:rsid w:val="00E4205A"/>
    <w:rsid w:val="00E425C7"/>
    <w:rsid w:val="00E42677"/>
    <w:rsid w:val="00E4280E"/>
    <w:rsid w:val="00E428D5"/>
    <w:rsid w:val="00E42ACE"/>
    <w:rsid w:val="00E42B8C"/>
    <w:rsid w:val="00E42BC8"/>
    <w:rsid w:val="00E42CE5"/>
    <w:rsid w:val="00E42E22"/>
    <w:rsid w:val="00E42E32"/>
    <w:rsid w:val="00E42E3F"/>
    <w:rsid w:val="00E42E5A"/>
    <w:rsid w:val="00E42FB0"/>
    <w:rsid w:val="00E43161"/>
    <w:rsid w:val="00E43249"/>
    <w:rsid w:val="00E43359"/>
    <w:rsid w:val="00E434F1"/>
    <w:rsid w:val="00E436A2"/>
    <w:rsid w:val="00E436C9"/>
    <w:rsid w:val="00E43818"/>
    <w:rsid w:val="00E4384F"/>
    <w:rsid w:val="00E43A00"/>
    <w:rsid w:val="00E43B88"/>
    <w:rsid w:val="00E43B96"/>
    <w:rsid w:val="00E43BE4"/>
    <w:rsid w:val="00E43EEF"/>
    <w:rsid w:val="00E441AE"/>
    <w:rsid w:val="00E444B1"/>
    <w:rsid w:val="00E448D4"/>
    <w:rsid w:val="00E448FE"/>
    <w:rsid w:val="00E44937"/>
    <w:rsid w:val="00E4498B"/>
    <w:rsid w:val="00E44D35"/>
    <w:rsid w:val="00E44D47"/>
    <w:rsid w:val="00E44E5F"/>
    <w:rsid w:val="00E44E86"/>
    <w:rsid w:val="00E4503A"/>
    <w:rsid w:val="00E450DC"/>
    <w:rsid w:val="00E45248"/>
    <w:rsid w:val="00E4524C"/>
    <w:rsid w:val="00E45272"/>
    <w:rsid w:val="00E45483"/>
    <w:rsid w:val="00E454C4"/>
    <w:rsid w:val="00E458D8"/>
    <w:rsid w:val="00E45937"/>
    <w:rsid w:val="00E45980"/>
    <w:rsid w:val="00E45C1A"/>
    <w:rsid w:val="00E45CBB"/>
    <w:rsid w:val="00E45E68"/>
    <w:rsid w:val="00E460E4"/>
    <w:rsid w:val="00E46209"/>
    <w:rsid w:val="00E46538"/>
    <w:rsid w:val="00E466B8"/>
    <w:rsid w:val="00E46776"/>
    <w:rsid w:val="00E467A2"/>
    <w:rsid w:val="00E467A6"/>
    <w:rsid w:val="00E46B36"/>
    <w:rsid w:val="00E46D7A"/>
    <w:rsid w:val="00E47035"/>
    <w:rsid w:val="00E470A7"/>
    <w:rsid w:val="00E4714E"/>
    <w:rsid w:val="00E471CC"/>
    <w:rsid w:val="00E473A7"/>
    <w:rsid w:val="00E477E6"/>
    <w:rsid w:val="00E47818"/>
    <w:rsid w:val="00E4796F"/>
    <w:rsid w:val="00E479E8"/>
    <w:rsid w:val="00E47BE6"/>
    <w:rsid w:val="00E47C41"/>
    <w:rsid w:val="00E47C76"/>
    <w:rsid w:val="00E47C7D"/>
    <w:rsid w:val="00E47D43"/>
    <w:rsid w:val="00E47D44"/>
    <w:rsid w:val="00E47E11"/>
    <w:rsid w:val="00E47E28"/>
    <w:rsid w:val="00E47E41"/>
    <w:rsid w:val="00E50635"/>
    <w:rsid w:val="00E5069E"/>
    <w:rsid w:val="00E50733"/>
    <w:rsid w:val="00E508E7"/>
    <w:rsid w:val="00E509E3"/>
    <w:rsid w:val="00E50A42"/>
    <w:rsid w:val="00E50A88"/>
    <w:rsid w:val="00E50B5E"/>
    <w:rsid w:val="00E50C5D"/>
    <w:rsid w:val="00E50CB1"/>
    <w:rsid w:val="00E51006"/>
    <w:rsid w:val="00E510C8"/>
    <w:rsid w:val="00E510E7"/>
    <w:rsid w:val="00E512D7"/>
    <w:rsid w:val="00E516C8"/>
    <w:rsid w:val="00E518A7"/>
    <w:rsid w:val="00E518CB"/>
    <w:rsid w:val="00E51B0B"/>
    <w:rsid w:val="00E51C3B"/>
    <w:rsid w:val="00E51CE8"/>
    <w:rsid w:val="00E51DA0"/>
    <w:rsid w:val="00E520CA"/>
    <w:rsid w:val="00E52672"/>
    <w:rsid w:val="00E528E7"/>
    <w:rsid w:val="00E529F5"/>
    <w:rsid w:val="00E52C6A"/>
    <w:rsid w:val="00E52DD8"/>
    <w:rsid w:val="00E53060"/>
    <w:rsid w:val="00E530D3"/>
    <w:rsid w:val="00E53489"/>
    <w:rsid w:val="00E5356B"/>
    <w:rsid w:val="00E53784"/>
    <w:rsid w:val="00E53903"/>
    <w:rsid w:val="00E53E00"/>
    <w:rsid w:val="00E53E26"/>
    <w:rsid w:val="00E54221"/>
    <w:rsid w:val="00E544CC"/>
    <w:rsid w:val="00E54515"/>
    <w:rsid w:val="00E54540"/>
    <w:rsid w:val="00E5464B"/>
    <w:rsid w:val="00E54689"/>
    <w:rsid w:val="00E54736"/>
    <w:rsid w:val="00E547BD"/>
    <w:rsid w:val="00E5496A"/>
    <w:rsid w:val="00E54D2A"/>
    <w:rsid w:val="00E54E49"/>
    <w:rsid w:val="00E54F47"/>
    <w:rsid w:val="00E54FE2"/>
    <w:rsid w:val="00E550A6"/>
    <w:rsid w:val="00E550B8"/>
    <w:rsid w:val="00E55355"/>
    <w:rsid w:val="00E5538C"/>
    <w:rsid w:val="00E553BD"/>
    <w:rsid w:val="00E55545"/>
    <w:rsid w:val="00E557BD"/>
    <w:rsid w:val="00E5582B"/>
    <w:rsid w:val="00E55855"/>
    <w:rsid w:val="00E5597C"/>
    <w:rsid w:val="00E559B1"/>
    <w:rsid w:val="00E559C4"/>
    <w:rsid w:val="00E559CB"/>
    <w:rsid w:val="00E55CA0"/>
    <w:rsid w:val="00E55CFF"/>
    <w:rsid w:val="00E55D9C"/>
    <w:rsid w:val="00E55F3D"/>
    <w:rsid w:val="00E55F75"/>
    <w:rsid w:val="00E55FBE"/>
    <w:rsid w:val="00E56092"/>
    <w:rsid w:val="00E5612D"/>
    <w:rsid w:val="00E56343"/>
    <w:rsid w:val="00E5640E"/>
    <w:rsid w:val="00E564ED"/>
    <w:rsid w:val="00E5650A"/>
    <w:rsid w:val="00E56700"/>
    <w:rsid w:val="00E56A7E"/>
    <w:rsid w:val="00E56C42"/>
    <w:rsid w:val="00E56CEB"/>
    <w:rsid w:val="00E56E30"/>
    <w:rsid w:val="00E56FD6"/>
    <w:rsid w:val="00E5726F"/>
    <w:rsid w:val="00E5745A"/>
    <w:rsid w:val="00E574EC"/>
    <w:rsid w:val="00E5774D"/>
    <w:rsid w:val="00E57800"/>
    <w:rsid w:val="00E5799D"/>
    <w:rsid w:val="00E579AF"/>
    <w:rsid w:val="00E57ABD"/>
    <w:rsid w:val="00E57E14"/>
    <w:rsid w:val="00E57F9C"/>
    <w:rsid w:val="00E57FE0"/>
    <w:rsid w:val="00E58222"/>
    <w:rsid w:val="00E605BD"/>
    <w:rsid w:val="00E607C2"/>
    <w:rsid w:val="00E60838"/>
    <w:rsid w:val="00E60AC4"/>
    <w:rsid w:val="00E60C85"/>
    <w:rsid w:val="00E60CA2"/>
    <w:rsid w:val="00E60D43"/>
    <w:rsid w:val="00E60E5E"/>
    <w:rsid w:val="00E610BF"/>
    <w:rsid w:val="00E61159"/>
    <w:rsid w:val="00E61294"/>
    <w:rsid w:val="00E612B6"/>
    <w:rsid w:val="00E61380"/>
    <w:rsid w:val="00E6150D"/>
    <w:rsid w:val="00E615CC"/>
    <w:rsid w:val="00E615F9"/>
    <w:rsid w:val="00E6166E"/>
    <w:rsid w:val="00E617EA"/>
    <w:rsid w:val="00E6186D"/>
    <w:rsid w:val="00E6193C"/>
    <w:rsid w:val="00E6194A"/>
    <w:rsid w:val="00E61A7E"/>
    <w:rsid w:val="00E61BB1"/>
    <w:rsid w:val="00E61CE6"/>
    <w:rsid w:val="00E61DE7"/>
    <w:rsid w:val="00E61ED1"/>
    <w:rsid w:val="00E61EE7"/>
    <w:rsid w:val="00E61F09"/>
    <w:rsid w:val="00E61FA6"/>
    <w:rsid w:val="00E620B4"/>
    <w:rsid w:val="00E62158"/>
    <w:rsid w:val="00E621AA"/>
    <w:rsid w:val="00E6229B"/>
    <w:rsid w:val="00E62348"/>
    <w:rsid w:val="00E625FA"/>
    <w:rsid w:val="00E626A8"/>
    <w:rsid w:val="00E62850"/>
    <w:rsid w:val="00E6287B"/>
    <w:rsid w:val="00E62AC6"/>
    <w:rsid w:val="00E62BC2"/>
    <w:rsid w:val="00E62D66"/>
    <w:rsid w:val="00E62E51"/>
    <w:rsid w:val="00E62E8D"/>
    <w:rsid w:val="00E62EE9"/>
    <w:rsid w:val="00E62F49"/>
    <w:rsid w:val="00E6312C"/>
    <w:rsid w:val="00E63144"/>
    <w:rsid w:val="00E63383"/>
    <w:rsid w:val="00E6341F"/>
    <w:rsid w:val="00E637B4"/>
    <w:rsid w:val="00E63A00"/>
    <w:rsid w:val="00E63B41"/>
    <w:rsid w:val="00E63B53"/>
    <w:rsid w:val="00E63C11"/>
    <w:rsid w:val="00E63C1D"/>
    <w:rsid w:val="00E63D4A"/>
    <w:rsid w:val="00E63DAA"/>
    <w:rsid w:val="00E63E74"/>
    <w:rsid w:val="00E63EEF"/>
    <w:rsid w:val="00E64020"/>
    <w:rsid w:val="00E64150"/>
    <w:rsid w:val="00E642F2"/>
    <w:rsid w:val="00E643F4"/>
    <w:rsid w:val="00E6456E"/>
    <w:rsid w:val="00E6474E"/>
    <w:rsid w:val="00E64873"/>
    <w:rsid w:val="00E64AD4"/>
    <w:rsid w:val="00E64BA6"/>
    <w:rsid w:val="00E64CB2"/>
    <w:rsid w:val="00E64F4F"/>
    <w:rsid w:val="00E64F5F"/>
    <w:rsid w:val="00E64F9C"/>
    <w:rsid w:val="00E650A8"/>
    <w:rsid w:val="00E65205"/>
    <w:rsid w:val="00E65313"/>
    <w:rsid w:val="00E6537F"/>
    <w:rsid w:val="00E65381"/>
    <w:rsid w:val="00E654B9"/>
    <w:rsid w:val="00E654C6"/>
    <w:rsid w:val="00E65564"/>
    <w:rsid w:val="00E65672"/>
    <w:rsid w:val="00E6570D"/>
    <w:rsid w:val="00E65809"/>
    <w:rsid w:val="00E65951"/>
    <w:rsid w:val="00E65A28"/>
    <w:rsid w:val="00E65BEA"/>
    <w:rsid w:val="00E65D1A"/>
    <w:rsid w:val="00E65DA8"/>
    <w:rsid w:val="00E65F9A"/>
    <w:rsid w:val="00E66082"/>
    <w:rsid w:val="00E661FC"/>
    <w:rsid w:val="00E6627C"/>
    <w:rsid w:val="00E66429"/>
    <w:rsid w:val="00E664FC"/>
    <w:rsid w:val="00E66760"/>
    <w:rsid w:val="00E66977"/>
    <w:rsid w:val="00E66F57"/>
    <w:rsid w:val="00E66FAD"/>
    <w:rsid w:val="00E67221"/>
    <w:rsid w:val="00E67242"/>
    <w:rsid w:val="00E672F6"/>
    <w:rsid w:val="00E673E0"/>
    <w:rsid w:val="00E67653"/>
    <w:rsid w:val="00E676CB"/>
    <w:rsid w:val="00E676D0"/>
    <w:rsid w:val="00E67746"/>
    <w:rsid w:val="00E67767"/>
    <w:rsid w:val="00E67C82"/>
    <w:rsid w:val="00E70010"/>
    <w:rsid w:val="00E7004C"/>
    <w:rsid w:val="00E70076"/>
    <w:rsid w:val="00E70142"/>
    <w:rsid w:val="00E701E8"/>
    <w:rsid w:val="00E7093A"/>
    <w:rsid w:val="00E70A54"/>
    <w:rsid w:val="00E70B9D"/>
    <w:rsid w:val="00E70BF7"/>
    <w:rsid w:val="00E70CED"/>
    <w:rsid w:val="00E70DED"/>
    <w:rsid w:val="00E70E7D"/>
    <w:rsid w:val="00E71146"/>
    <w:rsid w:val="00E711DF"/>
    <w:rsid w:val="00E712F2"/>
    <w:rsid w:val="00E7131F"/>
    <w:rsid w:val="00E713BA"/>
    <w:rsid w:val="00E715BC"/>
    <w:rsid w:val="00E71955"/>
    <w:rsid w:val="00E7197B"/>
    <w:rsid w:val="00E71A90"/>
    <w:rsid w:val="00E71EB6"/>
    <w:rsid w:val="00E71FB6"/>
    <w:rsid w:val="00E7202A"/>
    <w:rsid w:val="00E7221D"/>
    <w:rsid w:val="00E7240E"/>
    <w:rsid w:val="00E7248F"/>
    <w:rsid w:val="00E72522"/>
    <w:rsid w:val="00E725ED"/>
    <w:rsid w:val="00E727C4"/>
    <w:rsid w:val="00E72982"/>
    <w:rsid w:val="00E72A5E"/>
    <w:rsid w:val="00E72D4D"/>
    <w:rsid w:val="00E7325A"/>
    <w:rsid w:val="00E733CE"/>
    <w:rsid w:val="00E73560"/>
    <w:rsid w:val="00E737F0"/>
    <w:rsid w:val="00E7384A"/>
    <w:rsid w:val="00E738A4"/>
    <w:rsid w:val="00E73B08"/>
    <w:rsid w:val="00E73C2C"/>
    <w:rsid w:val="00E73CE4"/>
    <w:rsid w:val="00E7415F"/>
    <w:rsid w:val="00E74217"/>
    <w:rsid w:val="00E744C6"/>
    <w:rsid w:val="00E74771"/>
    <w:rsid w:val="00E74934"/>
    <w:rsid w:val="00E74AD9"/>
    <w:rsid w:val="00E74BC5"/>
    <w:rsid w:val="00E74CC7"/>
    <w:rsid w:val="00E74E5E"/>
    <w:rsid w:val="00E74F0D"/>
    <w:rsid w:val="00E75051"/>
    <w:rsid w:val="00E75244"/>
    <w:rsid w:val="00E7537C"/>
    <w:rsid w:val="00E75B93"/>
    <w:rsid w:val="00E75CD2"/>
    <w:rsid w:val="00E75FF0"/>
    <w:rsid w:val="00E7615F"/>
    <w:rsid w:val="00E76219"/>
    <w:rsid w:val="00E762C7"/>
    <w:rsid w:val="00E76527"/>
    <w:rsid w:val="00E765A2"/>
    <w:rsid w:val="00E76628"/>
    <w:rsid w:val="00E7674B"/>
    <w:rsid w:val="00E768B1"/>
    <w:rsid w:val="00E7691E"/>
    <w:rsid w:val="00E76987"/>
    <w:rsid w:val="00E76A5C"/>
    <w:rsid w:val="00E76AE0"/>
    <w:rsid w:val="00E76DA5"/>
    <w:rsid w:val="00E76E6E"/>
    <w:rsid w:val="00E76FE7"/>
    <w:rsid w:val="00E7728D"/>
    <w:rsid w:val="00E77441"/>
    <w:rsid w:val="00E77592"/>
    <w:rsid w:val="00E776DE"/>
    <w:rsid w:val="00E77827"/>
    <w:rsid w:val="00E77869"/>
    <w:rsid w:val="00E77872"/>
    <w:rsid w:val="00E779E0"/>
    <w:rsid w:val="00E779F5"/>
    <w:rsid w:val="00E80053"/>
    <w:rsid w:val="00E80309"/>
    <w:rsid w:val="00E806E9"/>
    <w:rsid w:val="00E8093D"/>
    <w:rsid w:val="00E8099D"/>
    <w:rsid w:val="00E80B28"/>
    <w:rsid w:val="00E80E68"/>
    <w:rsid w:val="00E81029"/>
    <w:rsid w:val="00E8119B"/>
    <w:rsid w:val="00E81328"/>
    <w:rsid w:val="00E8145C"/>
    <w:rsid w:val="00E81638"/>
    <w:rsid w:val="00E816D5"/>
    <w:rsid w:val="00E816F5"/>
    <w:rsid w:val="00E81846"/>
    <w:rsid w:val="00E81871"/>
    <w:rsid w:val="00E81A87"/>
    <w:rsid w:val="00E820E9"/>
    <w:rsid w:val="00E82272"/>
    <w:rsid w:val="00E827CE"/>
    <w:rsid w:val="00E82B04"/>
    <w:rsid w:val="00E82C46"/>
    <w:rsid w:val="00E82FBC"/>
    <w:rsid w:val="00E82FEB"/>
    <w:rsid w:val="00E83099"/>
    <w:rsid w:val="00E83210"/>
    <w:rsid w:val="00E833ED"/>
    <w:rsid w:val="00E83497"/>
    <w:rsid w:val="00E835BC"/>
    <w:rsid w:val="00E8387E"/>
    <w:rsid w:val="00E8391B"/>
    <w:rsid w:val="00E8392F"/>
    <w:rsid w:val="00E83948"/>
    <w:rsid w:val="00E83A77"/>
    <w:rsid w:val="00E83C92"/>
    <w:rsid w:val="00E83CCC"/>
    <w:rsid w:val="00E83CF9"/>
    <w:rsid w:val="00E83E05"/>
    <w:rsid w:val="00E84003"/>
    <w:rsid w:val="00E84030"/>
    <w:rsid w:val="00E840E9"/>
    <w:rsid w:val="00E84283"/>
    <w:rsid w:val="00E843D8"/>
    <w:rsid w:val="00E84421"/>
    <w:rsid w:val="00E84581"/>
    <w:rsid w:val="00E84730"/>
    <w:rsid w:val="00E847D6"/>
    <w:rsid w:val="00E8488E"/>
    <w:rsid w:val="00E84A14"/>
    <w:rsid w:val="00E84C41"/>
    <w:rsid w:val="00E84C82"/>
    <w:rsid w:val="00E84F7B"/>
    <w:rsid w:val="00E850C0"/>
    <w:rsid w:val="00E85626"/>
    <w:rsid w:val="00E85943"/>
    <w:rsid w:val="00E85C25"/>
    <w:rsid w:val="00E85CA9"/>
    <w:rsid w:val="00E86530"/>
    <w:rsid w:val="00E86869"/>
    <w:rsid w:val="00E86A3D"/>
    <w:rsid w:val="00E86A5C"/>
    <w:rsid w:val="00E86B62"/>
    <w:rsid w:val="00E86C0A"/>
    <w:rsid w:val="00E86D64"/>
    <w:rsid w:val="00E86E45"/>
    <w:rsid w:val="00E87018"/>
    <w:rsid w:val="00E87042"/>
    <w:rsid w:val="00E872DD"/>
    <w:rsid w:val="00E87660"/>
    <w:rsid w:val="00E876DF"/>
    <w:rsid w:val="00E877DF"/>
    <w:rsid w:val="00E877E2"/>
    <w:rsid w:val="00E8788D"/>
    <w:rsid w:val="00E878E1"/>
    <w:rsid w:val="00E879B9"/>
    <w:rsid w:val="00E879FC"/>
    <w:rsid w:val="00E87C65"/>
    <w:rsid w:val="00E87E24"/>
    <w:rsid w:val="00E902BB"/>
    <w:rsid w:val="00E90589"/>
    <w:rsid w:val="00E908A3"/>
    <w:rsid w:val="00E908A7"/>
    <w:rsid w:val="00E908F3"/>
    <w:rsid w:val="00E90A03"/>
    <w:rsid w:val="00E90A8A"/>
    <w:rsid w:val="00E90EE0"/>
    <w:rsid w:val="00E91256"/>
    <w:rsid w:val="00E913C4"/>
    <w:rsid w:val="00E913DD"/>
    <w:rsid w:val="00E91422"/>
    <w:rsid w:val="00E9172D"/>
    <w:rsid w:val="00E91A4B"/>
    <w:rsid w:val="00E91C23"/>
    <w:rsid w:val="00E91E51"/>
    <w:rsid w:val="00E91F36"/>
    <w:rsid w:val="00E91F44"/>
    <w:rsid w:val="00E9217F"/>
    <w:rsid w:val="00E9223E"/>
    <w:rsid w:val="00E92246"/>
    <w:rsid w:val="00E92249"/>
    <w:rsid w:val="00E92318"/>
    <w:rsid w:val="00E926B5"/>
    <w:rsid w:val="00E92974"/>
    <w:rsid w:val="00E92A4A"/>
    <w:rsid w:val="00E92BAB"/>
    <w:rsid w:val="00E92CDA"/>
    <w:rsid w:val="00E92D27"/>
    <w:rsid w:val="00E92F98"/>
    <w:rsid w:val="00E9315F"/>
    <w:rsid w:val="00E93170"/>
    <w:rsid w:val="00E93302"/>
    <w:rsid w:val="00E9331D"/>
    <w:rsid w:val="00E93514"/>
    <w:rsid w:val="00E9359A"/>
    <w:rsid w:val="00E935ED"/>
    <w:rsid w:val="00E935EE"/>
    <w:rsid w:val="00E9368E"/>
    <w:rsid w:val="00E939D1"/>
    <w:rsid w:val="00E93AFF"/>
    <w:rsid w:val="00E93C01"/>
    <w:rsid w:val="00E93E80"/>
    <w:rsid w:val="00E93F56"/>
    <w:rsid w:val="00E9401C"/>
    <w:rsid w:val="00E94173"/>
    <w:rsid w:val="00E94261"/>
    <w:rsid w:val="00E94274"/>
    <w:rsid w:val="00E942B7"/>
    <w:rsid w:val="00E94380"/>
    <w:rsid w:val="00E9482A"/>
    <w:rsid w:val="00E948DB"/>
    <w:rsid w:val="00E94C0B"/>
    <w:rsid w:val="00E94D42"/>
    <w:rsid w:val="00E94D99"/>
    <w:rsid w:val="00E94E42"/>
    <w:rsid w:val="00E94EE8"/>
    <w:rsid w:val="00E94FE7"/>
    <w:rsid w:val="00E9502E"/>
    <w:rsid w:val="00E950FA"/>
    <w:rsid w:val="00E95254"/>
    <w:rsid w:val="00E95322"/>
    <w:rsid w:val="00E95427"/>
    <w:rsid w:val="00E95490"/>
    <w:rsid w:val="00E954F9"/>
    <w:rsid w:val="00E9577B"/>
    <w:rsid w:val="00E9579D"/>
    <w:rsid w:val="00E95840"/>
    <w:rsid w:val="00E958BB"/>
    <w:rsid w:val="00E95900"/>
    <w:rsid w:val="00E9599D"/>
    <w:rsid w:val="00E959E7"/>
    <w:rsid w:val="00E95B37"/>
    <w:rsid w:val="00E95BEE"/>
    <w:rsid w:val="00E95D34"/>
    <w:rsid w:val="00E95F71"/>
    <w:rsid w:val="00E9605C"/>
    <w:rsid w:val="00E96245"/>
    <w:rsid w:val="00E9632A"/>
    <w:rsid w:val="00E9644D"/>
    <w:rsid w:val="00E9645E"/>
    <w:rsid w:val="00E96492"/>
    <w:rsid w:val="00E965BA"/>
    <w:rsid w:val="00E966BE"/>
    <w:rsid w:val="00E96703"/>
    <w:rsid w:val="00E968C1"/>
    <w:rsid w:val="00E968DF"/>
    <w:rsid w:val="00E9695D"/>
    <w:rsid w:val="00E969F2"/>
    <w:rsid w:val="00E96E70"/>
    <w:rsid w:val="00E96EA1"/>
    <w:rsid w:val="00E96F97"/>
    <w:rsid w:val="00E9709F"/>
    <w:rsid w:val="00E971F6"/>
    <w:rsid w:val="00E97250"/>
    <w:rsid w:val="00E97484"/>
    <w:rsid w:val="00E9754E"/>
    <w:rsid w:val="00E977AD"/>
    <w:rsid w:val="00E978AB"/>
    <w:rsid w:val="00E9791A"/>
    <w:rsid w:val="00E97A69"/>
    <w:rsid w:val="00E97B3E"/>
    <w:rsid w:val="00E97B92"/>
    <w:rsid w:val="00E97D42"/>
    <w:rsid w:val="00E97D8D"/>
    <w:rsid w:val="00E97E3B"/>
    <w:rsid w:val="00E97EDD"/>
    <w:rsid w:val="00E97FE4"/>
    <w:rsid w:val="00EA0197"/>
    <w:rsid w:val="00EA019E"/>
    <w:rsid w:val="00EA06D3"/>
    <w:rsid w:val="00EA074D"/>
    <w:rsid w:val="00EA0819"/>
    <w:rsid w:val="00EA085E"/>
    <w:rsid w:val="00EA087A"/>
    <w:rsid w:val="00EA0BBA"/>
    <w:rsid w:val="00EA0E54"/>
    <w:rsid w:val="00EA0E93"/>
    <w:rsid w:val="00EA0FF1"/>
    <w:rsid w:val="00EA114B"/>
    <w:rsid w:val="00EA1205"/>
    <w:rsid w:val="00EA1289"/>
    <w:rsid w:val="00EA13A1"/>
    <w:rsid w:val="00EA1510"/>
    <w:rsid w:val="00EA15FC"/>
    <w:rsid w:val="00EA1654"/>
    <w:rsid w:val="00EA16D2"/>
    <w:rsid w:val="00EA1769"/>
    <w:rsid w:val="00EA19B8"/>
    <w:rsid w:val="00EA1A5E"/>
    <w:rsid w:val="00EA1AE0"/>
    <w:rsid w:val="00EA1D06"/>
    <w:rsid w:val="00EA1D68"/>
    <w:rsid w:val="00EA1E34"/>
    <w:rsid w:val="00EA2133"/>
    <w:rsid w:val="00EA23B9"/>
    <w:rsid w:val="00EA2538"/>
    <w:rsid w:val="00EA296B"/>
    <w:rsid w:val="00EA2A51"/>
    <w:rsid w:val="00EA2B2A"/>
    <w:rsid w:val="00EA2CF7"/>
    <w:rsid w:val="00EA2D72"/>
    <w:rsid w:val="00EA2E18"/>
    <w:rsid w:val="00EA2E33"/>
    <w:rsid w:val="00EA2F9D"/>
    <w:rsid w:val="00EA3137"/>
    <w:rsid w:val="00EA31C8"/>
    <w:rsid w:val="00EA31E5"/>
    <w:rsid w:val="00EA322A"/>
    <w:rsid w:val="00EA32AD"/>
    <w:rsid w:val="00EA3671"/>
    <w:rsid w:val="00EA371F"/>
    <w:rsid w:val="00EA3892"/>
    <w:rsid w:val="00EA38BF"/>
    <w:rsid w:val="00EA39FA"/>
    <w:rsid w:val="00EA3C51"/>
    <w:rsid w:val="00EA3E8F"/>
    <w:rsid w:val="00EA3F15"/>
    <w:rsid w:val="00EA3F66"/>
    <w:rsid w:val="00EA427A"/>
    <w:rsid w:val="00EA4448"/>
    <w:rsid w:val="00EA4731"/>
    <w:rsid w:val="00EA4A3F"/>
    <w:rsid w:val="00EA4AFB"/>
    <w:rsid w:val="00EA4CA4"/>
    <w:rsid w:val="00EA4EB3"/>
    <w:rsid w:val="00EA4F47"/>
    <w:rsid w:val="00EA50EC"/>
    <w:rsid w:val="00EA5236"/>
    <w:rsid w:val="00EA5351"/>
    <w:rsid w:val="00EA5590"/>
    <w:rsid w:val="00EA55D5"/>
    <w:rsid w:val="00EA55FD"/>
    <w:rsid w:val="00EA5921"/>
    <w:rsid w:val="00EA5947"/>
    <w:rsid w:val="00EA5D78"/>
    <w:rsid w:val="00EA5D7A"/>
    <w:rsid w:val="00EA5E4A"/>
    <w:rsid w:val="00EA5E8A"/>
    <w:rsid w:val="00EA5EFE"/>
    <w:rsid w:val="00EA62BD"/>
    <w:rsid w:val="00EA6365"/>
    <w:rsid w:val="00EA6375"/>
    <w:rsid w:val="00EA63DB"/>
    <w:rsid w:val="00EA6BE9"/>
    <w:rsid w:val="00EA6CF5"/>
    <w:rsid w:val="00EA6DBD"/>
    <w:rsid w:val="00EA6EE9"/>
    <w:rsid w:val="00EA72B6"/>
    <w:rsid w:val="00EA7591"/>
    <w:rsid w:val="00EA775D"/>
    <w:rsid w:val="00EA7772"/>
    <w:rsid w:val="00EA79B1"/>
    <w:rsid w:val="00EA7AA9"/>
    <w:rsid w:val="00EA7D3F"/>
    <w:rsid w:val="00EA7E5A"/>
    <w:rsid w:val="00EB00ED"/>
    <w:rsid w:val="00EB017B"/>
    <w:rsid w:val="00EB0271"/>
    <w:rsid w:val="00EB0320"/>
    <w:rsid w:val="00EB0361"/>
    <w:rsid w:val="00EB05E8"/>
    <w:rsid w:val="00EB0917"/>
    <w:rsid w:val="00EB0B69"/>
    <w:rsid w:val="00EB0C07"/>
    <w:rsid w:val="00EB0DEA"/>
    <w:rsid w:val="00EB0E66"/>
    <w:rsid w:val="00EB0EFF"/>
    <w:rsid w:val="00EB1182"/>
    <w:rsid w:val="00EB121A"/>
    <w:rsid w:val="00EB1283"/>
    <w:rsid w:val="00EB1290"/>
    <w:rsid w:val="00EB1389"/>
    <w:rsid w:val="00EB15C5"/>
    <w:rsid w:val="00EB16D7"/>
    <w:rsid w:val="00EB18E2"/>
    <w:rsid w:val="00EB191B"/>
    <w:rsid w:val="00EB1B63"/>
    <w:rsid w:val="00EB1B67"/>
    <w:rsid w:val="00EB1BEE"/>
    <w:rsid w:val="00EB1C14"/>
    <w:rsid w:val="00EB1E86"/>
    <w:rsid w:val="00EB1F63"/>
    <w:rsid w:val="00EB1F82"/>
    <w:rsid w:val="00EB2007"/>
    <w:rsid w:val="00EB2533"/>
    <w:rsid w:val="00EB25F2"/>
    <w:rsid w:val="00EB2625"/>
    <w:rsid w:val="00EB2691"/>
    <w:rsid w:val="00EB27BC"/>
    <w:rsid w:val="00EB2923"/>
    <w:rsid w:val="00EB2967"/>
    <w:rsid w:val="00EB2C16"/>
    <w:rsid w:val="00EB2CE2"/>
    <w:rsid w:val="00EB2F66"/>
    <w:rsid w:val="00EB31A3"/>
    <w:rsid w:val="00EB31C7"/>
    <w:rsid w:val="00EB3236"/>
    <w:rsid w:val="00EB3410"/>
    <w:rsid w:val="00EB3457"/>
    <w:rsid w:val="00EB3764"/>
    <w:rsid w:val="00EB3987"/>
    <w:rsid w:val="00EB3BD8"/>
    <w:rsid w:val="00EB3C9C"/>
    <w:rsid w:val="00EB3F60"/>
    <w:rsid w:val="00EB432C"/>
    <w:rsid w:val="00EB4456"/>
    <w:rsid w:val="00EB45E8"/>
    <w:rsid w:val="00EB48E6"/>
    <w:rsid w:val="00EB4C14"/>
    <w:rsid w:val="00EB4CA2"/>
    <w:rsid w:val="00EB4CBD"/>
    <w:rsid w:val="00EB4D67"/>
    <w:rsid w:val="00EB4DFA"/>
    <w:rsid w:val="00EB4FE4"/>
    <w:rsid w:val="00EB5066"/>
    <w:rsid w:val="00EB509F"/>
    <w:rsid w:val="00EB51B1"/>
    <w:rsid w:val="00EB531E"/>
    <w:rsid w:val="00EB5498"/>
    <w:rsid w:val="00EB579C"/>
    <w:rsid w:val="00EB57A0"/>
    <w:rsid w:val="00EB5869"/>
    <w:rsid w:val="00EB5927"/>
    <w:rsid w:val="00EB5A6B"/>
    <w:rsid w:val="00EB5B56"/>
    <w:rsid w:val="00EB5B6A"/>
    <w:rsid w:val="00EB5DC9"/>
    <w:rsid w:val="00EB5EEC"/>
    <w:rsid w:val="00EB624B"/>
    <w:rsid w:val="00EB62E4"/>
    <w:rsid w:val="00EB66D3"/>
    <w:rsid w:val="00EB6991"/>
    <w:rsid w:val="00EB6A32"/>
    <w:rsid w:val="00EB6CCD"/>
    <w:rsid w:val="00EB6D25"/>
    <w:rsid w:val="00EB6EA8"/>
    <w:rsid w:val="00EB6EEA"/>
    <w:rsid w:val="00EB723B"/>
    <w:rsid w:val="00EB73E1"/>
    <w:rsid w:val="00EB7432"/>
    <w:rsid w:val="00EB7547"/>
    <w:rsid w:val="00EB7857"/>
    <w:rsid w:val="00EB7967"/>
    <w:rsid w:val="00EB79F1"/>
    <w:rsid w:val="00EB79FB"/>
    <w:rsid w:val="00EB7AEC"/>
    <w:rsid w:val="00EB7B84"/>
    <w:rsid w:val="00EB7D15"/>
    <w:rsid w:val="00EB7D73"/>
    <w:rsid w:val="00EB7EFA"/>
    <w:rsid w:val="00EB7F06"/>
    <w:rsid w:val="00EC001C"/>
    <w:rsid w:val="00EC03C4"/>
    <w:rsid w:val="00EC068B"/>
    <w:rsid w:val="00EC0972"/>
    <w:rsid w:val="00EC0978"/>
    <w:rsid w:val="00EC0AED"/>
    <w:rsid w:val="00EC0BE4"/>
    <w:rsid w:val="00EC0ED7"/>
    <w:rsid w:val="00EC0F1F"/>
    <w:rsid w:val="00EC1044"/>
    <w:rsid w:val="00EC107E"/>
    <w:rsid w:val="00EC1127"/>
    <w:rsid w:val="00EC11EF"/>
    <w:rsid w:val="00EC12BF"/>
    <w:rsid w:val="00EC1871"/>
    <w:rsid w:val="00EC1AF4"/>
    <w:rsid w:val="00EC1B29"/>
    <w:rsid w:val="00EC1F64"/>
    <w:rsid w:val="00EC21D5"/>
    <w:rsid w:val="00EC27B6"/>
    <w:rsid w:val="00EC2ACE"/>
    <w:rsid w:val="00EC2B1B"/>
    <w:rsid w:val="00EC2F06"/>
    <w:rsid w:val="00EC2F88"/>
    <w:rsid w:val="00EC300D"/>
    <w:rsid w:val="00EC30B4"/>
    <w:rsid w:val="00EC30C2"/>
    <w:rsid w:val="00EC33A0"/>
    <w:rsid w:val="00EC377B"/>
    <w:rsid w:val="00EC3997"/>
    <w:rsid w:val="00EC3A36"/>
    <w:rsid w:val="00EC3BB6"/>
    <w:rsid w:val="00EC3D96"/>
    <w:rsid w:val="00EC3DB2"/>
    <w:rsid w:val="00EC41F2"/>
    <w:rsid w:val="00EC4287"/>
    <w:rsid w:val="00EC42C9"/>
    <w:rsid w:val="00EC439D"/>
    <w:rsid w:val="00EC4628"/>
    <w:rsid w:val="00EC46F6"/>
    <w:rsid w:val="00EC4767"/>
    <w:rsid w:val="00EC4836"/>
    <w:rsid w:val="00EC48C8"/>
    <w:rsid w:val="00EC4919"/>
    <w:rsid w:val="00EC4922"/>
    <w:rsid w:val="00EC4A12"/>
    <w:rsid w:val="00EC4B07"/>
    <w:rsid w:val="00EC4B4F"/>
    <w:rsid w:val="00EC4B7F"/>
    <w:rsid w:val="00EC4DA8"/>
    <w:rsid w:val="00EC500F"/>
    <w:rsid w:val="00EC5088"/>
    <w:rsid w:val="00EC5385"/>
    <w:rsid w:val="00EC53BF"/>
    <w:rsid w:val="00EC5637"/>
    <w:rsid w:val="00EC5645"/>
    <w:rsid w:val="00EC565E"/>
    <w:rsid w:val="00EC5908"/>
    <w:rsid w:val="00EC5973"/>
    <w:rsid w:val="00EC5A0D"/>
    <w:rsid w:val="00EC5A80"/>
    <w:rsid w:val="00EC5CFE"/>
    <w:rsid w:val="00EC60F9"/>
    <w:rsid w:val="00EC6104"/>
    <w:rsid w:val="00EC61A1"/>
    <w:rsid w:val="00EC6204"/>
    <w:rsid w:val="00EC633F"/>
    <w:rsid w:val="00EC6365"/>
    <w:rsid w:val="00EC64AE"/>
    <w:rsid w:val="00EC6510"/>
    <w:rsid w:val="00EC6548"/>
    <w:rsid w:val="00EC6693"/>
    <w:rsid w:val="00EC6782"/>
    <w:rsid w:val="00EC6ADE"/>
    <w:rsid w:val="00EC6B76"/>
    <w:rsid w:val="00EC6B7B"/>
    <w:rsid w:val="00EC6D2A"/>
    <w:rsid w:val="00EC6E87"/>
    <w:rsid w:val="00EC6E96"/>
    <w:rsid w:val="00EC7080"/>
    <w:rsid w:val="00EC72E9"/>
    <w:rsid w:val="00EC7594"/>
    <w:rsid w:val="00EC7762"/>
    <w:rsid w:val="00EC779B"/>
    <w:rsid w:val="00EC79C6"/>
    <w:rsid w:val="00EC7A3F"/>
    <w:rsid w:val="00EC7B3D"/>
    <w:rsid w:val="00EC7B5E"/>
    <w:rsid w:val="00EC7D78"/>
    <w:rsid w:val="00ED041B"/>
    <w:rsid w:val="00ED0506"/>
    <w:rsid w:val="00ED06D1"/>
    <w:rsid w:val="00ED078B"/>
    <w:rsid w:val="00ED0810"/>
    <w:rsid w:val="00ED0B26"/>
    <w:rsid w:val="00ED0BAF"/>
    <w:rsid w:val="00ED0F63"/>
    <w:rsid w:val="00ED0FAA"/>
    <w:rsid w:val="00ED0FB6"/>
    <w:rsid w:val="00ED1062"/>
    <w:rsid w:val="00ED116C"/>
    <w:rsid w:val="00ED1208"/>
    <w:rsid w:val="00ED1864"/>
    <w:rsid w:val="00ED18AE"/>
    <w:rsid w:val="00ED18E5"/>
    <w:rsid w:val="00ED1C43"/>
    <w:rsid w:val="00ED1C6F"/>
    <w:rsid w:val="00ED1F52"/>
    <w:rsid w:val="00ED1F5A"/>
    <w:rsid w:val="00ED1F86"/>
    <w:rsid w:val="00ED1FB3"/>
    <w:rsid w:val="00ED1FC8"/>
    <w:rsid w:val="00ED2015"/>
    <w:rsid w:val="00ED2029"/>
    <w:rsid w:val="00ED22AD"/>
    <w:rsid w:val="00ED2313"/>
    <w:rsid w:val="00ED23A6"/>
    <w:rsid w:val="00ED267C"/>
    <w:rsid w:val="00ED26B0"/>
    <w:rsid w:val="00ED26D1"/>
    <w:rsid w:val="00ED2744"/>
    <w:rsid w:val="00ED27DC"/>
    <w:rsid w:val="00ED2A68"/>
    <w:rsid w:val="00ED2EA3"/>
    <w:rsid w:val="00ED2F16"/>
    <w:rsid w:val="00ED2F9A"/>
    <w:rsid w:val="00ED2FE3"/>
    <w:rsid w:val="00ED3122"/>
    <w:rsid w:val="00ED32E2"/>
    <w:rsid w:val="00ED34D6"/>
    <w:rsid w:val="00ED351C"/>
    <w:rsid w:val="00ED3644"/>
    <w:rsid w:val="00ED380D"/>
    <w:rsid w:val="00ED3931"/>
    <w:rsid w:val="00ED39BA"/>
    <w:rsid w:val="00ED3A7E"/>
    <w:rsid w:val="00ED3AAA"/>
    <w:rsid w:val="00ED3B33"/>
    <w:rsid w:val="00ED3C3E"/>
    <w:rsid w:val="00ED3CC3"/>
    <w:rsid w:val="00ED3D38"/>
    <w:rsid w:val="00ED3D62"/>
    <w:rsid w:val="00ED49F8"/>
    <w:rsid w:val="00ED49FD"/>
    <w:rsid w:val="00ED4A18"/>
    <w:rsid w:val="00ED4C31"/>
    <w:rsid w:val="00ED4CBA"/>
    <w:rsid w:val="00ED4EAB"/>
    <w:rsid w:val="00ED502E"/>
    <w:rsid w:val="00ED50AD"/>
    <w:rsid w:val="00ED5565"/>
    <w:rsid w:val="00ED563D"/>
    <w:rsid w:val="00ED5731"/>
    <w:rsid w:val="00ED574E"/>
    <w:rsid w:val="00ED58E3"/>
    <w:rsid w:val="00ED58FC"/>
    <w:rsid w:val="00ED58FD"/>
    <w:rsid w:val="00ED5ADC"/>
    <w:rsid w:val="00ED5AFC"/>
    <w:rsid w:val="00ED5B21"/>
    <w:rsid w:val="00ED5E38"/>
    <w:rsid w:val="00ED5FB6"/>
    <w:rsid w:val="00ED6041"/>
    <w:rsid w:val="00ED61A6"/>
    <w:rsid w:val="00ED6212"/>
    <w:rsid w:val="00ED6465"/>
    <w:rsid w:val="00ED66AB"/>
    <w:rsid w:val="00ED694C"/>
    <w:rsid w:val="00ED707E"/>
    <w:rsid w:val="00ED7184"/>
    <w:rsid w:val="00ED749A"/>
    <w:rsid w:val="00ED763F"/>
    <w:rsid w:val="00ED776D"/>
    <w:rsid w:val="00ED790F"/>
    <w:rsid w:val="00ED7A75"/>
    <w:rsid w:val="00ED7B17"/>
    <w:rsid w:val="00ED7B1F"/>
    <w:rsid w:val="00ED7E45"/>
    <w:rsid w:val="00ED7EED"/>
    <w:rsid w:val="00EE01F0"/>
    <w:rsid w:val="00EE0212"/>
    <w:rsid w:val="00EE02AD"/>
    <w:rsid w:val="00EE051B"/>
    <w:rsid w:val="00EE055E"/>
    <w:rsid w:val="00EE07C0"/>
    <w:rsid w:val="00EE0936"/>
    <w:rsid w:val="00EE0D82"/>
    <w:rsid w:val="00EE0EEA"/>
    <w:rsid w:val="00EE0FD3"/>
    <w:rsid w:val="00EE0FD7"/>
    <w:rsid w:val="00EE10BB"/>
    <w:rsid w:val="00EE10C5"/>
    <w:rsid w:val="00EE119D"/>
    <w:rsid w:val="00EE11C5"/>
    <w:rsid w:val="00EE12C4"/>
    <w:rsid w:val="00EE132C"/>
    <w:rsid w:val="00EE13CF"/>
    <w:rsid w:val="00EE14AD"/>
    <w:rsid w:val="00EE1532"/>
    <w:rsid w:val="00EE165D"/>
    <w:rsid w:val="00EE16AB"/>
    <w:rsid w:val="00EE1793"/>
    <w:rsid w:val="00EE18AF"/>
    <w:rsid w:val="00EE1947"/>
    <w:rsid w:val="00EE1B85"/>
    <w:rsid w:val="00EE1C4B"/>
    <w:rsid w:val="00EE1DF2"/>
    <w:rsid w:val="00EE1E15"/>
    <w:rsid w:val="00EE1E56"/>
    <w:rsid w:val="00EE2209"/>
    <w:rsid w:val="00EE22AA"/>
    <w:rsid w:val="00EE2713"/>
    <w:rsid w:val="00EE2886"/>
    <w:rsid w:val="00EE29BE"/>
    <w:rsid w:val="00EE2FAA"/>
    <w:rsid w:val="00EE3149"/>
    <w:rsid w:val="00EE327D"/>
    <w:rsid w:val="00EE337E"/>
    <w:rsid w:val="00EE340F"/>
    <w:rsid w:val="00EE344A"/>
    <w:rsid w:val="00EE3508"/>
    <w:rsid w:val="00EE3639"/>
    <w:rsid w:val="00EE365C"/>
    <w:rsid w:val="00EE36EF"/>
    <w:rsid w:val="00EE375E"/>
    <w:rsid w:val="00EE3781"/>
    <w:rsid w:val="00EE38C8"/>
    <w:rsid w:val="00EE3910"/>
    <w:rsid w:val="00EE39E5"/>
    <w:rsid w:val="00EE3AA4"/>
    <w:rsid w:val="00EE3AD8"/>
    <w:rsid w:val="00EE3B75"/>
    <w:rsid w:val="00EE3CCF"/>
    <w:rsid w:val="00EE3E63"/>
    <w:rsid w:val="00EE3F47"/>
    <w:rsid w:val="00EE4027"/>
    <w:rsid w:val="00EE42EF"/>
    <w:rsid w:val="00EE42FB"/>
    <w:rsid w:val="00EE4490"/>
    <w:rsid w:val="00EE44B4"/>
    <w:rsid w:val="00EE473F"/>
    <w:rsid w:val="00EE4834"/>
    <w:rsid w:val="00EE4872"/>
    <w:rsid w:val="00EE4936"/>
    <w:rsid w:val="00EE4D65"/>
    <w:rsid w:val="00EE4DAB"/>
    <w:rsid w:val="00EE4DD6"/>
    <w:rsid w:val="00EE4EEF"/>
    <w:rsid w:val="00EE512C"/>
    <w:rsid w:val="00EE518F"/>
    <w:rsid w:val="00EE5214"/>
    <w:rsid w:val="00EE52DF"/>
    <w:rsid w:val="00EE53B1"/>
    <w:rsid w:val="00EE5747"/>
    <w:rsid w:val="00EE576B"/>
    <w:rsid w:val="00EE57BE"/>
    <w:rsid w:val="00EE58D4"/>
    <w:rsid w:val="00EE59BD"/>
    <w:rsid w:val="00EE5C9E"/>
    <w:rsid w:val="00EE6076"/>
    <w:rsid w:val="00EE6115"/>
    <w:rsid w:val="00EE6379"/>
    <w:rsid w:val="00EE66A2"/>
    <w:rsid w:val="00EE67CB"/>
    <w:rsid w:val="00EE6832"/>
    <w:rsid w:val="00EE68CF"/>
    <w:rsid w:val="00EE6B72"/>
    <w:rsid w:val="00EE6F29"/>
    <w:rsid w:val="00EE6F69"/>
    <w:rsid w:val="00EE6FF5"/>
    <w:rsid w:val="00EE7108"/>
    <w:rsid w:val="00EE7197"/>
    <w:rsid w:val="00EE72F8"/>
    <w:rsid w:val="00EE72FF"/>
    <w:rsid w:val="00EE765C"/>
    <w:rsid w:val="00EE775B"/>
    <w:rsid w:val="00EE7867"/>
    <w:rsid w:val="00EE7A10"/>
    <w:rsid w:val="00EE7A24"/>
    <w:rsid w:val="00EE7B6F"/>
    <w:rsid w:val="00EE7D01"/>
    <w:rsid w:val="00EE7E3C"/>
    <w:rsid w:val="00EF001E"/>
    <w:rsid w:val="00EF00DC"/>
    <w:rsid w:val="00EF00FE"/>
    <w:rsid w:val="00EF0493"/>
    <w:rsid w:val="00EF0709"/>
    <w:rsid w:val="00EF0A41"/>
    <w:rsid w:val="00EF0B26"/>
    <w:rsid w:val="00EF0B2A"/>
    <w:rsid w:val="00EF0C39"/>
    <w:rsid w:val="00EF0C8C"/>
    <w:rsid w:val="00EF0D49"/>
    <w:rsid w:val="00EF0E3F"/>
    <w:rsid w:val="00EF10D7"/>
    <w:rsid w:val="00EF12F3"/>
    <w:rsid w:val="00EF1322"/>
    <w:rsid w:val="00EF1341"/>
    <w:rsid w:val="00EF1519"/>
    <w:rsid w:val="00EF1605"/>
    <w:rsid w:val="00EF1606"/>
    <w:rsid w:val="00EF166B"/>
    <w:rsid w:val="00EF1755"/>
    <w:rsid w:val="00EF189C"/>
    <w:rsid w:val="00EF193A"/>
    <w:rsid w:val="00EF1971"/>
    <w:rsid w:val="00EF2031"/>
    <w:rsid w:val="00EF21A7"/>
    <w:rsid w:val="00EF2380"/>
    <w:rsid w:val="00EF23CF"/>
    <w:rsid w:val="00EF2613"/>
    <w:rsid w:val="00EF262E"/>
    <w:rsid w:val="00EF2906"/>
    <w:rsid w:val="00EF2BB9"/>
    <w:rsid w:val="00EF2DD0"/>
    <w:rsid w:val="00EF2E33"/>
    <w:rsid w:val="00EF3149"/>
    <w:rsid w:val="00EF3242"/>
    <w:rsid w:val="00EF34E8"/>
    <w:rsid w:val="00EF3675"/>
    <w:rsid w:val="00EF3738"/>
    <w:rsid w:val="00EF3850"/>
    <w:rsid w:val="00EF39FC"/>
    <w:rsid w:val="00EF3A56"/>
    <w:rsid w:val="00EF3A6F"/>
    <w:rsid w:val="00EF3ADB"/>
    <w:rsid w:val="00EF3D58"/>
    <w:rsid w:val="00EF3D88"/>
    <w:rsid w:val="00EF3DA4"/>
    <w:rsid w:val="00EF3F33"/>
    <w:rsid w:val="00EF3F6F"/>
    <w:rsid w:val="00EF4297"/>
    <w:rsid w:val="00EF43A9"/>
    <w:rsid w:val="00EF46BE"/>
    <w:rsid w:val="00EF4C5A"/>
    <w:rsid w:val="00EF4C94"/>
    <w:rsid w:val="00EF4D81"/>
    <w:rsid w:val="00EF4EA1"/>
    <w:rsid w:val="00EF4F80"/>
    <w:rsid w:val="00EF5146"/>
    <w:rsid w:val="00EF52AC"/>
    <w:rsid w:val="00EF5336"/>
    <w:rsid w:val="00EF5515"/>
    <w:rsid w:val="00EF5597"/>
    <w:rsid w:val="00EF55AD"/>
    <w:rsid w:val="00EF5776"/>
    <w:rsid w:val="00EF5935"/>
    <w:rsid w:val="00EF59BE"/>
    <w:rsid w:val="00EF59C7"/>
    <w:rsid w:val="00EF5B9A"/>
    <w:rsid w:val="00EF5DEE"/>
    <w:rsid w:val="00EF6353"/>
    <w:rsid w:val="00EF63FB"/>
    <w:rsid w:val="00EF64B4"/>
    <w:rsid w:val="00EF64CC"/>
    <w:rsid w:val="00EF65FE"/>
    <w:rsid w:val="00EF662B"/>
    <w:rsid w:val="00EF6694"/>
    <w:rsid w:val="00EF67F9"/>
    <w:rsid w:val="00EF689C"/>
    <w:rsid w:val="00EF696D"/>
    <w:rsid w:val="00EF6AF1"/>
    <w:rsid w:val="00EF6B1F"/>
    <w:rsid w:val="00EF6DC9"/>
    <w:rsid w:val="00EF6DDE"/>
    <w:rsid w:val="00EF7063"/>
    <w:rsid w:val="00EF7084"/>
    <w:rsid w:val="00EF70CD"/>
    <w:rsid w:val="00EF70EA"/>
    <w:rsid w:val="00EF71F2"/>
    <w:rsid w:val="00EF72AD"/>
    <w:rsid w:val="00EF7898"/>
    <w:rsid w:val="00EF791D"/>
    <w:rsid w:val="00EF7A58"/>
    <w:rsid w:val="00EF7B32"/>
    <w:rsid w:val="00EF7C8A"/>
    <w:rsid w:val="00EF7EB1"/>
    <w:rsid w:val="00EF7ED0"/>
    <w:rsid w:val="00EF7F5E"/>
    <w:rsid w:val="00EFE9A7"/>
    <w:rsid w:val="00F001B3"/>
    <w:rsid w:val="00F00314"/>
    <w:rsid w:val="00F00326"/>
    <w:rsid w:val="00F00357"/>
    <w:rsid w:val="00F00479"/>
    <w:rsid w:val="00F0070C"/>
    <w:rsid w:val="00F00A09"/>
    <w:rsid w:val="00F00B26"/>
    <w:rsid w:val="00F00B4D"/>
    <w:rsid w:val="00F00B8B"/>
    <w:rsid w:val="00F01013"/>
    <w:rsid w:val="00F0106A"/>
    <w:rsid w:val="00F01199"/>
    <w:rsid w:val="00F011B9"/>
    <w:rsid w:val="00F01213"/>
    <w:rsid w:val="00F019DB"/>
    <w:rsid w:val="00F019FB"/>
    <w:rsid w:val="00F01A3C"/>
    <w:rsid w:val="00F01A5E"/>
    <w:rsid w:val="00F01AB4"/>
    <w:rsid w:val="00F01B7D"/>
    <w:rsid w:val="00F01BC1"/>
    <w:rsid w:val="00F01BFF"/>
    <w:rsid w:val="00F01CAE"/>
    <w:rsid w:val="00F01EE5"/>
    <w:rsid w:val="00F02038"/>
    <w:rsid w:val="00F02121"/>
    <w:rsid w:val="00F02360"/>
    <w:rsid w:val="00F0256D"/>
    <w:rsid w:val="00F0263B"/>
    <w:rsid w:val="00F027BF"/>
    <w:rsid w:val="00F02CF9"/>
    <w:rsid w:val="00F02DE4"/>
    <w:rsid w:val="00F030EE"/>
    <w:rsid w:val="00F03276"/>
    <w:rsid w:val="00F03342"/>
    <w:rsid w:val="00F0359A"/>
    <w:rsid w:val="00F03AB3"/>
    <w:rsid w:val="00F03B39"/>
    <w:rsid w:val="00F03C01"/>
    <w:rsid w:val="00F03DD9"/>
    <w:rsid w:val="00F03E08"/>
    <w:rsid w:val="00F03F01"/>
    <w:rsid w:val="00F04052"/>
    <w:rsid w:val="00F042A7"/>
    <w:rsid w:val="00F04579"/>
    <w:rsid w:val="00F0494F"/>
    <w:rsid w:val="00F04BB3"/>
    <w:rsid w:val="00F04E1D"/>
    <w:rsid w:val="00F04E3B"/>
    <w:rsid w:val="00F04FBA"/>
    <w:rsid w:val="00F04FED"/>
    <w:rsid w:val="00F051E1"/>
    <w:rsid w:val="00F052B4"/>
    <w:rsid w:val="00F053AE"/>
    <w:rsid w:val="00F05500"/>
    <w:rsid w:val="00F05607"/>
    <w:rsid w:val="00F05644"/>
    <w:rsid w:val="00F056C3"/>
    <w:rsid w:val="00F05979"/>
    <w:rsid w:val="00F05C62"/>
    <w:rsid w:val="00F05CE6"/>
    <w:rsid w:val="00F05DA5"/>
    <w:rsid w:val="00F06069"/>
    <w:rsid w:val="00F0616F"/>
    <w:rsid w:val="00F0647C"/>
    <w:rsid w:val="00F06482"/>
    <w:rsid w:val="00F06571"/>
    <w:rsid w:val="00F065A7"/>
    <w:rsid w:val="00F06667"/>
    <w:rsid w:val="00F06673"/>
    <w:rsid w:val="00F066CC"/>
    <w:rsid w:val="00F06795"/>
    <w:rsid w:val="00F06805"/>
    <w:rsid w:val="00F06961"/>
    <w:rsid w:val="00F06AE4"/>
    <w:rsid w:val="00F06B88"/>
    <w:rsid w:val="00F06BEA"/>
    <w:rsid w:val="00F06BEB"/>
    <w:rsid w:val="00F06C96"/>
    <w:rsid w:val="00F06D02"/>
    <w:rsid w:val="00F06E53"/>
    <w:rsid w:val="00F06ED0"/>
    <w:rsid w:val="00F06ED5"/>
    <w:rsid w:val="00F06F0A"/>
    <w:rsid w:val="00F06FFC"/>
    <w:rsid w:val="00F071E3"/>
    <w:rsid w:val="00F0724D"/>
    <w:rsid w:val="00F07528"/>
    <w:rsid w:val="00F07571"/>
    <w:rsid w:val="00F0762F"/>
    <w:rsid w:val="00F076E2"/>
    <w:rsid w:val="00F07A96"/>
    <w:rsid w:val="00F07AFE"/>
    <w:rsid w:val="00F07B5C"/>
    <w:rsid w:val="00F07BDB"/>
    <w:rsid w:val="00F1016C"/>
    <w:rsid w:val="00F10287"/>
    <w:rsid w:val="00F1028E"/>
    <w:rsid w:val="00F10327"/>
    <w:rsid w:val="00F10460"/>
    <w:rsid w:val="00F1066F"/>
    <w:rsid w:val="00F1070D"/>
    <w:rsid w:val="00F10779"/>
    <w:rsid w:val="00F10809"/>
    <w:rsid w:val="00F10A38"/>
    <w:rsid w:val="00F10AB3"/>
    <w:rsid w:val="00F10C15"/>
    <w:rsid w:val="00F10C74"/>
    <w:rsid w:val="00F10F34"/>
    <w:rsid w:val="00F111F1"/>
    <w:rsid w:val="00F11356"/>
    <w:rsid w:val="00F114AC"/>
    <w:rsid w:val="00F115F3"/>
    <w:rsid w:val="00F11862"/>
    <w:rsid w:val="00F11ACD"/>
    <w:rsid w:val="00F11E45"/>
    <w:rsid w:val="00F11EEF"/>
    <w:rsid w:val="00F11F28"/>
    <w:rsid w:val="00F12445"/>
    <w:rsid w:val="00F12646"/>
    <w:rsid w:val="00F129AD"/>
    <w:rsid w:val="00F12A2E"/>
    <w:rsid w:val="00F12CBD"/>
    <w:rsid w:val="00F12CFA"/>
    <w:rsid w:val="00F12D8A"/>
    <w:rsid w:val="00F12EE4"/>
    <w:rsid w:val="00F12F8E"/>
    <w:rsid w:val="00F1306E"/>
    <w:rsid w:val="00F1318F"/>
    <w:rsid w:val="00F131C0"/>
    <w:rsid w:val="00F132D1"/>
    <w:rsid w:val="00F133AA"/>
    <w:rsid w:val="00F136AE"/>
    <w:rsid w:val="00F13700"/>
    <w:rsid w:val="00F1391B"/>
    <w:rsid w:val="00F13C8D"/>
    <w:rsid w:val="00F13CAD"/>
    <w:rsid w:val="00F13DEF"/>
    <w:rsid w:val="00F13E3F"/>
    <w:rsid w:val="00F1415F"/>
    <w:rsid w:val="00F14179"/>
    <w:rsid w:val="00F14201"/>
    <w:rsid w:val="00F1424B"/>
    <w:rsid w:val="00F14282"/>
    <w:rsid w:val="00F14323"/>
    <w:rsid w:val="00F14330"/>
    <w:rsid w:val="00F1451E"/>
    <w:rsid w:val="00F145D0"/>
    <w:rsid w:val="00F14634"/>
    <w:rsid w:val="00F14698"/>
    <w:rsid w:val="00F147B1"/>
    <w:rsid w:val="00F149F9"/>
    <w:rsid w:val="00F14CA5"/>
    <w:rsid w:val="00F14D38"/>
    <w:rsid w:val="00F14DA6"/>
    <w:rsid w:val="00F14EE1"/>
    <w:rsid w:val="00F14F6F"/>
    <w:rsid w:val="00F1508C"/>
    <w:rsid w:val="00F15096"/>
    <w:rsid w:val="00F15154"/>
    <w:rsid w:val="00F15193"/>
    <w:rsid w:val="00F151AD"/>
    <w:rsid w:val="00F15213"/>
    <w:rsid w:val="00F15233"/>
    <w:rsid w:val="00F15273"/>
    <w:rsid w:val="00F153FF"/>
    <w:rsid w:val="00F1565F"/>
    <w:rsid w:val="00F15684"/>
    <w:rsid w:val="00F1578E"/>
    <w:rsid w:val="00F157C2"/>
    <w:rsid w:val="00F157E1"/>
    <w:rsid w:val="00F15AD6"/>
    <w:rsid w:val="00F15D69"/>
    <w:rsid w:val="00F15D75"/>
    <w:rsid w:val="00F15FAF"/>
    <w:rsid w:val="00F1619E"/>
    <w:rsid w:val="00F161DC"/>
    <w:rsid w:val="00F1657E"/>
    <w:rsid w:val="00F16694"/>
    <w:rsid w:val="00F1669B"/>
    <w:rsid w:val="00F168BB"/>
    <w:rsid w:val="00F16DCF"/>
    <w:rsid w:val="00F16E7B"/>
    <w:rsid w:val="00F17032"/>
    <w:rsid w:val="00F1703B"/>
    <w:rsid w:val="00F17184"/>
    <w:rsid w:val="00F17455"/>
    <w:rsid w:val="00F178FA"/>
    <w:rsid w:val="00F17A11"/>
    <w:rsid w:val="00F17D83"/>
    <w:rsid w:val="00F20228"/>
    <w:rsid w:val="00F2059D"/>
    <w:rsid w:val="00F20633"/>
    <w:rsid w:val="00F20657"/>
    <w:rsid w:val="00F2066A"/>
    <w:rsid w:val="00F2071D"/>
    <w:rsid w:val="00F20763"/>
    <w:rsid w:val="00F209FA"/>
    <w:rsid w:val="00F20A04"/>
    <w:rsid w:val="00F20E0C"/>
    <w:rsid w:val="00F2128A"/>
    <w:rsid w:val="00F21408"/>
    <w:rsid w:val="00F214E5"/>
    <w:rsid w:val="00F21588"/>
    <w:rsid w:val="00F21673"/>
    <w:rsid w:val="00F2167F"/>
    <w:rsid w:val="00F21965"/>
    <w:rsid w:val="00F2199E"/>
    <w:rsid w:val="00F2199F"/>
    <w:rsid w:val="00F21B22"/>
    <w:rsid w:val="00F21D8E"/>
    <w:rsid w:val="00F21DFC"/>
    <w:rsid w:val="00F22063"/>
    <w:rsid w:val="00F22133"/>
    <w:rsid w:val="00F22170"/>
    <w:rsid w:val="00F2242F"/>
    <w:rsid w:val="00F225DC"/>
    <w:rsid w:val="00F227C8"/>
    <w:rsid w:val="00F22C75"/>
    <w:rsid w:val="00F22CB0"/>
    <w:rsid w:val="00F22D94"/>
    <w:rsid w:val="00F22F40"/>
    <w:rsid w:val="00F23116"/>
    <w:rsid w:val="00F23311"/>
    <w:rsid w:val="00F23348"/>
    <w:rsid w:val="00F23353"/>
    <w:rsid w:val="00F23549"/>
    <w:rsid w:val="00F23587"/>
    <w:rsid w:val="00F23753"/>
    <w:rsid w:val="00F237CC"/>
    <w:rsid w:val="00F2385C"/>
    <w:rsid w:val="00F23997"/>
    <w:rsid w:val="00F23AD2"/>
    <w:rsid w:val="00F23CB7"/>
    <w:rsid w:val="00F23CBF"/>
    <w:rsid w:val="00F23E4C"/>
    <w:rsid w:val="00F2404D"/>
    <w:rsid w:val="00F24278"/>
    <w:rsid w:val="00F24280"/>
    <w:rsid w:val="00F242C9"/>
    <w:rsid w:val="00F24340"/>
    <w:rsid w:val="00F24441"/>
    <w:rsid w:val="00F24447"/>
    <w:rsid w:val="00F244A4"/>
    <w:rsid w:val="00F245F5"/>
    <w:rsid w:val="00F249CE"/>
    <w:rsid w:val="00F24A0A"/>
    <w:rsid w:val="00F24B6E"/>
    <w:rsid w:val="00F24CC6"/>
    <w:rsid w:val="00F24CC9"/>
    <w:rsid w:val="00F24CD8"/>
    <w:rsid w:val="00F24CFC"/>
    <w:rsid w:val="00F24D2E"/>
    <w:rsid w:val="00F250E3"/>
    <w:rsid w:val="00F25439"/>
    <w:rsid w:val="00F254B3"/>
    <w:rsid w:val="00F254C2"/>
    <w:rsid w:val="00F25606"/>
    <w:rsid w:val="00F2560E"/>
    <w:rsid w:val="00F256B6"/>
    <w:rsid w:val="00F256C1"/>
    <w:rsid w:val="00F2571C"/>
    <w:rsid w:val="00F257B5"/>
    <w:rsid w:val="00F258A1"/>
    <w:rsid w:val="00F258D4"/>
    <w:rsid w:val="00F25A96"/>
    <w:rsid w:val="00F26126"/>
    <w:rsid w:val="00F2628B"/>
    <w:rsid w:val="00F26398"/>
    <w:rsid w:val="00F267C0"/>
    <w:rsid w:val="00F26A45"/>
    <w:rsid w:val="00F26C24"/>
    <w:rsid w:val="00F270C3"/>
    <w:rsid w:val="00F2720E"/>
    <w:rsid w:val="00F272DB"/>
    <w:rsid w:val="00F27460"/>
    <w:rsid w:val="00F2758A"/>
    <w:rsid w:val="00F2776D"/>
    <w:rsid w:val="00F27961"/>
    <w:rsid w:val="00F279D9"/>
    <w:rsid w:val="00F27A8B"/>
    <w:rsid w:val="00F27AE1"/>
    <w:rsid w:val="00F27C64"/>
    <w:rsid w:val="00F27EF5"/>
    <w:rsid w:val="00F27F07"/>
    <w:rsid w:val="00F27F2F"/>
    <w:rsid w:val="00F27F79"/>
    <w:rsid w:val="00F27FAE"/>
    <w:rsid w:val="00F30706"/>
    <w:rsid w:val="00F308A3"/>
    <w:rsid w:val="00F30B56"/>
    <w:rsid w:val="00F30DB2"/>
    <w:rsid w:val="00F30F46"/>
    <w:rsid w:val="00F312CB"/>
    <w:rsid w:val="00F313ED"/>
    <w:rsid w:val="00F31561"/>
    <w:rsid w:val="00F31739"/>
    <w:rsid w:val="00F319DD"/>
    <w:rsid w:val="00F31A9E"/>
    <w:rsid w:val="00F31C50"/>
    <w:rsid w:val="00F31DA7"/>
    <w:rsid w:val="00F31F80"/>
    <w:rsid w:val="00F32213"/>
    <w:rsid w:val="00F322D4"/>
    <w:rsid w:val="00F325AF"/>
    <w:rsid w:val="00F325EE"/>
    <w:rsid w:val="00F326EB"/>
    <w:rsid w:val="00F327EE"/>
    <w:rsid w:val="00F32883"/>
    <w:rsid w:val="00F32893"/>
    <w:rsid w:val="00F32B1C"/>
    <w:rsid w:val="00F32CC4"/>
    <w:rsid w:val="00F32D3C"/>
    <w:rsid w:val="00F32DEB"/>
    <w:rsid w:val="00F32EB4"/>
    <w:rsid w:val="00F32F91"/>
    <w:rsid w:val="00F332E8"/>
    <w:rsid w:val="00F332FF"/>
    <w:rsid w:val="00F334EA"/>
    <w:rsid w:val="00F33782"/>
    <w:rsid w:val="00F33AC3"/>
    <w:rsid w:val="00F33B9A"/>
    <w:rsid w:val="00F33C0B"/>
    <w:rsid w:val="00F33E2D"/>
    <w:rsid w:val="00F34184"/>
    <w:rsid w:val="00F343AB"/>
    <w:rsid w:val="00F346B5"/>
    <w:rsid w:val="00F346E6"/>
    <w:rsid w:val="00F3475C"/>
    <w:rsid w:val="00F34A6C"/>
    <w:rsid w:val="00F34B71"/>
    <w:rsid w:val="00F34D4D"/>
    <w:rsid w:val="00F34E28"/>
    <w:rsid w:val="00F34F97"/>
    <w:rsid w:val="00F3513B"/>
    <w:rsid w:val="00F35342"/>
    <w:rsid w:val="00F3587E"/>
    <w:rsid w:val="00F358B3"/>
    <w:rsid w:val="00F359E9"/>
    <w:rsid w:val="00F35FDC"/>
    <w:rsid w:val="00F3610E"/>
    <w:rsid w:val="00F361AC"/>
    <w:rsid w:val="00F36485"/>
    <w:rsid w:val="00F36993"/>
    <w:rsid w:val="00F36A56"/>
    <w:rsid w:val="00F36A87"/>
    <w:rsid w:val="00F36BB9"/>
    <w:rsid w:val="00F36E4A"/>
    <w:rsid w:val="00F36E50"/>
    <w:rsid w:val="00F36E94"/>
    <w:rsid w:val="00F36FDF"/>
    <w:rsid w:val="00F3700F"/>
    <w:rsid w:val="00F3701C"/>
    <w:rsid w:val="00F370D8"/>
    <w:rsid w:val="00F37369"/>
    <w:rsid w:val="00F373EF"/>
    <w:rsid w:val="00F375B4"/>
    <w:rsid w:val="00F37654"/>
    <w:rsid w:val="00F37675"/>
    <w:rsid w:val="00F3790D"/>
    <w:rsid w:val="00F37A5C"/>
    <w:rsid w:val="00F37BC1"/>
    <w:rsid w:val="00F37C76"/>
    <w:rsid w:val="00F37E32"/>
    <w:rsid w:val="00F3B9F8"/>
    <w:rsid w:val="00F4003E"/>
    <w:rsid w:val="00F401A7"/>
    <w:rsid w:val="00F40649"/>
    <w:rsid w:val="00F4084A"/>
    <w:rsid w:val="00F40864"/>
    <w:rsid w:val="00F40974"/>
    <w:rsid w:val="00F40A8D"/>
    <w:rsid w:val="00F40BC8"/>
    <w:rsid w:val="00F40FB5"/>
    <w:rsid w:val="00F40FD9"/>
    <w:rsid w:val="00F41212"/>
    <w:rsid w:val="00F4125D"/>
    <w:rsid w:val="00F414C5"/>
    <w:rsid w:val="00F4194F"/>
    <w:rsid w:val="00F419E0"/>
    <w:rsid w:val="00F41A2A"/>
    <w:rsid w:val="00F41C58"/>
    <w:rsid w:val="00F41CFC"/>
    <w:rsid w:val="00F41E20"/>
    <w:rsid w:val="00F420AA"/>
    <w:rsid w:val="00F420CC"/>
    <w:rsid w:val="00F424B9"/>
    <w:rsid w:val="00F42786"/>
    <w:rsid w:val="00F42A27"/>
    <w:rsid w:val="00F42A88"/>
    <w:rsid w:val="00F42C01"/>
    <w:rsid w:val="00F42D17"/>
    <w:rsid w:val="00F42E38"/>
    <w:rsid w:val="00F432C0"/>
    <w:rsid w:val="00F43404"/>
    <w:rsid w:val="00F4357E"/>
    <w:rsid w:val="00F43756"/>
    <w:rsid w:val="00F4399D"/>
    <w:rsid w:val="00F43A04"/>
    <w:rsid w:val="00F43A0B"/>
    <w:rsid w:val="00F43A7D"/>
    <w:rsid w:val="00F43BB9"/>
    <w:rsid w:val="00F43D72"/>
    <w:rsid w:val="00F43DA5"/>
    <w:rsid w:val="00F43EE2"/>
    <w:rsid w:val="00F43F65"/>
    <w:rsid w:val="00F440A4"/>
    <w:rsid w:val="00F44191"/>
    <w:rsid w:val="00F4423F"/>
    <w:rsid w:val="00F44346"/>
    <w:rsid w:val="00F44375"/>
    <w:rsid w:val="00F4447A"/>
    <w:rsid w:val="00F44649"/>
    <w:rsid w:val="00F44772"/>
    <w:rsid w:val="00F44895"/>
    <w:rsid w:val="00F448F5"/>
    <w:rsid w:val="00F44911"/>
    <w:rsid w:val="00F44B9D"/>
    <w:rsid w:val="00F44BBB"/>
    <w:rsid w:val="00F44D04"/>
    <w:rsid w:val="00F44DE0"/>
    <w:rsid w:val="00F44DF2"/>
    <w:rsid w:val="00F4500A"/>
    <w:rsid w:val="00F45105"/>
    <w:rsid w:val="00F451FC"/>
    <w:rsid w:val="00F4539E"/>
    <w:rsid w:val="00F45427"/>
    <w:rsid w:val="00F4552C"/>
    <w:rsid w:val="00F45667"/>
    <w:rsid w:val="00F456B4"/>
    <w:rsid w:val="00F45743"/>
    <w:rsid w:val="00F4575F"/>
    <w:rsid w:val="00F45765"/>
    <w:rsid w:val="00F457AC"/>
    <w:rsid w:val="00F45A5F"/>
    <w:rsid w:val="00F45AB6"/>
    <w:rsid w:val="00F45BBF"/>
    <w:rsid w:val="00F45D71"/>
    <w:rsid w:val="00F45E4E"/>
    <w:rsid w:val="00F460C9"/>
    <w:rsid w:val="00F4612C"/>
    <w:rsid w:val="00F4639F"/>
    <w:rsid w:val="00F463A7"/>
    <w:rsid w:val="00F465F7"/>
    <w:rsid w:val="00F46977"/>
    <w:rsid w:val="00F4719A"/>
    <w:rsid w:val="00F471C2"/>
    <w:rsid w:val="00F47432"/>
    <w:rsid w:val="00F476C3"/>
    <w:rsid w:val="00F47720"/>
    <w:rsid w:val="00F47A3A"/>
    <w:rsid w:val="00F47A8E"/>
    <w:rsid w:val="00F47B07"/>
    <w:rsid w:val="00F47D19"/>
    <w:rsid w:val="00F47D8D"/>
    <w:rsid w:val="00F47EC1"/>
    <w:rsid w:val="00F47F65"/>
    <w:rsid w:val="00F47F9F"/>
    <w:rsid w:val="00F47FBA"/>
    <w:rsid w:val="00F5001E"/>
    <w:rsid w:val="00F50037"/>
    <w:rsid w:val="00F50097"/>
    <w:rsid w:val="00F50431"/>
    <w:rsid w:val="00F50585"/>
    <w:rsid w:val="00F506E0"/>
    <w:rsid w:val="00F508B2"/>
    <w:rsid w:val="00F509A1"/>
    <w:rsid w:val="00F50B2D"/>
    <w:rsid w:val="00F50DF4"/>
    <w:rsid w:val="00F50EE0"/>
    <w:rsid w:val="00F50F03"/>
    <w:rsid w:val="00F51004"/>
    <w:rsid w:val="00F51293"/>
    <w:rsid w:val="00F513CA"/>
    <w:rsid w:val="00F5143A"/>
    <w:rsid w:val="00F51477"/>
    <w:rsid w:val="00F514E9"/>
    <w:rsid w:val="00F5153C"/>
    <w:rsid w:val="00F516E3"/>
    <w:rsid w:val="00F5185D"/>
    <w:rsid w:val="00F51A44"/>
    <w:rsid w:val="00F51A85"/>
    <w:rsid w:val="00F51AA3"/>
    <w:rsid w:val="00F51B4C"/>
    <w:rsid w:val="00F51B66"/>
    <w:rsid w:val="00F51D34"/>
    <w:rsid w:val="00F51DBA"/>
    <w:rsid w:val="00F51DE1"/>
    <w:rsid w:val="00F51E5C"/>
    <w:rsid w:val="00F51EFB"/>
    <w:rsid w:val="00F51F79"/>
    <w:rsid w:val="00F51FFB"/>
    <w:rsid w:val="00F5201B"/>
    <w:rsid w:val="00F5207F"/>
    <w:rsid w:val="00F52421"/>
    <w:rsid w:val="00F52564"/>
    <w:rsid w:val="00F52634"/>
    <w:rsid w:val="00F526E1"/>
    <w:rsid w:val="00F5272E"/>
    <w:rsid w:val="00F52730"/>
    <w:rsid w:val="00F52875"/>
    <w:rsid w:val="00F52AD7"/>
    <w:rsid w:val="00F52B5D"/>
    <w:rsid w:val="00F52D2E"/>
    <w:rsid w:val="00F52D6E"/>
    <w:rsid w:val="00F53194"/>
    <w:rsid w:val="00F53203"/>
    <w:rsid w:val="00F532D4"/>
    <w:rsid w:val="00F534D2"/>
    <w:rsid w:val="00F53A45"/>
    <w:rsid w:val="00F53AF0"/>
    <w:rsid w:val="00F53C0F"/>
    <w:rsid w:val="00F53E34"/>
    <w:rsid w:val="00F53F1B"/>
    <w:rsid w:val="00F5402A"/>
    <w:rsid w:val="00F540E9"/>
    <w:rsid w:val="00F5413D"/>
    <w:rsid w:val="00F5429A"/>
    <w:rsid w:val="00F54398"/>
    <w:rsid w:val="00F543A5"/>
    <w:rsid w:val="00F545C3"/>
    <w:rsid w:val="00F546E3"/>
    <w:rsid w:val="00F54700"/>
    <w:rsid w:val="00F54789"/>
    <w:rsid w:val="00F547F8"/>
    <w:rsid w:val="00F54832"/>
    <w:rsid w:val="00F5487E"/>
    <w:rsid w:val="00F54A1D"/>
    <w:rsid w:val="00F54A73"/>
    <w:rsid w:val="00F54F14"/>
    <w:rsid w:val="00F55097"/>
    <w:rsid w:val="00F55285"/>
    <w:rsid w:val="00F552CE"/>
    <w:rsid w:val="00F552E6"/>
    <w:rsid w:val="00F553C7"/>
    <w:rsid w:val="00F55536"/>
    <w:rsid w:val="00F556E4"/>
    <w:rsid w:val="00F55843"/>
    <w:rsid w:val="00F55D3E"/>
    <w:rsid w:val="00F55F05"/>
    <w:rsid w:val="00F56060"/>
    <w:rsid w:val="00F5627F"/>
    <w:rsid w:val="00F56405"/>
    <w:rsid w:val="00F5644B"/>
    <w:rsid w:val="00F56632"/>
    <w:rsid w:val="00F56693"/>
    <w:rsid w:val="00F566E4"/>
    <w:rsid w:val="00F56730"/>
    <w:rsid w:val="00F56746"/>
    <w:rsid w:val="00F56907"/>
    <w:rsid w:val="00F56E93"/>
    <w:rsid w:val="00F57058"/>
    <w:rsid w:val="00F570FC"/>
    <w:rsid w:val="00F57182"/>
    <w:rsid w:val="00F573AD"/>
    <w:rsid w:val="00F57885"/>
    <w:rsid w:val="00F57A80"/>
    <w:rsid w:val="00F57C1B"/>
    <w:rsid w:val="00F57ED1"/>
    <w:rsid w:val="00F57EE4"/>
    <w:rsid w:val="00F60122"/>
    <w:rsid w:val="00F60495"/>
    <w:rsid w:val="00F6065D"/>
    <w:rsid w:val="00F60964"/>
    <w:rsid w:val="00F60CE6"/>
    <w:rsid w:val="00F60CE9"/>
    <w:rsid w:val="00F60EBF"/>
    <w:rsid w:val="00F60F35"/>
    <w:rsid w:val="00F6124C"/>
    <w:rsid w:val="00F61576"/>
    <w:rsid w:val="00F61674"/>
    <w:rsid w:val="00F6168E"/>
    <w:rsid w:val="00F61859"/>
    <w:rsid w:val="00F61882"/>
    <w:rsid w:val="00F6194A"/>
    <w:rsid w:val="00F619DE"/>
    <w:rsid w:val="00F61DBC"/>
    <w:rsid w:val="00F61DD0"/>
    <w:rsid w:val="00F61DEF"/>
    <w:rsid w:val="00F61FB5"/>
    <w:rsid w:val="00F62114"/>
    <w:rsid w:val="00F62287"/>
    <w:rsid w:val="00F62350"/>
    <w:rsid w:val="00F62431"/>
    <w:rsid w:val="00F627DF"/>
    <w:rsid w:val="00F62A78"/>
    <w:rsid w:val="00F62CAA"/>
    <w:rsid w:val="00F62CD4"/>
    <w:rsid w:val="00F62E79"/>
    <w:rsid w:val="00F62FFD"/>
    <w:rsid w:val="00F630A3"/>
    <w:rsid w:val="00F63201"/>
    <w:rsid w:val="00F6336A"/>
    <w:rsid w:val="00F633EC"/>
    <w:rsid w:val="00F634DE"/>
    <w:rsid w:val="00F63658"/>
    <w:rsid w:val="00F637E7"/>
    <w:rsid w:val="00F6387E"/>
    <w:rsid w:val="00F63ACA"/>
    <w:rsid w:val="00F63C4F"/>
    <w:rsid w:val="00F63C8F"/>
    <w:rsid w:val="00F63D6D"/>
    <w:rsid w:val="00F63FE1"/>
    <w:rsid w:val="00F63FEF"/>
    <w:rsid w:val="00F640E7"/>
    <w:rsid w:val="00F6446C"/>
    <w:rsid w:val="00F6468E"/>
    <w:rsid w:val="00F647C1"/>
    <w:rsid w:val="00F648BF"/>
    <w:rsid w:val="00F64C96"/>
    <w:rsid w:val="00F64C9C"/>
    <w:rsid w:val="00F6504D"/>
    <w:rsid w:val="00F65129"/>
    <w:rsid w:val="00F65147"/>
    <w:rsid w:val="00F65163"/>
    <w:rsid w:val="00F65189"/>
    <w:rsid w:val="00F65559"/>
    <w:rsid w:val="00F657C2"/>
    <w:rsid w:val="00F6590A"/>
    <w:rsid w:val="00F65A98"/>
    <w:rsid w:val="00F65B17"/>
    <w:rsid w:val="00F66144"/>
    <w:rsid w:val="00F665D6"/>
    <w:rsid w:val="00F665FB"/>
    <w:rsid w:val="00F6674E"/>
    <w:rsid w:val="00F667D9"/>
    <w:rsid w:val="00F66BF5"/>
    <w:rsid w:val="00F66C9C"/>
    <w:rsid w:val="00F66D6F"/>
    <w:rsid w:val="00F6707D"/>
    <w:rsid w:val="00F6713F"/>
    <w:rsid w:val="00F6740F"/>
    <w:rsid w:val="00F6745A"/>
    <w:rsid w:val="00F676ED"/>
    <w:rsid w:val="00F678CB"/>
    <w:rsid w:val="00F679B8"/>
    <w:rsid w:val="00F67A02"/>
    <w:rsid w:val="00F67B11"/>
    <w:rsid w:val="00F67BCE"/>
    <w:rsid w:val="00F67C01"/>
    <w:rsid w:val="00F67C4E"/>
    <w:rsid w:val="00F67CBC"/>
    <w:rsid w:val="00F67FF4"/>
    <w:rsid w:val="00F700AB"/>
    <w:rsid w:val="00F703BE"/>
    <w:rsid w:val="00F70587"/>
    <w:rsid w:val="00F70887"/>
    <w:rsid w:val="00F70A5D"/>
    <w:rsid w:val="00F70AF2"/>
    <w:rsid w:val="00F70F61"/>
    <w:rsid w:val="00F71094"/>
    <w:rsid w:val="00F710D8"/>
    <w:rsid w:val="00F71424"/>
    <w:rsid w:val="00F71747"/>
    <w:rsid w:val="00F718D4"/>
    <w:rsid w:val="00F719D2"/>
    <w:rsid w:val="00F71A51"/>
    <w:rsid w:val="00F71AC0"/>
    <w:rsid w:val="00F71BFB"/>
    <w:rsid w:val="00F71C17"/>
    <w:rsid w:val="00F71DFF"/>
    <w:rsid w:val="00F72043"/>
    <w:rsid w:val="00F72439"/>
    <w:rsid w:val="00F7248C"/>
    <w:rsid w:val="00F72807"/>
    <w:rsid w:val="00F72C17"/>
    <w:rsid w:val="00F72CD1"/>
    <w:rsid w:val="00F72D72"/>
    <w:rsid w:val="00F72F2C"/>
    <w:rsid w:val="00F730F5"/>
    <w:rsid w:val="00F733E5"/>
    <w:rsid w:val="00F7361B"/>
    <w:rsid w:val="00F7375D"/>
    <w:rsid w:val="00F737F9"/>
    <w:rsid w:val="00F739E3"/>
    <w:rsid w:val="00F73A94"/>
    <w:rsid w:val="00F73AD0"/>
    <w:rsid w:val="00F73B7F"/>
    <w:rsid w:val="00F73BD6"/>
    <w:rsid w:val="00F73DD0"/>
    <w:rsid w:val="00F73EBB"/>
    <w:rsid w:val="00F74065"/>
    <w:rsid w:val="00F742E1"/>
    <w:rsid w:val="00F742FC"/>
    <w:rsid w:val="00F74431"/>
    <w:rsid w:val="00F74441"/>
    <w:rsid w:val="00F7455C"/>
    <w:rsid w:val="00F74629"/>
    <w:rsid w:val="00F7469B"/>
    <w:rsid w:val="00F748B3"/>
    <w:rsid w:val="00F74951"/>
    <w:rsid w:val="00F74B51"/>
    <w:rsid w:val="00F74BEE"/>
    <w:rsid w:val="00F74D7C"/>
    <w:rsid w:val="00F74D85"/>
    <w:rsid w:val="00F74DF8"/>
    <w:rsid w:val="00F74E1B"/>
    <w:rsid w:val="00F75182"/>
    <w:rsid w:val="00F7540D"/>
    <w:rsid w:val="00F75550"/>
    <w:rsid w:val="00F756A0"/>
    <w:rsid w:val="00F758E8"/>
    <w:rsid w:val="00F75943"/>
    <w:rsid w:val="00F7594B"/>
    <w:rsid w:val="00F759C3"/>
    <w:rsid w:val="00F75A8C"/>
    <w:rsid w:val="00F75B87"/>
    <w:rsid w:val="00F76243"/>
    <w:rsid w:val="00F76290"/>
    <w:rsid w:val="00F7663A"/>
    <w:rsid w:val="00F76805"/>
    <w:rsid w:val="00F768C8"/>
    <w:rsid w:val="00F76A19"/>
    <w:rsid w:val="00F76A33"/>
    <w:rsid w:val="00F76A82"/>
    <w:rsid w:val="00F76CA4"/>
    <w:rsid w:val="00F76D1F"/>
    <w:rsid w:val="00F76DCB"/>
    <w:rsid w:val="00F76FC8"/>
    <w:rsid w:val="00F773DE"/>
    <w:rsid w:val="00F77451"/>
    <w:rsid w:val="00F7751D"/>
    <w:rsid w:val="00F77666"/>
    <w:rsid w:val="00F77712"/>
    <w:rsid w:val="00F7782D"/>
    <w:rsid w:val="00F77ADB"/>
    <w:rsid w:val="00F77B1E"/>
    <w:rsid w:val="00F77B3E"/>
    <w:rsid w:val="00F77BD2"/>
    <w:rsid w:val="00F77C8E"/>
    <w:rsid w:val="00F77EEF"/>
    <w:rsid w:val="00F77F1A"/>
    <w:rsid w:val="00F80021"/>
    <w:rsid w:val="00F80025"/>
    <w:rsid w:val="00F8014C"/>
    <w:rsid w:val="00F8036D"/>
    <w:rsid w:val="00F8058B"/>
    <w:rsid w:val="00F8060A"/>
    <w:rsid w:val="00F80982"/>
    <w:rsid w:val="00F80AA9"/>
    <w:rsid w:val="00F80B8C"/>
    <w:rsid w:val="00F80EC0"/>
    <w:rsid w:val="00F80F66"/>
    <w:rsid w:val="00F80F76"/>
    <w:rsid w:val="00F80FBB"/>
    <w:rsid w:val="00F81080"/>
    <w:rsid w:val="00F811DD"/>
    <w:rsid w:val="00F81362"/>
    <w:rsid w:val="00F81407"/>
    <w:rsid w:val="00F81546"/>
    <w:rsid w:val="00F81660"/>
    <w:rsid w:val="00F81692"/>
    <w:rsid w:val="00F819F2"/>
    <w:rsid w:val="00F81BA6"/>
    <w:rsid w:val="00F81CAF"/>
    <w:rsid w:val="00F81DEC"/>
    <w:rsid w:val="00F81EA1"/>
    <w:rsid w:val="00F8212D"/>
    <w:rsid w:val="00F82137"/>
    <w:rsid w:val="00F824CB"/>
    <w:rsid w:val="00F82625"/>
    <w:rsid w:val="00F828F5"/>
    <w:rsid w:val="00F8298D"/>
    <w:rsid w:val="00F82A99"/>
    <w:rsid w:val="00F82B02"/>
    <w:rsid w:val="00F82C96"/>
    <w:rsid w:val="00F82D03"/>
    <w:rsid w:val="00F82D89"/>
    <w:rsid w:val="00F83175"/>
    <w:rsid w:val="00F831DE"/>
    <w:rsid w:val="00F8333F"/>
    <w:rsid w:val="00F8339F"/>
    <w:rsid w:val="00F833FB"/>
    <w:rsid w:val="00F835B5"/>
    <w:rsid w:val="00F83711"/>
    <w:rsid w:val="00F8384C"/>
    <w:rsid w:val="00F83C01"/>
    <w:rsid w:val="00F83C64"/>
    <w:rsid w:val="00F83C97"/>
    <w:rsid w:val="00F83FE0"/>
    <w:rsid w:val="00F84301"/>
    <w:rsid w:val="00F8470A"/>
    <w:rsid w:val="00F8489B"/>
    <w:rsid w:val="00F84917"/>
    <w:rsid w:val="00F84A36"/>
    <w:rsid w:val="00F84B65"/>
    <w:rsid w:val="00F84D10"/>
    <w:rsid w:val="00F84D7C"/>
    <w:rsid w:val="00F84FAF"/>
    <w:rsid w:val="00F85022"/>
    <w:rsid w:val="00F852BC"/>
    <w:rsid w:val="00F85430"/>
    <w:rsid w:val="00F854C4"/>
    <w:rsid w:val="00F854EE"/>
    <w:rsid w:val="00F8552C"/>
    <w:rsid w:val="00F855B6"/>
    <w:rsid w:val="00F856F6"/>
    <w:rsid w:val="00F85879"/>
    <w:rsid w:val="00F85955"/>
    <w:rsid w:val="00F85CAB"/>
    <w:rsid w:val="00F85E7D"/>
    <w:rsid w:val="00F85F2C"/>
    <w:rsid w:val="00F86043"/>
    <w:rsid w:val="00F8610E"/>
    <w:rsid w:val="00F8610F"/>
    <w:rsid w:val="00F86275"/>
    <w:rsid w:val="00F86296"/>
    <w:rsid w:val="00F86477"/>
    <w:rsid w:val="00F86680"/>
    <w:rsid w:val="00F867B1"/>
    <w:rsid w:val="00F86BBC"/>
    <w:rsid w:val="00F86CF8"/>
    <w:rsid w:val="00F86D6D"/>
    <w:rsid w:val="00F86DF2"/>
    <w:rsid w:val="00F86E4D"/>
    <w:rsid w:val="00F87001"/>
    <w:rsid w:val="00F874B1"/>
    <w:rsid w:val="00F87580"/>
    <w:rsid w:val="00F87639"/>
    <w:rsid w:val="00F8788E"/>
    <w:rsid w:val="00F878BA"/>
    <w:rsid w:val="00F878C6"/>
    <w:rsid w:val="00F87965"/>
    <w:rsid w:val="00F87BCC"/>
    <w:rsid w:val="00F87CB1"/>
    <w:rsid w:val="00F87D71"/>
    <w:rsid w:val="00F87DF5"/>
    <w:rsid w:val="00F87ECE"/>
    <w:rsid w:val="00F900C8"/>
    <w:rsid w:val="00F90125"/>
    <w:rsid w:val="00F9014F"/>
    <w:rsid w:val="00F902AE"/>
    <w:rsid w:val="00F9066C"/>
    <w:rsid w:val="00F906FA"/>
    <w:rsid w:val="00F907EF"/>
    <w:rsid w:val="00F907FD"/>
    <w:rsid w:val="00F90913"/>
    <w:rsid w:val="00F90BAD"/>
    <w:rsid w:val="00F90DD0"/>
    <w:rsid w:val="00F90DE3"/>
    <w:rsid w:val="00F910A8"/>
    <w:rsid w:val="00F910D6"/>
    <w:rsid w:val="00F912C9"/>
    <w:rsid w:val="00F91353"/>
    <w:rsid w:val="00F915AF"/>
    <w:rsid w:val="00F91841"/>
    <w:rsid w:val="00F919BB"/>
    <w:rsid w:val="00F919C8"/>
    <w:rsid w:val="00F91EB0"/>
    <w:rsid w:val="00F91F3D"/>
    <w:rsid w:val="00F92231"/>
    <w:rsid w:val="00F92470"/>
    <w:rsid w:val="00F925D7"/>
    <w:rsid w:val="00F9271B"/>
    <w:rsid w:val="00F92724"/>
    <w:rsid w:val="00F9278A"/>
    <w:rsid w:val="00F92939"/>
    <w:rsid w:val="00F92CAA"/>
    <w:rsid w:val="00F92E7B"/>
    <w:rsid w:val="00F93042"/>
    <w:rsid w:val="00F93322"/>
    <w:rsid w:val="00F93392"/>
    <w:rsid w:val="00F936B8"/>
    <w:rsid w:val="00F936DB"/>
    <w:rsid w:val="00F93A14"/>
    <w:rsid w:val="00F93A64"/>
    <w:rsid w:val="00F93C6F"/>
    <w:rsid w:val="00F93CDA"/>
    <w:rsid w:val="00F93D6F"/>
    <w:rsid w:val="00F93DBC"/>
    <w:rsid w:val="00F93EC1"/>
    <w:rsid w:val="00F93F91"/>
    <w:rsid w:val="00F93FB3"/>
    <w:rsid w:val="00F9400C"/>
    <w:rsid w:val="00F94172"/>
    <w:rsid w:val="00F943BF"/>
    <w:rsid w:val="00F94424"/>
    <w:rsid w:val="00F94475"/>
    <w:rsid w:val="00F944D5"/>
    <w:rsid w:val="00F948F0"/>
    <w:rsid w:val="00F94912"/>
    <w:rsid w:val="00F94A6B"/>
    <w:rsid w:val="00F94AC6"/>
    <w:rsid w:val="00F94B31"/>
    <w:rsid w:val="00F94B80"/>
    <w:rsid w:val="00F94BA0"/>
    <w:rsid w:val="00F94F7B"/>
    <w:rsid w:val="00F9520F"/>
    <w:rsid w:val="00F9521F"/>
    <w:rsid w:val="00F952A8"/>
    <w:rsid w:val="00F954D2"/>
    <w:rsid w:val="00F955E9"/>
    <w:rsid w:val="00F955F5"/>
    <w:rsid w:val="00F956C2"/>
    <w:rsid w:val="00F95859"/>
    <w:rsid w:val="00F95B63"/>
    <w:rsid w:val="00F95BF0"/>
    <w:rsid w:val="00F95C9E"/>
    <w:rsid w:val="00F95D6E"/>
    <w:rsid w:val="00F95E55"/>
    <w:rsid w:val="00F95EA8"/>
    <w:rsid w:val="00F95EEB"/>
    <w:rsid w:val="00F960E0"/>
    <w:rsid w:val="00F961D2"/>
    <w:rsid w:val="00F9631E"/>
    <w:rsid w:val="00F9638B"/>
    <w:rsid w:val="00F964A8"/>
    <w:rsid w:val="00F9684A"/>
    <w:rsid w:val="00F96908"/>
    <w:rsid w:val="00F9693D"/>
    <w:rsid w:val="00F96F00"/>
    <w:rsid w:val="00F9718D"/>
    <w:rsid w:val="00F971A7"/>
    <w:rsid w:val="00F971B7"/>
    <w:rsid w:val="00F973C9"/>
    <w:rsid w:val="00F9758E"/>
    <w:rsid w:val="00F975D9"/>
    <w:rsid w:val="00F97644"/>
    <w:rsid w:val="00F97868"/>
    <w:rsid w:val="00F97891"/>
    <w:rsid w:val="00F97907"/>
    <w:rsid w:val="00F97CF5"/>
    <w:rsid w:val="00F97FB1"/>
    <w:rsid w:val="00FA003E"/>
    <w:rsid w:val="00FA00CA"/>
    <w:rsid w:val="00FA0286"/>
    <w:rsid w:val="00FA04AF"/>
    <w:rsid w:val="00FA072E"/>
    <w:rsid w:val="00FA0825"/>
    <w:rsid w:val="00FA08AD"/>
    <w:rsid w:val="00FA08BF"/>
    <w:rsid w:val="00FA08DD"/>
    <w:rsid w:val="00FA09A7"/>
    <w:rsid w:val="00FA0AF8"/>
    <w:rsid w:val="00FA0AFA"/>
    <w:rsid w:val="00FA0B36"/>
    <w:rsid w:val="00FA0CF0"/>
    <w:rsid w:val="00FA0EA8"/>
    <w:rsid w:val="00FA0F17"/>
    <w:rsid w:val="00FA1128"/>
    <w:rsid w:val="00FA12BC"/>
    <w:rsid w:val="00FA1379"/>
    <w:rsid w:val="00FA14CC"/>
    <w:rsid w:val="00FA1506"/>
    <w:rsid w:val="00FA1535"/>
    <w:rsid w:val="00FA164F"/>
    <w:rsid w:val="00FA1667"/>
    <w:rsid w:val="00FA176B"/>
    <w:rsid w:val="00FA183C"/>
    <w:rsid w:val="00FA1977"/>
    <w:rsid w:val="00FA1B06"/>
    <w:rsid w:val="00FA1BCA"/>
    <w:rsid w:val="00FA1DDB"/>
    <w:rsid w:val="00FA20D4"/>
    <w:rsid w:val="00FA2630"/>
    <w:rsid w:val="00FA28B5"/>
    <w:rsid w:val="00FA2A93"/>
    <w:rsid w:val="00FA2A98"/>
    <w:rsid w:val="00FA2B29"/>
    <w:rsid w:val="00FA2B5F"/>
    <w:rsid w:val="00FA2B81"/>
    <w:rsid w:val="00FA2F27"/>
    <w:rsid w:val="00FA3021"/>
    <w:rsid w:val="00FA327E"/>
    <w:rsid w:val="00FA32CC"/>
    <w:rsid w:val="00FA34AB"/>
    <w:rsid w:val="00FA34F3"/>
    <w:rsid w:val="00FA3641"/>
    <w:rsid w:val="00FA372B"/>
    <w:rsid w:val="00FA3BE2"/>
    <w:rsid w:val="00FA3C03"/>
    <w:rsid w:val="00FA3FF6"/>
    <w:rsid w:val="00FA408D"/>
    <w:rsid w:val="00FA4116"/>
    <w:rsid w:val="00FA4150"/>
    <w:rsid w:val="00FA41B5"/>
    <w:rsid w:val="00FA41D3"/>
    <w:rsid w:val="00FA43F0"/>
    <w:rsid w:val="00FA44FD"/>
    <w:rsid w:val="00FA4658"/>
    <w:rsid w:val="00FA479B"/>
    <w:rsid w:val="00FA4955"/>
    <w:rsid w:val="00FA4B8B"/>
    <w:rsid w:val="00FA4F1B"/>
    <w:rsid w:val="00FA5011"/>
    <w:rsid w:val="00FA50D1"/>
    <w:rsid w:val="00FA534D"/>
    <w:rsid w:val="00FA5490"/>
    <w:rsid w:val="00FA55CE"/>
    <w:rsid w:val="00FA5766"/>
    <w:rsid w:val="00FA5C03"/>
    <w:rsid w:val="00FA5EDA"/>
    <w:rsid w:val="00FA6055"/>
    <w:rsid w:val="00FA607F"/>
    <w:rsid w:val="00FA6189"/>
    <w:rsid w:val="00FA6294"/>
    <w:rsid w:val="00FA645C"/>
    <w:rsid w:val="00FA6556"/>
    <w:rsid w:val="00FA67FF"/>
    <w:rsid w:val="00FA68A6"/>
    <w:rsid w:val="00FA6C26"/>
    <w:rsid w:val="00FA6CB7"/>
    <w:rsid w:val="00FA6CF6"/>
    <w:rsid w:val="00FA6D88"/>
    <w:rsid w:val="00FA6DB2"/>
    <w:rsid w:val="00FA6DB5"/>
    <w:rsid w:val="00FA6DF5"/>
    <w:rsid w:val="00FA6E99"/>
    <w:rsid w:val="00FA6F62"/>
    <w:rsid w:val="00FA727E"/>
    <w:rsid w:val="00FA757F"/>
    <w:rsid w:val="00FA7704"/>
    <w:rsid w:val="00FA784B"/>
    <w:rsid w:val="00FA79CC"/>
    <w:rsid w:val="00FA7B6D"/>
    <w:rsid w:val="00FA7BE5"/>
    <w:rsid w:val="00FA7C38"/>
    <w:rsid w:val="00FA7D7D"/>
    <w:rsid w:val="00FA7F04"/>
    <w:rsid w:val="00FA7F26"/>
    <w:rsid w:val="00FB00BF"/>
    <w:rsid w:val="00FB03CE"/>
    <w:rsid w:val="00FB0519"/>
    <w:rsid w:val="00FB0704"/>
    <w:rsid w:val="00FB077F"/>
    <w:rsid w:val="00FB07FE"/>
    <w:rsid w:val="00FB0C34"/>
    <w:rsid w:val="00FB0D34"/>
    <w:rsid w:val="00FB0DFF"/>
    <w:rsid w:val="00FB0E35"/>
    <w:rsid w:val="00FB0E44"/>
    <w:rsid w:val="00FB0EEE"/>
    <w:rsid w:val="00FB0F1C"/>
    <w:rsid w:val="00FB1224"/>
    <w:rsid w:val="00FB1303"/>
    <w:rsid w:val="00FB14FC"/>
    <w:rsid w:val="00FB154A"/>
    <w:rsid w:val="00FB1850"/>
    <w:rsid w:val="00FB189B"/>
    <w:rsid w:val="00FB18DF"/>
    <w:rsid w:val="00FB1BBC"/>
    <w:rsid w:val="00FB1D72"/>
    <w:rsid w:val="00FB1DBB"/>
    <w:rsid w:val="00FB1EB4"/>
    <w:rsid w:val="00FB20E0"/>
    <w:rsid w:val="00FB20F4"/>
    <w:rsid w:val="00FB217B"/>
    <w:rsid w:val="00FB2343"/>
    <w:rsid w:val="00FB268B"/>
    <w:rsid w:val="00FB269E"/>
    <w:rsid w:val="00FB2888"/>
    <w:rsid w:val="00FB290B"/>
    <w:rsid w:val="00FB2A59"/>
    <w:rsid w:val="00FB2A94"/>
    <w:rsid w:val="00FB2D90"/>
    <w:rsid w:val="00FB2FDA"/>
    <w:rsid w:val="00FB3197"/>
    <w:rsid w:val="00FB347A"/>
    <w:rsid w:val="00FB348D"/>
    <w:rsid w:val="00FB373D"/>
    <w:rsid w:val="00FB3751"/>
    <w:rsid w:val="00FB375E"/>
    <w:rsid w:val="00FB3A89"/>
    <w:rsid w:val="00FB3ABC"/>
    <w:rsid w:val="00FB3EF2"/>
    <w:rsid w:val="00FB40A0"/>
    <w:rsid w:val="00FB417B"/>
    <w:rsid w:val="00FB4270"/>
    <w:rsid w:val="00FB4281"/>
    <w:rsid w:val="00FB454E"/>
    <w:rsid w:val="00FB4588"/>
    <w:rsid w:val="00FB4696"/>
    <w:rsid w:val="00FB4834"/>
    <w:rsid w:val="00FB4943"/>
    <w:rsid w:val="00FB4CAF"/>
    <w:rsid w:val="00FB4CEA"/>
    <w:rsid w:val="00FB4DAA"/>
    <w:rsid w:val="00FB4E80"/>
    <w:rsid w:val="00FB4FF8"/>
    <w:rsid w:val="00FB5068"/>
    <w:rsid w:val="00FB5108"/>
    <w:rsid w:val="00FB5146"/>
    <w:rsid w:val="00FB51E1"/>
    <w:rsid w:val="00FB524B"/>
    <w:rsid w:val="00FB52B1"/>
    <w:rsid w:val="00FB5305"/>
    <w:rsid w:val="00FB5542"/>
    <w:rsid w:val="00FB5899"/>
    <w:rsid w:val="00FB5C97"/>
    <w:rsid w:val="00FB5F56"/>
    <w:rsid w:val="00FB5F9B"/>
    <w:rsid w:val="00FB6114"/>
    <w:rsid w:val="00FB6116"/>
    <w:rsid w:val="00FB620D"/>
    <w:rsid w:val="00FB62E6"/>
    <w:rsid w:val="00FB6511"/>
    <w:rsid w:val="00FB6900"/>
    <w:rsid w:val="00FB6983"/>
    <w:rsid w:val="00FB6B9B"/>
    <w:rsid w:val="00FB6CE1"/>
    <w:rsid w:val="00FB6CEB"/>
    <w:rsid w:val="00FB6D51"/>
    <w:rsid w:val="00FB6D52"/>
    <w:rsid w:val="00FB6F67"/>
    <w:rsid w:val="00FB6F79"/>
    <w:rsid w:val="00FB6F99"/>
    <w:rsid w:val="00FB7008"/>
    <w:rsid w:val="00FB7012"/>
    <w:rsid w:val="00FB70C1"/>
    <w:rsid w:val="00FB723E"/>
    <w:rsid w:val="00FB749D"/>
    <w:rsid w:val="00FB759A"/>
    <w:rsid w:val="00FB75A8"/>
    <w:rsid w:val="00FB7666"/>
    <w:rsid w:val="00FB782F"/>
    <w:rsid w:val="00FB7852"/>
    <w:rsid w:val="00FB79AD"/>
    <w:rsid w:val="00FB7B31"/>
    <w:rsid w:val="00FB7C1F"/>
    <w:rsid w:val="00FB7E79"/>
    <w:rsid w:val="00FB7FC1"/>
    <w:rsid w:val="00FC01B1"/>
    <w:rsid w:val="00FC01F5"/>
    <w:rsid w:val="00FC0218"/>
    <w:rsid w:val="00FC0362"/>
    <w:rsid w:val="00FC03F6"/>
    <w:rsid w:val="00FC045C"/>
    <w:rsid w:val="00FC049E"/>
    <w:rsid w:val="00FC05F2"/>
    <w:rsid w:val="00FC071D"/>
    <w:rsid w:val="00FC08C1"/>
    <w:rsid w:val="00FC08E2"/>
    <w:rsid w:val="00FC0994"/>
    <w:rsid w:val="00FC0A6F"/>
    <w:rsid w:val="00FC0AD7"/>
    <w:rsid w:val="00FC0AED"/>
    <w:rsid w:val="00FC0D09"/>
    <w:rsid w:val="00FC0E04"/>
    <w:rsid w:val="00FC0FD0"/>
    <w:rsid w:val="00FC1018"/>
    <w:rsid w:val="00FC10DE"/>
    <w:rsid w:val="00FC110C"/>
    <w:rsid w:val="00FC1435"/>
    <w:rsid w:val="00FC1484"/>
    <w:rsid w:val="00FC15CB"/>
    <w:rsid w:val="00FC17C1"/>
    <w:rsid w:val="00FC17CA"/>
    <w:rsid w:val="00FC183A"/>
    <w:rsid w:val="00FC1878"/>
    <w:rsid w:val="00FC18E5"/>
    <w:rsid w:val="00FC1979"/>
    <w:rsid w:val="00FC1A32"/>
    <w:rsid w:val="00FC1EE9"/>
    <w:rsid w:val="00FC22B9"/>
    <w:rsid w:val="00FC234C"/>
    <w:rsid w:val="00FC2399"/>
    <w:rsid w:val="00FC24FC"/>
    <w:rsid w:val="00FC2536"/>
    <w:rsid w:val="00FC253E"/>
    <w:rsid w:val="00FC2591"/>
    <w:rsid w:val="00FC289B"/>
    <w:rsid w:val="00FC289D"/>
    <w:rsid w:val="00FC2B61"/>
    <w:rsid w:val="00FC2CE2"/>
    <w:rsid w:val="00FC2D2A"/>
    <w:rsid w:val="00FC2D5F"/>
    <w:rsid w:val="00FC2DDC"/>
    <w:rsid w:val="00FC2E2E"/>
    <w:rsid w:val="00FC30CA"/>
    <w:rsid w:val="00FC30F0"/>
    <w:rsid w:val="00FC318C"/>
    <w:rsid w:val="00FC3313"/>
    <w:rsid w:val="00FC331D"/>
    <w:rsid w:val="00FC35F0"/>
    <w:rsid w:val="00FC3674"/>
    <w:rsid w:val="00FC3715"/>
    <w:rsid w:val="00FC3856"/>
    <w:rsid w:val="00FC3885"/>
    <w:rsid w:val="00FC38E8"/>
    <w:rsid w:val="00FC3991"/>
    <w:rsid w:val="00FC3B96"/>
    <w:rsid w:val="00FC3BCB"/>
    <w:rsid w:val="00FC3C6B"/>
    <w:rsid w:val="00FC4044"/>
    <w:rsid w:val="00FC41D2"/>
    <w:rsid w:val="00FC425F"/>
    <w:rsid w:val="00FC4640"/>
    <w:rsid w:val="00FC4993"/>
    <w:rsid w:val="00FC49F8"/>
    <w:rsid w:val="00FC4B8E"/>
    <w:rsid w:val="00FC4CAB"/>
    <w:rsid w:val="00FC4DFA"/>
    <w:rsid w:val="00FC4EAB"/>
    <w:rsid w:val="00FC5032"/>
    <w:rsid w:val="00FC50F7"/>
    <w:rsid w:val="00FC512F"/>
    <w:rsid w:val="00FC547B"/>
    <w:rsid w:val="00FC5603"/>
    <w:rsid w:val="00FC564D"/>
    <w:rsid w:val="00FC587F"/>
    <w:rsid w:val="00FC58FB"/>
    <w:rsid w:val="00FC5A18"/>
    <w:rsid w:val="00FC5BC2"/>
    <w:rsid w:val="00FC5D4E"/>
    <w:rsid w:val="00FC61E5"/>
    <w:rsid w:val="00FC621D"/>
    <w:rsid w:val="00FC6378"/>
    <w:rsid w:val="00FC6399"/>
    <w:rsid w:val="00FC63A3"/>
    <w:rsid w:val="00FC63CF"/>
    <w:rsid w:val="00FC666E"/>
    <w:rsid w:val="00FC678F"/>
    <w:rsid w:val="00FC6CD4"/>
    <w:rsid w:val="00FC6D5B"/>
    <w:rsid w:val="00FC70EE"/>
    <w:rsid w:val="00FC717D"/>
    <w:rsid w:val="00FC728A"/>
    <w:rsid w:val="00FC7527"/>
    <w:rsid w:val="00FC75B5"/>
    <w:rsid w:val="00FC788A"/>
    <w:rsid w:val="00FC7AC6"/>
    <w:rsid w:val="00FC7B3F"/>
    <w:rsid w:val="00FC7FE2"/>
    <w:rsid w:val="00FD0439"/>
    <w:rsid w:val="00FD0450"/>
    <w:rsid w:val="00FD04AF"/>
    <w:rsid w:val="00FD05FD"/>
    <w:rsid w:val="00FD073F"/>
    <w:rsid w:val="00FD0AC1"/>
    <w:rsid w:val="00FD0B28"/>
    <w:rsid w:val="00FD0B9C"/>
    <w:rsid w:val="00FD0E1E"/>
    <w:rsid w:val="00FD0F08"/>
    <w:rsid w:val="00FD0FAF"/>
    <w:rsid w:val="00FD117C"/>
    <w:rsid w:val="00FD122E"/>
    <w:rsid w:val="00FD128B"/>
    <w:rsid w:val="00FD1398"/>
    <w:rsid w:val="00FD13A6"/>
    <w:rsid w:val="00FD15FC"/>
    <w:rsid w:val="00FD1652"/>
    <w:rsid w:val="00FD17BA"/>
    <w:rsid w:val="00FD1825"/>
    <w:rsid w:val="00FD1861"/>
    <w:rsid w:val="00FD18CC"/>
    <w:rsid w:val="00FD1926"/>
    <w:rsid w:val="00FD192E"/>
    <w:rsid w:val="00FD1A73"/>
    <w:rsid w:val="00FD1B05"/>
    <w:rsid w:val="00FD1D9E"/>
    <w:rsid w:val="00FD1DA2"/>
    <w:rsid w:val="00FD1DD2"/>
    <w:rsid w:val="00FD203E"/>
    <w:rsid w:val="00FD21A1"/>
    <w:rsid w:val="00FD221B"/>
    <w:rsid w:val="00FD23BD"/>
    <w:rsid w:val="00FD23E2"/>
    <w:rsid w:val="00FD247B"/>
    <w:rsid w:val="00FD2726"/>
    <w:rsid w:val="00FD28E4"/>
    <w:rsid w:val="00FD29B6"/>
    <w:rsid w:val="00FD2A21"/>
    <w:rsid w:val="00FD2A66"/>
    <w:rsid w:val="00FD2BB7"/>
    <w:rsid w:val="00FD2C9D"/>
    <w:rsid w:val="00FD2E84"/>
    <w:rsid w:val="00FD2F74"/>
    <w:rsid w:val="00FD304C"/>
    <w:rsid w:val="00FD306C"/>
    <w:rsid w:val="00FD32AD"/>
    <w:rsid w:val="00FD3491"/>
    <w:rsid w:val="00FD359B"/>
    <w:rsid w:val="00FD3761"/>
    <w:rsid w:val="00FD38F8"/>
    <w:rsid w:val="00FD3929"/>
    <w:rsid w:val="00FD3A0E"/>
    <w:rsid w:val="00FD3B94"/>
    <w:rsid w:val="00FD3C5B"/>
    <w:rsid w:val="00FD3E11"/>
    <w:rsid w:val="00FD3F93"/>
    <w:rsid w:val="00FD3F95"/>
    <w:rsid w:val="00FD40DD"/>
    <w:rsid w:val="00FD4323"/>
    <w:rsid w:val="00FD43B3"/>
    <w:rsid w:val="00FD43FD"/>
    <w:rsid w:val="00FD451A"/>
    <w:rsid w:val="00FD4665"/>
    <w:rsid w:val="00FD48D4"/>
    <w:rsid w:val="00FD49FB"/>
    <w:rsid w:val="00FD4A68"/>
    <w:rsid w:val="00FD4B39"/>
    <w:rsid w:val="00FD4E63"/>
    <w:rsid w:val="00FD5013"/>
    <w:rsid w:val="00FD53AD"/>
    <w:rsid w:val="00FD553D"/>
    <w:rsid w:val="00FD55D2"/>
    <w:rsid w:val="00FD55E0"/>
    <w:rsid w:val="00FD5642"/>
    <w:rsid w:val="00FD56C9"/>
    <w:rsid w:val="00FD5920"/>
    <w:rsid w:val="00FD5A21"/>
    <w:rsid w:val="00FD5D3C"/>
    <w:rsid w:val="00FD5F73"/>
    <w:rsid w:val="00FD5F88"/>
    <w:rsid w:val="00FD5FB8"/>
    <w:rsid w:val="00FD5FBC"/>
    <w:rsid w:val="00FD5FCA"/>
    <w:rsid w:val="00FD6069"/>
    <w:rsid w:val="00FD6103"/>
    <w:rsid w:val="00FD6132"/>
    <w:rsid w:val="00FD619F"/>
    <w:rsid w:val="00FD61EC"/>
    <w:rsid w:val="00FD6207"/>
    <w:rsid w:val="00FD6239"/>
    <w:rsid w:val="00FD6295"/>
    <w:rsid w:val="00FD6364"/>
    <w:rsid w:val="00FD6623"/>
    <w:rsid w:val="00FD66BB"/>
    <w:rsid w:val="00FD6793"/>
    <w:rsid w:val="00FD6A48"/>
    <w:rsid w:val="00FD6CAA"/>
    <w:rsid w:val="00FD6DE9"/>
    <w:rsid w:val="00FD6EC0"/>
    <w:rsid w:val="00FD6ECE"/>
    <w:rsid w:val="00FD6F25"/>
    <w:rsid w:val="00FD70A2"/>
    <w:rsid w:val="00FD70EE"/>
    <w:rsid w:val="00FD718A"/>
    <w:rsid w:val="00FD729C"/>
    <w:rsid w:val="00FD77AF"/>
    <w:rsid w:val="00FD7884"/>
    <w:rsid w:val="00FD79CD"/>
    <w:rsid w:val="00FD7AB9"/>
    <w:rsid w:val="00FD7CB9"/>
    <w:rsid w:val="00FD7EEE"/>
    <w:rsid w:val="00FD7F2D"/>
    <w:rsid w:val="00FD7F63"/>
    <w:rsid w:val="00FE009C"/>
    <w:rsid w:val="00FE00A9"/>
    <w:rsid w:val="00FE020F"/>
    <w:rsid w:val="00FE02DB"/>
    <w:rsid w:val="00FE0345"/>
    <w:rsid w:val="00FE046F"/>
    <w:rsid w:val="00FE0481"/>
    <w:rsid w:val="00FE056E"/>
    <w:rsid w:val="00FE078A"/>
    <w:rsid w:val="00FE07D2"/>
    <w:rsid w:val="00FE080F"/>
    <w:rsid w:val="00FE0950"/>
    <w:rsid w:val="00FE0A06"/>
    <w:rsid w:val="00FE0A8A"/>
    <w:rsid w:val="00FE0B68"/>
    <w:rsid w:val="00FE0C37"/>
    <w:rsid w:val="00FE104D"/>
    <w:rsid w:val="00FE1118"/>
    <w:rsid w:val="00FE1131"/>
    <w:rsid w:val="00FE1179"/>
    <w:rsid w:val="00FE1180"/>
    <w:rsid w:val="00FE13F1"/>
    <w:rsid w:val="00FE15D8"/>
    <w:rsid w:val="00FE16F7"/>
    <w:rsid w:val="00FE17CF"/>
    <w:rsid w:val="00FE1858"/>
    <w:rsid w:val="00FE1BE4"/>
    <w:rsid w:val="00FE1DC8"/>
    <w:rsid w:val="00FE2182"/>
    <w:rsid w:val="00FE2366"/>
    <w:rsid w:val="00FE237C"/>
    <w:rsid w:val="00FE256C"/>
    <w:rsid w:val="00FE261F"/>
    <w:rsid w:val="00FE2690"/>
    <w:rsid w:val="00FE277C"/>
    <w:rsid w:val="00FE28C8"/>
    <w:rsid w:val="00FE2903"/>
    <w:rsid w:val="00FE2CE4"/>
    <w:rsid w:val="00FE2D80"/>
    <w:rsid w:val="00FE2E39"/>
    <w:rsid w:val="00FE2E51"/>
    <w:rsid w:val="00FE2F25"/>
    <w:rsid w:val="00FE2F59"/>
    <w:rsid w:val="00FE31B3"/>
    <w:rsid w:val="00FE325D"/>
    <w:rsid w:val="00FE32AD"/>
    <w:rsid w:val="00FE32D5"/>
    <w:rsid w:val="00FE33DB"/>
    <w:rsid w:val="00FE34FD"/>
    <w:rsid w:val="00FE3501"/>
    <w:rsid w:val="00FE35F9"/>
    <w:rsid w:val="00FE385B"/>
    <w:rsid w:val="00FE394F"/>
    <w:rsid w:val="00FE3BE4"/>
    <w:rsid w:val="00FE3CFE"/>
    <w:rsid w:val="00FE3DC1"/>
    <w:rsid w:val="00FE3E22"/>
    <w:rsid w:val="00FE40E5"/>
    <w:rsid w:val="00FE41ED"/>
    <w:rsid w:val="00FE454C"/>
    <w:rsid w:val="00FE45C6"/>
    <w:rsid w:val="00FE462E"/>
    <w:rsid w:val="00FE4657"/>
    <w:rsid w:val="00FE4739"/>
    <w:rsid w:val="00FE47C9"/>
    <w:rsid w:val="00FE48CF"/>
    <w:rsid w:val="00FE49FE"/>
    <w:rsid w:val="00FE4C4A"/>
    <w:rsid w:val="00FE4CD9"/>
    <w:rsid w:val="00FE4DB2"/>
    <w:rsid w:val="00FE4E76"/>
    <w:rsid w:val="00FE4F73"/>
    <w:rsid w:val="00FE5605"/>
    <w:rsid w:val="00FE5692"/>
    <w:rsid w:val="00FE58B2"/>
    <w:rsid w:val="00FE58D4"/>
    <w:rsid w:val="00FE5A50"/>
    <w:rsid w:val="00FE5B2E"/>
    <w:rsid w:val="00FE5C1D"/>
    <w:rsid w:val="00FE5CEB"/>
    <w:rsid w:val="00FE5E8F"/>
    <w:rsid w:val="00FE5FEE"/>
    <w:rsid w:val="00FE6037"/>
    <w:rsid w:val="00FE6354"/>
    <w:rsid w:val="00FE6589"/>
    <w:rsid w:val="00FE6785"/>
    <w:rsid w:val="00FE681D"/>
    <w:rsid w:val="00FE6C97"/>
    <w:rsid w:val="00FE744D"/>
    <w:rsid w:val="00FE74DF"/>
    <w:rsid w:val="00FE7552"/>
    <w:rsid w:val="00FE75DD"/>
    <w:rsid w:val="00FE76E4"/>
    <w:rsid w:val="00FE76FC"/>
    <w:rsid w:val="00FE7793"/>
    <w:rsid w:val="00FE782A"/>
    <w:rsid w:val="00FE78FF"/>
    <w:rsid w:val="00FE7A1E"/>
    <w:rsid w:val="00FE7C7B"/>
    <w:rsid w:val="00FE7D2D"/>
    <w:rsid w:val="00FE7D98"/>
    <w:rsid w:val="00FE7F53"/>
    <w:rsid w:val="00FE7F6A"/>
    <w:rsid w:val="00FF050B"/>
    <w:rsid w:val="00FF0602"/>
    <w:rsid w:val="00FF0640"/>
    <w:rsid w:val="00FF0718"/>
    <w:rsid w:val="00FF0863"/>
    <w:rsid w:val="00FF0B6E"/>
    <w:rsid w:val="00FF0DBD"/>
    <w:rsid w:val="00FF10A8"/>
    <w:rsid w:val="00FF11B2"/>
    <w:rsid w:val="00FF11E9"/>
    <w:rsid w:val="00FF11F0"/>
    <w:rsid w:val="00FF1235"/>
    <w:rsid w:val="00FF12F6"/>
    <w:rsid w:val="00FF1452"/>
    <w:rsid w:val="00FF14A9"/>
    <w:rsid w:val="00FF1520"/>
    <w:rsid w:val="00FF1569"/>
    <w:rsid w:val="00FF174C"/>
    <w:rsid w:val="00FF1801"/>
    <w:rsid w:val="00FF185A"/>
    <w:rsid w:val="00FF19A3"/>
    <w:rsid w:val="00FF1C0F"/>
    <w:rsid w:val="00FF1D66"/>
    <w:rsid w:val="00FF1DFF"/>
    <w:rsid w:val="00FF1EC1"/>
    <w:rsid w:val="00FF1F98"/>
    <w:rsid w:val="00FF209D"/>
    <w:rsid w:val="00FF20DE"/>
    <w:rsid w:val="00FF2100"/>
    <w:rsid w:val="00FF2304"/>
    <w:rsid w:val="00FF23BC"/>
    <w:rsid w:val="00FF2582"/>
    <w:rsid w:val="00FF2605"/>
    <w:rsid w:val="00FF26BC"/>
    <w:rsid w:val="00FF27EC"/>
    <w:rsid w:val="00FF2A77"/>
    <w:rsid w:val="00FF2E4E"/>
    <w:rsid w:val="00FF2E6B"/>
    <w:rsid w:val="00FF2F60"/>
    <w:rsid w:val="00FF30E9"/>
    <w:rsid w:val="00FF33FE"/>
    <w:rsid w:val="00FF3401"/>
    <w:rsid w:val="00FF3404"/>
    <w:rsid w:val="00FF36EB"/>
    <w:rsid w:val="00FF385B"/>
    <w:rsid w:val="00FF3A07"/>
    <w:rsid w:val="00FF3A72"/>
    <w:rsid w:val="00FF3BF5"/>
    <w:rsid w:val="00FF3D3F"/>
    <w:rsid w:val="00FF3F45"/>
    <w:rsid w:val="00FF3FE0"/>
    <w:rsid w:val="00FF3FEA"/>
    <w:rsid w:val="00FF41FD"/>
    <w:rsid w:val="00FF4325"/>
    <w:rsid w:val="00FF4480"/>
    <w:rsid w:val="00FF4552"/>
    <w:rsid w:val="00FF49C4"/>
    <w:rsid w:val="00FF4AEC"/>
    <w:rsid w:val="00FF4B77"/>
    <w:rsid w:val="00FF4C68"/>
    <w:rsid w:val="00FF4C9B"/>
    <w:rsid w:val="00FF4D4F"/>
    <w:rsid w:val="00FF4DA7"/>
    <w:rsid w:val="00FF4DE4"/>
    <w:rsid w:val="00FF4EB7"/>
    <w:rsid w:val="00FF4F2D"/>
    <w:rsid w:val="00FF52BA"/>
    <w:rsid w:val="00FF52F2"/>
    <w:rsid w:val="00FF54F8"/>
    <w:rsid w:val="00FF5546"/>
    <w:rsid w:val="00FF5594"/>
    <w:rsid w:val="00FF55FC"/>
    <w:rsid w:val="00FF5A88"/>
    <w:rsid w:val="00FF5CEB"/>
    <w:rsid w:val="00FF5D79"/>
    <w:rsid w:val="00FF5E51"/>
    <w:rsid w:val="00FF5EAC"/>
    <w:rsid w:val="00FF6052"/>
    <w:rsid w:val="00FF610E"/>
    <w:rsid w:val="00FF6292"/>
    <w:rsid w:val="00FF6396"/>
    <w:rsid w:val="00FF6644"/>
    <w:rsid w:val="00FF66C5"/>
    <w:rsid w:val="00FF670D"/>
    <w:rsid w:val="00FF67F3"/>
    <w:rsid w:val="00FF67FD"/>
    <w:rsid w:val="00FF6A52"/>
    <w:rsid w:val="00FF6AB3"/>
    <w:rsid w:val="00FF6AF8"/>
    <w:rsid w:val="00FF6BD6"/>
    <w:rsid w:val="00FF6D6D"/>
    <w:rsid w:val="00FF6E1D"/>
    <w:rsid w:val="00FF6F14"/>
    <w:rsid w:val="00FF6F7D"/>
    <w:rsid w:val="00FF708C"/>
    <w:rsid w:val="00FF72D6"/>
    <w:rsid w:val="00FF72DE"/>
    <w:rsid w:val="00FF7411"/>
    <w:rsid w:val="00FF776F"/>
    <w:rsid w:val="00FF7977"/>
    <w:rsid w:val="00FF7AEA"/>
    <w:rsid w:val="00FF7C43"/>
    <w:rsid w:val="00FF7CDE"/>
    <w:rsid w:val="00FF7D6C"/>
    <w:rsid w:val="00FF7EB8"/>
    <w:rsid w:val="00FF7EF2"/>
    <w:rsid w:val="00FF7F20"/>
    <w:rsid w:val="01031E94"/>
    <w:rsid w:val="0110A2D0"/>
    <w:rsid w:val="01156BB5"/>
    <w:rsid w:val="01173857"/>
    <w:rsid w:val="011D2854"/>
    <w:rsid w:val="01210924"/>
    <w:rsid w:val="012C60B0"/>
    <w:rsid w:val="0138D6B0"/>
    <w:rsid w:val="017F0EF4"/>
    <w:rsid w:val="019C222F"/>
    <w:rsid w:val="019D98D1"/>
    <w:rsid w:val="019F03FD"/>
    <w:rsid w:val="01C35EBB"/>
    <w:rsid w:val="01CB6E93"/>
    <w:rsid w:val="01CB6F93"/>
    <w:rsid w:val="01D00B8A"/>
    <w:rsid w:val="01F881D1"/>
    <w:rsid w:val="02091A64"/>
    <w:rsid w:val="023AEC14"/>
    <w:rsid w:val="0240744D"/>
    <w:rsid w:val="0249F4DD"/>
    <w:rsid w:val="028BE260"/>
    <w:rsid w:val="02B329BC"/>
    <w:rsid w:val="02CB2CA9"/>
    <w:rsid w:val="0303C144"/>
    <w:rsid w:val="03140390"/>
    <w:rsid w:val="0321CFC1"/>
    <w:rsid w:val="03284CF8"/>
    <w:rsid w:val="033393EF"/>
    <w:rsid w:val="034E57D9"/>
    <w:rsid w:val="03658195"/>
    <w:rsid w:val="03842962"/>
    <w:rsid w:val="03ADB5DD"/>
    <w:rsid w:val="03CE1F4E"/>
    <w:rsid w:val="03DD8FCB"/>
    <w:rsid w:val="03E66B02"/>
    <w:rsid w:val="03F1AB95"/>
    <w:rsid w:val="03FF7B36"/>
    <w:rsid w:val="0442F722"/>
    <w:rsid w:val="04547827"/>
    <w:rsid w:val="046B27EA"/>
    <w:rsid w:val="0479A2D5"/>
    <w:rsid w:val="04946146"/>
    <w:rsid w:val="049692FA"/>
    <w:rsid w:val="04BEF2A1"/>
    <w:rsid w:val="04C44F08"/>
    <w:rsid w:val="04C8ADA0"/>
    <w:rsid w:val="04DB55B7"/>
    <w:rsid w:val="04EAE0E8"/>
    <w:rsid w:val="0502A824"/>
    <w:rsid w:val="050440D8"/>
    <w:rsid w:val="0506C83B"/>
    <w:rsid w:val="050D3A3E"/>
    <w:rsid w:val="050E3B95"/>
    <w:rsid w:val="05335E17"/>
    <w:rsid w:val="0580F067"/>
    <w:rsid w:val="059AD8CC"/>
    <w:rsid w:val="05B9FE4C"/>
    <w:rsid w:val="05BAE782"/>
    <w:rsid w:val="05C2C087"/>
    <w:rsid w:val="05FB2D28"/>
    <w:rsid w:val="06278950"/>
    <w:rsid w:val="0664CCAF"/>
    <w:rsid w:val="0685C062"/>
    <w:rsid w:val="068751CA"/>
    <w:rsid w:val="0698F866"/>
    <w:rsid w:val="06AADA3E"/>
    <w:rsid w:val="06C3B533"/>
    <w:rsid w:val="06D902B4"/>
    <w:rsid w:val="06D96272"/>
    <w:rsid w:val="06EA2037"/>
    <w:rsid w:val="07145ED6"/>
    <w:rsid w:val="071CC0C8"/>
    <w:rsid w:val="0725AC45"/>
    <w:rsid w:val="0727DC02"/>
    <w:rsid w:val="072F8E00"/>
    <w:rsid w:val="0776959D"/>
    <w:rsid w:val="077BF665"/>
    <w:rsid w:val="0783D3B5"/>
    <w:rsid w:val="079FFA1E"/>
    <w:rsid w:val="07CA2ED6"/>
    <w:rsid w:val="07DC1887"/>
    <w:rsid w:val="07E7AE88"/>
    <w:rsid w:val="07FAF01D"/>
    <w:rsid w:val="0801838D"/>
    <w:rsid w:val="08195C66"/>
    <w:rsid w:val="0845C5D5"/>
    <w:rsid w:val="08510E69"/>
    <w:rsid w:val="08567553"/>
    <w:rsid w:val="085CFB8A"/>
    <w:rsid w:val="086ED6F8"/>
    <w:rsid w:val="086FB0C8"/>
    <w:rsid w:val="0885CCA8"/>
    <w:rsid w:val="08976FA7"/>
    <w:rsid w:val="0899909D"/>
    <w:rsid w:val="08A3A746"/>
    <w:rsid w:val="08B83238"/>
    <w:rsid w:val="08B8D1F2"/>
    <w:rsid w:val="08BC2D9B"/>
    <w:rsid w:val="09397FB6"/>
    <w:rsid w:val="09A07084"/>
    <w:rsid w:val="0A005CAB"/>
    <w:rsid w:val="0A314ECE"/>
    <w:rsid w:val="0A3FD7D2"/>
    <w:rsid w:val="0A630E83"/>
    <w:rsid w:val="0A987C85"/>
    <w:rsid w:val="0AA43CCB"/>
    <w:rsid w:val="0AB58DF7"/>
    <w:rsid w:val="0AC7F4BE"/>
    <w:rsid w:val="0ADF4BBD"/>
    <w:rsid w:val="0B25E665"/>
    <w:rsid w:val="0B2836A2"/>
    <w:rsid w:val="0B444EF9"/>
    <w:rsid w:val="0B67D731"/>
    <w:rsid w:val="0B8D01BB"/>
    <w:rsid w:val="0B98EA04"/>
    <w:rsid w:val="0BA1F952"/>
    <w:rsid w:val="0BC59DED"/>
    <w:rsid w:val="0BCCB586"/>
    <w:rsid w:val="0BE5B9ED"/>
    <w:rsid w:val="0BE5D9D0"/>
    <w:rsid w:val="0C6678E2"/>
    <w:rsid w:val="0C673164"/>
    <w:rsid w:val="0C801CA8"/>
    <w:rsid w:val="0C98187A"/>
    <w:rsid w:val="0C9974DD"/>
    <w:rsid w:val="0C9B14D2"/>
    <w:rsid w:val="0CA37A69"/>
    <w:rsid w:val="0CA48BCF"/>
    <w:rsid w:val="0CAFB1C0"/>
    <w:rsid w:val="0CB2B54D"/>
    <w:rsid w:val="0CC3B1A3"/>
    <w:rsid w:val="0CC3D0E1"/>
    <w:rsid w:val="0CD28B08"/>
    <w:rsid w:val="0CEE0997"/>
    <w:rsid w:val="0CFE03FB"/>
    <w:rsid w:val="0D094A2C"/>
    <w:rsid w:val="0D2CA4F3"/>
    <w:rsid w:val="0D36312C"/>
    <w:rsid w:val="0D51965B"/>
    <w:rsid w:val="0D9B46BD"/>
    <w:rsid w:val="0DA63245"/>
    <w:rsid w:val="0DA8DCCC"/>
    <w:rsid w:val="0DB18641"/>
    <w:rsid w:val="0DB70C3B"/>
    <w:rsid w:val="0DD297C9"/>
    <w:rsid w:val="0E06301F"/>
    <w:rsid w:val="0E0AFF14"/>
    <w:rsid w:val="0E11F063"/>
    <w:rsid w:val="0E172DCB"/>
    <w:rsid w:val="0E2C2E26"/>
    <w:rsid w:val="0E66AD77"/>
    <w:rsid w:val="0E7567F4"/>
    <w:rsid w:val="0E7BF4DF"/>
    <w:rsid w:val="0E9297AA"/>
    <w:rsid w:val="0EA24680"/>
    <w:rsid w:val="0EA2BAC1"/>
    <w:rsid w:val="0EAAB7F2"/>
    <w:rsid w:val="0EBD4E7C"/>
    <w:rsid w:val="0EC4DC7A"/>
    <w:rsid w:val="0EEE4E8D"/>
    <w:rsid w:val="0F017D75"/>
    <w:rsid w:val="0F04F1C7"/>
    <w:rsid w:val="0F0C8FFC"/>
    <w:rsid w:val="0F158AF2"/>
    <w:rsid w:val="0F3937A2"/>
    <w:rsid w:val="0F4164B3"/>
    <w:rsid w:val="0F4AE231"/>
    <w:rsid w:val="0F67E958"/>
    <w:rsid w:val="0F6BD656"/>
    <w:rsid w:val="0F6FA050"/>
    <w:rsid w:val="0F72632B"/>
    <w:rsid w:val="0F742815"/>
    <w:rsid w:val="0F7D98BA"/>
    <w:rsid w:val="0F953621"/>
    <w:rsid w:val="0FC2393C"/>
    <w:rsid w:val="0FE0FF2E"/>
    <w:rsid w:val="0FF3AEA3"/>
    <w:rsid w:val="0FFB5853"/>
    <w:rsid w:val="100D2FF5"/>
    <w:rsid w:val="101E05D7"/>
    <w:rsid w:val="10262787"/>
    <w:rsid w:val="102CCE49"/>
    <w:rsid w:val="103B895A"/>
    <w:rsid w:val="1071C564"/>
    <w:rsid w:val="1083BB25"/>
    <w:rsid w:val="10845A91"/>
    <w:rsid w:val="1087D550"/>
    <w:rsid w:val="10915ACE"/>
    <w:rsid w:val="109D65FA"/>
    <w:rsid w:val="10A0E507"/>
    <w:rsid w:val="10B3E037"/>
    <w:rsid w:val="10C3961A"/>
    <w:rsid w:val="10D54E7E"/>
    <w:rsid w:val="110A7DD7"/>
    <w:rsid w:val="1112B699"/>
    <w:rsid w:val="112E8B22"/>
    <w:rsid w:val="11572C3B"/>
    <w:rsid w:val="11645D7E"/>
    <w:rsid w:val="117AF41A"/>
    <w:rsid w:val="118DF416"/>
    <w:rsid w:val="119B726E"/>
    <w:rsid w:val="119DD6A2"/>
    <w:rsid w:val="11E6148C"/>
    <w:rsid w:val="11F357B8"/>
    <w:rsid w:val="1210B6C8"/>
    <w:rsid w:val="121234AD"/>
    <w:rsid w:val="121AFC54"/>
    <w:rsid w:val="12343AF4"/>
    <w:rsid w:val="123A35A4"/>
    <w:rsid w:val="125A496B"/>
    <w:rsid w:val="125F2B0B"/>
    <w:rsid w:val="126EA95F"/>
    <w:rsid w:val="1275BBCE"/>
    <w:rsid w:val="1278AEA6"/>
    <w:rsid w:val="129CB4AB"/>
    <w:rsid w:val="12B0638D"/>
    <w:rsid w:val="12D2318D"/>
    <w:rsid w:val="12D48978"/>
    <w:rsid w:val="12DEBDB8"/>
    <w:rsid w:val="1307B7EB"/>
    <w:rsid w:val="133AD1BD"/>
    <w:rsid w:val="1352D11F"/>
    <w:rsid w:val="1378ADD8"/>
    <w:rsid w:val="137FA5CB"/>
    <w:rsid w:val="1394996B"/>
    <w:rsid w:val="13A6A372"/>
    <w:rsid w:val="13C78E5B"/>
    <w:rsid w:val="13DF2874"/>
    <w:rsid w:val="13FF4309"/>
    <w:rsid w:val="1406FF8D"/>
    <w:rsid w:val="1411EC11"/>
    <w:rsid w:val="14182EDA"/>
    <w:rsid w:val="1421FF4B"/>
    <w:rsid w:val="14433F8A"/>
    <w:rsid w:val="1458CB3E"/>
    <w:rsid w:val="145D062B"/>
    <w:rsid w:val="1461EA25"/>
    <w:rsid w:val="14824737"/>
    <w:rsid w:val="14939B6A"/>
    <w:rsid w:val="14A0ABA7"/>
    <w:rsid w:val="14A403E3"/>
    <w:rsid w:val="14A6A4A4"/>
    <w:rsid w:val="14A7645D"/>
    <w:rsid w:val="14C96356"/>
    <w:rsid w:val="14D2AF20"/>
    <w:rsid w:val="14D3911B"/>
    <w:rsid w:val="15181D28"/>
    <w:rsid w:val="15277F78"/>
    <w:rsid w:val="1544F908"/>
    <w:rsid w:val="156451EC"/>
    <w:rsid w:val="15896F03"/>
    <w:rsid w:val="159868E4"/>
    <w:rsid w:val="15BFE4C6"/>
    <w:rsid w:val="15D65B59"/>
    <w:rsid w:val="15EF9437"/>
    <w:rsid w:val="15F4EB4D"/>
    <w:rsid w:val="1610B823"/>
    <w:rsid w:val="16246A2D"/>
    <w:rsid w:val="164C9970"/>
    <w:rsid w:val="1686F642"/>
    <w:rsid w:val="169109E6"/>
    <w:rsid w:val="169B2A20"/>
    <w:rsid w:val="16C759AA"/>
    <w:rsid w:val="16C7B08F"/>
    <w:rsid w:val="16E9C38D"/>
    <w:rsid w:val="1703B78F"/>
    <w:rsid w:val="1713AE94"/>
    <w:rsid w:val="17378EBE"/>
    <w:rsid w:val="17558B0F"/>
    <w:rsid w:val="176501DF"/>
    <w:rsid w:val="1766C5E6"/>
    <w:rsid w:val="176E48A1"/>
    <w:rsid w:val="1776D8D1"/>
    <w:rsid w:val="177E70A8"/>
    <w:rsid w:val="179B04F1"/>
    <w:rsid w:val="17BC4DD2"/>
    <w:rsid w:val="17C1F982"/>
    <w:rsid w:val="17CDD4E0"/>
    <w:rsid w:val="17E3B31B"/>
    <w:rsid w:val="18034729"/>
    <w:rsid w:val="18297503"/>
    <w:rsid w:val="182AD429"/>
    <w:rsid w:val="182C46F3"/>
    <w:rsid w:val="183E0FB5"/>
    <w:rsid w:val="18433978"/>
    <w:rsid w:val="184FE98B"/>
    <w:rsid w:val="1858113C"/>
    <w:rsid w:val="186821A3"/>
    <w:rsid w:val="186E3E12"/>
    <w:rsid w:val="187C5D42"/>
    <w:rsid w:val="18875FD8"/>
    <w:rsid w:val="18A605E5"/>
    <w:rsid w:val="18BEF21C"/>
    <w:rsid w:val="18D882D8"/>
    <w:rsid w:val="18E41D93"/>
    <w:rsid w:val="18F7D193"/>
    <w:rsid w:val="1906CC52"/>
    <w:rsid w:val="1930774E"/>
    <w:rsid w:val="193EF5D6"/>
    <w:rsid w:val="1950612B"/>
    <w:rsid w:val="19561695"/>
    <w:rsid w:val="1977C382"/>
    <w:rsid w:val="19895383"/>
    <w:rsid w:val="199438DB"/>
    <w:rsid w:val="1996D7EC"/>
    <w:rsid w:val="19C07665"/>
    <w:rsid w:val="19C44D53"/>
    <w:rsid w:val="19D22901"/>
    <w:rsid w:val="19F0B97B"/>
    <w:rsid w:val="1A0D2434"/>
    <w:rsid w:val="1A11B084"/>
    <w:rsid w:val="1A18A7AA"/>
    <w:rsid w:val="1A28D234"/>
    <w:rsid w:val="1A2F792B"/>
    <w:rsid w:val="1A35E84A"/>
    <w:rsid w:val="1A3B323F"/>
    <w:rsid w:val="1A411781"/>
    <w:rsid w:val="1A42067E"/>
    <w:rsid w:val="1A4238CC"/>
    <w:rsid w:val="1A52EAF8"/>
    <w:rsid w:val="1A666D84"/>
    <w:rsid w:val="1A67C850"/>
    <w:rsid w:val="1A680240"/>
    <w:rsid w:val="1A6C1355"/>
    <w:rsid w:val="1A73249A"/>
    <w:rsid w:val="1A80F376"/>
    <w:rsid w:val="1AAE134F"/>
    <w:rsid w:val="1AF41E91"/>
    <w:rsid w:val="1B122885"/>
    <w:rsid w:val="1B183916"/>
    <w:rsid w:val="1B244A75"/>
    <w:rsid w:val="1B2FA035"/>
    <w:rsid w:val="1B3E7AFF"/>
    <w:rsid w:val="1B414583"/>
    <w:rsid w:val="1B95A193"/>
    <w:rsid w:val="1BAB262B"/>
    <w:rsid w:val="1BAC8CE6"/>
    <w:rsid w:val="1BBF2748"/>
    <w:rsid w:val="1BC55B34"/>
    <w:rsid w:val="1BCA3E14"/>
    <w:rsid w:val="1BCEF549"/>
    <w:rsid w:val="1BE2BCDA"/>
    <w:rsid w:val="1BEAC4FF"/>
    <w:rsid w:val="1C03F0D8"/>
    <w:rsid w:val="1C4DB51C"/>
    <w:rsid w:val="1C515C1E"/>
    <w:rsid w:val="1C5631E3"/>
    <w:rsid w:val="1C5DED21"/>
    <w:rsid w:val="1C6C1A57"/>
    <w:rsid w:val="1C81A3EF"/>
    <w:rsid w:val="1C825BA8"/>
    <w:rsid w:val="1C8FB86C"/>
    <w:rsid w:val="1C8FBEF5"/>
    <w:rsid w:val="1CD6948D"/>
    <w:rsid w:val="1D056062"/>
    <w:rsid w:val="1D17D893"/>
    <w:rsid w:val="1D2A4421"/>
    <w:rsid w:val="1D2E703F"/>
    <w:rsid w:val="1D482E82"/>
    <w:rsid w:val="1D680EC3"/>
    <w:rsid w:val="1D711821"/>
    <w:rsid w:val="1D74611E"/>
    <w:rsid w:val="1DB960B7"/>
    <w:rsid w:val="1DC4CC93"/>
    <w:rsid w:val="1DED3D92"/>
    <w:rsid w:val="1DF2AD9A"/>
    <w:rsid w:val="1DF4BC8C"/>
    <w:rsid w:val="1DF882D0"/>
    <w:rsid w:val="1E1BCA08"/>
    <w:rsid w:val="1E270422"/>
    <w:rsid w:val="1E3A757E"/>
    <w:rsid w:val="1E48D63A"/>
    <w:rsid w:val="1E4DC556"/>
    <w:rsid w:val="1E562BA2"/>
    <w:rsid w:val="1E7CB4F2"/>
    <w:rsid w:val="1E8EB869"/>
    <w:rsid w:val="1E8FEE2B"/>
    <w:rsid w:val="1EC144B1"/>
    <w:rsid w:val="1EC37123"/>
    <w:rsid w:val="1EC9B262"/>
    <w:rsid w:val="1F090B01"/>
    <w:rsid w:val="1F0CE882"/>
    <w:rsid w:val="1F1728EC"/>
    <w:rsid w:val="1F1C0528"/>
    <w:rsid w:val="1F1E2F02"/>
    <w:rsid w:val="1F24143A"/>
    <w:rsid w:val="1F2949D3"/>
    <w:rsid w:val="1F38EF08"/>
    <w:rsid w:val="1F8A6B71"/>
    <w:rsid w:val="1F935339"/>
    <w:rsid w:val="1FA9EFCD"/>
    <w:rsid w:val="1FABB65A"/>
    <w:rsid w:val="1FB3A565"/>
    <w:rsid w:val="1FB7428E"/>
    <w:rsid w:val="1FC75FB7"/>
    <w:rsid w:val="1FDFDC25"/>
    <w:rsid w:val="201407E0"/>
    <w:rsid w:val="202CB7E4"/>
    <w:rsid w:val="2038BF65"/>
    <w:rsid w:val="203940CD"/>
    <w:rsid w:val="203ACF4F"/>
    <w:rsid w:val="20487D56"/>
    <w:rsid w:val="20766B36"/>
    <w:rsid w:val="2089027C"/>
    <w:rsid w:val="20997641"/>
    <w:rsid w:val="20AE6B30"/>
    <w:rsid w:val="20AF4908"/>
    <w:rsid w:val="20BE317B"/>
    <w:rsid w:val="20C61921"/>
    <w:rsid w:val="20CEE1CF"/>
    <w:rsid w:val="20F0D2BD"/>
    <w:rsid w:val="2107096F"/>
    <w:rsid w:val="210AA531"/>
    <w:rsid w:val="2132EA8F"/>
    <w:rsid w:val="21430977"/>
    <w:rsid w:val="21633018"/>
    <w:rsid w:val="216628D5"/>
    <w:rsid w:val="216BEB49"/>
    <w:rsid w:val="21730246"/>
    <w:rsid w:val="217B6563"/>
    <w:rsid w:val="218AA805"/>
    <w:rsid w:val="219266F9"/>
    <w:rsid w:val="21B34082"/>
    <w:rsid w:val="21BE4E8D"/>
    <w:rsid w:val="21BEDF06"/>
    <w:rsid w:val="21BFC325"/>
    <w:rsid w:val="21C7108E"/>
    <w:rsid w:val="21D958A0"/>
    <w:rsid w:val="21EAFD7F"/>
    <w:rsid w:val="21F21AE2"/>
    <w:rsid w:val="221623C9"/>
    <w:rsid w:val="22171FBE"/>
    <w:rsid w:val="224E6C9F"/>
    <w:rsid w:val="2258FA17"/>
    <w:rsid w:val="228A146B"/>
    <w:rsid w:val="22A128C1"/>
    <w:rsid w:val="22A8FE44"/>
    <w:rsid w:val="22C33E6B"/>
    <w:rsid w:val="22D6D2EC"/>
    <w:rsid w:val="22F7EC62"/>
    <w:rsid w:val="22F7F027"/>
    <w:rsid w:val="2307D0B3"/>
    <w:rsid w:val="2315CF56"/>
    <w:rsid w:val="23177C82"/>
    <w:rsid w:val="231E73F2"/>
    <w:rsid w:val="232F5C5A"/>
    <w:rsid w:val="2364EE0A"/>
    <w:rsid w:val="2368D99C"/>
    <w:rsid w:val="236BF6C6"/>
    <w:rsid w:val="23781AE6"/>
    <w:rsid w:val="238DF264"/>
    <w:rsid w:val="23E7DE49"/>
    <w:rsid w:val="23F49282"/>
    <w:rsid w:val="23FCED1E"/>
    <w:rsid w:val="2441E147"/>
    <w:rsid w:val="2479EB83"/>
    <w:rsid w:val="2488A99A"/>
    <w:rsid w:val="248C133E"/>
    <w:rsid w:val="24B22FD3"/>
    <w:rsid w:val="24B34CE3"/>
    <w:rsid w:val="24D6477E"/>
    <w:rsid w:val="24D6AB53"/>
    <w:rsid w:val="24FFEB59"/>
    <w:rsid w:val="25000A85"/>
    <w:rsid w:val="250D1470"/>
    <w:rsid w:val="2512DB67"/>
    <w:rsid w:val="253408A9"/>
    <w:rsid w:val="25456BB9"/>
    <w:rsid w:val="255B5A51"/>
    <w:rsid w:val="256599B2"/>
    <w:rsid w:val="2568F3B1"/>
    <w:rsid w:val="256C8008"/>
    <w:rsid w:val="2573B066"/>
    <w:rsid w:val="25756B70"/>
    <w:rsid w:val="25B6475A"/>
    <w:rsid w:val="25C29340"/>
    <w:rsid w:val="25C50A4D"/>
    <w:rsid w:val="25C8A76B"/>
    <w:rsid w:val="25CFDE78"/>
    <w:rsid w:val="25EB9D8F"/>
    <w:rsid w:val="25F5D1F9"/>
    <w:rsid w:val="26175005"/>
    <w:rsid w:val="263F89BB"/>
    <w:rsid w:val="264CF27F"/>
    <w:rsid w:val="26793805"/>
    <w:rsid w:val="268B3CA6"/>
    <w:rsid w:val="26B37BEF"/>
    <w:rsid w:val="26CB3999"/>
    <w:rsid w:val="26E45CBE"/>
    <w:rsid w:val="26F72AB2"/>
    <w:rsid w:val="26FAFB24"/>
    <w:rsid w:val="2719E4CD"/>
    <w:rsid w:val="2746368A"/>
    <w:rsid w:val="274C7C8D"/>
    <w:rsid w:val="278304C9"/>
    <w:rsid w:val="278CA0C3"/>
    <w:rsid w:val="27998FE0"/>
    <w:rsid w:val="27A43B98"/>
    <w:rsid w:val="27B0502F"/>
    <w:rsid w:val="27B65613"/>
    <w:rsid w:val="27E974B9"/>
    <w:rsid w:val="27E986F3"/>
    <w:rsid w:val="27F83371"/>
    <w:rsid w:val="27F884F2"/>
    <w:rsid w:val="27FAEE0B"/>
    <w:rsid w:val="27FBD0CE"/>
    <w:rsid w:val="2803365F"/>
    <w:rsid w:val="2821A9D2"/>
    <w:rsid w:val="28267070"/>
    <w:rsid w:val="283BC244"/>
    <w:rsid w:val="284363B3"/>
    <w:rsid w:val="2867997F"/>
    <w:rsid w:val="2895894E"/>
    <w:rsid w:val="28ADD699"/>
    <w:rsid w:val="2902CB79"/>
    <w:rsid w:val="2910AC51"/>
    <w:rsid w:val="291545C2"/>
    <w:rsid w:val="29197D2A"/>
    <w:rsid w:val="291D2A61"/>
    <w:rsid w:val="29332B74"/>
    <w:rsid w:val="29497D12"/>
    <w:rsid w:val="29666A35"/>
    <w:rsid w:val="298023B9"/>
    <w:rsid w:val="29ED586A"/>
    <w:rsid w:val="29F1B7C7"/>
    <w:rsid w:val="2A176959"/>
    <w:rsid w:val="2A37EB3F"/>
    <w:rsid w:val="2A5BC4FD"/>
    <w:rsid w:val="2ABE8B26"/>
    <w:rsid w:val="2AC82A2D"/>
    <w:rsid w:val="2AC9470F"/>
    <w:rsid w:val="2ACD81A4"/>
    <w:rsid w:val="2AE20A0D"/>
    <w:rsid w:val="2AF50666"/>
    <w:rsid w:val="2AF9FEF3"/>
    <w:rsid w:val="2B171730"/>
    <w:rsid w:val="2B23BCF6"/>
    <w:rsid w:val="2B282DD1"/>
    <w:rsid w:val="2B347DDF"/>
    <w:rsid w:val="2B4A79FC"/>
    <w:rsid w:val="2B5E3E0E"/>
    <w:rsid w:val="2B669170"/>
    <w:rsid w:val="2B6E6E60"/>
    <w:rsid w:val="2B76F81C"/>
    <w:rsid w:val="2B7A13C9"/>
    <w:rsid w:val="2BCE4C55"/>
    <w:rsid w:val="2BDE402D"/>
    <w:rsid w:val="2BE6DEC3"/>
    <w:rsid w:val="2BF355D0"/>
    <w:rsid w:val="2C14ED45"/>
    <w:rsid w:val="2C2B1960"/>
    <w:rsid w:val="2C3553C2"/>
    <w:rsid w:val="2C36EBFA"/>
    <w:rsid w:val="2C82835B"/>
    <w:rsid w:val="2C87B162"/>
    <w:rsid w:val="2C8F0EF7"/>
    <w:rsid w:val="2C9E0AF7"/>
    <w:rsid w:val="2CAD5A6E"/>
    <w:rsid w:val="2CB7BD61"/>
    <w:rsid w:val="2CD6349F"/>
    <w:rsid w:val="2CE2665C"/>
    <w:rsid w:val="2CE79502"/>
    <w:rsid w:val="2D00799B"/>
    <w:rsid w:val="2D0151D0"/>
    <w:rsid w:val="2D037040"/>
    <w:rsid w:val="2D06F44A"/>
    <w:rsid w:val="2D0A2C64"/>
    <w:rsid w:val="2D1A5AFD"/>
    <w:rsid w:val="2D2653DD"/>
    <w:rsid w:val="2D301CD4"/>
    <w:rsid w:val="2D3194D7"/>
    <w:rsid w:val="2D4D43D9"/>
    <w:rsid w:val="2D546E1A"/>
    <w:rsid w:val="2D6DAC1B"/>
    <w:rsid w:val="2D807D55"/>
    <w:rsid w:val="2E11A51E"/>
    <w:rsid w:val="2E30A9DF"/>
    <w:rsid w:val="2E59CD29"/>
    <w:rsid w:val="2E621960"/>
    <w:rsid w:val="2E63FB16"/>
    <w:rsid w:val="2E760A0A"/>
    <w:rsid w:val="2E798C0B"/>
    <w:rsid w:val="2E8AF84A"/>
    <w:rsid w:val="2E92D76E"/>
    <w:rsid w:val="2EA8205E"/>
    <w:rsid w:val="2ED6207C"/>
    <w:rsid w:val="2F032559"/>
    <w:rsid w:val="2F09002C"/>
    <w:rsid w:val="2F0ADD5D"/>
    <w:rsid w:val="2F0EA223"/>
    <w:rsid w:val="2F2242D8"/>
    <w:rsid w:val="2F30E6EC"/>
    <w:rsid w:val="2F32B8B0"/>
    <w:rsid w:val="2F37907B"/>
    <w:rsid w:val="2F4C44F0"/>
    <w:rsid w:val="2F6287FB"/>
    <w:rsid w:val="2F9C2619"/>
    <w:rsid w:val="2F9C77C6"/>
    <w:rsid w:val="2FA0B686"/>
    <w:rsid w:val="2FB13F46"/>
    <w:rsid w:val="2FC19551"/>
    <w:rsid w:val="2FC7846C"/>
    <w:rsid w:val="2FF05A36"/>
    <w:rsid w:val="30083999"/>
    <w:rsid w:val="301010A9"/>
    <w:rsid w:val="301CB310"/>
    <w:rsid w:val="3026BBB2"/>
    <w:rsid w:val="302737EA"/>
    <w:rsid w:val="302BB3C4"/>
    <w:rsid w:val="302FEA5B"/>
    <w:rsid w:val="3046972B"/>
    <w:rsid w:val="304BE8DD"/>
    <w:rsid w:val="30550BAC"/>
    <w:rsid w:val="30595FFC"/>
    <w:rsid w:val="30744840"/>
    <w:rsid w:val="307C7F60"/>
    <w:rsid w:val="3087A38E"/>
    <w:rsid w:val="308A3A56"/>
    <w:rsid w:val="30907732"/>
    <w:rsid w:val="30B807B7"/>
    <w:rsid w:val="30DD416C"/>
    <w:rsid w:val="310E4F9B"/>
    <w:rsid w:val="311E2291"/>
    <w:rsid w:val="312369B0"/>
    <w:rsid w:val="3136487B"/>
    <w:rsid w:val="314AC799"/>
    <w:rsid w:val="314FA18C"/>
    <w:rsid w:val="31548BFB"/>
    <w:rsid w:val="3169F8D9"/>
    <w:rsid w:val="31755F7B"/>
    <w:rsid w:val="31758738"/>
    <w:rsid w:val="3177A5F7"/>
    <w:rsid w:val="3188AAEC"/>
    <w:rsid w:val="3196C97F"/>
    <w:rsid w:val="31998B72"/>
    <w:rsid w:val="31A50439"/>
    <w:rsid w:val="31C4C601"/>
    <w:rsid w:val="31ED7BB5"/>
    <w:rsid w:val="31FD5B9F"/>
    <w:rsid w:val="320EDC3C"/>
    <w:rsid w:val="3214DD21"/>
    <w:rsid w:val="3227CB50"/>
    <w:rsid w:val="3228120E"/>
    <w:rsid w:val="323BA896"/>
    <w:rsid w:val="325653B0"/>
    <w:rsid w:val="326AF0B0"/>
    <w:rsid w:val="3274D8E2"/>
    <w:rsid w:val="327A525D"/>
    <w:rsid w:val="32957CB6"/>
    <w:rsid w:val="32966778"/>
    <w:rsid w:val="32AA9F46"/>
    <w:rsid w:val="32AE6180"/>
    <w:rsid w:val="32AF644C"/>
    <w:rsid w:val="32B0C569"/>
    <w:rsid w:val="32C09010"/>
    <w:rsid w:val="32C115A9"/>
    <w:rsid w:val="32C15AF5"/>
    <w:rsid w:val="32EC74FC"/>
    <w:rsid w:val="33029634"/>
    <w:rsid w:val="3303D86A"/>
    <w:rsid w:val="3313EE19"/>
    <w:rsid w:val="331A9A27"/>
    <w:rsid w:val="333CA37E"/>
    <w:rsid w:val="33406FF3"/>
    <w:rsid w:val="33711C40"/>
    <w:rsid w:val="33750D59"/>
    <w:rsid w:val="337BF17E"/>
    <w:rsid w:val="33954B4E"/>
    <w:rsid w:val="3399DBD6"/>
    <w:rsid w:val="33C8A7CC"/>
    <w:rsid w:val="33E16A72"/>
    <w:rsid w:val="33E1DA39"/>
    <w:rsid w:val="3407C6CB"/>
    <w:rsid w:val="34158AD4"/>
    <w:rsid w:val="3416D061"/>
    <w:rsid w:val="34197D70"/>
    <w:rsid w:val="34344B40"/>
    <w:rsid w:val="34396D4D"/>
    <w:rsid w:val="343BFAD4"/>
    <w:rsid w:val="34425A43"/>
    <w:rsid w:val="344D80D5"/>
    <w:rsid w:val="346A5D96"/>
    <w:rsid w:val="3485E6AE"/>
    <w:rsid w:val="3497482C"/>
    <w:rsid w:val="3497CC47"/>
    <w:rsid w:val="34A2DA23"/>
    <w:rsid w:val="34A3B2DF"/>
    <w:rsid w:val="34AA9453"/>
    <w:rsid w:val="34D11805"/>
    <w:rsid w:val="34D8CE6F"/>
    <w:rsid w:val="34F2496E"/>
    <w:rsid w:val="34F9E854"/>
    <w:rsid w:val="34FA6BA4"/>
    <w:rsid w:val="351F205F"/>
    <w:rsid w:val="3547E90A"/>
    <w:rsid w:val="354F48B1"/>
    <w:rsid w:val="357266DD"/>
    <w:rsid w:val="3577A4D7"/>
    <w:rsid w:val="357CD641"/>
    <w:rsid w:val="35A1049C"/>
    <w:rsid w:val="35A423B3"/>
    <w:rsid w:val="35BB8674"/>
    <w:rsid w:val="36253688"/>
    <w:rsid w:val="362AED1E"/>
    <w:rsid w:val="36339CA8"/>
    <w:rsid w:val="36357C76"/>
    <w:rsid w:val="363C0CCA"/>
    <w:rsid w:val="363E82EB"/>
    <w:rsid w:val="366AEBAD"/>
    <w:rsid w:val="367DAE30"/>
    <w:rsid w:val="367F522D"/>
    <w:rsid w:val="3696FB32"/>
    <w:rsid w:val="369DDEB7"/>
    <w:rsid w:val="36A5E3E1"/>
    <w:rsid w:val="36A68456"/>
    <w:rsid w:val="36B16F5B"/>
    <w:rsid w:val="36B73518"/>
    <w:rsid w:val="36B925B3"/>
    <w:rsid w:val="36D6AF6F"/>
    <w:rsid w:val="36D7E838"/>
    <w:rsid w:val="37094B14"/>
    <w:rsid w:val="37137C9E"/>
    <w:rsid w:val="37152246"/>
    <w:rsid w:val="3755DED5"/>
    <w:rsid w:val="3768B8C0"/>
    <w:rsid w:val="377E2016"/>
    <w:rsid w:val="378EA6E6"/>
    <w:rsid w:val="3799A6D4"/>
    <w:rsid w:val="37AB0FB7"/>
    <w:rsid w:val="37B3B5F1"/>
    <w:rsid w:val="37BBA51D"/>
    <w:rsid w:val="37BF8D38"/>
    <w:rsid w:val="37C42F0E"/>
    <w:rsid w:val="37CF6D09"/>
    <w:rsid w:val="37D7DD2B"/>
    <w:rsid w:val="37E3F2A4"/>
    <w:rsid w:val="37EB54C7"/>
    <w:rsid w:val="37F8CC3B"/>
    <w:rsid w:val="3803E2F9"/>
    <w:rsid w:val="381565B6"/>
    <w:rsid w:val="3815A1B6"/>
    <w:rsid w:val="381BA904"/>
    <w:rsid w:val="381E38C1"/>
    <w:rsid w:val="38233412"/>
    <w:rsid w:val="38327B08"/>
    <w:rsid w:val="384A9014"/>
    <w:rsid w:val="387611CE"/>
    <w:rsid w:val="388F1782"/>
    <w:rsid w:val="3897F185"/>
    <w:rsid w:val="389B8917"/>
    <w:rsid w:val="38A63089"/>
    <w:rsid w:val="38D29D83"/>
    <w:rsid w:val="38E1C6C7"/>
    <w:rsid w:val="391145F2"/>
    <w:rsid w:val="3920B7D7"/>
    <w:rsid w:val="3922D435"/>
    <w:rsid w:val="395B7DF4"/>
    <w:rsid w:val="395B9428"/>
    <w:rsid w:val="395EFEF7"/>
    <w:rsid w:val="399C4269"/>
    <w:rsid w:val="39A6738E"/>
    <w:rsid w:val="39D84200"/>
    <w:rsid w:val="39F5E288"/>
    <w:rsid w:val="3A16554C"/>
    <w:rsid w:val="3A1CFF5F"/>
    <w:rsid w:val="3A241AA6"/>
    <w:rsid w:val="3A261EA1"/>
    <w:rsid w:val="3A375978"/>
    <w:rsid w:val="3A3B5BBF"/>
    <w:rsid w:val="3A45D800"/>
    <w:rsid w:val="3A74573A"/>
    <w:rsid w:val="3A75C14E"/>
    <w:rsid w:val="3A81A4BF"/>
    <w:rsid w:val="3A969EC2"/>
    <w:rsid w:val="3A9748C6"/>
    <w:rsid w:val="3A9A15AE"/>
    <w:rsid w:val="3AA04B08"/>
    <w:rsid w:val="3AAF3A96"/>
    <w:rsid w:val="3AB1C02E"/>
    <w:rsid w:val="3AC17178"/>
    <w:rsid w:val="3ACD1B41"/>
    <w:rsid w:val="3AD5B123"/>
    <w:rsid w:val="3AE1C3A1"/>
    <w:rsid w:val="3AE3FDDC"/>
    <w:rsid w:val="3AE67F53"/>
    <w:rsid w:val="3AEC541B"/>
    <w:rsid w:val="3AECEFB4"/>
    <w:rsid w:val="3B00B014"/>
    <w:rsid w:val="3B0B84CF"/>
    <w:rsid w:val="3B0D78F1"/>
    <w:rsid w:val="3B0F7DED"/>
    <w:rsid w:val="3B298BCC"/>
    <w:rsid w:val="3B2E3161"/>
    <w:rsid w:val="3B2E80DD"/>
    <w:rsid w:val="3B306CFD"/>
    <w:rsid w:val="3B4FABBB"/>
    <w:rsid w:val="3B696E59"/>
    <w:rsid w:val="3B6EE46A"/>
    <w:rsid w:val="3B6F02FC"/>
    <w:rsid w:val="3B84AA19"/>
    <w:rsid w:val="3BA6FAB1"/>
    <w:rsid w:val="3BAB7251"/>
    <w:rsid w:val="3BB2CD02"/>
    <w:rsid w:val="3BC5C67D"/>
    <w:rsid w:val="3BCD0FAC"/>
    <w:rsid w:val="3BE71400"/>
    <w:rsid w:val="3C10BD36"/>
    <w:rsid w:val="3C148936"/>
    <w:rsid w:val="3C1BD8E7"/>
    <w:rsid w:val="3C31ACA7"/>
    <w:rsid w:val="3C3C1B69"/>
    <w:rsid w:val="3C494868"/>
    <w:rsid w:val="3C564F52"/>
    <w:rsid w:val="3C7671E7"/>
    <w:rsid w:val="3C7D7931"/>
    <w:rsid w:val="3C891EE1"/>
    <w:rsid w:val="3CAB4E4E"/>
    <w:rsid w:val="3CADC46F"/>
    <w:rsid w:val="3CBB5A35"/>
    <w:rsid w:val="3CCAEF13"/>
    <w:rsid w:val="3CD3FCAE"/>
    <w:rsid w:val="3CE0B3AD"/>
    <w:rsid w:val="3D211A89"/>
    <w:rsid w:val="3D2FDE5C"/>
    <w:rsid w:val="3D478A1C"/>
    <w:rsid w:val="3D588821"/>
    <w:rsid w:val="3D6A33B8"/>
    <w:rsid w:val="3D9EAB04"/>
    <w:rsid w:val="3DAAECE6"/>
    <w:rsid w:val="3DC00051"/>
    <w:rsid w:val="3DC091D4"/>
    <w:rsid w:val="3DF583EB"/>
    <w:rsid w:val="3E01ECB8"/>
    <w:rsid w:val="3E18E683"/>
    <w:rsid w:val="3E1E6E86"/>
    <w:rsid w:val="3E2C8C5A"/>
    <w:rsid w:val="3E313692"/>
    <w:rsid w:val="3E3A520D"/>
    <w:rsid w:val="3E43B211"/>
    <w:rsid w:val="3E507426"/>
    <w:rsid w:val="3E5D25E7"/>
    <w:rsid w:val="3E6A1E40"/>
    <w:rsid w:val="3E7B4159"/>
    <w:rsid w:val="3E88424F"/>
    <w:rsid w:val="3E8B218C"/>
    <w:rsid w:val="3E8D681C"/>
    <w:rsid w:val="3E906623"/>
    <w:rsid w:val="3E95EACA"/>
    <w:rsid w:val="3ECF4D29"/>
    <w:rsid w:val="3ED7D952"/>
    <w:rsid w:val="3EDC874E"/>
    <w:rsid w:val="3EDD9079"/>
    <w:rsid w:val="3EE0F3E8"/>
    <w:rsid w:val="3EE8BD87"/>
    <w:rsid w:val="3F006B6B"/>
    <w:rsid w:val="3F108FCA"/>
    <w:rsid w:val="3F22DDB3"/>
    <w:rsid w:val="3F2386B1"/>
    <w:rsid w:val="3F26BF9C"/>
    <w:rsid w:val="3F27CAF9"/>
    <w:rsid w:val="3F313D3B"/>
    <w:rsid w:val="3F321465"/>
    <w:rsid w:val="3F32DEE7"/>
    <w:rsid w:val="3F3CF3CC"/>
    <w:rsid w:val="3F3FA7F0"/>
    <w:rsid w:val="3F4E8AFA"/>
    <w:rsid w:val="3F524368"/>
    <w:rsid w:val="3F60D81B"/>
    <w:rsid w:val="3F67D47A"/>
    <w:rsid w:val="3F69507A"/>
    <w:rsid w:val="3F6B50D7"/>
    <w:rsid w:val="3F763344"/>
    <w:rsid w:val="3F9BA267"/>
    <w:rsid w:val="3F9C0624"/>
    <w:rsid w:val="3F9E9D18"/>
    <w:rsid w:val="3FA52091"/>
    <w:rsid w:val="3FA6DF2C"/>
    <w:rsid w:val="3FB0E6D6"/>
    <w:rsid w:val="3FBEC7D6"/>
    <w:rsid w:val="3FD52084"/>
    <w:rsid w:val="3FE74B37"/>
    <w:rsid w:val="3FEA6BEA"/>
    <w:rsid w:val="3FF99FF8"/>
    <w:rsid w:val="3FFF63A1"/>
    <w:rsid w:val="400C7364"/>
    <w:rsid w:val="402F0AD7"/>
    <w:rsid w:val="404066A7"/>
    <w:rsid w:val="404352FE"/>
    <w:rsid w:val="40677F1E"/>
    <w:rsid w:val="40754B4F"/>
    <w:rsid w:val="407857AF"/>
    <w:rsid w:val="408F5D36"/>
    <w:rsid w:val="4099AF6E"/>
    <w:rsid w:val="4099F3AC"/>
    <w:rsid w:val="409BA2B3"/>
    <w:rsid w:val="40CD34C0"/>
    <w:rsid w:val="4102F131"/>
    <w:rsid w:val="410F8C8C"/>
    <w:rsid w:val="4113B7D8"/>
    <w:rsid w:val="41286AB7"/>
    <w:rsid w:val="414A3918"/>
    <w:rsid w:val="414DE882"/>
    <w:rsid w:val="4158843E"/>
    <w:rsid w:val="415ECD84"/>
    <w:rsid w:val="41C832E0"/>
    <w:rsid w:val="41CA141C"/>
    <w:rsid w:val="41CBE33B"/>
    <w:rsid w:val="41EE6510"/>
    <w:rsid w:val="41F2C418"/>
    <w:rsid w:val="4232A328"/>
    <w:rsid w:val="424CF724"/>
    <w:rsid w:val="426F5F4E"/>
    <w:rsid w:val="4274BD59"/>
    <w:rsid w:val="427EA61F"/>
    <w:rsid w:val="428145C6"/>
    <w:rsid w:val="42965FDC"/>
    <w:rsid w:val="42A2583F"/>
    <w:rsid w:val="42ED7796"/>
    <w:rsid w:val="42F66898"/>
    <w:rsid w:val="4301F89E"/>
    <w:rsid w:val="4307D4C3"/>
    <w:rsid w:val="433FD8A9"/>
    <w:rsid w:val="4351179E"/>
    <w:rsid w:val="4355A4D7"/>
    <w:rsid w:val="43704F89"/>
    <w:rsid w:val="437CE9FC"/>
    <w:rsid w:val="43B25AF4"/>
    <w:rsid w:val="43BBDFD2"/>
    <w:rsid w:val="43C0F693"/>
    <w:rsid w:val="43D588DD"/>
    <w:rsid w:val="43DD91C9"/>
    <w:rsid w:val="43E01771"/>
    <w:rsid w:val="4405D4CB"/>
    <w:rsid w:val="44256104"/>
    <w:rsid w:val="442EDDB4"/>
    <w:rsid w:val="4457DC13"/>
    <w:rsid w:val="44780051"/>
    <w:rsid w:val="448540CA"/>
    <w:rsid w:val="448DB00A"/>
    <w:rsid w:val="44905C73"/>
    <w:rsid w:val="449B078F"/>
    <w:rsid w:val="44C3732E"/>
    <w:rsid w:val="44C6E664"/>
    <w:rsid w:val="44C7EA52"/>
    <w:rsid w:val="44D22866"/>
    <w:rsid w:val="44EC967D"/>
    <w:rsid w:val="44EECD17"/>
    <w:rsid w:val="45139F94"/>
    <w:rsid w:val="453F4B8E"/>
    <w:rsid w:val="455D67CF"/>
    <w:rsid w:val="457099B3"/>
    <w:rsid w:val="45D1C2D8"/>
    <w:rsid w:val="45D7B7F1"/>
    <w:rsid w:val="45E02046"/>
    <w:rsid w:val="45E1D4BB"/>
    <w:rsid w:val="45E96C1B"/>
    <w:rsid w:val="45F1C8E0"/>
    <w:rsid w:val="4602D446"/>
    <w:rsid w:val="46158AD7"/>
    <w:rsid w:val="461D5C80"/>
    <w:rsid w:val="46204640"/>
    <w:rsid w:val="462445B9"/>
    <w:rsid w:val="4640AB4A"/>
    <w:rsid w:val="464266CB"/>
    <w:rsid w:val="4648F23F"/>
    <w:rsid w:val="466795BC"/>
    <w:rsid w:val="466B27BA"/>
    <w:rsid w:val="46800605"/>
    <w:rsid w:val="46A8B83C"/>
    <w:rsid w:val="46B00677"/>
    <w:rsid w:val="46B6A452"/>
    <w:rsid w:val="46B77C01"/>
    <w:rsid w:val="46C8B10E"/>
    <w:rsid w:val="46DA0FE2"/>
    <w:rsid w:val="46EE24F8"/>
    <w:rsid w:val="46F90F12"/>
    <w:rsid w:val="46F9E91F"/>
    <w:rsid w:val="47005658"/>
    <w:rsid w:val="47036712"/>
    <w:rsid w:val="4707CE98"/>
    <w:rsid w:val="471F5514"/>
    <w:rsid w:val="472D4388"/>
    <w:rsid w:val="47339903"/>
    <w:rsid w:val="475DC4C9"/>
    <w:rsid w:val="4766E297"/>
    <w:rsid w:val="476CE6F4"/>
    <w:rsid w:val="479650F1"/>
    <w:rsid w:val="47C779BC"/>
    <w:rsid w:val="47DD1523"/>
    <w:rsid w:val="47ECD205"/>
    <w:rsid w:val="47F7D35C"/>
    <w:rsid w:val="4804B1DD"/>
    <w:rsid w:val="482FF7E4"/>
    <w:rsid w:val="4832D292"/>
    <w:rsid w:val="483826E2"/>
    <w:rsid w:val="483B4582"/>
    <w:rsid w:val="4843BCD2"/>
    <w:rsid w:val="4852B804"/>
    <w:rsid w:val="485CA15E"/>
    <w:rsid w:val="485E9AA9"/>
    <w:rsid w:val="487720F6"/>
    <w:rsid w:val="4879FB8E"/>
    <w:rsid w:val="48858A78"/>
    <w:rsid w:val="488A2A07"/>
    <w:rsid w:val="489E2965"/>
    <w:rsid w:val="48AEF092"/>
    <w:rsid w:val="48C4D96E"/>
    <w:rsid w:val="48F0874A"/>
    <w:rsid w:val="490C73DF"/>
    <w:rsid w:val="491D59DA"/>
    <w:rsid w:val="492A020D"/>
    <w:rsid w:val="492A0798"/>
    <w:rsid w:val="492F2773"/>
    <w:rsid w:val="493C7C5D"/>
    <w:rsid w:val="49437512"/>
    <w:rsid w:val="49467502"/>
    <w:rsid w:val="497EE6AB"/>
    <w:rsid w:val="4989C22F"/>
    <w:rsid w:val="4991960C"/>
    <w:rsid w:val="49B990F9"/>
    <w:rsid w:val="49C291BC"/>
    <w:rsid w:val="4A088417"/>
    <w:rsid w:val="4A34F093"/>
    <w:rsid w:val="4A4AC0F3"/>
    <w:rsid w:val="4A559769"/>
    <w:rsid w:val="4A599CA0"/>
    <w:rsid w:val="4A5BFBCA"/>
    <w:rsid w:val="4A6C106F"/>
    <w:rsid w:val="4A88143F"/>
    <w:rsid w:val="4A8B913B"/>
    <w:rsid w:val="4AA6587A"/>
    <w:rsid w:val="4ACBF989"/>
    <w:rsid w:val="4ADEE7C5"/>
    <w:rsid w:val="4AE32718"/>
    <w:rsid w:val="4B0C352B"/>
    <w:rsid w:val="4B222714"/>
    <w:rsid w:val="4B395A41"/>
    <w:rsid w:val="4B436FD1"/>
    <w:rsid w:val="4B51A6F4"/>
    <w:rsid w:val="4B658639"/>
    <w:rsid w:val="4B6597E2"/>
    <w:rsid w:val="4B8A320E"/>
    <w:rsid w:val="4B93C425"/>
    <w:rsid w:val="4BBE9D45"/>
    <w:rsid w:val="4BCC8035"/>
    <w:rsid w:val="4BE77224"/>
    <w:rsid w:val="4BEEC698"/>
    <w:rsid w:val="4C00B4AB"/>
    <w:rsid w:val="4C0BC327"/>
    <w:rsid w:val="4C2037DE"/>
    <w:rsid w:val="4C230F7D"/>
    <w:rsid w:val="4C2DD84B"/>
    <w:rsid w:val="4C55E41A"/>
    <w:rsid w:val="4C5A2CB9"/>
    <w:rsid w:val="4C5B1DCE"/>
    <w:rsid w:val="4C6B6E94"/>
    <w:rsid w:val="4C86A6C1"/>
    <w:rsid w:val="4C9BA552"/>
    <w:rsid w:val="4CA46A00"/>
    <w:rsid w:val="4CB2A929"/>
    <w:rsid w:val="4CC8C464"/>
    <w:rsid w:val="4CCE517F"/>
    <w:rsid w:val="4CE690F6"/>
    <w:rsid w:val="4D025DFB"/>
    <w:rsid w:val="4D1B5D7C"/>
    <w:rsid w:val="4D43F446"/>
    <w:rsid w:val="4D54A104"/>
    <w:rsid w:val="4D58FB9B"/>
    <w:rsid w:val="4D6168A7"/>
    <w:rsid w:val="4D645437"/>
    <w:rsid w:val="4D6C051D"/>
    <w:rsid w:val="4D73B44F"/>
    <w:rsid w:val="4D744655"/>
    <w:rsid w:val="4D9925D0"/>
    <w:rsid w:val="4D998000"/>
    <w:rsid w:val="4DA116BB"/>
    <w:rsid w:val="4DB90C80"/>
    <w:rsid w:val="4DC65F27"/>
    <w:rsid w:val="4DCBEB8B"/>
    <w:rsid w:val="4DD33EF9"/>
    <w:rsid w:val="4DE1E87C"/>
    <w:rsid w:val="4DEB9D0D"/>
    <w:rsid w:val="4DF24980"/>
    <w:rsid w:val="4DFEBB44"/>
    <w:rsid w:val="4E0EF102"/>
    <w:rsid w:val="4E11C070"/>
    <w:rsid w:val="4E1ABFE7"/>
    <w:rsid w:val="4E20F880"/>
    <w:rsid w:val="4E674471"/>
    <w:rsid w:val="4E696050"/>
    <w:rsid w:val="4E925AE4"/>
    <w:rsid w:val="4EACE252"/>
    <w:rsid w:val="4EC617AD"/>
    <w:rsid w:val="4ECDE2A8"/>
    <w:rsid w:val="4ED982BB"/>
    <w:rsid w:val="4EF44352"/>
    <w:rsid w:val="4F073CBD"/>
    <w:rsid w:val="4F0CA166"/>
    <w:rsid w:val="4F1349B0"/>
    <w:rsid w:val="4F23D67F"/>
    <w:rsid w:val="4F32C2CF"/>
    <w:rsid w:val="4F5240F6"/>
    <w:rsid w:val="4F614AED"/>
    <w:rsid w:val="4F9BC94E"/>
    <w:rsid w:val="4F9C9199"/>
    <w:rsid w:val="4F9D9C08"/>
    <w:rsid w:val="4FCBB378"/>
    <w:rsid w:val="4FD1BB78"/>
    <w:rsid w:val="4FD708D7"/>
    <w:rsid w:val="4FD70FAD"/>
    <w:rsid w:val="4FDF67E1"/>
    <w:rsid w:val="4FEBBC97"/>
    <w:rsid w:val="4FEBC867"/>
    <w:rsid w:val="4FFB88FB"/>
    <w:rsid w:val="5024FBA2"/>
    <w:rsid w:val="503EDEF0"/>
    <w:rsid w:val="503FE848"/>
    <w:rsid w:val="50408B64"/>
    <w:rsid w:val="505B6D04"/>
    <w:rsid w:val="505B7617"/>
    <w:rsid w:val="507005D1"/>
    <w:rsid w:val="50754AC7"/>
    <w:rsid w:val="50766FED"/>
    <w:rsid w:val="50A6842A"/>
    <w:rsid w:val="50AE3A33"/>
    <w:rsid w:val="50B037F5"/>
    <w:rsid w:val="50C68D32"/>
    <w:rsid w:val="50DD2454"/>
    <w:rsid w:val="50F28DCC"/>
    <w:rsid w:val="510386B5"/>
    <w:rsid w:val="51224CA5"/>
    <w:rsid w:val="512715A9"/>
    <w:rsid w:val="51278C17"/>
    <w:rsid w:val="51659558"/>
    <w:rsid w:val="51742098"/>
    <w:rsid w:val="51802E39"/>
    <w:rsid w:val="51834E98"/>
    <w:rsid w:val="5192575F"/>
    <w:rsid w:val="519AF035"/>
    <w:rsid w:val="51A24CC4"/>
    <w:rsid w:val="51B61457"/>
    <w:rsid w:val="51BA6B0D"/>
    <w:rsid w:val="51D8BF82"/>
    <w:rsid w:val="51DE2400"/>
    <w:rsid w:val="51DED5F3"/>
    <w:rsid w:val="51E440C9"/>
    <w:rsid w:val="51F5D5AF"/>
    <w:rsid w:val="52104ED6"/>
    <w:rsid w:val="522A4BDA"/>
    <w:rsid w:val="522B267F"/>
    <w:rsid w:val="5236C2DF"/>
    <w:rsid w:val="525841C2"/>
    <w:rsid w:val="528E3145"/>
    <w:rsid w:val="5299585F"/>
    <w:rsid w:val="529F5716"/>
    <w:rsid w:val="52C8B975"/>
    <w:rsid w:val="530A3880"/>
    <w:rsid w:val="530CB7D6"/>
    <w:rsid w:val="534BEBCC"/>
    <w:rsid w:val="53877074"/>
    <w:rsid w:val="53AEBA93"/>
    <w:rsid w:val="53B0A916"/>
    <w:rsid w:val="53BEAA0D"/>
    <w:rsid w:val="53C2635A"/>
    <w:rsid w:val="53DB3D26"/>
    <w:rsid w:val="53E6F49E"/>
    <w:rsid w:val="54088F85"/>
    <w:rsid w:val="540ACB96"/>
    <w:rsid w:val="541C84D4"/>
    <w:rsid w:val="543ABCDD"/>
    <w:rsid w:val="5442D8B5"/>
    <w:rsid w:val="54507183"/>
    <w:rsid w:val="54600990"/>
    <w:rsid w:val="54644548"/>
    <w:rsid w:val="5468F23A"/>
    <w:rsid w:val="548FDE40"/>
    <w:rsid w:val="54A617F8"/>
    <w:rsid w:val="54ACE87E"/>
    <w:rsid w:val="54BA8392"/>
    <w:rsid w:val="54D112F5"/>
    <w:rsid w:val="54DC7868"/>
    <w:rsid w:val="54E874EA"/>
    <w:rsid w:val="5537E896"/>
    <w:rsid w:val="5538041A"/>
    <w:rsid w:val="5562ED5E"/>
    <w:rsid w:val="5577C1F7"/>
    <w:rsid w:val="558183A3"/>
    <w:rsid w:val="55BA4FC7"/>
    <w:rsid w:val="55C80DA3"/>
    <w:rsid w:val="55CE632F"/>
    <w:rsid w:val="55CF6437"/>
    <w:rsid w:val="55D2F429"/>
    <w:rsid w:val="55EDCF1B"/>
    <w:rsid w:val="55FB9ECD"/>
    <w:rsid w:val="561368DC"/>
    <w:rsid w:val="564F2090"/>
    <w:rsid w:val="56569800"/>
    <w:rsid w:val="5666DEB3"/>
    <w:rsid w:val="5671ED92"/>
    <w:rsid w:val="5672D425"/>
    <w:rsid w:val="568F2263"/>
    <w:rsid w:val="56BC6CF2"/>
    <w:rsid w:val="56D4D1F7"/>
    <w:rsid w:val="56E36803"/>
    <w:rsid w:val="573A22A3"/>
    <w:rsid w:val="57426C58"/>
    <w:rsid w:val="57472300"/>
    <w:rsid w:val="574F2180"/>
    <w:rsid w:val="5752D5BE"/>
    <w:rsid w:val="57627749"/>
    <w:rsid w:val="57726392"/>
    <w:rsid w:val="5786BDF7"/>
    <w:rsid w:val="57919EC0"/>
    <w:rsid w:val="57C0E3B2"/>
    <w:rsid w:val="57E9CD72"/>
    <w:rsid w:val="57F80BB5"/>
    <w:rsid w:val="57FD3C44"/>
    <w:rsid w:val="581F8429"/>
    <w:rsid w:val="58231373"/>
    <w:rsid w:val="5846BDCE"/>
    <w:rsid w:val="58507AC4"/>
    <w:rsid w:val="58806501"/>
    <w:rsid w:val="5885474C"/>
    <w:rsid w:val="58A05B25"/>
    <w:rsid w:val="58B49D1E"/>
    <w:rsid w:val="58B60F2C"/>
    <w:rsid w:val="58BD2F16"/>
    <w:rsid w:val="58D64F33"/>
    <w:rsid w:val="58EA3BE7"/>
    <w:rsid w:val="58ED073A"/>
    <w:rsid w:val="58FEA6B8"/>
    <w:rsid w:val="58FFAE65"/>
    <w:rsid w:val="590217B7"/>
    <w:rsid w:val="5903578A"/>
    <w:rsid w:val="5929B195"/>
    <w:rsid w:val="5938D395"/>
    <w:rsid w:val="594FEE52"/>
    <w:rsid w:val="5953F823"/>
    <w:rsid w:val="5957468F"/>
    <w:rsid w:val="595895A3"/>
    <w:rsid w:val="595ABBD3"/>
    <w:rsid w:val="597AB3B9"/>
    <w:rsid w:val="5996F7D5"/>
    <w:rsid w:val="59B635A4"/>
    <w:rsid w:val="59C6F7FC"/>
    <w:rsid w:val="59CFF9BD"/>
    <w:rsid w:val="5A025B8D"/>
    <w:rsid w:val="5A0422E8"/>
    <w:rsid w:val="5A134A57"/>
    <w:rsid w:val="5A1B86E2"/>
    <w:rsid w:val="5A1C1787"/>
    <w:rsid w:val="5A2464F4"/>
    <w:rsid w:val="5A2AC97B"/>
    <w:rsid w:val="5A467C76"/>
    <w:rsid w:val="5A49704D"/>
    <w:rsid w:val="5A56774A"/>
    <w:rsid w:val="5A835A80"/>
    <w:rsid w:val="5AAF5A9B"/>
    <w:rsid w:val="5ABF1EDF"/>
    <w:rsid w:val="5AC3840A"/>
    <w:rsid w:val="5B108F07"/>
    <w:rsid w:val="5B1B02DE"/>
    <w:rsid w:val="5B1FE6F9"/>
    <w:rsid w:val="5B2236E5"/>
    <w:rsid w:val="5B3D1CCE"/>
    <w:rsid w:val="5B413F85"/>
    <w:rsid w:val="5B45573F"/>
    <w:rsid w:val="5B5724EB"/>
    <w:rsid w:val="5B5EA78C"/>
    <w:rsid w:val="5B6A2FA5"/>
    <w:rsid w:val="5B6ECB07"/>
    <w:rsid w:val="5B7928BA"/>
    <w:rsid w:val="5B98DB46"/>
    <w:rsid w:val="5BA77671"/>
    <w:rsid w:val="5BC84315"/>
    <w:rsid w:val="5BCC4131"/>
    <w:rsid w:val="5BEE2BCC"/>
    <w:rsid w:val="5BFE5F86"/>
    <w:rsid w:val="5C15DD7B"/>
    <w:rsid w:val="5C18D638"/>
    <w:rsid w:val="5C374F27"/>
    <w:rsid w:val="5C7D7857"/>
    <w:rsid w:val="5C8DE808"/>
    <w:rsid w:val="5CA2DDAB"/>
    <w:rsid w:val="5CA64FC1"/>
    <w:rsid w:val="5CAC3193"/>
    <w:rsid w:val="5CAE7402"/>
    <w:rsid w:val="5CC3934E"/>
    <w:rsid w:val="5CC3D15E"/>
    <w:rsid w:val="5CD416E6"/>
    <w:rsid w:val="5CE1F989"/>
    <w:rsid w:val="5D041403"/>
    <w:rsid w:val="5D06AB24"/>
    <w:rsid w:val="5D0CD347"/>
    <w:rsid w:val="5D1051C3"/>
    <w:rsid w:val="5D1FDFF1"/>
    <w:rsid w:val="5D296C2F"/>
    <w:rsid w:val="5D39FC4F"/>
    <w:rsid w:val="5D569FB9"/>
    <w:rsid w:val="5D5F1A94"/>
    <w:rsid w:val="5D7C1D2D"/>
    <w:rsid w:val="5D81521F"/>
    <w:rsid w:val="5D9149D2"/>
    <w:rsid w:val="5DA73DE0"/>
    <w:rsid w:val="5DCD8D6C"/>
    <w:rsid w:val="5DCE9502"/>
    <w:rsid w:val="5DDF4633"/>
    <w:rsid w:val="5DF7877E"/>
    <w:rsid w:val="5DFB6452"/>
    <w:rsid w:val="5E2D2B72"/>
    <w:rsid w:val="5E394B9A"/>
    <w:rsid w:val="5E451910"/>
    <w:rsid w:val="5E52A3A0"/>
    <w:rsid w:val="5ECD5DB3"/>
    <w:rsid w:val="5EDC23B8"/>
    <w:rsid w:val="5F1536F1"/>
    <w:rsid w:val="5F29D99F"/>
    <w:rsid w:val="5F3D92E2"/>
    <w:rsid w:val="5F3E550A"/>
    <w:rsid w:val="5F6BF9C0"/>
    <w:rsid w:val="5F6DEDD5"/>
    <w:rsid w:val="5F9F8289"/>
    <w:rsid w:val="5FB5B1E3"/>
    <w:rsid w:val="5FC4B29A"/>
    <w:rsid w:val="5FD69159"/>
    <w:rsid w:val="5FD86B75"/>
    <w:rsid w:val="5FDA7E6D"/>
    <w:rsid w:val="5FDFB930"/>
    <w:rsid w:val="5FE3DB2B"/>
    <w:rsid w:val="600628A8"/>
    <w:rsid w:val="601BBA49"/>
    <w:rsid w:val="6028D21A"/>
    <w:rsid w:val="6059B8AA"/>
    <w:rsid w:val="60772E25"/>
    <w:rsid w:val="608B76E6"/>
    <w:rsid w:val="60A7DB35"/>
    <w:rsid w:val="60C12111"/>
    <w:rsid w:val="60C5AA00"/>
    <w:rsid w:val="60D9246C"/>
    <w:rsid w:val="60DDB830"/>
    <w:rsid w:val="610B9A11"/>
    <w:rsid w:val="6116CE36"/>
    <w:rsid w:val="611BD2C0"/>
    <w:rsid w:val="613DE692"/>
    <w:rsid w:val="6142EC8C"/>
    <w:rsid w:val="614C2B64"/>
    <w:rsid w:val="615F0A08"/>
    <w:rsid w:val="6194B136"/>
    <w:rsid w:val="619EC57F"/>
    <w:rsid w:val="61ABE7DE"/>
    <w:rsid w:val="61B8EAB8"/>
    <w:rsid w:val="61EE450B"/>
    <w:rsid w:val="61F7C67F"/>
    <w:rsid w:val="622265CA"/>
    <w:rsid w:val="622854BE"/>
    <w:rsid w:val="622F34CD"/>
    <w:rsid w:val="623893E6"/>
    <w:rsid w:val="6239C7BF"/>
    <w:rsid w:val="62584676"/>
    <w:rsid w:val="62A0EAF0"/>
    <w:rsid w:val="62B89A6E"/>
    <w:rsid w:val="62D339BC"/>
    <w:rsid w:val="62E3184D"/>
    <w:rsid w:val="62EBE091"/>
    <w:rsid w:val="62F12700"/>
    <w:rsid w:val="62FE7F20"/>
    <w:rsid w:val="632CC9F3"/>
    <w:rsid w:val="63366072"/>
    <w:rsid w:val="6337C29A"/>
    <w:rsid w:val="633B003C"/>
    <w:rsid w:val="6349C37C"/>
    <w:rsid w:val="6370F46C"/>
    <w:rsid w:val="6389EB4A"/>
    <w:rsid w:val="6391A37A"/>
    <w:rsid w:val="63AE7E0C"/>
    <w:rsid w:val="63C2E30A"/>
    <w:rsid w:val="63CB7A0B"/>
    <w:rsid w:val="63CF6747"/>
    <w:rsid w:val="63E0500B"/>
    <w:rsid w:val="641231C4"/>
    <w:rsid w:val="6420430C"/>
    <w:rsid w:val="6428FB43"/>
    <w:rsid w:val="64430714"/>
    <w:rsid w:val="6449898A"/>
    <w:rsid w:val="64547662"/>
    <w:rsid w:val="645A7ADE"/>
    <w:rsid w:val="645DB191"/>
    <w:rsid w:val="645E6821"/>
    <w:rsid w:val="646AA3C9"/>
    <w:rsid w:val="6479FF04"/>
    <w:rsid w:val="648CE601"/>
    <w:rsid w:val="648E8B6E"/>
    <w:rsid w:val="649BF174"/>
    <w:rsid w:val="649E30D7"/>
    <w:rsid w:val="64B6DA9B"/>
    <w:rsid w:val="64BC789F"/>
    <w:rsid w:val="64D7029F"/>
    <w:rsid w:val="64DAD418"/>
    <w:rsid w:val="64DFA940"/>
    <w:rsid w:val="64FB89F6"/>
    <w:rsid w:val="65322E3E"/>
    <w:rsid w:val="65324595"/>
    <w:rsid w:val="653F9AAE"/>
    <w:rsid w:val="6545044A"/>
    <w:rsid w:val="6546D39E"/>
    <w:rsid w:val="6549CDE6"/>
    <w:rsid w:val="654F292B"/>
    <w:rsid w:val="6558E74C"/>
    <w:rsid w:val="6580ECA0"/>
    <w:rsid w:val="6582FD0B"/>
    <w:rsid w:val="6589BE27"/>
    <w:rsid w:val="65B6A3D7"/>
    <w:rsid w:val="65BA83B0"/>
    <w:rsid w:val="65CCACA4"/>
    <w:rsid w:val="65D29024"/>
    <w:rsid w:val="65D6C783"/>
    <w:rsid w:val="65F33703"/>
    <w:rsid w:val="65F4CC99"/>
    <w:rsid w:val="6606742A"/>
    <w:rsid w:val="6615DE9D"/>
    <w:rsid w:val="6631E790"/>
    <w:rsid w:val="6643548D"/>
    <w:rsid w:val="664FCBDF"/>
    <w:rsid w:val="66544EC9"/>
    <w:rsid w:val="6669EDC7"/>
    <w:rsid w:val="667E7AB3"/>
    <w:rsid w:val="6690D03D"/>
    <w:rsid w:val="66C17152"/>
    <w:rsid w:val="66DB1BF4"/>
    <w:rsid w:val="66DFE679"/>
    <w:rsid w:val="670B092C"/>
    <w:rsid w:val="6723A51A"/>
    <w:rsid w:val="67326BEA"/>
    <w:rsid w:val="67440A72"/>
    <w:rsid w:val="6748C56A"/>
    <w:rsid w:val="6748F10D"/>
    <w:rsid w:val="6750B85A"/>
    <w:rsid w:val="67954426"/>
    <w:rsid w:val="67982430"/>
    <w:rsid w:val="67B5F5B2"/>
    <w:rsid w:val="67BB6CE8"/>
    <w:rsid w:val="67D58E57"/>
    <w:rsid w:val="67EC0335"/>
    <w:rsid w:val="67EE7B5D"/>
    <w:rsid w:val="67FE5A08"/>
    <w:rsid w:val="68191BFA"/>
    <w:rsid w:val="6849F995"/>
    <w:rsid w:val="684DF0D9"/>
    <w:rsid w:val="6869EDC1"/>
    <w:rsid w:val="68771DFB"/>
    <w:rsid w:val="6881967E"/>
    <w:rsid w:val="68900D3C"/>
    <w:rsid w:val="689CB3AB"/>
    <w:rsid w:val="68BF757B"/>
    <w:rsid w:val="68D371CF"/>
    <w:rsid w:val="68EC88BB"/>
    <w:rsid w:val="68F46083"/>
    <w:rsid w:val="690CD378"/>
    <w:rsid w:val="692D4350"/>
    <w:rsid w:val="69452CFA"/>
    <w:rsid w:val="6976BF20"/>
    <w:rsid w:val="69914DF7"/>
    <w:rsid w:val="699B3CFF"/>
    <w:rsid w:val="69A1103C"/>
    <w:rsid w:val="69A65BB0"/>
    <w:rsid w:val="69ACAF19"/>
    <w:rsid w:val="69ACB4FC"/>
    <w:rsid w:val="69CA1781"/>
    <w:rsid w:val="69FC9203"/>
    <w:rsid w:val="6A031FBA"/>
    <w:rsid w:val="6A138BA9"/>
    <w:rsid w:val="6A146738"/>
    <w:rsid w:val="6A219683"/>
    <w:rsid w:val="6A4837C0"/>
    <w:rsid w:val="6A4C969E"/>
    <w:rsid w:val="6A61B931"/>
    <w:rsid w:val="6A7D974B"/>
    <w:rsid w:val="6AA067B9"/>
    <w:rsid w:val="6ACB7174"/>
    <w:rsid w:val="6AE94FC0"/>
    <w:rsid w:val="6AE9C009"/>
    <w:rsid w:val="6B0B1652"/>
    <w:rsid w:val="6B20CC56"/>
    <w:rsid w:val="6B445778"/>
    <w:rsid w:val="6B64C5E6"/>
    <w:rsid w:val="6B6ACB7A"/>
    <w:rsid w:val="6B824CBD"/>
    <w:rsid w:val="6B8CDC57"/>
    <w:rsid w:val="6B9090C3"/>
    <w:rsid w:val="6B90FA5F"/>
    <w:rsid w:val="6BA3089E"/>
    <w:rsid w:val="6BB7687F"/>
    <w:rsid w:val="6BB79A19"/>
    <w:rsid w:val="6BCC9900"/>
    <w:rsid w:val="6BD39934"/>
    <w:rsid w:val="6BE2A7DE"/>
    <w:rsid w:val="6BE943C7"/>
    <w:rsid w:val="6BEAA94B"/>
    <w:rsid w:val="6C00CE8B"/>
    <w:rsid w:val="6C2396A8"/>
    <w:rsid w:val="6C240E3F"/>
    <w:rsid w:val="6C360B00"/>
    <w:rsid w:val="6C3C32C4"/>
    <w:rsid w:val="6C502356"/>
    <w:rsid w:val="6C63E940"/>
    <w:rsid w:val="6C6B3A15"/>
    <w:rsid w:val="6CC1EC80"/>
    <w:rsid w:val="6CDBB0F8"/>
    <w:rsid w:val="6CDBFE5F"/>
    <w:rsid w:val="6CE1AB3A"/>
    <w:rsid w:val="6CF32FBD"/>
    <w:rsid w:val="6D025A7C"/>
    <w:rsid w:val="6D0E785F"/>
    <w:rsid w:val="6D164F0F"/>
    <w:rsid w:val="6D22BCCB"/>
    <w:rsid w:val="6D73C30C"/>
    <w:rsid w:val="6D8E7492"/>
    <w:rsid w:val="6D91A62E"/>
    <w:rsid w:val="6D941E5D"/>
    <w:rsid w:val="6DB5AF73"/>
    <w:rsid w:val="6E13E4EE"/>
    <w:rsid w:val="6E2ADA4D"/>
    <w:rsid w:val="6E661D3C"/>
    <w:rsid w:val="6E698E73"/>
    <w:rsid w:val="6E703D59"/>
    <w:rsid w:val="6E94E831"/>
    <w:rsid w:val="6EB09B89"/>
    <w:rsid w:val="6EBB9499"/>
    <w:rsid w:val="6EDD4851"/>
    <w:rsid w:val="6EE6058C"/>
    <w:rsid w:val="6F1D67EF"/>
    <w:rsid w:val="6F3DC343"/>
    <w:rsid w:val="6F3EB2C2"/>
    <w:rsid w:val="6F465BD5"/>
    <w:rsid w:val="6F6D6801"/>
    <w:rsid w:val="6F6E990B"/>
    <w:rsid w:val="6F75C7A7"/>
    <w:rsid w:val="6F765795"/>
    <w:rsid w:val="6F7B9616"/>
    <w:rsid w:val="6FB2FCAD"/>
    <w:rsid w:val="6FB434FD"/>
    <w:rsid w:val="6FC11C21"/>
    <w:rsid w:val="6FCE00BC"/>
    <w:rsid w:val="6FE2E99C"/>
    <w:rsid w:val="6FE494E0"/>
    <w:rsid w:val="70082D04"/>
    <w:rsid w:val="701A97FF"/>
    <w:rsid w:val="702B1452"/>
    <w:rsid w:val="703550B3"/>
    <w:rsid w:val="70425A4A"/>
    <w:rsid w:val="706F2439"/>
    <w:rsid w:val="707AD243"/>
    <w:rsid w:val="7089F222"/>
    <w:rsid w:val="7094025F"/>
    <w:rsid w:val="70970001"/>
    <w:rsid w:val="709E8C08"/>
    <w:rsid w:val="70A3791E"/>
    <w:rsid w:val="70BC6075"/>
    <w:rsid w:val="70C04D02"/>
    <w:rsid w:val="70DAB39D"/>
    <w:rsid w:val="70DEEF61"/>
    <w:rsid w:val="70ED2A70"/>
    <w:rsid w:val="70F549CC"/>
    <w:rsid w:val="70FA4AF1"/>
    <w:rsid w:val="710F1A9B"/>
    <w:rsid w:val="713D4D2D"/>
    <w:rsid w:val="71440C08"/>
    <w:rsid w:val="7161F6CA"/>
    <w:rsid w:val="716A35C4"/>
    <w:rsid w:val="71781797"/>
    <w:rsid w:val="7181166C"/>
    <w:rsid w:val="71874898"/>
    <w:rsid w:val="71B10D1F"/>
    <w:rsid w:val="71C0EF34"/>
    <w:rsid w:val="71C31227"/>
    <w:rsid w:val="71D1F298"/>
    <w:rsid w:val="71DE4C68"/>
    <w:rsid w:val="71F8EB30"/>
    <w:rsid w:val="720A68DF"/>
    <w:rsid w:val="7227A6F4"/>
    <w:rsid w:val="722C19F1"/>
    <w:rsid w:val="72549525"/>
    <w:rsid w:val="725541E3"/>
    <w:rsid w:val="725B4E2C"/>
    <w:rsid w:val="725EF4D6"/>
    <w:rsid w:val="72670D2E"/>
    <w:rsid w:val="726EDED7"/>
    <w:rsid w:val="728F62DC"/>
    <w:rsid w:val="729A4385"/>
    <w:rsid w:val="72A4EE75"/>
    <w:rsid w:val="72A89F86"/>
    <w:rsid w:val="72AE31B7"/>
    <w:rsid w:val="72B4A794"/>
    <w:rsid w:val="72CA9EC2"/>
    <w:rsid w:val="72CB023B"/>
    <w:rsid w:val="72D5AD25"/>
    <w:rsid w:val="72DC8C31"/>
    <w:rsid w:val="73020CB2"/>
    <w:rsid w:val="73384572"/>
    <w:rsid w:val="73445CA0"/>
    <w:rsid w:val="734616F4"/>
    <w:rsid w:val="736033FA"/>
    <w:rsid w:val="7364A288"/>
    <w:rsid w:val="736BDBF6"/>
    <w:rsid w:val="7376478E"/>
    <w:rsid w:val="7390C174"/>
    <w:rsid w:val="73AE6375"/>
    <w:rsid w:val="73D0C47B"/>
    <w:rsid w:val="73D88185"/>
    <w:rsid w:val="73E047A7"/>
    <w:rsid w:val="73FE510C"/>
    <w:rsid w:val="740EB3B7"/>
    <w:rsid w:val="7412545F"/>
    <w:rsid w:val="7430AC5E"/>
    <w:rsid w:val="743D120B"/>
    <w:rsid w:val="743E0E2E"/>
    <w:rsid w:val="74451BF7"/>
    <w:rsid w:val="745650D0"/>
    <w:rsid w:val="748F5E7D"/>
    <w:rsid w:val="74C7134A"/>
    <w:rsid w:val="74DD5C48"/>
    <w:rsid w:val="74E132B4"/>
    <w:rsid w:val="752A78CE"/>
    <w:rsid w:val="753258F4"/>
    <w:rsid w:val="75326EA1"/>
    <w:rsid w:val="753CE8FD"/>
    <w:rsid w:val="7554CBC7"/>
    <w:rsid w:val="755AE5F1"/>
    <w:rsid w:val="7567984E"/>
    <w:rsid w:val="7588BE4D"/>
    <w:rsid w:val="758D396E"/>
    <w:rsid w:val="759276B2"/>
    <w:rsid w:val="75A8CC8E"/>
    <w:rsid w:val="75B00957"/>
    <w:rsid w:val="75D9FF6B"/>
    <w:rsid w:val="760E6D70"/>
    <w:rsid w:val="7626D863"/>
    <w:rsid w:val="762DD13D"/>
    <w:rsid w:val="76300EA8"/>
    <w:rsid w:val="76353168"/>
    <w:rsid w:val="766E235A"/>
    <w:rsid w:val="7699B196"/>
    <w:rsid w:val="76B6F166"/>
    <w:rsid w:val="76C218AA"/>
    <w:rsid w:val="76CE0FFD"/>
    <w:rsid w:val="76D4BE9A"/>
    <w:rsid w:val="76DF731A"/>
    <w:rsid w:val="76E62109"/>
    <w:rsid w:val="76F0FADF"/>
    <w:rsid w:val="771BEF4C"/>
    <w:rsid w:val="77220A9B"/>
    <w:rsid w:val="7736D242"/>
    <w:rsid w:val="775470FE"/>
    <w:rsid w:val="7755A5F0"/>
    <w:rsid w:val="77586027"/>
    <w:rsid w:val="77698FDD"/>
    <w:rsid w:val="77720FE4"/>
    <w:rsid w:val="777F755A"/>
    <w:rsid w:val="77887B19"/>
    <w:rsid w:val="7795A4B1"/>
    <w:rsid w:val="779BD667"/>
    <w:rsid w:val="779CD286"/>
    <w:rsid w:val="77AC17CD"/>
    <w:rsid w:val="77BF860F"/>
    <w:rsid w:val="77CB6A30"/>
    <w:rsid w:val="77D1F07B"/>
    <w:rsid w:val="781980A1"/>
    <w:rsid w:val="781E028C"/>
    <w:rsid w:val="78358D0E"/>
    <w:rsid w:val="78380C4E"/>
    <w:rsid w:val="784D8CBB"/>
    <w:rsid w:val="784EF222"/>
    <w:rsid w:val="7856E071"/>
    <w:rsid w:val="787ADD46"/>
    <w:rsid w:val="7884B2D4"/>
    <w:rsid w:val="7886E928"/>
    <w:rsid w:val="78B3E008"/>
    <w:rsid w:val="78B7D8A6"/>
    <w:rsid w:val="78E825E7"/>
    <w:rsid w:val="78FA2A1C"/>
    <w:rsid w:val="790231F6"/>
    <w:rsid w:val="79065196"/>
    <w:rsid w:val="7925C8E6"/>
    <w:rsid w:val="792880D5"/>
    <w:rsid w:val="792A51D5"/>
    <w:rsid w:val="7932B932"/>
    <w:rsid w:val="79354BF1"/>
    <w:rsid w:val="793B61F5"/>
    <w:rsid w:val="794ADDE6"/>
    <w:rsid w:val="796B90AF"/>
    <w:rsid w:val="79712132"/>
    <w:rsid w:val="7991D515"/>
    <w:rsid w:val="79938CFF"/>
    <w:rsid w:val="79C49235"/>
    <w:rsid w:val="79F2E74B"/>
    <w:rsid w:val="7A092D83"/>
    <w:rsid w:val="7A221B6F"/>
    <w:rsid w:val="7A28FF7C"/>
    <w:rsid w:val="7A31AC56"/>
    <w:rsid w:val="7A57854E"/>
    <w:rsid w:val="7A6CEC4A"/>
    <w:rsid w:val="7A6ECD34"/>
    <w:rsid w:val="7A758F0B"/>
    <w:rsid w:val="7A777854"/>
    <w:rsid w:val="7A7E24DC"/>
    <w:rsid w:val="7A8195E3"/>
    <w:rsid w:val="7A8DE80C"/>
    <w:rsid w:val="7AC4254A"/>
    <w:rsid w:val="7AE960E2"/>
    <w:rsid w:val="7AFE9588"/>
    <w:rsid w:val="7B06CD9F"/>
    <w:rsid w:val="7B099178"/>
    <w:rsid w:val="7B2906DF"/>
    <w:rsid w:val="7B2AADDC"/>
    <w:rsid w:val="7B3E1185"/>
    <w:rsid w:val="7B4B5268"/>
    <w:rsid w:val="7B537F43"/>
    <w:rsid w:val="7B5CF9C2"/>
    <w:rsid w:val="7B60BDA0"/>
    <w:rsid w:val="7B6D6656"/>
    <w:rsid w:val="7B71685A"/>
    <w:rsid w:val="7B898460"/>
    <w:rsid w:val="7B8BD587"/>
    <w:rsid w:val="7BA40040"/>
    <w:rsid w:val="7BA45657"/>
    <w:rsid w:val="7BCCF696"/>
    <w:rsid w:val="7BE33D92"/>
    <w:rsid w:val="7BEB7DA0"/>
    <w:rsid w:val="7BEF95B1"/>
    <w:rsid w:val="7BF3007C"/>
    <w:rsid w:val="7BFED375"/>
    <w:rsid w:val="7C08D131"/>
    <w:rsid w:val="7C0B5ACF"/>
    <w:rsid w:val="7C132A37"/>
    <w:rsid w:val="7C544DDD"/>
    <w:rsid w:val="7C56D7D3"/>
    <w:rsid w:val="7C8DAAD3"/>
    <w:rsid w:val="7C9F9A92"/>
    <w:rsid w:val="7CB5FCE2"/>
    <w:rsid w:val="7CB722DC"/>
    <w:rsid w:val="7CE40322"/>
    <w:rsid w:val="7CE7E1F3"/>
    <w:rsid w:val="7CEDC401"/>
    <w:rsid w:val="7D060656"/>
    <w:rsid w:val="7D09F200"/>
    <w:rsid w:val="7D177C3A"/>
    <w:rsid w:val="7D357583"/>
    <w:rsid w:val="7D461ED7"/>
    <w:rsid w:val="7D51FE24"/>
    <w:rsid w:val="7D7F263C"/>
    <w:rsid w:val="7D8A3E79"/>
    <w:rsid w:val="7DA3B5E6"/>
    <w:rsid w:val="7DFB7726"/>
    <w:rsid w:val="7E11775A"/>
    <w:rsid w:val="7E30A3B4"/>
    <w:rsid w:val="7E437572"/>
    <w:rsid w:val="7E4BB9C8"/>
    <w:rsid w:val="7E528CA8"/>
    <w:rsid w:val="7E57A1A2"/>
    <w:rsid w:val="7E5F7E0A"/>
    <w:rsid w:val="7E6671CD"/>
    <w:rsid w:val="7E675B93"/>
    <w:rsid w:val="7E700AFD"/>
    <w:rsid w:val="7E9D77AE"/>
    <w:rsid w:val="7EA9091C"/>
    <w:rsid w:val="7EA9D26A"/>
    <w:rsid w:val="7EC0820E"/>
    <w:rsid w:val="7ECE6951"/>
    <w:rsid w:val="7F185F23"/>
    <w:rsid w:val="7F19389E"/>
    <w:rsid w:val="7F24A764"/>
    <w:rsid w:val="7F255316"/>
    <w:rsid w:val="7F451BAF"/>
    <w:rsid w:val="7F54511D"/>
    <w:rsid w:val="7F56D9A5"/>
    <w:rsid w:val="7F62AA5E"/>
    <w:rsid w:val="7F64847A"/>
    <w:rsid w:val="7F73713D"/>
    <w:rsid w:val="7F842941"/>
    <w:rsid w:val="7F9F9817"/>
    <w:rsid w:val="7FA1CF5B"/>
    <w:rsid w:val="7FE1E914"/>
    <w:rsid w:val="7FE58DD9"/>
    <w:rsid w:val="7FFDF9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523F8A"/>
    <w:pPr>
      <w:keepNext/>
      <w:keepLines/>
      <w:numPr>
        <w:numId w:val="87"/>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87"/>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23F8A"/>
    <w:pPr>
      <w:keepNext/>
      <w:keepLines/>
      <w:numPr>
        <w:ilvl w:val="2"/>
        <w:numId w:val="87"/>
      </w:numPr>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numPr>
        <w:ilvl w:val="3"/>
        <w:numId w:val="128"/>
      </w:numPr>
      <w:outlineLvl w:val="3"/>
    </w:pPr>
    <w:rPr>
      <w:i/>
    </w:rPr>
  </w:style>
  <w:style w:type="paragraph" w:styleId="Heading5">
    <w:name w:val="heading 5"/>
    <w:basedOn w:val="Normal"/>
    <w:next w:val="Normal"/>
    <w:link w:val="Heading5Char"/>
    <w:uiPriority w:val="9"/>
    <w:unhideWhenUsed/>
    <w:qFormat/>
    <w:rsid w:val="00480A51"/>
    <w:pPr>
      <w:keepNext/>
      <w:keepLines/>
      <w:numPr>
        <w:ilvl w:val="4"/>
        <w:numId w:val="128"/>
      </w:numPr>
      <w:spacing w:before="40" w:after="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147A7"/>
    <w:pPr>
      <w:keepNext/>
      <w:keepLines/>
      <w:numPr>
        <w:ilvl w:val="5"/>
        <w:numId w:val="12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147A7"/>
    <w:pPr>
      <w:keepNext/>
      <w:keepLines/>
      <w:numPr>
        <w:ilvl w:val="6"/>
        <w:numId w:val="12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3F8A"/>
    <w:pPr>
      <w:keepNext/>
      <w:keepLines/>
      <w:numPr>
        <w:ilvl w:val="7"/>
        <w:numId w:val="1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3F8A"/>
    <w:pPr>
      <w:keepNext/>
      <w:keepLines/>
      <w:numPr>
        <w:ilvl w:val="8"/>
        <w:numId w:val="1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uiPriority w:val="99"/>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uiPriority w:val="99"/>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523F8A"/>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Nirmala UI" w:hAnsi="Nirmala UI"/>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CMA Table Template,PBAC table,Conclusion box,Table Grid nm,HTAtableplain,Dossier table,Section 3- footnotes,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1A7A1E"/>
    <w:pPr>
      <w:tabs>
        <w:tab w:val="left" w:pos="1134"/>
        <w:tab w:val="right" w:leader="dot" w:pos="9010"/>
      </w:tabs>
      <w:spacing w:after="100" w:line="240" w:lineRule="auto"/>
    </w:pPr>
    <w:rPr>
      <w:rFonts w:asciiTheme="minorHAnsi" w:hAnsiTheme="minorHAnsi"/>
      <w:b/>
    </w:rPr>
  </w:style>
  <w:style w:type="paragraph" w:styleId="TOC3">
    <w:name w:val="toc 3"/>
    <w:basedOn w:val="Normal"/>
    <w:next w:val="Normal"/>
    <w:autoRedefine/>
    <w:uiPriority w:val="39"/>
    <w:unhideWhenUsed/>
    <w:rsid w:val="001A7A1E"/>
    <w:pPr>
      <w:tabs>
        <w:tab w:val="left" w:pos="680"/>
        <w:tab w:val="right" w:leader="dot" w:pos="9010"/>
      </w:tabs>
      <w:spacing w:after="100" w:line="240" w:lineRule="auto"/>
      <w:ind w:left="851"/>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3"/>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1A7A1E"/>
    <w:pPr>
      <w:tabs>
        <w:tab w:val="left" w:pos="680"/>
        <w:tab w:val="right" w:leader="dot" w:pos="9010"/>
      </w:tabs>
      <w:spacing w:after="100"/>
    </w:pPr>
    <w:rPr>
      <w:rFonts w:asciiTheme="minorHAnsi" w:eastAsiaTheme="minorEastAsia" w:hAnsiTheme="minorHAnsi"/>
      <w:lang w:eastAsia="en-AU"/>
    </w:rPr>
  </w:style>
  <w:style w:type="paragraph" w:styleId="TOC5">
    <w:name w:val="toc 5"/>
    <w:basedOn w:val="Normal"/>
    <w:next w:val="Normal"/>
    <w:autoRedefine/>
    <w:uiPriority w:val="39"/>
    <w:unhideWhenUsed/>
    <w:rsid w:val="001A7A1E"/>
    <w:pPr>
      <w:tabs>
        <w:tab w:val="left" w:pos="680"/>
      </w:tabs>
      <w:spacing w:after="100"/>
      <w:ind w:left="879"/>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4"/>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5"/>
      </w:numPr>
    </w:pPr>
  </w:style>
  <w:style w:type="paragraph" w:customStyle="1" w:styleId="2-SectionHeading">
    <w:name w:val="2-Section Heading"/>
    <w:qFormat/>
    <w:rsid w:val="005131D3"/>
    <w:pPr>
      <w:keepNext/>
      <w:numPr>
        <w:numId w:val="6"/>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6"/>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7"/>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quot;Courier New&quot;" w:hAnsi="&quot;Courier New&quot;"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quot;Courier New&quot;" w:hAnsi="&quot;Courier New&quot;"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quot;Courier New&quot;" w:hAnsi="&quot;Courier New&quot;"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8"/>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9"/>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3"/>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unhideWhenUsed/>
    <w:rsid w:val="00D13865"/>
    <w:rPr>
      <w:color w:val="605E5C"/>
      <w:shd w:val="clear" w:color="auto" w:fill="E1DFDD"/>
    </w:rPr>
  </w:style>
  <w:style w:type="character" w:customStyle="1" w:styleId="Heading5Char">
    <w:name w:val="Heading 5 Char"/>
    <w:basedOn w:val="DefaultParagraphFont"/>
    <w:link w:val="Heading5"/>
    <w:uiPriority w:val="9"/>
    <w:rsid w:val="00365D20"/>
    <w:rPr>
      <w:rFonts w:ascii="Calibri" w:eastAsiaTheme="majorEastAsia" w:hAnsi="Calibri" w:cstheme="majorBidi"/>
      <w:b/>
    </w:rPr>
  </w:style>
  <w:style w:type="paragraph" w:customStyle="1" w:styleId="pf0">
    <w:name w:val="pf0"/>
    <w:basedOn w:val="Normal"/>
    <w:rsid w:val="00DE7C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DE7C87"/>
    <w:rPr>
      <w:rFonts w:ascii="Segoe UI" w:hAnsi="Segoe UI" w:cs="Segoe UI" w:hint="default"/>
      <w:sz w:val="18"/>
      <w:szCs w:val="18"/>
    </w:rPr>
  </w:style>
  <w:style w:type="paragraph" w:customStyle="1" w:styleId="msonormal0">
    <w:name w:val="msonormal"/>
    <w:basedOn w:val="Normal"/>
    <w:rsid w:val="006C58C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58CC"/>
    <w:pPr>
      <w:spacing w:before="100" w:beforeAutospacing="1" w:after="100" w:afterAutospacing="1" w:line="240" w:lineRule="auto"/>
    </w:pPr>
    <w:rPr>
      <w:rFonts w:ascii="Arial Narrow" w:eastAsia="Times New Roman" w:hAnsi="Arial Narrow" w:cs="Times New Roman"/>
      <w:sz w:val="24"/>
      <w:szCs w:val="24"/>
      <w:lang w:eastAsia="en-AU"/>
    </w:rPr>
  </w:style>
  <w:style w:type="paragraph" w:customStyle="1" w:styleId="xl68">
    <w:name w:val="xl68"/>
    <w:basedOn w:val="Normal"/>
    <w:rsid w:val="006C58CC"/>
    <w:pPr>
      <w:spacing w:before="100" w:beforeAutospacing="1" w:after="100" w:afterAutospacing="1" w:line="240" w:lineRule="auto"/>
      <w:jc w:val="center"/>
    </w:pPr>
    <w:rPr>
      <w:rFonts w:ascii="Arial Narrow" w:eastAsia="Times New Roman" w:hAnsi="Arial Narrow" w:cs="Times New Roman"/>
      <w:sz w:val="24"/>
      <w:szCs w:val="24"/>
      <w:lang w:eastAsia="en-AU"/>
    </w:rPr>
  </w:style>
  <w:style w:type="paragraph" w:customStyle="1" w:styleId="xl69">
    <w:name w:val="xl69"/>
    <w:basedOn w:val="Normal"/>
    <w:rsid w:val="006C58CC"/>
    <w:pPr>
      <w:shd w:val="clear" w:color="000000" w:fill="FCE4D6"/>
      <w:spacing w:before="100" w:beforeAutospacing="1" w:after="100" w:afterAutospacing="1" w:line="240" w:lineRule="auto"/>
    </w:pPr>
    <w:rPr>
      <w:rFonts w:ascii="Arial Narrow" w:eastAsia="Times New Roman" w:hAnsi="Arial Narrow" w:cs="Times New Roman"/>
      <w:b/>
      <w:bCs/>
      <w:sz w:val="24"/>
      <w:szCs w:val="24"/>
      <w:lang w:eastAsia="en-AU"/>
    </w:rPr>
  </w:style>
  <w:style w:type="paragraph" w:customStyle="1" w:styleId="xl70">
    <w:name w:val="xl70"/>
    <w:basedOn w:val="Normal"/>
    <w:rsid w:val="006C58CC"/>
    <w:pP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eastAsia="en-AU"/>
    </w:rPr>
  </w:style>
  <w:style w:type="paragraph" w:customStyle="1" w:styleId="xl71">
    <w:name w:val="xl71"/>
    <w:basedOn w:val="Normal"/>
    <w:rsid w:val="006C58CC"/>
    <w:pPr>
      <w:spacing w:before="100" w:beforeAutospacing="1" w:after="100" w:afterAutospacing="1" w:line="240" w:lineRule="auto"/>
    </w:pPr>
    <w:rPr>
      <w:rFonts w:ascii="Arial Narrow" w:eastAsia="Times New Roman" w:hAnsi="Arial Narrow" w:cs="Times New Roman"/>
      <w:color w:val="FF0000"/>
      <w:sz w:val="24"/>
      <w:szCs w:val="24"/>
      <w:lang w:eastAsia="en-AU"/>
    </w:rPr>
  </w:style>
  <w:style w:type="paragraph" w:customStyle="1" w:styleId="xl72">
    <w:name w:val="xl72"/>
    <w:basedOn w:val="Normal"/>
    <w:rsid w:val="006C58CC"/>
    <w:pPr>
      <w:spacing w:before="100" w:beforeAutospacing="1" w:after="100" w:afterAutospacing="1" w:line="240" w:lineRule="auto"/>
    </w:pPr>
    <w:rPr>
      <w:rFonts w:ascii="Arial Narrow" w:eastAsia="Times New Roman" w:hAnsi="Arial Narrow" w:cs="Times New Roman"/>
      <w:sz w:val="24"/>
      <w:szCs w:val="24"/>
      <w:lang w:eastAsia="en-AU"/>
    </w:rPr>
  </w:style>
  <w:style w:type="paragraph" w:customStyle="1" w:styleId="xl73">
    <w:name w:val="xl73"/>
    <w:basedOn w:val="Normal"/>
    <w:rsid w:val="006C58CC"/>
    <w:pPr>
      <w:spacing w:before="100" w:beforeAutospacing="1" w:after="100" w:afterAutospacing="1" w:line="240" w:lineRule="auto"/>
      <w:jc w:val="center"/>
    </w:pPr>
    <w:rPr>
      <w:rFonts w:ascii="Arial Narrow" w:eastAsia="Times New Roman" w:hAnsi="Arial Narrow" w:cs="Times New Roman"/>
      <w:b/>
      <w:bCs/>
      <w:sz w:val="28"/>
      <w:szCs w:val="28"/>
      <w:lang w:eastAsia="en-AU"/>
    </w:rPr>
  </w:style>
  <w:style w:type="paragraph" w:customStyle="1" w:styleId="xl74">
    <w:name w:val="xl74"/>
    <w:basedOn w:val="Normal"/>
    <w:rsid w:val="006C58CC"/>
    <w:pPr>
      <w:spacing w:before="100" w:beforeAutospacing="1" w:after="100" w:afterAutospacing="1" w:line="240" w:lineRule="auto"/>
    </w:pPr>
    <w:rPr>
      <w:rFonts w:ascii="Arial Narrow" w:eastAsia="Times New Roman" w:hAnsi="Arial Narrow" w:cs="Times New Roman"/>
      <w:sz w:val="24"/>
      <w:szCs w:val="24"/>
      <w:lang w:eastAsia="en-AU"/>
    </w:rPr>
  </w:style>
  <w:style w:type="paragraph" w:customStyle="1" w:styleId="xl75">
    <w:name w:val="xl75"/>
    <w:basedOn w:val="Normal"/>
    <w:rsid w:val="006C58CC"/>
    <w:pPr>
      <w:spacing w:before="100" w:beforeAutospacing="1" w:after="100" w:afterAutospacing="1" w:line="240" w:lineRule="auto"/>
      <w:jc w:val="center"/>
    </w:pPr>
    <w:rPr>
      <w:rFonts w:ascii="Arial Narrow" w:eastAsia="Times New Roman" w:hAnsi="Arial Narrow" w:cs="Times New Roman"/>
      <w:b/>
      <w:bCs/>
      <w:sz w:val="24"/>
      <w:szCs w:val="24"/>
      <w:lang w:eastAsia="en-AU"/>
    </w:rPr>
  </w:style>
  <w:style w:type="paragraph" w:customStyle="1" w:styleId="xl76">
    <w:name w:val="xl76"/>
    <w:basedOn w:val="Normal"/>
    <w:rsid w:val="006C58CC"/>
    <w:pPr>
      <w:shd w:val="clear" w:color="000000" w:fill="E2EFDA"/>
      <w:spacing w:before="100" w:beforeAutospacing="1" w:after="100" w:afterAutospacing="1" w:line="240" w:lineRule="auto"/>
      <w:jc w:val="center"/>
    </w:pPr>
    <w:rPr>
      <w:rFonts w:ascii="Arial Narrow" w:eastAsia="Times New Roman" w:hAnsi="Arial Narrow" w:cs="Times New Roman"/>
      <w:sz w:val="24"/>
      <w:szCs w:val="24"/>
      <w:lang w:eastAsia="en-AU"/>
    </w:rPr>
  </w:style>
  <w:style w:type="paragraph" w:customStyle="1" w:styleId="xl77">
    <w:name w:val="xl77"/>
    <w:basedOn w:val="Normal"/>
    <w:rsid w:val="006C58CC"/>
    <w:pPr>
      <w:shd w:val="clear" w:color="000000" w:fill="E2EFDA"/>
      <w:spacing w:before="100" w:beforeAutospacing="1" w:after="100" w:afterAutospacing="1" w:line="240" w:lineRule="auto"/>
    </w:pPr>
    <w:rPr>
      <w:rFonts w:ascii="Arial Narrow" w:eastAsia="Times New Roman" w:hAnsi="Arial Narrow" w:cs="Times New Roman"/>
      <w:i/>
      <w:iCs/>
      <w:sz w:val="24"/>
      <w:szCs w:val="24"/>
      <w:lang w:eastAsia="en-AU"/>
    </w:rPr>
  </w:style>
  <w:style w:type="paragraph" w:customStyle="1" w:styleId="xl78">
    <w:name w:val="xl78"/>
    <w:basedOn w:val="Normal"/>
    <w:rsid w:val="006C58CC"/>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n-AU"/>
    </w:rPr>
  </w:style>
  <w:style w:type="paragraph" w:customStyle="1" w:styleId="xl79">
    <w:name w:val="xl79"/>
    <w:basedOn w:val="Normal"/>
    <w:rsid w:val="006C58CC"/>
    <w:pPr>
      <w:pBdr>
        <w:left w:val="single" w:sz="8" w:space="0" w:color="auto"/>
        <w:right w:val="single" w:sz="8"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eastAsia="en-AU"/>
    </w:rPr>
  </w:style>
  <w:style w:type="paragraph" w:customStyle="1" w:styleId="xl80">
    <w:name w:val="xl80"/>
    <w:basedOn w:val="Normal"/>
    <w:rsid w:val="006C58CC"/>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eastAsia="en-AU"/>
    </w:rPr>
  </w:style>
  <w:style w:type="paragraph" w:customStyle="1" w:styleId="xl81">
    <w:name w:val="xl81"/>
    <w:basedOn w:val="Normal"/>
    <w:rsid w:val="006C58CC"/>
    <w:pPr>
      <w:pBdr>
        <w:left w:val="single" w:sz="8" w:space="0" w:color="auto"/>
        <w:right w:val="single" w:sz="8" w:space="0" w:color="auto"/>
      </w:pBdr>
      <w:shd w:val="clear" w:color="000000" w:fill="E2EFDA"/>
      <w:spacing w:before="100" w:beforeAutospacing="1" w:after="100" w:afterAutospacing="1" w:line="240" w:lineRule="auto"/>
      <w:jc w:val="center"/>
    </w:pPr>
    <w:rPr>
      <w:rFonts w:ascii="Arial Narrow" w:eastAsia="Times New Roman" w:hAnsi="Arial Narrow" w:cs="Times New Roman"/>
      <w:sz w:val="24"/>
      <w:szCs w:val="24"/>
      <w:lang w:eastAsia="en-AU"/>
    </w:rPr>
  </w:style>
  <w:style w:type="paragraph" w:customStyle="1" w:styleId="xl82">
    <w:name w:val="xl82"/>
    <w:basedOn w:val="Normal"/>
    <w:rsid w:val="006C58CC"/>
    <w:pPr>
      <w:shd w:val="clear" w:color="000000" w:fill="203764"/>
      <w:spacing w:before="100" w:beforeAutospacing="1" w:after="100" w:afterAutospacing="1" w:line="240" w:lineRule="auto"/>
      <w:jc w:val="center"/>
    </w:pPr>
    <w:rPr>
      <w:rFonts w:ascii="Arial Narrow" w:eastAsia="Times New Roman" w:hAnsi="Arial Narrow" w:cs="Times New Roman"/>
      <w:b/>
      <w:bCs/>
      <w:color w:val="FFFFFF"/>
      <w:sz w:val="28"/>
      <w:szCs w:val="28"/>
      <w:lang w:eastAsia="en-AU"/>
    </w:rPr>
  </w:style>
  <w:style w:type="paragraph" w:customStyle="1" w:styleId="xl83">
    <w:name w:val="xl83"/>
    <w:basedOn w:val="Normal"/>
    <w:rsid w:val="006C58CC"/>
    <w:pPr>
      <w:pBdr>
        <w:left w:val="single" w:sz="8" w:space="0" w:color="auto"/>
        <w:right w:val="single" w:sz="8" w:space="0" w:color="auto"/>
      </w:pBdr>
      <w:shd w:val="clear" w:color="000000" w:fill="203764"/>
      <w:spacing w:before="100" w:beforeAutospacing="1" w:after="100" w:afterAutospacing="1" w:line="240" w:lineRule="auto"/>
      <w:jc w:val="center"/>
    </w:pPr>
    <w:rPr>
      <w:rFonts w:ascii="Arial Narrow" w:eastAsia="Times New Roman" w:hAnsi="Arial Narrow" w:cs="Times New Roman"/>
      <w:b/>
      <w:bCs/>
      <w:color w:val="FFFFFF"/>
      <w:sz w:val="28"/>
      <w:szCs w:val="28"/>
      <w:lang w:eastAsia="en-AU"/>
    </w:rPr>
  </w:style>
  <w:style w:type="paragraph" w:customStyle="1" w:styleId="xl84">
    <w:name w:val="xl84"/>
    <w:basedOn w:val="Normal"/>
    <w:rsid w:val="006C58CC"/>
    <w:pPr>
      <w:shd w:val="clear" w:color="000000" w:fill="203764"/>
      <w:spacing w:before="100" w:beforeAutospacing="1" w:after="100" w:afterAutospacing="1" w:line="240" w:lineRule="auto"/>
      <w:jc w:val="center"/>
    </w:pPr>
    <w:rPr>
      <w:rFonts w:ascii="Arial Narrow" w:eastAsia="Times New Roman" w:hAnsi="Arial Narrow" w:cs="Times New Roman"/>
      <w:b/>
      <w:bCs/>
      <w:color w:val="FFFFFF"/>
      <w:sz w:val="24"/>
      <w:szCs w:val="24"/>
      <w:lang w:eastAsia="en-AU"/>
    </w:rPr>
  </w:style>
  <w:style w:type="paragraph" w:customStyle="1" w:styleId="xl85">
    <w:name w:val="xl85"/>
    <w:basedOn w:val="Normal"/>
    <w:rsid w:val="006C58CC"/>
    <w:pPr>
      <w:shd w:val="clear" w:color="000000" w:fill="305496"/>
      <w:spacing w:before="100" w:beforeAutospacing="1" w:after="100" w:afterAutospacing="1" w:line="240" w:lineRule="auto"/>
      <w:jc w:val="center"/>
    </w:pPr>
    <w:rPr>
      <w:rFonts w:ascii="Arial Narrow" w:eastAsia="Times New Roman" w:hAnsi="Arial Narrow" w:cs="Times New Roman"/>
      <w:b/>
      <w:bCs/>
      <w:color w:val="FFFFFF"/>
      <w:sz w:val="28"/>
      <w:szCs w:val="28"/>
      <w:lang w:eastAsia="en-AU"/>
    </w:rPr>
  </w:style>
  <w:style w:type="paragraph" w:customStyle="1" w:styleId="xl86">
    <w:name w:val="xl86"/>
    <w:basedOn w:val="Normal"/>
    <w:rsid w:val="006C58CC"/>
    <w:pPr>
      <w:spacing w:before="100" w:beforeAutospacing="1" w:after="100" w:afterAutospacing="1" w:line="240" w:lineRule="auto"/>
      <w:jc w:val="center"/>
    </w:pPr>
    <w:rPr>
      <w:rFonts w:ascii="Arial Narrow" w:eastAsia="Times New Roman" w:hAnsi="Arial Narrow" w:cs="Times New Roman"/>
      <w:sz w:val="20"/>
      <w:szCs w:val="20"/>
      <w:lang w:eastAsia="en-AU"/>
    </w:rPr>
  </w:style>
  <w:style w:type="paragraph" w:customStyle="1" w:styleId="xl87">
    <w:name w:val="xl87"/>
    <w:basedOn w:val="Normal"/>
    <w:rsid w:val="006C58CC"/>
    <w:pPr>
      <w:spacing w:before="100" w:beforeAutospacing="1" w:after="100" w:afterAutospacing="1" w:line="240" w:lineRule="auto"/>
    </w:pPr>
    <w:rPr>
      <w:rFonts w:ascii="Arial Narrow" w:eastAsia="Times New Roman" w:hAnsi="Arial Narrow" w:cs="Times New Roman"/>
      <w:sz w:val="24"/>
      <w:szCs w:val="24"/>
      <w:lang w:eastAsia="en-AU"/>
    </w:rPr>
  </w:style>
  <w:style w:type="paragraph" w:customStyle="1" w:styleId="xl88">
    <w:name w:val="xl88"/>
    <w:basedOn w:val="Normal"/>
    <w:rsid w:val="006C58CC"/>
    <w:pPr>
      <w:spacing w:before="100" w:beforeAutospacing="1" w:after="100" w:afterAutospacing="1" w:line="240" w:lineRule="auto"/>
    </w:pPr>
    <w:rPr>
      <w:rFonts w:ascii="Arial Narrow" w:eastAsia="Times New Roman" w:hAnsi="Arial Narrow" w:cs="Times New Roman"/>
      <w:color w:val="00B0F0"/>
      <w:sz w:val="24"/>
      <w:szCs w:val="24"/>
      <w:lang w:eastAsia="en-AU"/>
    </w:rPr>
  </w:style>
  <w:style w:type="paragraph" w:customStyle="1" w:styleId="xl89">
    <w:name w:val="xl89"/>
    <w:basedOn w:val="Normal"/>
    <w:rsid w:val="006C58CC"/>
    <w:pPr>
      <w:shd w:val="clear" w:color="000000" w:fill="FCE4D6"/>
      <w:spacing w:before="100" w:beforeAutospacing="1" w:after="100" w:afterAutospacing="1" w:line="240" w:lineRule="auto"/>
    </w:pPr>
    <w:rPr>
      <w:rFonts w:ascii="Arial Narrow" w:eastAsia="Times New Roman" w:hAnsi="Arial Narrow" w:cs="Times New Roman"/>
      <w:b/>
      <w:bCs/>
      <w:sz w:val="24"/>
      <w:szCs w:val="24"/>
      <w:lang w:eastAsia="en-AU"/>
    </w:rPr>
  </w:style>
  <w:style w:type="paragraph" w:customStyle="1" w:styleId="xl90">
    <w:name w:val="xl90"/>
    <w:basedOn w:val="Normal"/>
    <w:rsid w:val="006C58CC"/>
    <w:pPr>
      <w:shd w:val="clear" w:color="000000" w:fill="FCE4D6"/>
      <w:spacing w:before="100" w:beforeAutospacing="1" w:after="100" w:afterAutospacing="1" w:line="240" w:lineRule="auto"/>
      <w:jc w:val="center"/>
    </w:pPr>
    <w:rPr>
      <w:rFonts w:ascii="Arial Narrow" w:eastAsia="Times New Roman" w:hAnsi="Arial Narrow" w:cs="Times New Roman"/>
      <w:b/>
      <w:bCs/>
      <w:sz w:val="24"/>
      <w:szCs w:val="24"/>
      <w:lang w:eastAsia="en-AU"/>
    </w:rPr>
  </w:style>
  <w:style w:type="paragraph" w:customStyle="1" w:styleId="xl91">
    <w:name w:val="xl91"/>
    <w:basedOn w:val="Normal"/>
    <w:rsid w:val="006C58CC"/>
    <w:pPr>
      <w:shd w:val="clear" w:color="000000" w:fill="BDD7EE"/>
      <w:spacing w:before="100" w:beforeAutospacing="1" w:after="100" w:afterAutospacing="1" w:line="240" w:lineRule="auto"/>
    </w:pPr>
    <w:rPr>
      <w:rFonts w:ascii="Arial Narrow" w:eastAsia="Times New Roman" w:hAnsi="Arial Narrow" w:cs="Times New Roman"/>
      <w:sz w:val="24"/>
      <w:szCs w:val="24"/>
      <w:lang w:eastAsia="en-AU"/>
    </w:rPr>
  </w:style>
  <w:style w:type="paragraph" w:customStyle="1" w:styleId="xl92">
    <w:name w:val="xl92"/>
    <w:basedOn w:val="Normal"/>
    <w:rsid w:val="006C58CC"/>
    <w:pPr>
      <w:shd w:val="clear" w:color="000000" w:fill="BDD7EE"/>
      <w:spacing w:before="100" w:beforeAutospacing="1" w:after="100" w:afterAutospacing="1" w:line="240" w:lineRule="auto"/>
      <w:jc w:val="center"/>
    </w:pPr>
    <w:rPr>
      <w:rFonts w:ascii="Arial Narrow" w:eastAsia="Times New Roman" w:hAnsi="Arial Narrow" w:cs="Times New Roman"/>
      <w:b/>
      <w:bCs/>
      <w:sz w:val="24"/>
      <w:szCs w:val="24"/>
      <w:lang w:eastAsia="en-AU"/>
    </w:rPr>
  </w:style>
  <w:style w:type="paragraph" w:customStyle="1" w:styleId="xl93">
    <w:name w:val="xl93"/>
    <w:basedOn w:val="Normal"/>
    <w:rsid w:val="006C58CC"/>
    <w:pPr>
      <w:pBdr>
        <w:left w:val="single" w:sz="8" w:space="0" w:color="auto"/>
        <w:right w:val="single" w:sz="8" w:space="0" w:color="auto"/>
      </w:pBdr>
      <w:shd w:val="clear" w:color="000000" w:fill="BDD7EE"/>
      <w:spacing w:before="100" w:beforeAutospacing="1" w:after="100" w:afterAutospacing="1" w:line="240" w:lineRule="auto"/>
      <w:jc w:val="center"/>
    </w:pPr>
    <w:rPr>
      <w:rFonts w:ascii="Arial Narrow" w:eastAsia="Times New Roman" w:hAnsi="Arial Narrow" w:cs="Times New Roman"/>
      <w:b/>
      <w:bCs/>
      <w:sz w:val="24"/>
      <w:szCs w:val="24"/>
      <w:lang w:eastAsia="en-AU"/>
    </w:rPr>
  </w:style>
  <w:style w:type="paragraph" w:customStyle="1" w:styleId="xl94">
    <w:name w:val="xl94"/>
    <w:basedOn w:val="Normal"/>
    <w:rsid w:val="006C58CC"/>
    <w:pPr>
      <w:shd w:val="clear" w:color="000000" w:fill="BDD7EE"/>
      <w:spacing w:before="100" w:beforeAutospacing="1" w:after="100" w:afterAutospacing="1" w:line="240" w:lineRule="auto"/>
      <w:jc w:val="center"/>
    </w:pPr>
    <w:rPr>
      <w:rFonts w:ascii="Arial Narrow" w:eastAsia="Times New Roman" w:hAnsi="Arial Narrow" w:cs="Times New Roman"/>
      <w:sz w:val="24"/>
      <w:szCs w:val="24"/>
      <w:lang w:eastAsia="en-AU"/>
    </w:rPr>
  </w:style>
  <w:style w:type="paragraph" w:customStyle="1" w:styleId="xl95">
    <w:name w:val="xl95"/>
    <w:basedOn w:val="Normal"/>
    <w:rsid w:val="006C58CC"/>
    <w:pPr>
      <w:shd w:val="clear" w:color="000000" w:fill="FCE4D6"/>
      <w:spacing w:before="100" w:beforeAutospacing="1" w:after="100" w:afterAutospacing="1" w:line="240" w:lineRule="auto"/>
    </w:pPr>
    <w:rPr>
      <w:rFonts w:ascii="Arial Narrow" w:eastAsia="Times New Roman" w:hAnsi="Arial Narrow" w:cs="Times New Roman"/>
      <w:sz w:val="24"/>
      <w:szCs w:val="24"/>
      <w:lang w:eastAsia="en-AU"/>
    </w:rPr>
  </w:style>
  <w:style w:type="paragraph" w:customStyle="1" w:styleId="xl96">
    <w:name w:val="xl96"/>
    <w:basedOn w:val="Normal"/>
    <w:rsid w:val="006C58CC"/>
    <w:pPr>
      <w:shd w:val="clear" w:color="000000" w:fill="FCE4D6"/>
      <w:spacing w:before="100" w:beforeAutospacing="1" w:after="100" w:afterAutospacing="1" w:line="240" w:lineRule="auto"/>
    </w:pPr>
    <w:rPr>
      <w:rFonts w:ascii="Arial Narrow" w:eastAsia="Times New Roman" w:hAnsi="Arial Narrow" w:cs="Times New Roman"/>
      <w:b/>
      <w:bCs/>
      <w:sz w:val="24"/>
      <w:szCs w:val="24"/>
      <w:lang w:eastAsia="en-AU"/>
    </w:rPr>
  </w:style>
  <w:style w:type="paragraph" w:customStyle="1" w:styleId="xl97">
    <w:name w:val="xl97"/>
    <w:basedOn w:val="Normal"/>
    <w:rsid w:val="006C58CC"/>
    <w:pPr>
      <w:shd w:val="clear" w:color="000000" w:fill="FCE4D6"/>
      <w:spacing w:before="100" w:beforeAutospacing="1" w:after="100" w:afterAutospacing="1" w:line="240" w:lineRule="auto"/>
    </w:pPr>
    <w:rPr>
      <w:rFonts w:ascii="Arial Narrow" w:eastAsia="Times New Roman" w:hAnsi="Arial Narrow" w:cs="Times New Roman"/>
      <w:b/>
      <w:bCs/>
      <w:sz w:val="24"/>
      <w:szCs w:val="24"/>
      <w:lang w:eastAsia="en-AU"/>
    </w:rPr>
  </w:style>
  <w:style w:type="paragraph" w:customStyle="1" w:styleId="xl98">
    <w:name w:val="xl98"/>
    <w:basedOn w:val="Normal"/>
    <w:rsid w:val="006C58CC"/>
    <w:pPr>
      <w:spacing w:before="100" w:beforeAutospacing="1" w:after="100" w:afterAutospacing="1" w:line="240" w:lineRule="auto"/>
    </w:pPr>
    <w:rPr>
      <w:rFonts w:ascii="Arial Narrow" w:eastAsia="Times New Roman" w:hAnsi="Arial Narrow" w:cs="Times New Roman"/>
      <w:color w:val="FF0000"/>
      <w:sz w:val="24"/>
      <w:szCs w:val="24"/>
      <w:lang w:eastAsia="en-AU"/>
    </w:rPr>
  </w:style>
  <w:style w:type="paragraph" w:customStyle="1" w:styleId="xl99">
    <w:name w:val="xl99"/>
    <w:basedOn w:val="Normal"/>
    <w:rsid w:val="006C58CC"/>
    <w:pPr>
      <w:shd w:val="clear" w:color="000000" w:fill="E2EFDA"/>
      <w:spacing w:before="100" w:beforeAutospacing="1" w:after="100" w:afterAutospacing="1" w:line="240" w:lineRule="auto"/>
    </w:pPr>
    <w:rPr>
      <w:rFonts w:ascii="Arial Narrow" w:eastAsia="Times New Roman" w:hAnsi="Arial Narrow" w:cs="Times New Roman"/>
      <w:i/>
      <w:iCs/>
      <w:sz w:val="24"/>
      <w:szCs w:val="24"/>
      <w:lang w:eastAsia="en-AU"/>
    </w:rPr>
  </w:style>
  <w:style w:type="paragraph" w:customStyle="1" w:styleId="xl100">
    <w:name w:val="xl100"/>
    <w:basedOn w:val="Normal"/>
    <w:rsid w:val="006C58CC"/>
    <w:pPr>
      <w:spacing w:before="100" w:beforeAutospacing="1" w:after="100" w:afterAutospacing="1" w:line="240" w:lineRule="auto"/>
    </w:pPr>
    <w:rPr>
      <w:rFonts w:ascii="Arial Narrow" w:eastAsia="Times New Roman" w:hAnsi="Arial Narrow" w:cs="Times New Roman"/>
      <w:color w:val="00B0F0"/>
      <w:sz w:val="24"/>
      <w:szCs w:val="24"/>
      <w:lang w:eastAsia="en-AU"/>
    </w:rPr>
  </w:style>
  <w:style w:type="paragraph" w:customStyle="1" w:styleId="xl101">
    <w:name w:val="xl101"/>
    <w:basedOn w:val="Normal"/>
    <w:rsid w:val="006C58CC"/>
    <w:pPr>
      <w:shd w:val="clear" w:color="000000" w:fill="FCE4D6"/>
      <w:spacing w:before="100" w:beforeAutospacing="1" w:after="100" w:afterAutospacing="1" w:line="240" w:lineRule="auto"/>
    </w:pPr>
    <w:rPr>
      <w:rFonts w:ascii="Arial Narrow" w:eastAsia="Times New Roman" w:hAnsi="Arial Narrow" w:cs="Times New Roman"/>
      <w:b/>
      <w:bCs/>
      <w:sz w:val="24"/>
      <w:szCs w:val="24"/>
      <w:lang w:eastAsia="en-AU"/>
    </w:rPr>
  </w:style>
  <w:style w:type="paragraph" w:customStyle="1" w:styleId="xl102">
    <w:name w:val="xl102"/>
    <w:basedOn w:val="Normal"/>
    <w:rsid w:val="006C58CC"/>
    <w:pPr>
      <w:shd w:val="clear" w:color="000000" w:fill="BDD7EE"/>
      <w:spacing w:before="100" w:beforeAutospacing="1" w:after="100" w:afterAutospacing="1" w:line="240" w:lineRule="auto"/>
      <w:jc w:val="center"/>
    </w:pPr>
    <w:rPr>
      <w:rFonts w:ascii="Arial Narrow" w:eastAsia="Times New Roman" w:hAnsi="Arial Narrow" w:cs="Times New Roman"/>
      <w:sz w:val="24"/>
      <w:szCs w:val="24"/>
      <w:lang w:eastAsia="en-AU"/>
    </w:rPr>
  </w:style>
  <w:style w:type="paragraph" w:customStyle="1" w:styleId="xl103">
    <w:name w:val="xl103"/>
    <w:basedOn w:val="Normal"/>
    <w:rsid w:val="006C58CC"/>
    <w:pPr>
      <w:shd w:val="clear" w:color="000000" w:fill="BDD7EE"/>
      <w:spacing w:before="100" w:beforeAutospacing="1" w:after="100" w:afterAutospacing="1" w:line="240" w:lineRule="auto"/>
    </w:pPr>
    <w:rPr>
      <w:rFonts w:ascii="Arial Narrow" w:eastAsia="Times New Roman" w:hAnsi="Arial Narrow" w:cs="Times New Roman"/>
      <w:b/>
      <w:bCs/>
      <w:sz w:val="24"/>
      <w:szCs w:val="24"/>
      <w:lang w:eastAsia="en-AU"/>
    </w:rPr>
  </w:style>
  <w:style w:type="paragraph" w:customStyle="1" w:styleId="xl104">
    <w:name w:val="xl104"/>
    <w:basedOn w:val="Normal"/>
    <w:rsid w:val="006C58CC"/>
    <w:pPr>
      <w:spacing w:before="100" w:beforeAutospacing="1" w:after="100" w:afterAutospacing="1" w:line="240" w:lineRule="auto"/>
      <w:jc w:val="center"/>
    </w:pPr>
    <w:rPr>
      <w:rFonts w:ascii="Arial Narrow" w:eastAsia="Times New Roman" w:hAnsi="Arial Narrow" w:cs="Times New Roman"/>
      <w:sz w:val="24"/>
      <w:szCs w:val="24"/>
      <w:lang w:eastAsia="en-AU"/>
    </w:rPr>
  </w:style>
  <w:style w:type="paragraph" w:customStyle="1" w:styleId="xl105">
    <w:name w:val="xl105"/>
    <w:basedOn w:val="Normal"/>
    <w:rsid w:val="006C58CC"/>
    <w:pPr>
      <w:spacing w:before="100" w:beforeAutospacing="1" w:after="100" w:afterAutospacing="1" w:line="240" w:lineRule="auto"/>
    </w:pPr>
    <w:rPr>
      <w:rFonts w:ascii="Arial Narrow" w:eastAsia="Times New Roman" w:hAnsi="Arial Narrow" w:cs="Times New Roman"/>
      <w:sz w:val="16"/>
      <w:szCs w:val="16"/>
      <w:lang w:eastAsia="en-AU"/>
    </w:rPr>
  </w:style>
  <w:style w:type="paragraph" w:customStyle="1" w:styleId="xl106">
    <w:name w:val="xl106"/>
    <w:basedOn w:val="Normal"/>
    <w:rsid w:val="006C58CC"/>
    <w:pPr>
      <w:spacing w:before="100" w:beforeAutospacing="1" w:after="100" w:afterAutospacing="1" w:line="240" w:lineRule="auto"/>
      <w:jc w:val="center"/>
    </w:pPr>
    <w:rPr>
      <w:rFonts w:ascii="Arial Narrow" w:eastAsia="Times New Roman" w:hAnsi="Arial Narrow" w:cs="Times New Roman"/>
      <w:b/>
      <w:bCs/>
      <w:sz w:val="24"/>
      <w:szCs w:val="24"/>
      <w:lang w:eastAsia="en-AU"/>
    </w:rPr>
  </w:style>
  <w:style w:type="paragraph" w:customStyle="1" w:styleId="xl107">
    <w:name w:val="xl107"/>
    <w:basedOn w:val="Normal"/>
    <w:rsid w:val="006C58CC"/>
    <w:pPr>
      <w:shd w:val="clear" w:color="000000" w:fill="305496"/>
      <w:spacing w:before="100" w:beforeAutospacing="1" w:after="100" w:afterAutospacing="1" w:line="240" w:lineRule="auto"/>
      <w:jc w:val="center"/>
    </w:pPr>
    <w:rPr>
      <w:rFonts w:ascii="Arial Narrow" w:eastAsia="Times New Roman" w:hAnsi="Arial Narrow" w:cs="Times New Roman"/>
      <w:b/>
      <w:bCs/>
      <w:color w:val="FFFFFF"/>
      <w:sz w:val="28"/>
      <w:szCs w:val="28"/>
      <w:lang w:eastAsia="en-AU"/>
    </w:rPr>
  </w:style>
  <w:style w:type="paragraph" w:customStyle="1" w:styleId="xl108">
    <w:name w:val="xl108"/>
    <w:basedOn w:val="Normal"/>
    <w:rsid w:val="006C58CC"/>
    <w:pPr>
      <w:shd w:val="clear" w:color="000000" w:fill="203764"/>
      <w:spacing w:before="100" w:beforeAutospacing="1" w:after="100" w:afterAutospacing="1" w:line="240" w:lineRule="auto"/>
      <w:jc w:val="center"/>
    </w:pPr>
    <w:rPr>
      <w:rFonts w:ascii="Arial Narrow" w:eastAsia="Times New Roman" w:hAnsi="Arial Narrow" w:cs="Times New Roman"/>
      <w:b/>
      <w:bCs/>
      <w:color w:val="FFFFFF"/>
      <w:sz w:val="28"/>
      <w:szCs w:val="28"/>
      <w:lang w:eastAsia="en-AU"/>
    </w:rPr>
  </w:style>
  <w:style w:type="paragraph" w:customStyle="1" w:styleId="xl109">
    <w:name w:val="xl109"/>
    <w:basedOn w:val="Normal"/>
    <w:rsid w:val="006C58CC"/>
    <w:pPr>
      <w:shd w:val="clear" w:color="000000" w:fill="BDD7EE"/>
      <w:spacing w:before="100" w:beforeAutospacing="1" w:after="100" w:afterAutospacing="1" w:line="240" w:lineRule="auto"/>
      <w:jc w:val="center"/>
    </w:pPr>
    <w:rPr>
      <w:rFonts w:ascii="Arial Narrow" w:eastAsia="Times New Roman" w:hAnsi="Arial Narrow" w:cs="Times New Roman"/>
      <w:sz w:val="24"/>
      <w:szCs w:val="24"/>
      <w:lang w:eastAsia="en-AU"/>
    </w:rPr>
  </w:style>
  <w:style w:type="paragraph" w:customStyle="1" w:styleId="xl110">
    <w:name w:val="xl110"/>
    <w:basedOn w:val="Normal"/>
    <w:rsid w:val="006C58CC"/>
    <w:pPr>
      <w:spacing w:before="100" w:beforeAutospacing="1" w:after="100" w:afterAutospacing="1" w:line="240" w:lineRule="auto"/>
      <w:jc w:val="center"/>
    </w:pPr>
    <w:rPr>
      <w:rFonts w:ascii="Arial Narrow" w:eastAsia="Times New Roman" w:hAnsi="Arial Narrow" w:cs="Times New Roman"/>
      <w:color w:val="FF0000"/>
      <w:sz w:val="18"/>
      <w:szCs w:val="18"/>
      <w:lang w:eastAsia="en-AU"/>
    </w:rPr>
  </w:style>
  <w:style w:type="paragraph" w:customStyle="1" w:styleId="xl111">
    <w:name w:val="xl111"/>
    <w:basedOn w:val="Normal"/>
    <w:rsid w:val="006C58CC"/>
    <w:pPr>
      <w:shd w:val="clear" w:color="000000" w:fill="FCE4D6"/>
      <w:spacing w:before="100" w:beforeAutospacing="1" w:after="100" w:afterAutospacing="1" w:line="240" w:lineRule="auto"/>
      <w:jc w:val="center"/>
    </w:pPr>
    <w:rPr>
      <w:rFonts w:ascii="Arial Narrow" w:eastAsia="Times New Roman" w:hAnsi="Arial Narrow" w:cs="Times New Roman"/>
      <w:b/>
      <w:bCs/>
      <w:sz w:val="24"/>
      <w:szCs w:val="24"/>
      <w:lang w:eastAsia="en-AU"/>
    </w:rPr>
  </w:style>
  <w:style w:type="paragraph" w:customStyle="1" w:styleId="xl112">
    <w:name w:val="xl112"/>
    <w:basedOn w:val="Normal"/>
    <w:rsid w:val="006C58CC"/>
    <w:pPr>
      <w:spacing w:before="100" w:beforeAutospacing="1" w:after="100" w:afterAutospacing="1" w:line="240" w:lineRule="auto"/>
      <w:jc w:val="center"/>
    </w:pPr>
    <w:rPr>
      <w:rFonts w:ascii="Arial Narrow" w:eastAsia="Times New Roman" w:hAnsi="Arial Narrow" w:cs="Times New Roman"/>
      <w:color w:val="FF0000"/>
      <w:sz w:val="24"/>
      <w:szCs w:val="24"/>
      <w:lang w:eastAsia="en-AU"/>
    </w:rPr>
  </w:style>
  <w:style w:type="paragraph" w:customStyle="1" w:styleId="xl113">
    <w:name w:val="xl113"/>
    <w:basedOn w:val="Normal"/>
    <w:rsid w:val="006C58CC"/>
    <w:pPr>
      <w:shd w:val="clear" w:color="000000" w:fill="E2EFDA"/>
      <w:spacing w:before="100" w:beforeAutospacing="1" w:after="100" w:afterAutospacing="1" w:line="240" w:lineRule="auto"/>
      <w:jc w:val="center"/>
    </w:pPr>
    <w:rPr>
      <w:rFonts w:ascii="Arial Narrow" w:eastAsia="Times New Roman" w:hAnsi="Arial Narrow" w:cs="Times New Roman"/>
      <w:i/>
      <w:iCs/>
      <w:sz w:val="24"/>
      <w:szCs w:val="24"/>
      <w:lang w:eastAsia="en-AU"/>
    </w:rPr>
  </w:style>
  <w:style w:type="paragraph" w:customStyle="1" w:styleId="xl114">
    <w:name w:val="xl114"/>
    <w:basedOn w:val="Normal"/>
    <w:rsid w:val="006C58CC"/>
    <w:pPr>
      <w:spacing w:before="100" w:beforeAutospacing="1" w:after="100" w:afterAutospacing="1" w:line="240" w:lineRule="auto"/>
      <w:jc w:val="center"/>
    </w:pPr>
    <w:rPr>
      <w:rFonts w:ascii="Arial Narrow" w:eastAsia="Times New Roman" w:hAnsi="Arial Narrow" w:cs="Times New Roman"/>
      <w:color w:val="00B0F0"/>
      <w:sz w:val="24"/>
      <w:szCs w:val="24"/>
      <w:lang w:eastAsia="en-AU"/>
    </w:rPr>
  </w:style>
  <w:style w:type="paragraph" w:customStyle="1" w:styleId="xl115">
    <w:name w:val="xl115"/>
    <w:basedOn w:val="Normal"/>
    <w:rsid w:val="006C58CC"/>
    <w:pPr>
      <w:shd w:val="clear" w:color="000000" w:fill="FCE4D6"/>
      <w:spacing w:before="100" w:beforeAutospacing="1" w:after="100" w:afterAutospacing="1" w:line="240" w:lineRule="auto"/>
      <w:jc w:val="center"/>
    </w:pPr>
    <w:rPr>
      <w:rFonts w:ascii="Arial Narrow" w:eastAsia="Times New Roman" w:hAnsi="Arial Narrow" w:cs="Times New Roman"/>
      <w:b/>
      <w:bCs/>
      <w:sz w:val="24"/>
      <w:szCs w:val="24"/>
      <w:lang w:eastAsia="en-AU"/>
    </w:rPr>
  </w:style>
  <w:style w:type="paragraph" w:customStyle="1" w:styleId="xl116">
    <w:name w:val="xl116"/>
    <w:basedOn w:val="Normal"/>
    <w:rsid w:val="006C58CC"/>
    <w:pPr>
      <w:shd w:val="clear" w:color="000000" w:fill="BDD7EE"/>
      <w:spacing w:before="100" w:beforeAutospacing="1" w:after="100" w:afterAutospacing="1" w:line="240" w:lineRule="auto"/>
      <w:jc w:val="center"/>
    </w:pPr>
    <w:rPr>
      <w:rFonts w:ascii="Arial Narrow" w:eastAsia="Times New Roman" w:hAnsi="Arial Narrow" w:cs="Times New Roman"/>
      <w:b/>
      <w:bCs/>
      <w:sz w:val="24"/>
      <w:szCs w:val="24"/>
      <w:lang w:eastAsia="en-AU"/>
    </w:rPr>
  </w:style>
  <w:style w:type="paragraph" w:customStyle="1" w:styleId="xl117">
    <w:name w:val="xl117"/>
    <w:basedOn w:val="Normal"/>
    <w:rsid w:val="006C58CC"/>
    <w:pPr>
      <w:shd w:val="clear" w:color="000000" w:fill="FCE4D6"/>
      <w:spacing w:before="100" w:beforeAutospacing="1" w:after="100" w:afterAutospacing="1" w:line="240" w:lineRule="auto"/>
      <w:jc w:val="center"/>
    </w:pPr>
    <w:rPr>
      <w:rFonts w:ascii="Arial Narrow" w:eastAsia="Times New Roman" w:hAnsi="Arial Narrow" w:cs="Times New Roman"/>
      <w:b/>
      <w:bCs/>
      <w:sz w:val="24"/>
      <w:szCs w:val="24"/>
      <w:lang w:eastAsia="en-AU"/>
    </w:rPr>
  </w:style>
  <w:style w:type="paragraph" w:customStyle="1" w:styleId="xl118">
    <w:name w:val="xl118"/>
    <w:basedOn w:val="Normal"/>
    <w:rsid w:val="006C58CC"/>
    <w:pPr>
      <w:spacing w:before="100" w:beforeAutospacing="1" w:after="100" w:afterAutospacing="1" w:line="240" w:lineRule="auto"/>
    </w:pPr>
    <w:rPr>
      <w:rFonts w:ascii="Arial Narrow" w:eastAsia="Times New Roman" w:hAnsi="Arial Narrow" w:cs="Times New Roman"/>
      <w:color w:val="FF0000"/>
      <w:sz w:val="24"/>
      <w:szCs w:val="24"/>
      <w:lang w:eastAsia="en-AU"/>
    </w:rPr>
  </w:style>
  <w:style w:type="table" w:customStyle="1" w:styleId="TableGrid110">
    <w:name w:val="Table Grid110"/>
    <w:basedOn w:val="TableNormal"/>
    <w:rsid w:val="004242A6"/>
    <w:pPr>
      <w:widowControl w:val="0"/>
      <w:spacing w:after="0" w:line="260" w:lineRule="atLeast"/>
    </w:pPr>
    <w:rPr>
      <w:rFonts w:ascii="Arial Narrow" w:eastAsia="Calibri" w:hAnsi="Arial Narrow" w:cs="Times New Roman"/>
      <w:sz w:val="20"/>
      <w:szCs w:val="20"/>
      <w:lang w:val="de-CH"/>
    </w:rPr>
    <w:tblPr>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sz w:val="20"/>
      </w:rPr>
      <w:tblPr/>
      <w:tcPr>
        <w:shd w:val="clear" w:color="auto" w:fill="D9D9D9"/>
      </w:tcPr>
    </w:tblStylePr>
    <w:tblStylePr w:type="lastRow">
      <w:rPr>
        <w:sz w:val="20"/>
      </w:rPr>
    </w:tblStylePr>
    <w:tblStylePr w:type="band1Vert">
      <w:rPr>
        <w:rFonts w:ascii="Arial Narrow" w:hAnsi="Arial Narrow"/>
        <w:sz w:val="20"/>
      </w:rPr>
    </w:tblStylePr>
    <w:tblStylePr w:type="band2Vert">
      <w:rPr>
        <w:rFonts w:ascii="Arial Narrow" w:hAnsi="Arial Narrow"/>
        <w:sz w:val="20"/>
      </w:rPr>
    </w:tblStylePr>
  </w:style>
  <w:style w:type="character" w:styleId="Mention">
    <w:name w:val="Mention"/>
    <w:basedOn w:val="DefaultParagraphFont"/>
    <w:uiPriority w:val="99"/>
    <w:unhideWhenUsed/>
    <w:rsid w:val="00544899"/>
    <w:rPr>
      <w:color w:val="2B579A"/>
      <w:shd w:val="clear" w:color="auto" w:fill="E1DFDD"/>
    </w:rPr>
  </w:style>
  <w:style w:type="character" w:customStyle="1" w:styleId="Heading6Char">
    <w:name w:val="Heading 6 Char"/>
    <w:basedOn w:val="DefaultParagraphFont"/>
    <w:link w:val="Heading6"/>
    <w:uiPriority w:val="9"/>
    <w:rsid w:val="001147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147A7"/>
    <w:rPr>
      <w:rFonts w:asciiTheme="majorHAnsi" w:eastAsiaTheme="majorEastAsia" w:hAnsiTheme="majorHAnsi" w:cstheme="majorBidi"/>
      <w:i/>
      <w:iCs/>
      <w:color w:val="1F4D78" w:themeColor="accent1" w:themeShade="7F"/>
    </w:rPr>
  </w:style>
  <w:style w:type="paragraph" w:customStyle="1" w:styleId="xl119">
    <w:name w:val="xl119"/>
    <w:basedOn w:val="Normal"/>
    <w:rsid w:val="001147A7"/>
    <w:pPr>
      <w:shd w:val="clear" w:color="000000" w:fill="FCE4D6"/>
      <w:spacing w:before="100" w:beforeAutospacing="1" w:after="100" w:afterAutospacing="1" w:line="240" w:lineRule="auto"/>
      <w:jc w:val="center"/>
    </w:pPr>
    <w:rPr>
      <w:rFonts w:ascii="Arial Narrow" w:eastAsia="Times New Roman" w:hAnsi="Arial Narrow" w:cs="Times New Roman"/>
      <w:b/>
      <w:bCs/>
      <w:color w:val="FFFFFF"/>
      <w:sz w:val="24"/>
      <w:szCs w:val="24"/>
      <w:lang w:eastAsia="en-AU"/>
      <w14:ligatures w14:val="standardContextual"/>
    </w:rPr>
  </w:style>
  <w:style w:type="paragraph" w:customStyle="1" w:styleId="xl120">
    <w:name w:val="xl120"/>
    <w:basedOn w:val="Normal"/>
    <w:rsid w:val="001147A7"/>
    <w:pPr>
      <w:shd w:val="clear" w:color="000000" w:fill="FCE4D6"/>
      <w:spacing w:before="100" w:beforeAutospacing="1" w:after="100" w:afterAutospacing="1" w:line="240" w:lineRule="auto"/>
      <w:jc w:val="center"/>
    </w:pPr>
    <w:rPr>
      <w:rFonts w:ascii="Arial Narrow" w:eastAsia="Times New Roman" w:hAnsi="Arial Narrow" w:cs="Times New Roman"/>
      <w:color w:val="FFFFFF"/>
      <w:sz w:val="24"/>
      <w:szCs w:val="24"/>
      <w:lang w:eastAsia="en-AU"/>
      <w14:ligatures w14:val="standardContextual"/>
    </w:rPr>
  </w:style>
  <w:style w:type="paragraph" w:customStyle="1" w:styleId="xl121">
    <w:name w:val="xl121"/>
    <w:basedOn w:val="Normal"/>
    <w:rsid w:val="001147A7"/>
    <w:pPr>
      <w:pBdr>
        <w:left w:val="single" w:sz="8" w:space="0" w:color="auto"/>
        <w:right w:val="single" w:sz="8" w:space="0" w:color="auto"/>
      </w:pBdr>
      <w:shd w:val="clear" w:color="000000" w:fill="FCE4D6"/>
      <w:spacing w:before="100" w:beforeAutospacing="1" w:after="100" w:afterAutospacing="1" w:line="240" w:lineRule="auto"/>
      <w:jc w:val="center"/>
    </w:pPr>
    <w:rPr>
      <w:rFonts w:ascii="Arial Narrow" w:eastAsia="Times New Roman" w:hAnsi="Arial Narrow" w:cs="Times New Roman"/>
      <w:color w:val="FFFFFF"/>
      <w:sz w:val="24"/>
      <w:szCs w:val="24"/>
      <w:lang w:eastAsia="en-AU"/>
      <w14:ligatures w14:val="standardContextual"/>
    </w:rPr>
  </w:style>
  <w:style w:type="paragraph" w:customStyle="1" w:styleId="xl122">
    <w:name w:val="xl122"/>
    <w:basedOn w:val="Normal"/>
    <w:rsid w:val="001147A7"/>
    <w:pPr>
      <w:shd w:val="clear" w:color="000000" w:fill="FCE4D6"/>
      <w:spacing w:before="100" w:beforeAutospacing="1" w:after="100" w:afterAutospacing="1" w:line="240" w:lineRule="auto"/>
    </w:pPr>
    <w:rPr>
      <w:rFonts w:ascii="Arial Narrow" w:eastAsia="Times New Roman" w:hAnsi="Arial Narrow" w:cs="Times New Roman"/>
      <w:b/>
      <w:bCs/>
      <w:sz w:val="24"/>
      <w:szCs w:val="24"/>
      <w:lang w:eastAsia="en-AU"/>
      <w14:ligatures w14:val="standardContextual"/>
    </w:rPr>
  </w:style>
  <w:style w:type="paragraph" w:customStyle="1" w:styleId="xl123">
    <w:name w:val="xl123"/>
    <w:basedOn w:val="Normal"/>
    <w:rsid w:val="001147A7"/>
    <w:pPr>
      <w:shd w:val="clear" w:color="000000" w:fill="833C0C"/>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n-AU"/>
      <w14:ligatures w14:val="standardContextual"/>
    </w:rPr>
  </w:style>
  <w:style w:type="paragraph" w:customStyle="1" w:styleId="xl124">
    <w:name w:val="xl124"/>
    <w:basedOn w:val="Normal"/>
    <w:rsid w:val="001147A7"/>
    <w:pPr>
      <w:shd w:val="clear" w:color="000000" w:fill="833C0C"/>
      <w:spacing w:before="100" w:beforeAutospacing="1" w:after="100" w:afterAutospacing="1" w:line="240" w:lineRule="auto"/>
      <w:textAlignment w:val="center"/>
    </w:pPr>
    <w:rPr>
      <w:rFonts w:ascii="Arial Narrow" w:eastAsia="Times New Roman" w:hAnsi="Arial Narrow" w:cs="Times New Roman"/>
      <w:b/>
      <w:bCs/>
      <w:color w:val="FFFFFF"/>
      <w:sz w:val="24"/>
      <w:szCs w:val="24"/>
      <w:lang w:eastAsia="en-AU"/>
      <w14:ligatures w14:val="standardContextual"/>
    </w:rPr>
  </w:style>
  <w:style w:type="paragraph" w:customStyle="1" w:styleId="xl125">
    <w:name w:val="xl125"/>
    <w:basedOn w:val="Normal"/>
    <w:rsid w:val="001147A7"/>
    <w:pPr>
      <w:shd w:val="clear" w:color="000000" w:fill="833C0C"/>
      <w:spacing w:before="100" w:beforeAutospacing="1" w:after="100" w:afterAutospacing="1" w:line="240" w:lineRule="auto"/>
      <w:textAlignment w:val="center"/>
    </w:pPr>
    <w:rPr>
      <w:rFonts w:ascii="Arial Narrow" w:eastAsia="Times New Roman" w:hAnsi="Arial Narrow" w:cs="Times New Roman"/>
      <w:b/>
      <w:bCs/>
      <w:color w:val="FFFFFF"/>
      <w:sz w:val="24"/>
      <w:szCs w:val="24"/>
      <w:lang w:eastAsia="en-AU"/>
      <w14:ligatures w14:val="standardContextual"/>
    </w:rPr>
  </w:style>
  <w:style w:type="paragraph" w:customStyle="1" w:styleId="xl126">
    <w:name w:val="xl126"/>
    <w:basedOn w:val="Normal"/>
    <w:rsid w:val="001147A7"/>
    <w:pP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lang w:eastAsia="en-AU"/>
      <w14:ligatures w14:val="standardContextual"/>
    </w:rPr>
  </w:style>
  <w:style w:type="paragraph" w:customStyle="1" w:styleId="xl127">
    <w:name w:val="xl127"/>
    <w:basedOn w:val="Normal"/>
    <w:rsid w:val="001147A7"/>
    <w:pPr>
      <w:pBdr>
        <w:left w:val="single" w:sz="8" w:space="0" w:color="auto"/>
        <w:right w:val="single" w:sz="8" w:space="0" w:color="auto"/>
      </w:pBdr>
      <w:shd w:val="clear" w:color="000000" w:fill="833C0C"/>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n-AU"/>
      <w14:ligatures w14:val="standardContextual"/>
    </w:rPr>
  </w:style>
  <w:style w:type="paragraph" w:customStyle="1" w:styleId="xl128">
    <w:name w:val="xl128"/>
    <w:basedOn w:val="Normal"/>
    <w:rsid w:val="001147A7"/>
    <w:pPr>
      <w:shd w:val="clear" w:color="000000" w:fill="833C0C"/>
      <w:spacing w:before="100" w:beforeAutospacing="1" w:after="100" w:afterAutospacing="1" w:line="240" w:lineRule="auto"/>
      <w:textAlignment w:val="center"/>
    </w:pPr>
    <w:rPr>
      <w:rFonts w:ascii="Arial Narrow" w:eastAsia="Times New Roman" w:hAnsi="Arial Narrow" w:cs="Times New Roman"/>
      <w:b/>
      <w:bCs/>
      <w:color w:val="FFFFFF"/>
      <w:sz w:val="24"/>
      <w:szCs w:val="24"/>
      <w:lang w:eastAsia="en-AU"/>
      <w14:ligatures w14:val="standardContextual"/>
    </w:rPr>
  </w:style>
  <w:style w:type="paragraph" w:customStyle="1" w:styleId="xl129">
    <w:name w:val="xl129"/>
    <w:basedOn w:val="Normal"/>
    <w:rsid w:val="001147A7"/>
    <w:pP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lang w:eastAsia="en-AU"/>
      <w14:ligatures w14:val="standardContextual"/>
    </w:rPr>
  </w:style>
  <w:style w:type="paragraph" w:customStyle="1" w:styleId="xl130">
    <w:name w:val="xl130"/>
    <w:basedOn w:val="Normal"/>
    <w:rsid w:val="001147A7"/>
    <w:pPr>
      <w:shd w:val="clear" w:color="000000" w:fill="833C0C"/>
      <w:spacing w:before="100" w:beforeAutospacing="1" w:after="100" w:afterAutospacing="1" w:line="240" w:lineRule="auto"/>
      <w:textAlignment w:val="center"/>
    </w:pPr>
    <w:rPr>
      <w:rFonts w:ascii="Arial Narrow" w:eastAsia="Times New Roman" w:hAnsi="Arial Narrow" w:cs="Times New Roman"/>
      <w:b/>
      <w:bCs/>
      <w:color w:val="FFFFFF"/>
      <w:sz w:val="24"/>
      <w:szCs w:val="24"/>
      <w:lang w:eastAsia="en-AU"/>
      <w14:ligatures w14:val="standardContextual"/>
    </w:rPr>
  </w:style>
  <w:style w:type="paragraph" w:customStyle="1" w:styleId="xl131">
    <w:name w:val="xl131"/>
    <w:basedOn w:val="Normal"/>
    <w:rsid w:val="001147A7"/>
    <w:pPr>
      <w:shd w:val="clear" w:color="000000" w:fill="833C0C"/>
      <w:spacing w:before="100" w:beforeAutospacing="1" w:after="100" w:afterAutospacing="1" w:line="240" w:lineRule="auto"/>
      <w:textAlignment w:val="center"/>
    </w:pPr>
    <w:rPr>
      <w:rFonts w:ascii="Arial Narrow" w:eastAsia="Times New Roman" w:hAnsi="Arial Narrow" w:cs="Times New Roman"/>
      <w:color w:val="FFFFFF"/>
      <w:sz w:val="24"/>
      <w:szCs w:val="24"/>
      <w:lang w:eastAsia="en-AU"/>
      <w14:ligatures w14:val="standardContextual"/>
    </w:rPr>
  </w:style>
  <w:style w:type="paragraph" w:customStyle="1" w:styleId="xl132">
    <w:name w:val="xl132"/>
    <w:basedOn w:val="Normal"/>
    <w:rsid w:val="001147A7"/>
    <w:pPr>
      <w:pBdr>
        <w:right w:val="single" w:sz="8" w:space="0" w:color="auto"/>
      </w:pBdr>
      <w:shd w:val="clear" w:color="000000" w:fill="203764"/>
      <w:spacing w:before="100" w:beforeAutospacing="1" w:after="100" w:afterAutospacing="1" w:line="240" w:lineRule="auto"/>
      <w:jc w:val="center"/>
    </w:pPr>
    <w:rPr>
      <w:rFonts w:ascii="Arial Narrow" w:eastAsia="Times New Roman" w:hAnsi="Arial Narrow" w:cs="Times New Roman"/>
      <w:b/>
      <w:bCs/>
      <w:color w:val="FFFFFF"/>
      <w:sz w:val="28"/>
      <w:szCs w:val="28"/>
      <w:lang w:eastAsia="en-AU"/>
      <w14:ligatures w14:val="standardContextual"/>
    </w:rPr>
  </w:style>
  <w:style w:type="paragraph" w:customStyle="1" w:styleId="xl133">
    <w:name w:val="xl133"/>
    <w:basedOn w:val="Normal"/>
    <w:rsid w:val="001147A7"/>
    <w:pPr>
      <w:shd w:val="clear" w:color="000000" w:fill="203764"/>
      <w:spacing w:before="100" w:beforeAutospacing="1" w:after="100" w:afterAutospacing="1" w:line="240" w:lineRule="auto"/>
    </w:pPr>
    <w:rPr>
      <w:rFonts w:ascii="Arial Narrow" w:eastAsia="Times New Roman" w:hAnsi="Arial Narrow" w:cs="Times New Roman"/>
      <w:color w:val="FFFFFF"/>
      <w:sz w:val="24"/>
      <w:szCs w:val="24"/>
      <w:lang w:eastAsia="en-AU"/>
      <w14:ligatures w14:val="standardContextual"/>
    </w:rPr>
  </w:style>
  <w:style w:type="paragraph" w:customStyle="1" w:styleId="xl134">
    <w:name w:val="xl134"/>
    <w:basedOn w:val="Normal"/>
    <w:rsid w:val="001147A7"/>
    <w:pPr>
      <w:spacing w:before="100" w:beforeAutospacing="1" w:after="100" w:afterAutospacing="1" w:line="240" w:lineRule="auto"/>
    </w:pPr>
    <w:rPr>
      <w:rFonts w:ascii="Arial Narrow" w:eastAsia="Times New Roman" w:hAnsi="Arial Narrow" w:cs="Times New Roman"/>
      <w:b/>
      <w:bCs/>
      <w:sz w:val="24"/>
      <w:szCs w:val="24"/>
      <w:lang w:eastAsia="en-AU"/>
      <w14:ligatures w14:val="standardContextual"/>
    </w:rPr>
  </w:style>
  <w:style w:type="paragraph" w:customStyle="1" w:styleId="xl135">
    <w:name w:val="xl135"/>
    <w:basedOn w:val="Normal"/>
    <w:rsid w:val="001147A7"/>
    <w:pPr>
      <w:shd w:val="clear" w:color="000000" w:fill="F4B084"/>
      <w:spacing w:before="100" w:beforeAutospacing="1" w:after="100" w:afterAutospacing="1" w:line="240" w:lineRule="auto"/>
    </w:pPr>
    <w:rPr>
      <w:rFonts w:ascii="Arial Narrow" w:eastAsia="Times New Roman" w:hAnsi="Arial Narrow" w:cs="Times New Roman"/>
      <w:b/>
      <w:bCs/>
      <w:sz w:val="24"/>
      <w:szCs w:val="24"/>
      <w:lang w:eastAsia="en-AU"/>
      <w14:ligatures w14:val="standardContextual"/>
    </w:rPr>
  </w:style>
  <w:style w:type="paragraph" w:customStyle="1" w:styleId="xl136">
    <w:name w:val="xl136"/>
    <w:basedOn w:val="Normal"/>
    <w:rsid w:val="001147A7"/>
    <w:pPr>
      <w:spacing w:before="100" w:beforeAutospacing="1" w:after="100" w:afterAutospacing="1" w:line="240" w:lineRule="auto"/>
    </w:pPr>
    <w:rPr>
      <w:rFonts w:ascii="Arial Narrow" w:eastAsia="Times New Roman" w:hAnsi="Arial Narrow" w:cs="Times New Roman"/>
      <w:color w:val="FF0000"/>
      <w:sz w:val="18"/>
      <w:szCs w:val="18"/>
      <w:lang w:eastAsia="en-AU"/>
      <w14:ligatures w14:val="standardContextual"/>
    </w:rPr>
  </w:style>
  <w:style w:type="paragraph" w:customStyle="1" w:styleId="xl137">
    <w:name w:val="xl137"/>
    <w:basedOn w:val="Normal"/>
    <w:rsid w:val="001147A7"/>
    <w:pPr>
      <w:shd w:val="clear" w:color="000000" w:fill="E2EFDA"/>
      <w:spacing w:before="100" w:beforeAutospacing="1" w:after="100" w:afterAutospacing="1" w:line="240" w:lineRule="auto"/>
    </w:pPr>
    <w:rPr>
      <w:rFonts w:ascii="Arial Narrow" w:eastAsia="Times New Roman" w:hAnsi="Arial Narrow" w:cs="Times New Roman"/>
      <w:sz w:val="24"/>
      <w:szCs w:val="24"/>
      <w:lang w:eastAsia="en-AU"/>
      <w14:ligatures w14:val="standardContextual"/>
    </w:rPr>
  </w:style>
  <w:style w:type="paragraph" w:customStyle="1" w:styleId="xl138">
    <w:name w:val="xl138"/>
    <w:basedOn w:val="Normal"/>
    <w:rsid w:val="001147A7"/>
    <w:pPr>
      <w:shd w:val="clear" w:color="000000" w:fill="FCE4D6"/>
      <w:spacing w:before="100" w:beforeAutospacing="1" w:after="100" w:afterAutospacing="1" w:line="240" w:lineRule="auto"/>
    </w:pPr>
    <w:rPr>
      <w:rFonts w:ascii="Arial Narrow" w:eastAsia="Times New Roman" w:hAnsi="Arial Narrow" w:cs="Times New Roman"/>
      <w:color w:val="FFFFFF"/>
      <w:sz w:val="24"/>
      <w:szCs w:val="24"/>
      <w:lang w:eastAsia="en-AU"/>
      <w14:ligatures w14:val="standardContextual"/>
    </w:rPr>
  </w:style>
  <w:style w:type="paragraph" w:customStyle="1" w:styleId="xl139">
    <w:name w:val="xl139"/>
    <w:basedOn w:val="Normal"/>
    <w:rsid w:val="001147A7"/>
    <w:pPr>
      <w:shd w:val="clear" w:color="000000" w:fill="F4B084"/>
      <w:spacing w:before="100" w:beforeAutospacing="1" w:after="100" w:afterAutospacing="1" w:line="240" w:lineRule="auto"/>
    </w:pPr>
    <w:rPr>
      <w:rFonts w:ascii="Arial Narrow" w:eastAsia="Times New Roman" w:hAnsi="Arial Narrow" w:cs="Times New Roman"/>
      <w:b/>
      <w:bCs/>
      <w:sz w:val="24"/>
      <w:szCs w:val="24"/>
      <w:lang w:eastAsia="en-AU"/>
      <w14:ligatures w14:val="standardContextual"/>
    </w:rPr>
  </w:style>
  <w:style w:type="paragraph" w:customStyle="1" w:styleId="xl140">
    <w:name w:val="xl140"/>
    <w:basedOn w:val="Normal"/>
    <w:rsid w:val="001147A7"/>
    <w:pPr>
      <w:shd w:val="clear" w:color="000000" w:fill="BDD7EE"/>
      <w:spacing w:before="100" w:beforeAutospacing="1" w:after="100" w:afterAutospacing="1" w:line="240" w:lineRule="auto"/>
    </w:pPr>
    <w:rPr>
      <w:rFonts w:ascii="Arial Narrow" w:eastAsia="Times New Roman" w:hAnsi="Arial Narrow" w:cs="Times New Roman"/>
      <w:sz w:val="24"/>
      <w:szCs w:val="24"/>
      <w:lang w:eastAsia="en-AU"/>
      <w14:ligatures w14:val="standardContextual"/>
    </w:rPr>
  </w:style>
  <w:style w:type="paragraph" w:customStyle="1" w:styleId="xl141">
    <w:name w:val="xl141"/>
    <w:basedOn w:val="Normal"/>
    <w:rsid w:val="001147A7"/>
    <w:pPr>
      <w:shd w:val="clear" w:color="000000" w:fill="833C0C"/>
      <w:spacing w:before="100" w:beforeAutospacing="1" w:after="100" w:afterAutospacing="1" w:line="240" w:lineRule="auto"/>
      <w:textAlignment w:val="center"/>
    </w:pPr>
    <w:rPr>
      <w:rFonts w:ascii="Arial Narrow" w:eastAsia="Times New Roman" w:hAnsi="Arial Narrow" w:cs="Times New Roman"/>
      <w:b/>
      <w:bCs/>
      <w:color w:val="FFFFFF"/>
      <w:sz w:val="24"/>
      <w:szCs w:val="24"/>
      <w:lang w:eastAsia="en-AU"/>
      <w14:ligatures w14:val="standardContextual"/>
    </w:rPr>
  </w:style>
  <w:style w:type="paragraph" w:customStyle="1" w:styleId="xl142">
    <w:name w:val="xl142"/>
    <w:basedOn w:val="Normal"/>
    <w:rsid w:val="001147A7"/>
    <w:pPr>
      <w:shd w:val="clear" w:color="000000" w:fill="E2EFDA"/>
      <w:spacing w:before="100" w:beforeAutospacing="1" w:after="100" w:afterAutospacing="1" w:line="240" w:lineRule="auto"/>
    </w:pPr>
    <w:rPr>
      <w:rFonts w:ascii="Arial Narrow" w:eastAsia="Times New Roman" w:hAnsi="Arial Narrow" w:cs="Times New Roman"/>
      <w:sz w:val="24"/>
      <w:szCs w:val="24"/>
      <w:lang w:eastAsia="en-AU"/>
      <w14:ligatures w14:val="standardContextual"/>
    </w:rPr>
  </w:style>
  <w:style w:type="paragraph" w:customStyle="1" w:styleId="xl143">
    <w:name w:val="xl143"/>
    <w:basedOn w:val="Normal"/>
    <w:rsid w:val="001147A7"/>
    <w:pPr>
      <w:shd w:val="clear" w:color="000000" w:fill="E2EFDA"/>
      <w:spacing w:before="100" w:beforeAutospacing="1" w:after="100" w:afterAutospacing="1" w:line="240" w:lineRule="auto"/>
      <w:jc w:val="center"/>
    </w:pPr>
    <w:rPr>
      <w:rFonts w:ascii="Arial Narrow" w:eastAsia="Times New Roman" w:hAnsi="Arial Narrow" w:cs="Times New Roman"/>
      <w:sz w:val="24"/>
      <w:szCs w:val="24"/>
      <w:lang w:eastAsia="en-AU"/>
      <w14:ligatures w14:val="standardContextual"/>
    </w:rPr>
  </w:style>
  <w:style w:type="paragraph" w:customStyle="1" w:styleId="xl144">
    <w:name w:val="xl144"/>
    <w:basedOn w:val="Normal"/>
    <w:rsid w:val="001147A7"/>
    <w:pPr>
      <w:shd w:val="clear" w:color="000000" w:fill="F4B084"/>
      <w:spacing w:before="100" w:beforeAutospacing="1" w:after="100" w:afterAutospacing="1" w:line="240" w:lineRule="auto"/>
      <w:textAlignment w:val="center"/>
    </w:pPr>
    <w:rPr>
      <w:rFonts w:ascii="Arial Narrow" w:eastAsia="Times New Roman" w:hAnsi="Arial Narrow" w:cs="Times New Roman"/>
      <w:b/>
      <w:bCs/>
      <w:sz w:val="24"/>
      <w:szCs w:val="24"/>
      <w:lang w:eastAsia="en-AU"/>
      <w14:ligatures w14:val="standardContextual"/>
    </w:rPr>
  </w:style>
  <w:style w:type="table" w:styleId="PlainTable2">
    <w:name w:val="Plain Table 2"/>
    <w:basedOn w:val="TableNormal"/>
    <w:uiPriority w:val="42"/>
    <w:rsid w:val="001147A7"/>
    <w:pPr>
      <w:spacing w:after="0" w:line="240" w:lineRule="auto"/>
    </w:pPr>
    <w:rPr>
      <w:rFonts w:ascii="Times New Roman" w:eastAsia="Times New Roman" w:hAnsi="Times New Roman" w:cs="Times New Roman"/>
      <w:sz w:val="20"/>
      <w:szCs w:val="20"/>
      <w:lang w:val="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FE08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E080F"/>
  </w:style>
  <w:style w:type="character" w:customStyle="1" w:styleId="tabchar">
    <w:name w:val="tabchar"/>
    <w:basedOn w:val="DefaultParagraphFont"/>
    <w:rsid w:val="00FE080F"/>
  </w:style>
  <w:style w:type="character" w:customStyle="1" w:styleId="eop">
    <w:name w:val="eop"/>
    <w:basedOn w:val="DefaultParagraphFont"/>
    <w:rsid w:val="00FE080F"/>
  </w:style>
  <w:style w:type="character" w:customStyle="1" w:styleId="scxw9167894">
    <w:name w:val="scxw9167894"/>
    <w:basedOn w:val="DefaultParagraphFont"/>
    <w:rsid w:val="00FE080F"/>
  </w:style>
  <w:style w:type="table" w:customStyle="1" w:styleId="HealthConsult1">
    <w:name w:val="HealthConsult1"/>
    <w:basedOn w:val="TableNormal"/>
    <w:next w:val="TableGrid"/>
    <w:uiPriority w:val="59"/>
    <w:rsid w:val="00DC1DCB"/>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A15B4C"/>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5B4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i-provider">
    <w:name w:val="ui-provider"/>
    <w:basedOn w:val="DefaultParagraphFont"/>
    <w:rsid w:val="00CC1969"/>
  </w:style>
  <w:style w:type="paragraph" w:customStyle="1" w:styleId="EndNoteBibliographyTitle">
    <w:name w:val="EndNote Bibliography Title"/>
    <w:basedOn w:val="Normal"/>
    <w:link w:val="EndNoteBibliographyTitleChar"/>
    <w:rsid w:val="00BE72F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E72F0"/>
    <w:rPr>
      <w:rFonts w:ascii="Franklin Gothic Book" w:hAnsi="Franklin Gothic Book"/>
      <w:noProof/>
      <w:lang w:val="en-US"/>
    </w:rPr>
  </w:style>
  <w:style w:type="paragraph" w:customStyle="1" w:styleId="EndNoteBibliography">
    <w:name w:val="EndNote Bibliography"/>
    <w:basedOn w:val="Normal"/>
    <w:link w:val="EndNoteBibliographyChar"/>
    <w:rsid w:val="00BE72F0"/>
    <w:pPr>
      <w:spacing w:line="240" w:lineRule="auto"/>
    </w:pPr>
    <w:rPr>
      <w:noProof/>
      <w:lang w:val="en-US"/>
    </w:rPr>
  </w:style>
  <w:style w:type="character" w:customStyle="1" w:styleId="EndNoteBibliographyChar">
    <w:name w:val="EndNote Bibliography Char"/>
    <w:basedOn w:val="DefaultParagraphFont"/>
    <w:link w:val="EndNoteBibliography"/>
    <w:rsid w:val="00BE72F0"/>
    <w:rPr>
      <w:rFonts w:ascii="Franklin Gothic Book" w:hAnsi="Franklin Gothic Book"/>
      <w:noProof/>
      <w:lang w:val="en-US"/>
    </w:rPr>
  </w:style>
  <w:style w:type="paragraph" w:customStyle="1" w:styleId="Default">
    <w:name w:val="Default"/>
    <w:rsid w:val="00472B21"/>
    <w:pPr>
      <w:autoSpaceDE w:val="0"/>
      <w:autoSpaceDN w:val="0"/>
      <w:adjustRightInd w:val="0"/>
      <w:spacing w:after="0" w:line="240" w:lineRule="auto"/>
    </w:pPr>
    <w:rPr>
      <w:rFonts w:ascii="Calibri" w:hAnsi="Calibri" w:cs="Calibri"/>
      <w:color w:val="000000"/>
      <w:sz w:val="24"/>
      <w:szCs w:val="24"/>
    </w:rPr>
  </w:style>
  <w:style w:type="paragraph" w:customStyle="1" w:styleId="ExecSummHeader1">
    <w:name w:val="Exec Summ Header 1"/>
    <w:basedOn w:val="Heading1"/>
    <w:link w:val="ExecSummHeader1Char"/>
    <w:qFormat/>
    <w:rsid w:val="00F22F40"/>
    <w:pPr>
      <w:numPr>
        <w:numId w:val="0"/>
      </w:numPr>
      <w:ind w:left="357" w:hanging="357"/>
    </w:pPr>
  </w:style>
  <w:style w:type="character" w:customStyle="1" w:styleId="ExecSummHeader1Char">
    <w:name w:val="Exec Summ Header 1 Char"/>
    <w:basedOn w:val="Heading1Char"/>
    <w:link w:val="ExecSummHeader1"/>
    <w:rsid w:val="00F22F40"/>
    <w:rPr>
      <w:rFonts w:ascii="Franklin Gothic Medium" w:eastAsiaTheme="majorEastAsia" w:hAnsi="Franklin Gothic Medium" w:cstheme="majorBidi"/>
      <w:sz w:val="44"/>
      <w:szCs w:val="32"/>
    </w:rPr>
  </w:style>
  <w:style w:type="paragraph" w:customStyle="1" w:styleId="ExecSummaryHeader3">
    <w:name w:val="Exec Summary Header 3"/>
    <w:basedOn w:val="Heading3"/>
    <w:link w:val="ExecSummaryHeader3Char"/>
    <w:qFormat/>
    <w:rsid w:val="00B10E44"/>
    <w:pPr>
      <w:numPr>
        <w:ilvl w:val="0"/>
        <w:numId w:val="0"/>
      </w:numPr>
    </w:pPr>
  </w:style>
  <w:style w:type="character" w:customStyle="1" w:styleId="ExecSummaryHeader3Char">
    <w:name w:val="Exec Summary Header 3 Char"/>
    <w:basedOn w:val="Heading3Char"/>
    <w:link w:val="ExecSummaryHeader3"/>
    <w:rsid w:val="00B10E44"/>
    <w:rPr>
      <w:rFonts w:ascii="Franklin Gothic Medium" w:eastAsiaTheme="majorEastAsia" w:hAnsi="Franklin Gothic Medium" w:cstheme="majorBidi"/>
      <w:sz w:val="24"/>
      <w:szCs w:val="24"/>
    </w:rPr>
  </w:style>
  <w:style w:type="character" w:customStyle="1" w:styleId="Heading8Char">
    <w:name w:val="Heading 8 Char"/>
    <w:basedOn w:val="DefaultParagraphFont"/>
    <w:link w:val="Heading8"/>
    <w:uiPriority w:val="9"/>
    <w:semiHidden/>
    <w:rsid w:val="00523F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3F8A"/>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A7A1E"/>
    <w:pPr>
      <w:tabs>
        <w:tab w:val="left" w:pos="880"/>
        <w:tab w:val="right" w:leader="dot" w:pos="9016"/>
      </w:tabs>
      <w:spacing w:after="100"/>
    </w:pPr>
    <w:rPr>
      <w:rFonts w:ascii="Calibri" w:hAnsi="Calibri"/>
    </w:rPr>
  </w:style>
  <w:style w:type="paragraph" w:styleId="TableofFigures">
    <w:name w:val="table of figures"/>
    <w:basedOn w:val="Normal"/>
    <w:next w:val="Normal"/>
    <w:uiPriority w:val="99"/>
    <w:unhideWhenUsed/>
    <w:rsid w:val="001A7A1E"/>
    <w:pPr>
      <w:spacing w:after="0"/>
      <w:ind w:left="907" w:hanging="907"/>
    </w:pPr>
    <w:rPr>
      <w:rFonts w:ascii="Calibri" w:hAnsi="Calibri"/>
    </w:rPr>
  </w:style>
  <w:style w:type="table" w:customStyle="1" w:styleId="MSACTables">
    <w:name w:val="MSAC Tables"/>
    <w:basedOn w:val="TableNormal"/>
    <w:uiPriority w:val="99"/>
    <w:rsid w:val="00975F60"/>
    <w:pPr>
      <w:spacing w:before="40" w:after="40" w:line="240" w:lineRule="auto"/>
      <w:jc w:val="center"/>
    </w:pPr>
    <w:rPr>
      <w:rFonts w:ascii="Arial Narrow" w:hAnsi="Arial Narrow"/>
      <w:kern w:val="2"/>
      <w:sz w:val="20"/>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Arial Narrow" w:hAnsi="Arial Narrow"/>
        <w:b/>
        <w:sz w:val="20"/>
      </w:rPr>
    </w:tblStylePr>
  </w:style>
  <w:style w:type="paragraph" w:customStyle="1" w:styleId="BulletBeforeDash">
    <w:name w:val="BulletBeforeDash"/>
    <w:basedOn w:val="Normal"/>
    <w:rsid w:val="004A6EEF"/>
    <w:pPr>
      <w:numPr>
        <w:numId w:val="181"/>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4A6EEF"/>
    <w:pPr>
      <w:numPr>
        <w:numId w:val="0"/>
      </w:numPr>
      <w:spacing w:before="0" w:after="240"/>
      <w:ind w:left="720"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4A6EEF"/>
    <w:pPr>
      <w:keepNext/>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4A6EEF"/>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4A6EEF"/>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4A6EEF"/>
    <w:pPr>
      <w:numPr>
        <w:numId w:val="183"/>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oxDash">
    <w:name w:val="BoxDash"/>
    <w:basedOn w:val="BoxBullet"/>
    <w:rsid w:val="004A6EEF"/>
    <w:pPr>
      <w:numPr>
        <w:numId w:val="182"/>
      </w:numPr>
    </w:pPr>
  </w:style>
  <w:style w:type="paragraph" w:styleId="BodyText">
    <w:name w:val="Body Text"/>
    <w:basedOn w:val="Normal"/>
    <w:link w:val="BodyTextChar"/>
    <w:rsid w:val="00BF6554"/>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BF6554"/>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046">
      <w:bodyDiv w:val="1"/>
      <w:marLeft w:val="0"/>
      <w:marRight w:val="0"/>
      <w:marTop w:val="0"/>
      <w:marBottom w:val="0"/>
      <w:divBdr>
        <w:top w:val="none" w:sz="0" w:space="0" w:color="auto"/>
        <w:left w:val="none" w:sz="0" w:space="0" w:color="auto"/>
        <w:bottom w:val="none" w:sz="0" w:space="0" w:color="auto"/>
        <w:right w:val="none" w:sz="0" w:space="0" w:color="auto"/>
      </w:divBdr>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29771620">
      <w:bodyDiv w:val="1"/>
      <w:marLeft w:val="0"/>
      <w:marRight w:val="0"/>
      <w:marTop w:val="0"/>
      <w:marBottom w:val="0"/>
      <w:divBdr>
        <w:top w:val="none" w:sz="0" w:space="0" w:color="auto"/>
        <w:left w:val="none" w:sz="0" w:space="0" w:color="auto"/>
        <w:bottom w:val="none" w:sz="0" w:space="0" w:color="auto"/>
        <w:right w:val="none" w:sz="0" w:space="0" w:color="auto"/>
      </w:divBdr>
    </w:div>
    <w:div w:id="35129380">
      <w:bodyDiv w:val="1"/>
      <w:marLeft w:val="0"/>
      <w:marRight w:val="0"/>
      <w:marTop w:val="0"/>
      <w:marBottom w:val="0"/>
      <w:divBdr>
        <w:top w:val="none" w:sz="0" w:space="0" w:color="auto"/>
        <w:left w:val="none" w:sz="0" w:space="0" w:color="auto"/>
        <w:bottom w:val="none" w:sz="0" w:space="0" w:color="auto"/>
        <w:right w:val="none" w:sz="0" w:space="0" w:color="auto"/>
      </w:divBdr>
    </w:div>
    <w:div w:id="46993329">
      <w:bodyDiv w:val="1"/>
      <w:marLeft w:val="0"/>
      <w:marRight w:val="0"/>
      <w:marTop w:val="0"/>
      <w:marBottom w:val="0"/>
      <w:divBdr>
        <w:top w:val="none" w:sz="0" w:space="0" w:color="auto"/>
        <w:left w:val="none" w:sz="0" w:space="0" w:color="auto"/>
        <w:bottom w:val="none" w:sz="0" w:space="0" w:color="auto"/>
        <w:right w:val="none" w:sz="0" w:space="0" w:color="auto"/>
      </w:divBdr>
    </w:div>
    <w:div w:id="62224091">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86074314">
      <w:bodyDiv w:val="1"/>
      <w:marLeft w:val="0"/>
      <w:marRight w:val="0"/>
      <w:marTop w:val="0"/>
      <w:marBottom w:val="0"/>
      <w:divBdr>
        <w:top w:val="none" w:sz="0" w:space="0" w:color="auto"/>
        <w:left w:val="none" w:sz="0" w:space="0" w:color="auto"/>
        <w:bottom w:val="none" w:sz="0" w:space="0" w:color="auto"/>
        <w:right w:val="none" w:sz="0" w:space="0" w:color="auto"/>
      </w:divBdr>
    </w:div>
    <w:div w:id="102386882">
      <w:bodyDiv w:val="1"/>
      <w:marLeft w:val="0"/>
      <w:marRight w:val="0"/>
      <w:marTop w:val="0"/>
      <w:marBottom w:val="0"/>
      <w:divBdr>
        <w:top w:val="none" w:sz="0" w:space="0" w:color="auto"/>
        <w:left w:val="none" w:sz="0" w:space="0" w:color="auto"/>
        <w:bottom w:val="none" w:sz="0" w:space="0" w:color="auto"/>
        <w:right w:val="none" w:sz="0" w:space="0" w:color="auto"/>
      </w:divBdr>
    </w:div>
    <w:div w:id="114251334">
      <w:bodyDiv w:val="1"/>
      <w:marLeft w:val="0"/>
      <w:marRight w:val="0"/>
      <w:marTop w:val="0"/>
      <w:marBottom w:val="0"/>
      <w:divBdr>
        <w:top w:val="none" w:sz="0" w:space="0" w:color="auto"/>
        <w:left w:val="none" w:sz="0" w:space="0" w:color="auto"/>
        <w:bottom w:val="none" w:sz="0" w:space="0" w:color="auto"/>
        <w:right w:val="none" w:sz="0" w:space="0" w:color="auto"/>
      </w:divBdr>
    </w:div>
    <w:div w:id="129833465">
      <w:bodyDiv w:val="1"/>
      <w:marLeft w:val="0"/>
      <w:marRight w:val="0"/>
      <w:marTop w:val="0"/>
      <w:marBottom w:val="0"/>
      <w:divBdr>
        <w:top w:val="none" w:sz="0" w:space="0" w:color="auto"/>
        <w:left w:val="none" w:sz="0" w:space="0" w:color="auto"/>
        <w:bottom w:val="none" w:sz="0" w:space="0" w:color="auto"/>
        <w:right w:val="none" w:sz="0" w:space="0" w:color="auto"/>
      </w:divBdr>
    </w:div>
    <w:div w:id="143207645">
      <w:bodyDiv w:val="1"/>
      <w:marLeft w:val="0"/>
      <w:marRight w:val="0"/>
      <w:marTop w:val="0"/>
      <w:marBottom w:val="0"/>
      <w:divBdr>
        <w:top w:val="none" w:sz="0" w:space="0" w:color="auto"/>
        <w:left w:val="none" w:sz="0" w:space="0" w:color="auto"/>
        <w:bottom w:val="none" w:sz="0" w:space="0" w:color="auto"/>
        <w:right w:val="none" w:sz="0" w:space="0" w:color="auto"/>
      </w:divBdr>
      <w:divsChild>
        <w:div w:id="10032929">
          <w:marLeft w:val="0"/>
          <w:marRight w:val="0"/>
          <w:marTop w:val="0"/>
          <w:marBottom w:val="0"/>
          <w:divBdr>
            <w:top w:val="none" w:sz="0" w:space="0" w:color="auto"/>
            <w:left w:val="none" w:sz="0" w:space="0" w:color="auto"/>
            <w:bottom w:val="none" w:sz="0" w:space="0" w:color="auto"/>
            <w:right w:val="none" w:sz="0" w:space="0" w:color="auto"/>
          </w:divBdr>
        </w:div>
        <w:div w:id="217936725">
          <w:marLeft w:val="0"/>
          <w:marRight w:val="0"/>
          <w:marTop w:val="0"/>
          <w:marBottom w:val="0"/>
          <w:divBdr>
            <w:top w:val="none" w:sz="0" w:space="0" w:color="auto"/>
            <w:left w:val="none" w:sz="0" w:space="0" w:color="auto"/>
            <w:bottom w:val="none" w:sz="0" w:space="0" w:color="auto"/>
            <w:right w:val="none" w:sz="0" w:space="0" w:color="auto"/>
          </w:divBdr>
        </w:div>
        <w:div w:id="334844404">
          <w:marLeft w:val="0"/>
          <w:marRight w:val="0"/>
          <w:marTop w:val="0"/>
          <w:marBottom w:val="0"/>
          <w:divBdr>
            <w:top w:val="none" w:sz="0" w:space="0" w:color="auto"/>
            <w:left w:val="none" w:sz="0" w:space="0" w:color="auto"/>
            <w:bottom w:val="none" w:sz="0" w:space="0" w:color="auto"/>
            <w:right w:val="none" w:sz="0" w:space="0" w:color="auto"/>
          </w:divBdr>
        </w:div>
        <w:div w:id="433793667">
          <w:marLeft w:val="0"/>
          <w:marRight w:val="0"/>
          <w:marTop w:val="0"/>
          <w:marBottom w:val="0"/>
          <w:divBdr>
            <w:top w:val="none" w:sz="0" w:space="0" w:color="auto"/>
            <w:left w:val="none" w:sz="0" w:space="0" w:color="auto"/>
            <w:bottom w:val="none" w:sz="0" w:space="0" w:color="auto"/>
            <w:right w:val="none" w:sz="0" w:space="0" w:color="auto"/>
          </w:divBdr>
        </w:div>
        <w:div w:id="637225084">
          <w:marLeft w:val="0"/>
          <w:marRight w:val="0"/>
          <w:marTop w:val="0"/>
          <w:marBottom w:val="0"/>
          <w:divBdr>
            <w:top w:val="none" w:sz="0" w:space="0" w:color="auto"/>
            <w:left w:val="none" w:sz="0" w:space="0" w:color="auto"/>
            <w:bottom w:val="none" w:sz="0" w:space="0" w:color="auto"/>
            <w:right w:val="none" w:sz="0" w:space="0" w:color="auto"/>
          </w:divBdr>
        </w:div>
        <w:div w:id="1340044130">
          <w:marLeft w:val="0"/>
          <w:marRight w:val="0"/>
          <w:marTop w:val="0"/>
          <w:marBottom w:val="0"/>
          <w:divBdr>
            <w:top w:val="none" w:sz="0" w:space="0" w:color="auto"/>
            <w:left w:val="none" w:sz="0" w:space="0" w:color="auto"/>
            <w:bottom w:val="none" w:sz="0" w:space="0" w:color="auto"/>
            <w:right w:val="none" w:sz="0" w:space="0" w:color="auto"/>
          </w:divBdr>
        </w:div>
        <w:div w:id="1495729697">
          <w:marLeft w:val="0"/>
          <w:marRight w:val="0"/>
          <w:marTop w:val="0"/>
          <w:marBottom w:val="0"/>
          <w:divBdr>
            <w:top w:val="none" w:sz="0" w:space="0" w:color="auto"/>
            <w:left w:val="none" w:sz="0" w:space="0" w:color="auto"/>
            <w:bottom w:val="none" w:sz="0" w:space="0" w:color="auto"/>
            <w:right w:val="none" w:sz="0" w:space="0" w:color="auto"/>
          </w:divBdr>
        </w:div>
      </w:divsChild>
    </w:div>
    <w:div w:id="159199765">
      <w:bodyDiv w:val="1"/>
      <w:marLeft w:val="0"/>
      <w:marRight w:val="0"/>
      <w:marTop w:val="0"/>
      <w:marBottom w:val="0"/>
      <w:divBdr>
        <w:top w:val="none" w:sz="0" w:space="0" w:color="auto"/>
        <w:left w:val="none" w:sz="0" w:space="0" w:color="auto"/>
        <w:bottom w:val="none" w:sz="0" w:space="0" w:color="auto"/>
        <w:right w:val="none" w:sz="0" w:space="0" w:color="auto"/>
      </w:divBdr>
    </w:div>
    <w:div w:id="168108410">
      <w:bodyDiv w:val="1"/>
      <w:marLeft w:val="0"/>
      <w:marRight w:val="0"/>
      <w:marTop w:val="0"/>
      <w:marBottom w:val="0"/>
      <w:divBdr>
        <w:top w:val="none" w:sz="0" w:space="0" w:color="auto"/>
        <w:left w:val="none" w:sz="0" w:space="0" w:color="auto"/>
        <w:bottom w:val="none" w:sz="0" w:space="0" w:color="auto"/>
        <w:right w:val="none" w:sz="0" w:space="0" w:color="auto"/>
      </w:divBdr>
    </w:div>
    <w:div w:id="173541134">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3054667">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85869047">
      <w:bodyDiv w:val="1"/>
      <w:marLeft w:val="0"/>
      <w:marRight w:val="0"/>
      <w:marTop w:val="0"/>
      <w:marBottom w:val="0"/>
      <w:divBdr>
        <w:top w:val="none" w:sz="0" w:space="0" w:color="auto"/>
        <w:left w:val="none" w:sz="0" w:space="0" w:color="auto"/>
        <w:bottom w:val="none" w:sz="0" w:space="0" w:color="auto"/>
        <w:right w:val="none" w:sz="0" w:space="0" w:color="auto"/>
      </w:divBdr>
    </w:div>
    <w:div w:id="189149578">
      <w:bodyDiv w:val="1"/>
      <w:marLeft w:val="0"/>
      <w:marRight w:val="0"/>
      <w:marTop w:val="0"/>
      <w:marBottom w:val="0"/>
      <w:divBdr>
        <w:top w:val="none" w:sz="0" w:space="0" w:color="auto"/>
        <w:left w:val="none" w:sz="0" w:space="0" w:color="auto"/>
        <w:bottom w:val="none" w:sz="0" w:space="0" w:color="auto"/>
        <w:right w:val="none" w:sz="0" w:space="0" w:color="auto"/>
      </w:divBdr>
    </w:div>
    <w:div w:id="189225746">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15170192">
      <w:bodyDiv w:val="1"/>
      <w:marLeft w:val="0"/>
      <w:marRight w:val="0"/>
      <w:marTop w:val="0"/>
      <w:marBottom w:val="0"/>
      <w:divBdr>
        <w:top w:val="none" w:sz="0" w:space="0" w:color="auto"/>
        <w:left w:val="none" w:sz="0" w:space="0" w:color="auto"/>
        <w:bottom w:val="none" w:sz="0" w:space="0" w:color="auto"/>
        <w:right w:val="none" w:sz="0" w:space="0" w:color="auto"/>
      </w:divBdr>
    </w:div>
    <w:div w:id="224068775">
      <w:bodyDiv w:val="1"/>
      <w:marLeft w:val="0"/>
      <w:marRight w:val="0"/>
      <w:marTop w:val="0"/>
      <w:marBottom w:val="0"/>
      <w:divBdr>
        <w:top w:val="none" w:sz="0" w:space="0" w:color="auto"/>
        <w:left w:val="none" w:sz="0" w:space="0" w:color="auto"/>
        <w:bottom w:val="none" w:sz="0" w:space="0" w:color="auto"/>
        <w:right w:val="none" w:sz="0" w:space="0" w:color="auto"/>
      </w:divBdr>
    </w:div>
    <w:div w:id="231039923">
      <w:bodyDiv w:val="1"/>
      <w:marLeft w:val="0"/>
      <w:marRight w:val="0"/>
      <w:marTop w:val="0"/>
      <w:marBottom w:val="0"/>
      <w:divBdr>
        <w:top w:val="none" w:sz="0" w:space="0" w:color="auto"/>
        <w:left w:val="none" w:sz="0" w:space="0" w:color="auto"/>
        <w:bottom w:val="none" w:sz="0" w:space="0" w:color="auto"/>
        <w:right w:val="none" w:sz="0" w:space="0" w:color="auto"/>
      </w:divBdr>
    </w:div>
    <w:div w:id="236866984">
      <w:bodyDiv w:val="1"/>
      <w:marLeft w:val="0"/>
      <w:marRight w:val="0"/>
      <w:marTop w:val="0"/>
      <w:marBottom w:val="0"/>
      <w:divBdr>
        <w:top w:val="none" w:sz="0" w:space="0" w:color="auto"/>
        <w:left w:val="none" w:sz="0" w:space="0" w:color="auto"/>
        <w:bottom w:val="none" w:sz="0" w:space="0" w:color="auto"/>
        <w:right w:val="none" w:sz="0" w:space="0" w:color="auto"/>
      </w:divBdr>
    </w:div>
    <w:div w:id="237633835">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69358580">
      <w:bodyDiv w:val="1"/>
      <w:marLeft w:val="0"/>
      <w:marRight w:val="0"/>
      <w:marTop w:val="0"/>
      <w:marBottom w:val="0"/>
      <w:divBdr>
        <w:top w:val="none" w:sz="0" w:space="0" w:color="auto"/>
        <w:left w:val="none" w:sz="0" w:space="0" w:color="auto"/>
        <w:bottom w:val="none" w:sz="0" w:space="0" w:color="auto"/>
        <w:right w:val="none" w:sz="0" w:space="0" w:color="auto"/>
      </w:divBdr>
    </w:div>
    <w:div w:id="272637474">
      <w:bodyDiv w:val="1"/>
      <w:marLeft w:val="0"/>
      <w:marRight w:val="0"/>
      <w:marTop w:val="0"/>
      <w:marBottom w:val="0"/>
      <w:divBdr>
        <w:top w:val="none" w:sz="0" w:space="0" w:color="auto"/>
        <w:left w:val="none" w:sz="0" w:space="0" w:color="auto"/>
        <w:bottom w:val="none" w:sz="0" w:space="0" w:color="auto"/>
        <w:right w:val="none" w:sz="0" w:space="0" w:color="auto"/>
      </w:divBdr>
    </w:div>
    <w:div w:id="279339586">
      <w:bodyDiv w:val="1"/>
      <w:marLeft w:val="0"/>
      <w:marRight w:val="0"/>
      <w:marTop w:val="0"/>
      <w:marBottom w:val="0"/>
      <w:divBdr>
        <w:top w:val="none" w:sz="0" w:space="0" w:color="auto"/>
        <w:left w:val="none" w:sz="0" w:space="0" w:color="auto"/>
        <w:bottom w:val="none" w:sz="0" w:space="0" w:color="auto"/>
        <w:right w:val="none" w:sz="0" w:space="0" w:color="auto"/>
      </w:divBdr>
    </w:div>
    <w:div w:id="289479190">
      <w:bodyDiv w:val="1"/>
      <w:marLeft w:val="0"/>
      <w:marRight w:val="0"/>
      <w:marTop w:val="0"/>
      <w:marBottom w:val="0"/>
      <w:divBdr>
        <w:top w:val="none" w:sz="0" w:space="0" w:color="auto"/>
        <w:left w:val="none" w:sz="0" w:space="0" w:color="auto"/>
        <w:bottom w:val="none" w:sz="0" w:space="0" w:color="auto"/>
        <w:right w:val="none" w:sz="0" w:space="0" w:color="auto"/>
      </w:divBdr>
    </w:div>
    <w:div w:id="296641141">
      <w:bodyDiv w:val="1"/>
      <w:marLeft w:val="0"/>
      <w:marRight w:val="0"/>
      <w:marTop w:val="0"/>
      <w:marBottom w:val="0"/>
      <w:divBdr>
        <w:top w:val="none" w:sz="0" w:space="0" w:color="auto"/>
        <w:left w:val="none" w:sz="0" w:space="0" w:color="auto"/>
        <w:bottom w:val="none" w:sz="0" w:space="0" w:color="auto"/>
        <w:right w:val="none" w:sz="0" w:space="0" w:color="auto"/>
      </w:divBdr>
    </w:div>
    <w:div w:id="297539754">
      <w:bodyDiv w:val="1"/>
      <w:marLeft w:val="0"/>
      <w:marRight w:val="0"/>
      <w:marTop w:val="0"/>
      <w:marBottom w:val="0"/>
      <w:divBdr>
        <w:top w:val="none" w:sz="0" w:space="0" w:color="auto"/>
        <w:left w:val="none" w:sz="0" w:space="0" w:color="auto"/>
        <w:bottom w:val="none" w:sz="0" w:space="0" w:color="auto"/>
        <w:right w:val="none" w:sz="0" w:space="0" w:color="auto"/>
      </w:divBdr>
    </w:div>
    <w:div w:id="298153143">
      <w:bodyDiv w:val="1"/>
      <w:marLeft w:val="0"/>
      <w:marRight w:val="0"/>
      <w:marTop w:val="0"/>
      <w:marBottom w:val="0"/>
      <w:divBdr>
        <w:top w:val="none" w:sz="0" w:space="0" w:color="auto"/>
        <w:left w:val="none" w:sz="0" w:space="0" w:color="auto"/>
        <w:bottom w:val="none" w:sz="0" w:space="0" w:color="auto"/>
        <w:right w:val="none" w:sz="0" w:space="0" w:color="auto"/>
      </w:divBdr>
    </w:div>
    <w:div w:id="303585018">
      <w:bodyDiv w:val="1"/>
      <w:marLeft w:val="0"/>
      <w:marRight w:val="0"/>
      <w:marTop w:val="0"/>
      <w:marBottom w:val="0"/>
      <w:divBdr>
        <w:top w:val="none" w:sz="0" w:space="0" w:color="auto"/>
        <w:left w:val="none" w:sz="0" w:space="0" w:color="auto"/>
        <w:bottom w:val="none" w:sz="0" w:space="0" w:color="auto"/>
        <w:right w:val="none" w:sz="0" w:space="0" w:color="auto"/>
      </w:divBdr>
    </w:div>
    <w:div w:id="321658980">
      <w:bodyDiv w:val="1"/>
      <w:marLeft w:val="0"/>
      <w:marRight w:val="0"/>
      <w:marTop w:val="0"/>
      <w:marBottom w:val="0"/>
      <w:divBdr>
        <w:top w:val="none" w:sz="0" w:space="0" w:color="auto"/>
        <w:left w:val="none" w:sz="0" w:space="0" w:color="auto"/>
        <w:bottom w:val="none" w:sz="0" w:space="0" w:color="auto"/>
        <w:right w:val="none" w:sz="0" w:space="0" w:color="auto"/>
      </w:divBdr>
    </w:div>
    <w:div w:id="341667383">
      <w:bodyDiv w:val="1"/>
      <w:marLeft w:val="0"/>
      <w:marRight w:val="0"/>
      <w:marTop w:val="0"/>
      <w:marBottom w:val="0"/>
      <w:divBdr>
        <w:top w:val="none" w:sz="0" w:space="0" w:color="auto"/>
        <w:left w:val="none" w:sz="0" w:space="0" w:color="auto"/>
        <w:bottom w:val="none" w:sz="0" w:space="0" w:color="auto"/>
        <w:right w:val="none" w:sz="0" w:space="0" w:color="auto"/>
      </w:divBdr>
    </w:div>
    <w:div w:id="346445743">
      <w:bodyDiv w:val="1"/>
      <w:marLeft w:val="0"/>
      <w:marRight w:val="0"/>
      <w:marTop w:val="0"/>
      <w:marBottom w:val="0"/>
      <w:divBdr>
        <w:top w:val="none" w:sz="0" w:space="0" w:color="auto"/>
        <w:left w:val="none" w:sz="0" w:space="0" w:color="auto"/>
        <w:bottom w:val="none" w:sz="0" w:space="0" w:color="auto"/>
        <w:right w:val="none" w:sz="0" w:space="0" w:color="auto"/>
      </w:divBdr>
    </w:div>
    <w:div w:id="346568032">
      <w:bodyDiv w:val="1"/>
      <w:marLeft w:val="0"/>
      <w:marRight w:val="0"/>
      <w:marTop w:val="0"/>
      <w:marBottom w:val="0"/>
      <w:divBdr>
        <w:top w:val="none" w:sz="0" w:space="0" w:color="auto"/>
        <w:left w:val="none" w:sz="0" w:space="0" w:color="auto"/>
        <w:bottom w:val="none" w:sz="0" w:space="0" w:color="auto"/>
        <w:right w:val="none" w:sz="0" w:space="0" w:color="auto"/>
      </w:divBdr>
    </w:div>
    <w:div w:id="356350806">
      <w:bodyDiv w:val="1"/>
      <w:marLeft w:val="0"/>
      <w:marRight w:val="0"/>
      <w:marTop w:val="0"/>
      <w:marBottom w:val="0"/>
      <w:divBdr>
        <w:top w:val="none" w:sz="0" w:space="0" w:color="auto"/>
        <w:left w:val="none" w:sz="0" w:space="0" w:color="auto"/>
        <w:bottom w:val="none" w:sz="0" w:space="0" w:color="auto"/>
        <w:right w:val="none" w:sz="0" w:space="0" w:color="auto"/>
      </w:divBdr>
    </w:div>
    <w:div w:id="363096561">
      <w:bodyDiv w:val="1"/>
      <w:marLeft w:val="0"/>
      <w:marRight w:val="0"/>
      <w:marTop w:val="0"/>
      <w:marBottom w:val="0"/>
      <w:divBdr>
        <w:top w:val="none" w:sz="0" w:space="0" w:color="auto"/>
        <w:left w:val="none" w:sz="0" w:space="0" w:color="auto"/>
        <w:bottom w:val="none" w:sz="0" w:space="0" w:color="auto"/>
        <w:right w:val="none" w:sz="0" w:space="0" w:color="auto"/>
      </w:divBdr>
    </w:div>
    <w:div w:id="375004683">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88965111">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393817491">
      <w:bodyDiv w:val="1"/>
      <w:marLeft w:val="0"/>
      <w:marRight w:val="0"/>
      <w:marTop w:val="0"/>
      <w:marBottom w:val="0"/>
      <w:divBdr>
        <w:top w:val="none" w:sz="0" w:space="0" w:color="auto"/>
        <w:left w:val="none" w:sz="0" w:space="0" w:color="auto"/>
        <w:bottom w:val="none" w:sz="0" w:space="0" w:color="auto"/>
        <w:right w:val="none" w:sz="0" w:space="0" w:color="auto"/>
      </w:divBdr>
    </w:div>
    <w:div w:id="395279934">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14937710">
      <w:bodyDiv w:val="1"/>
      <w:marLeft w:val="0"/>
      <w:marRight w:val="0"/>
      <w:marTop w:val="0"/>
      <w:marBottom w:val="0"/>
      <w:divBdr>
        <w:top w:val="none" w:sz="0" w:space="0" w:color="auto"/>
        <w:left w:val="none" w:sz="0" w:space="0" w:color="auto"/>
        <w:bottom w:val="none" w:sz="0" w:space="0" w:color="auto"/>
        <w:right w:val="none" w:sz="0" w:space="0" w:color="auto"/>
      </w:divBdr>
    </w:div>
    <w:div w:id="416637935">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27311443">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54059327">
      <w:bodyDiv w:val="1"/>
      <w:marLeft w:val="0"/>
      <w:marRight w:val="0"/>
      <w:marTop w:val="0"/>
      <w:marBottom w:val="0"/>
      <w:divBdr>
        <w:top w:val="none" w:sz="0" w:space="0" w:color="auto"/>
        <w:left w:val="none" w:sz="0" w:space="0" w:color="auto"/>
        <w:bottom w:val="none" w:sz="0" w:space="0" w:color="auto"/>
        <w:right w:val="none" w:sz="0" w:space="0" w:color="auto"/>
      </w:divBdr>
    </w:div>
    <w:div w:id="466944815">
      <w:bodyDiv w:val="1"/>
      <w:marLeft w:val="0"/>
      <w:marRight w:val="0"/>
      <w:marTop w:val="0"/>
      <w:marBottom w:val="0"/>
      <w:divBdr>
        <w:top w:val="none" w:sz="0" w:space="0" w:color="auto"/>
        <w:left w:val="none" w:sz="0" w:space="0" w:color="auto"/>
        <w:bottom w:val="none" w:sz="0" w:space="0" w:color="auto"/>
        <w:right w:val="none" w:sz="0" w:space="0" w:color="auto"/>
      </w:divBdr>
    </w:div>
    <w:div w:id="467237829">
      <w:bodyDiv w:val="1"/>
      <w:marLeft w:val="0"/>
      <w:marRight w:val="0"/>
      <w:marTop w:val="0"/>
      <w:marBottom w:val="0"/>
      <w:divBdr>
        <w:top w:val="none" w:sz="0" w:space="0" w:color="auto"/>
        <w:left w:val="none" w:sz="0" w:space="0" w:color="auto"/>
        <w:bottom w:val="none" w:sz="0" w:space="0" w:color="auto"/>
        <w:right w:val="none" w:sz="0" w:space="0" w:color="auto"/>
      </w:divBdr>
    </w:div>
    <w:div w:id="468865101">
      <w:bodyDiv w:val="1"/>
      <w:marLeft w:val="0"/>
      <w:marRight w:val="0"/>
      <w:marTop w:val="0"/>
      <w:marBottom w:val="0"/>
      <w:divBdr>
        <w:top w:val="none" w:sz="0" w:space="0" w:color="auto"/>
        <w:left w:val="none" w:sz="0" w:space="0" w:color="auto"/>
        <w:bottom w:val="none" w:sz="0" w:space="0" w:color="auto"/>
        <w:right w:val="none" w:sz="0" w:space="0" w:color="auto"/>
      </w:divBdr>
    </w:div>
    <w:div w:id="472985433">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19659865">
      <w:bodyDiv w:val="1"/>
      <w:marLeft w:val="0"/>
      <w:marRight w:val="0"/>
      <w:marTop w:val="0"/>
      <w:marBottom w:val="0"/>
      <w:divBdr>
        <w:top w:val="none" w:sz="0" w:space="0" w:color="auto"/>
        <w:left w:val="none" w:sz="0" w:space="0" w:color="auto"/>
        <w:bottom w:val="none" w:sz="0" w:space="0" w:color="auto"/>
        <w:right w:val="none" w:sz="0" w:space="0" w:color="auto"/>
      </w:divBdr>
    </w:div>
    <w:div w:id="522981915">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4880801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57740760">
      <w:bodyDiv w:val="1"/>
      <w:marLeft w:val="0"/>
      <w:marRight w:val="0"/>
      <w:marTop w:val="0"/>
      <w:marBottom w:val="0"/>
      <w:divBdr>
        <w:top w:val="none" w:sz="0" w:space="0" w:color="auto"/>
        <w:left w:val="none" w:sz="0" w:space="0" w:color="auto"/>
        <w:bottom w:val="none" w:sz="0" w:space="0" w:color="auto"/>
        <w:right w:val="none" w:sz="0" w:space="0" w:color="auto"/>
      </w:divBdr>
    </w:div>
    <w:div w:id="585457217">
      <w:bodyDiv w:val="1"/>
      <w:marLeft w:val="0"/>
      <w:marRight w:val="0"/>
      <w:marTop w:val="0"/>
      <w:marBottom w:val="0"/>
      <w:divBdr>
        <w:top w:val="none" w:sz="0" w:space="0" w:color="auto"/>
        <w:left w:val="none" w:sz="0" w:space="0" w:color="auto"/>
        <w:bottom w:val="none" w:sz="0" w:space="0" w:color="auto"/>
        <w:right w:val="none" w:sz="0" w:space="0" w:color="auto"/>
      </w:divBdr>
    </w:div>
    <w:div w:id="594552159">
      <w:bodyDiv w:val="1"/>
      <w:marLeft w:val="0"/>
      <w:marRight w:val="0"/>
      <w:marTop w:val="0"/>
      <w:marBottom w:val="0"/>
      <w:divBdr>
        <w:top w:val="none" w:sz="0" w:space="0" w:color="auto"/>
        <w:left w:val="none" w:sz="0" w:space="0" w:color="auto"/>
        <w:bottom w:val="none" w:sz="0" w:space="0" w:color="auto"/>
        <w:right w:val="none" w:sz="0" w:space="0" w:color="auto"/>
      </w:divBdr>
    </w:div>
    <w:div w:id="600450943">
      <w:bodyDiv w:val="1"/>
      <w:marLeft w:val="0"/>
      <w:marRight w:val="0"/>
      <w:marTop w:val="0"/>
      <w:marBottom w:val="0"/>
      <w:divBdr>
        <w:top w:val="none" w:sz="0" w:space="0" w:color="auto"/>
        <w:left w:val="none" w:sz="0" w:space="0" w:color="auto"/>
        <w:bottom w:val="none" w:sz="0" w:space="0" w:color="auto"/>
        <w:right w:val="none" w:sz="0" w:space="0" w:color="auto"/>
      </w:divBdr>
    </w:div>
    <w:div w:id="607010787">
      <w:bodyDiv w:val="1"/>
      <w:marLeft w:val="0"/>
      <w:marRight w:val="0"/>
      <w:marTop w:val="0"/>
      <w:marBottom w:val="0"/>
      <w:divBdr>
        <w:top w:val="none" w:sz="0" w:space="0" w:color="auto"/>
        <w:left w:val="none" w:sz="0" w:space="0" w:color="auto"/>
        <w:bottom w:val="none" w:sz="0" w:space="0" w:color="auto"/>
        <w:right w:val="none" w:sz="0" w:space="0" w:color="auto"/>
      </w:divBdr>
    </w:div>
    <w:div w:id="611546854">
      <w:bodyDiv w:val="1"/>
      <w:marLeft w:val="0"/>
      <w:marRight w:val="0"/>
      <w:marTop w:val="0"/>
      <w:marBottom w:val="0"/>
      <w:divBdr>
        <w:top w:val="none" w:sz="0" w:space="0" w:color="auto"/>
        <w:left w:val="none" w:sz="0" w:space="0" w:color="auto"/>
        <w:bottom w:val="none" w:sz="0" w:space="0" w:color="auto"/>
        <w:right w:val="none" w:sz="0" w:space="0" w:color="auto"/>
      </w:divBdr>
    </w:div>
    <w:div w:id="616959009">
      <w:bodyDiv w:val="1"/>
      <w:marLeft w:val="0"/>
      <w:marRight w:val="0"/>
      <w:marTop w:val="0"/>
      <w:marBottom w:val="0"/>
      <w:divBdr>
        <w:top w:val="none" w:sz="0" w:space="0" w:color="auto"/>
        <w:left w:val="none" w:sz="0" w:space="0" w:color="auto"/>
        <w:bottom w:val="none" w:sz="0" w:space="0" w:color="auto"/>
        <w:right w:val="none" w:sz="0" w:space="0" w:color="auto"/>
      </w:divBdr>
    </w:div>
    <w:div w:id="633602993">
      <w:bodyDiv w:val="1"/>
      <w:marLeft w:val="0"/>
      <w:marRight w:val="0"/>
      <w:marTop w:val="0"/>
      <w:marBottom w:val="0"/>
      <w:divBdr>
        <w:top w:val="none" w:sz="0" w:space="0" w:color="auto"/>
        <w:left w:val="none" w:sz="0" w:space="0" w:color="auto"/>
        <w:bottom w:val="none" w:sz="0" w:space="0" w:color="auto"/>
        <w:right w:val="none" w:sz="0" w:space="0" w:color="auto"/>
      </w:divBdr>
    </w:div>
    <w:div w:id="633759145">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39115842">
      <w:bodyDiv w:val="1"/>
      <w:marLeft w:val="0"/>
      <w:marRight w:val="0"/>
      <w:marTop w:val="0"/>
      <w:marBottom w:val="0"/>
      <w:divBdr>
        <w:top w:val="none" w:sz="0" w:space="0" w:color="auto"/>
        <w:left w:val="none" w:sz="0" w:space="0" w:color="auto"/>
        <w:bottom w:val="none" w:sz="0" w:space="0" w:color="auto"/>
        <w:right w:val="none" w:sz="0" w:space="0" w:color="auto"/>
      </w:divBdr>
      <w:divsChild>
        <w:div w:id="857112536">
          <w:marLeft w:val="0"/>
          <w:marRight w:val="0"/>
          <w:marTop w:val="0"/>
          <w:marBottom w:val="0"/>
          <w:divBdr>
            <w:top w:val="none" w:sz="0" w:space="0" w:color="auto"/>
            <w:left w:val="none" w:sz="0" w:space="0" w:color="auto"/>
            <w:bottom w:val="none" w:sz="0" w:space="0" w:color="auto"/>
            <w:right w:val="none" w:sz="0" w:space="0" w:color="auto"/>
          </w:divBdr>
        </w:div>
      </w:divsChild>
    </w:div>
    <w:div w:id="644774734">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61739455">
      <w:bodyDiv w:val="1"/>
      <w:marLeft w:val="0"/>
      <w:marRight w:val="0"/>
      <w:marTop w:val="0"/>
      <w:marBottom w:val="0"/>
      <w:divBdr>
        <w:top w:val="none" w:sz="0" w:space="0" w:color="auto"/>
        <w:left w:val="none" w:sz="0" w:space="0" w:color="auto"/>
        <w:bottom w:val="none" w:sz="0" w:space="0" w:color="auto"/>
        <w:right w:val="none" w:sz="0" w:space="0" w:color="auto"/>
      </w:divBdr>
    </w:div>
    <w:div w:id="663170277">
      <w:bodyDiv w:val="1"/>
      <w:marLeft w:val="0"/>
      <w:marRight w:val="0"/>
      <w:marTop w:val="0"/>
      <w:marBottom w:val="0"/>
      <w:divBdr>
        <w:top w:val="none" w:sz="0" w:space="0" w:color="auto"/>
        <w:left w:val="none" w:sz="0" w:space="0" w:color="auto"/>
        <w:bottom w:val="none" w:sz="0" w:space="0" w:color="auto"/>
        <w:right w:val="none" w:sz="0" w:space="0" w:color="auto"/>
      </w:divBdr>
    </w:div>
    <w:div w:id="671687724">
      <w:bodyDiv w:val="1"/>
      <w:marLeft w:val="0"/>
      <w:marRight w:val="0"/>
      <w:marTop w:val="0"/>
      <w:marBottom w:val="0"/>
      <w:divBdr>
        <w:top w:val="none" w:sz="0" w:space="0" w:color="auto"/>
        <w:left w:val="none" w:sz="0" w:space="0" w:color="auto"/>
        <w:bottom w:val="none" w:sz="0" w:space="0" w:color="auto"/>
        <w:right w:val="none" w:sz="0" w:space="0" w:color="auto"/>
      </w:divBdr>
    </w:div>
    <w:div w:id="677580162">
      <w:bodyDiv w:val="1"/>
      <w:marLeft w:val="0"/>
      <w:marRight w:val="0"/>
      <w:marTop w:val="0"/>
      <w:marBottom w:val="0"/>
      <w:divBdr>
        <w:top w:val="none" w:sz="0" w:space="0" w:color="auto"/>
        <w:left w:val="none" w:sz="0" w:space="0" w:color="auto"/>
        <w:bottom w:val="none" w:sz="0" w:space="0" w:color="auto"/>
        <w:right w:val="none" w:sz="0" w:space="0" w:color="auto"/>
      </w:divBdr>
    </w:div>
    <w:div w:id="683819912">
      <w:bodyDiv w:val="1"/>
      <w:marLeft w:val="0"/>
      <w:marRight w:val="0"/>
      <w:marTop w:val="0"/>
      <w:marBottom w:val="0"/>
      <w:divBdr>
        <w:top w:val="none" w:sz="0" w:space="0" w:color="auto"/>
        <w:left w:val="none" w:sz="0" w:space="0" w:color="auto"/>
        <w:bottom w:val="none" w:sz="0" w:space="0" w:color="auto"/>
        <w:right w:val="none" w:sz="0" w:space="0" w:color="auto"/>
      </w:divBdr>
    </w:div>
    <w:div w:id="684792854">
      <w:bodyDiv w:val="1"/>
      <w:marLeft w:val="0"/>
      <w:marRight w:val="0"/>
      <w:marTop w:val="0"/>
      <w:marBottom w:val="0"/>
      <w:divBdr>
        <w:top w:val="none" w:sz="0" w:space="0" w:color="auto"/>
        <w:left w:val="none" w:sz="0" w:space="0" w:color="auto"/>
        <w:bottom w:val="none" w:sz="0" w:space="0" w:color="auto"/>
        <w:right w:val="none" w:sz="0" w:space="0" w:color="auto"/>
      </w:divBdr>
    </w:div>
    <w:div w:id="703864566">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21753400">
      <w:bodyDiv w:val="1"/>
      <w:marLeft w:val="0"/>
      <w:marRight w:val="0"/>
      <w:marTop w:val="0"/>
      <w:marBottom w:val="0"/>
      <w:divBdr>
        <w:top w:val="none" w:sz="0" w:space="0" w:color="auto"/>
        <w:left w:val="none" w:sz="0" w:space="0" w:color="auto"/>
        <w:bottom w:val="none" w:sz="0" w:space="0" w:color="auto"/>
        <w:right w:val="none" w:sz="0" w:space="0" w:color="auto"/>
      </w:divBdr>
    </w:div>
    <w:div w:id="723674309">
      <w:bodyDiv w:val="1"/>
      <w:marLeft w:val="0"/>
      <w:marRight w:val="0"/>
      <w:marTop w:val="0"/>
      <w:marBottom w:val="0"/>
      <w:divBdr>
        <w:top w:val="none" w:sz="0" w:space="0" w:color="auto"/>
        <w:left w:val="none" w:sz="0" w:space="0" w:color="auto"/>
        <w:bottom w:val="none" w:sz="0" w:space="0" w:color="auto"/>
        <w:right w:val="none" w:sz="0" w:space="0" w:color="auto"/>
      </w:divBdr>
    </w:div>
    <w:div w:id="72687850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35126950">
      <w:bodyDiv w:val="1"/>
      <w:marLeft w:val="0"/>
      <w:marRight w:val="0"/>
      <w:marTop w:val="0"/>
      <w:marBottom w:val="0"/>
      <w:divBdr>
        <w:top w:val="none" w:sz="0" w:space="0" w:color="auto"/>
        <w:left w:val="none" w:sz="0" w:space="0" w:color="auto"/>
        <w:bottom w:val="none" w:sz="0" w:space="0" w:color="auto"/>
        <w:right w:val="none" w:sz="0" w:space="0" w:color="auto"/>
      </w:divBdr>
      <w:divsChild>
        <w:div w:id="867334411">
          <w:marLeft w:val="0"/>
          <w:marRight w:val="0"/>
          <w:marTop w:val="0"/>
          <w:marBottom w:val="75"/>
          <w:divBdr>
            <w:top w:val="single" w:sz="2" w:space="0" w:color="auto"/>
            <w:left w:val="single" w:sz="2" w:space="0" w:color="auto"/>
            <w:bottom w:val="single" w:sz="2" w:space="0" w:color="auto"/>
            <w:right w:val="single" w:sz="2" w:space="0" w:color="auto"/>
          </w:divBdr>
        </w:div>
        <w:div w:id="1014308140">
          <w:marLeft w:val="0"/>
          <w:marRight w:val="0"/>
          <w:marTop w:val="240"/>
          <w:marBottom w:val="240"/>
          <w:divBdr>
            <w:top w:val="single" w:sz="2" w:space="0" w:color="auto"/>
            <w:left w:val="single" w:sz="2" w:space="0" w:color="auto"/>
            <w:bottom w:val="single" w:sz="2" w:space="0" w:color="auto"/>
            <w:right w:val="single" w:sz="2" w:space="0" w:color="auto"/>
          </w:divBdr>
        </w:div>
      </w:divsChild>
    </w:div>
    <w:div w:id="757017873">
      <w:bodyDiv w:val="1"/>
      <w:marLeft w:val="0"/>
      <w:marRight w:val="0"/>
      <w:marTop w:val="0"/>
      <w:marBottom w:val="0"/>
      <w:divBdr>
        <w:top w:val="none" w:sz="0" w:space="0" w:color="auto"/>
        <w:left w:val="none" w:sz="0" w:space="0" w:color="auto"/>
        <w:bottom w:val="none" w:sz="0" w:space="0" w:color="auto"/>
        <w:right w:val="none" w:sz="0" w:space="0" w:color="auto"/>
      </w:divBdr>
    </w:div>
    <w:div w:id="768358198">
      <w:bodyDiv w:val="1"/>
      <w:marLeft w:val="0"/>
      <w:marRight w:val="0"/>
      <w:marTop w:val="0"/>
      <w:marBottom w:val="0"/>
      <w:divBdr>
        <w:top w:val="none" w:sz="0" w:space="0" w:color="auto"/>
        <w:left w:val="none" w:sz="0" w:space="0" w:color="auto"/>
        <w:bottom w:val="none" w:sz="0" w:space="0" w:color="auto"/>
        <w:right w:val="none" w:sz="0" w:space="0" w:color="auto"/>
      </w:divBdr>
    </w:div>
    <w:div w:id="769929162">
      <w:bodyDiv w:val="1"/>
      <w:marLeft w:val="0"/>
      <w:marRight w:val="0"/>
      <w:marTop w:val="0"/>
      <w:marBottom w:val="0"/>
      <w:divBdr>
        <w:top w:val="none" w:sz="0" w:space="0" w:color="auto"/>
        <w:left w:val="none" w:sz="0" w:space="0" w:color="auto"/>
        <w:bottom w:val="none" w:sz="0" w:space="0" w:color="auto"/>
        <w:right w:val="none" w:sz="0" w:space="0" w:color="auto"/>
      </w:divBdr>
    </w:div>
    <w:div w:id="777337620">
      <w:bodyDiv w:val="1"/>
      <w:marLeft w:val="0"/>
      <w:marRight w:val="0"/>
      <w:marTop w:val="0"/>
      <w:marBottom w:val="0"/>
      <w:divBdr>
        <w:top w:val="none" w:sz="0" w:space="0" w:color="auto"/>
        <w:left w:val="none" w:sz="0" w:space="0" w:color="auto"/>
        <w:bottom w:val="none" w:sz="0" w:space="0" w:color="auto"/>
        <w:right w:val="none" w:sz="0" w:space="0" w:color="auto"/>
      </w:divBdr>
    </w:div>
    <w:div w:id="797452597">
      <w:bodyDiv w:val="1"/>
      <w:marLeft w:val="0"/>
      <w:marRight w:val="0"/>
      <w:marTop w:val="0"/>
      <w:marBottom w:val="0"/>
      <w:divBdr>
        <w:top w:val="none" w:sz="0" w:space="0" w:color="auto"/>
        <w:left w:val="none" w:sz="0" w:space="0" w:color="auto"/>
        <w:bottom w:val="none" w:sz="0" w:space="0" w:color="auto"/>
        <w:right w:val="none" w:sz="0" w:space="0" w:color="auto"/>
      </w:divBdr>
    </w:div>
    <w:div w:id="806820398">
      <w:bodyDiv w:val="1"/>
      <w:marLeft w:val="0"/>
      <w:marRight w:val="0"/>
      <w:marTop w:val="0"/>
      <w:marBottom w:val="0"/>
      <w:divBdr>
        <w:top w:val="none" w:sz="0" w:space="0" w:color="auto"/>
        <w:left w:val="none" w:sz="0" w:space="0" w:color="auto"/>
        <w:bottom w:val="none" w:sz="0" w:space="0" w:color="auto"/>
        <w:right w:val="none" w:sz="0" w:space="0" w:color="auto"/>
      </w:divBdr>
    </w:div>
    <w:div w:id="810830179">
      <w:bodyDiv w:val="1"/>
      <w:marLeft w:val="0"/>
      <w:marRight w:val="0"/>
      <w:marTop w:val="0"/>
      <w:marBottom w:val="0"/>
      <w:divBdr>
        <w:top w:val="none" w:sz="0" w:space="0" w:color="auto"/>
        <w:left w:val="none" w:sz="0" w:space="0" w:color="auto"/>
        <w:bottom w:val="none" w:sz="0" w:space="0" w:color="auto"/>
        <w:right w:val="none" w:sz="0" w:space="0" w:color="auto"/>
      </w:divBdr>
    </w:div>
    <w:div w:id="811600664">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17653916">
      <w:bodyDiv w:val="1"/>
      <w:marLeft w:val="0"/>
      <w:marRight w:val="0"/>
      <w:marTop w:val="0"/>
      <w:marBottom w:val="0"/>
      <w:divBdr>
        <w:top w:val="none" w:sz="0" w:space="0" w:color="auto"/>
        <w:left w:val="none" w:sz="0" w:space="0" w:color="auto"/>
        <w:bottom w:val="none" w:sz="0" w:space="0" w:color="auto"/>
        <w:right w:val="none" w:sz="0" w:space="0" w:color="auto"/>
      </w:divBdr>
    </w:div>
    <w:div w:id="819227131">
      <w:bodyDiv w:val="1"/>
      <w:marLeft w:val="0"/>
      <w:marRight w:val="0"/>
      <w:marTop w:val="0"/>
      <w:marBottom w:val="0"/>
      <w:divBdr>
        <w:top w:val="none" w:sz="0" w:space="0" w:color="auto"/>
        <w:left w:val="none" w:sz="0" w:space="0" w:color="auto"/>
        <w:bottom w:val="none" w:sz="0" w:space="0" w:color="auto"/>
        <w:right w:val="none" w:sz="0" w:space="0" w:color="auto"/>
      </w:divBdr>
    </w:div>
    <w:div w:id="822627296">
      <w:bodyDiv w:val="1"/>
      <w:marLeft w:val="0"/>
      <w:marRight w:val="0"/>
      <w:marTop w:val="0"/>
      <w:marBottom w:val="0"/>
      <w:divBdr>
        <w:top w:val="none" w:sz="0" w:space="0" w:color="auto"/>
        <w:left w:val="none" w:sz="0" w:space="0" w:color="auto"/>
        <w:bottom w:val="none" w:sz="0" w:space="0" w:color="auto"/>
        <w:right w:val="none" w:sz="0" w:space="0" w:color="auto"/>
      </w:divBdr>
    </w:div>
    <w:div w:id="826828319">
      <w:bodyDiv w:val="1"/>
      <w:marLeft w:val="0"/>
      <w:marRight w:val="0"/>
      <w:marTop w:val="0"/>
      <w:marBottom w:val="0"/>
      <w:divBdr>
        <w:top w:val="none" w:sz="0" w:space="0" w:color="auto"/>
        <w:left w:val="none" w:sz="0" w:space="0" w:color="auto"/>
        <w:bottom w:val="none" w:sz="0" w:space="0" w:color="auto"/>
        <w:right w:val="none" w:sz="0" w:space="0" w:color="auto"/>
      </w:divBdr>
    </w:div>
    <w:div w:id="830875287">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86137969">
      <w:bodyDiv w:val="1"/>
      <w:marLeft w:val="0"/>
      <w:marRight w:val="0"/>
      <w:marTop w:val="0"/>
      <w:marBottom w:val="0"/>
      <w:divBdr>
        <w:top w:val="none" w:sz="0" w:space="0" w:color="auto"/>
        <w:left w:val="none" w:sz="0" w:space="0" w:color="auto"/>
        <w:bottom w:val="none" w:sz="0" w:space="0" w:color="auto"/>
        <w:right w:val="none" w:sz="0" w:space="0" w:color="auto"/>
      </w:divBdr>
    </w:div>
    <w:div w:id="909121511">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23803107">
      <w:bodyDiv w:val="1"/>
      <w:marLeft w:val="0"/>
      <w:marRight w:val="0"/>
      <w:marTop w:val="0"/>
      <w:marBottom w:val="0"/>
      <w:divBdr>
        <w:top w:val="none" w:sz="0" w:space="0" w:color="auto"/>
        <w:left w:val="none" w:sz="0" w:space="0" w:color="auto"/>
        <w:bottom w:val="none" w:sz="0" w:space="0" w:color="auto"/>
        <w:right w:val="none" w:sz="0" w:space="0" w:color="auto"/>
      </w:divBdr>
    </w:div>
    <w:div w:id="939335407">
      <w:bodyDiv w:val="1"/>
      <w:marLeft w:val="0"/>
      <w:marRight w:val="0"/>
      <w:marTop w:val="0"/>
      <w:marBottom w:val="0"/>
      <w:divBdr>
        <w:top w:val="none" w:sz="0" w:space="0" w:color="auto"/>
        <w:left w:val="none" w:sz="0" w:space="0" w:color="auto"/>
        <w:bottom w:val="none" w:sz="0" w:space="0" w:color="auto"/>
        <w:right w:val="none" w:sz="0" w:space="0" w:color="auto"/>
      </w:divBdr>
    </w:div>
    <w:div w:id="940064510">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59190823">
      <w:bodyDiv w:val="1"/>
      <w:marLeft w:val="0"/>
      <w:marRight w:val="0"/>
      <w:marTop w:val="0"/>
      <w:marBottom w:val="0"/>
      <w:divBdr>
        <w:top w:val="none" w:sz="0" w:space="0" w:color="auto"/>
        <w:left w:val="none" w:sz="0" w:space="0" w:color="auto"/>
        <w:bottom w:val="none" w:sz="0" w:space="0" w:color="auto"/>
        <w:right w:val="none" w:sz="0" w:space="0" w:color="auto"/>
      </w:divBdr>
    </w:div>
    <w:div w:id="969744134">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21316731">
      <w:bodyDiv w:val="1"/>
      <w:marLeft w:val="0"/>
      <w:marRight w:val="0"/>
      <w:marTop w:val="0"/>
      <w:marBottom w:val="0"/>
      <w:divBdr>
        <w:top w:val="none" w:sz="0" w:space="0" w:color="auto"/>
        <w:left w:val="none" w:sz="0" w:space="0" w:color="auto"/>
        <w:bottom w:val="none" w:sz="0" w:space="0" w:color="auto"/>
        <w:right w:val="none" w:sz="0" w:space="0" w:color="auto"/>
      </w:divBdr>
    </w:div>
    <w:div w:id="1042946548">
      <w:bodyDiv w:val="1"/>
      <w:marLeft w:val="0"/>
      <w:marRight w:val="0"/>
      <w:marTop w:val="0"/>
      <w:marBottom w:val="0"/>
      <w:divBdr>
        <w:top w:val="none" w:sz="0" w:space="0" w:color="auto"/>
        <w:left w:val="none" w:sz="0" w:space="0" w:color="auto"/>
        <w:bottom w:val="none" w:sz="0" w:space="0" w:color="auto"/>
        <w:right w:val="none" w:sz="0" w:space="0" w:color="auto"/>
      </w:divBdr>
    </w:div>
    <w:div w:id="1053502450">
      <w:bodyDiv w:val="1"/>
      <w:marLeft w:val="0"/>
      <w:marRight w:val="0"/>
      <w:marTop w:val="0"/>
      <w:marBottom w:val="0"/>
      <w:divBdr>
        <w:top w:val="none" w:sz="0" w:space="0" w:color="auto"/>
        <w:left w:val="none" w:sz="0" w:space="0" w:color="auto"/>
        <w:bottom w:val="none" w:sz="0" w:space="0" w:color="auto"/>
        <w:right w:val="none" w:sz="0" w:space="0" w:color="auto"/>
      </w:divBdr>
      <w:divsChild>
        <w:div w:id="217867286">
          <w:marLeft w:val="0"/>
          <w:marRight w:val="0"/>
          <w:marTop w:val="0"/>
          <w:marBottom w:val="0"/>
          <w:divBdr>
            <w:top w:val="none" w:sz="0" w:space="0" w:color="auto"/>
            <w:left w:val="none" w:sz="0" w:space="0" w:color="auto"/>
            <w:bottom w:val="none" w:sz="0" w:space="0" w:color="auto"/>
            <w:right w:val="none" w:sz="0" w:space="0" w:color="auto"/>
          </w:divBdr>
          <w:divsChild>
            <w:div w:id="1294139539">
              <w:marLeft w:val="-75"/>
              <w:marRight w:val="0"/>
              <w:marTop w:val="30"/>
              <w:marBottom w:val="30"/>
              <w:divBdr>
                <w:top w:val="none" w:sz="0" w:space="0" w:color="auto"/>
                <w:left w:val="none" w:sz="0" w:space="0" w:color="auto"/>
                <w:bottom w:val="none" w:sz="0" w:space="0" w:color="auto"/>
                <w:right w:val="none" w:sz="0" w:space="0" w:color="auto"/>
              </w:divBdr>
              <w:divsChild>
                <w:div w:id="16351024">
                  <w:marLeft w:val="0"/>
                  <w:marRight w:val="0"/>
                  <w:marTop w:val="0"/>
                  <w:marBottom w:val="0"/>
                  <w:divBdr>
                    <w:top w:val="none" w:sz="0" w:space="0" w:color="auto"/>
                    <w:left w:val="none" w:sz="0" w:space="0" w:color="auto"/>
                    <w:bottom w:val="none" w:sz="0" w:space="0" w:color="auto"/>
                    <w:right w:val="none" w:sz="0" w:space="0" w:color="auto"/>
                  </w:divBdr>
                  <w:divsChild>
                    <w:div w:id="30689472">
                      <w:marLeft w:val="0"/>
                      <w:marRight w:val="0"/>
                      <w:marTop w:val="0"/>
                      <w:marBottom w:val="0"/>
                      <w:divBdr>
                        <w:top w:val="none" w:sz="0" w:space="0" w:color="auto"/>
                        <w:left w:val="none" w:sz="0" w:space="0" w:color="auto"/>
                        <w:bottom w:val="none" w:sz="0" w:space="0" w:color="auto"/>
                        <w:right w:val="none" w:sz="0" w:space="0" w:color="auto"/>
                      </w:divBdr>
                    </w:div>
                  </w:divsChild>
                </w:div>
                <w:div w:id="167603193">
                  <w:marLeft w:val="0"/>
                  <w:marRight w:val="0"/>
                  <w:marTop w:val="0"/>
                  <w:marBottom w:val="0"/>
                  <w:divBdr>
                    <w:top w:val="none" w:sz="0" w:space="0" w:color="auto"/>
                    <w:left w:val="none" w:sz="0" w:space="0" w:color="auto"/>
                    <w:bottom w:val="none" w:sz="0" w:space="0" w:color="auto"/>
                    <w:right w:val="none" w:sz="0" w:space="0" w:color="auto"/>
                  </w:divBdr>
                  <w:divsChild>
                    <w:div w:id="1309360329">
                      <w:marLeft w:val="0"/>
                      <w:marRight w:val="0"/>
                      <w:marTop w:val="0"/>
                      <w:marBottom w:val="0"/>
                      <w:divBdr>
                        <w:top w:val="none" w:sz="0" w:space="0" w:color="auto"/>
                        <w:left w:val="none" w:sz="0" w:space="0" w:color="auto"/>
                        <w:bottom w:val="none" w:sz="0" w:space="0" w:color="auto"/>
                        <w:right w:val="none" w:sz="0" w:space="0" w:color="auto"/>
                      </w:divBdr>
                    </w:div>
                  </w:divsChild>
                </w:div>
                <w:div w:id="284385228">
                  <w:marLeft w:val="0"/>
                  <w:marRight w:val="0"/>
                  <w:marTop w:val="0"/>
                  <w:marBottom w:val="0"/>
                  <w:divBdr>
                    <w:top w:val="none" w:sz="0" w:space="0" w:color="auto"/>
                    <w:left w:val="none" w:sz="0" w:space="0" w:color="auto"/>
                    <w:bottom w:val="none" w:sz="0" w:space="0" w:color="auto"/>
                    <w:right w:val="none" w:sz="0" w:space="0" w:color="auto"/>
                  </w:divBdr>
                  <w:divsChild>
                    <w:div w:id="31081390">
                      <w:marLeft w:val="0"/>
                      <w:marRight w:val="0"/>
                      <w:marTop w:val="0"/>
                      <w:marBottom w:val="0"/>
                      <w:divBdr>
                        <w:top w:val="none" w:sz="0" w:space="0" w:color="auto"/>
                        <w:left w:val="none" w:sz="0" w:space="0" w:color="auto"/>
                        <w:bottom w:val="none" w:sz="0" w:space="0" w:color="auto"/>
                        <w:right w:val="none" w:sz="0" w:space="0" w:color="auto"/>
                      </w:divBdr>
                    </w:div>
                  </w:divsChild>
                </w:div>
                <w:div w:id="461385094">
                  <w:marLeft w:val="0"/>
                  <w:marRight w:val="0"/>
                  <w:marTop w:val="0"/>
                  <w:marBottom w:val="0"/>
                  <w:divBdr>
                    <w:top w:val="none" w:sz="0" w:space="0" w:color="auto"/>
                    <w:left w:val="none" w:sz="0" w:space="0" w:color="auto"/>
                    <w:bottom w:val="none" w:sz="0" w:space="0" w:color="auto"/>
                    <w:right w:val="none" w:sz="0" w:space="0" w:color="auto"/>
                  </w:divBdr>
                  <w:divsChild>
                    <w:div w:id="1269045604">
                      <w:marLeft w:val="0"/>
                      <w:marRight w:val="0"/>
                      <w:marTop w:val="0"/>
                      <w:marBottom w:val="0"/>
                      <w:divBdr>
                        <w:top w:val="none" w:sz="0" w:space="0" w:color="auto"/>
                        <w:left w:val="none" w:sz="0" w:space="0" w:color="auto"/>
                        <w:bottom w:val="none" w:sz="0" w:space="0" w:color="auto"/>
                        <w:right w:val="none" w:sz="0" w:space="0" w:color="auto"/>
                      </w:divBdr>
                    </w:div>
                  </w:divsChild>
                </w:div>
                <w:div w:id="532152691">
                  <w:marLeft w:val="0"/>
                  <w:marRight w:val="0"/>
                  <w:marTop w:val="0"/>
                  <w:marBottom w:val="0"/>
                  <w:divBdr>
                    <w:top w:val="none" w:sz="0" w:space="0" w:color="auto"/>
                    <w:left w:val="none" w:sz="0" w:space="0" w:color="auto"/>
                    <w:bottom w:val="none" w:sz="0" w:space="0" w:color="auto"/>
                    <w:right w:val="none" w:sz="0" w:space="0" w:color="auto"/>
                  </w:divBdr>
                  <w:divsChild>
                    <w:div w:id="2051688183">
                      <w:marLeft w:val="0"/>
                      <w:marRight w:val="0"/>
                      <w:marTop w:val="0"/>
                      <w:marBottom w:val="0"/>
                      <w:divBdr>
                        <w:top w:val="none" w:sz="0" w:space="0" w:color="auto"/>
                        <w:left w:val="none" w:sz="0" w:space="0" w:color="auto"/>
                        <w:bottom w:val="none" w:sz="0" w:space="0" w:color="auto"/>
                        <w:right w:val="none" w:sz="0" w:space="0" w:color="auto"/>
                      </w:divBdr>
                    </w:div>
                  </w:divsChild>
                </w:div>
                <w:div w:id="553929992">
                  <w:marLeft w:val="0"/>
                  <w:marRight w:val="0"/>
                  <w:marTop w:val="0"/>
                  <w:marBottom w:val="0"/>
                  <w:divBdr>
                    <w:top w:val="none" w:sz="0" w:space="0" w:color="auto"/>
                    <w:left w:val="none" w:sz="0" w:space="0" w:color="auto"/>
                    <w:bottom w:val="none" w:sz="0" w:space="0" w:color="auto"/>
                    <w:right w:val="none" w:sz="0" w:space="0" w:color="auto"/>
                  </w:divBdr>
                  <w:divsChild>
                    <w:div w:id="1396977391">
                      <w:marLeft w:val="0"/>
                      <w:marRight w:val="0"/>
                      <w:marTop w:val="0"/>
                      <w:marBottom w:val="0"/>
                      <w:divBdr>
                        <w:top w:val="none" w:sz="0" w:space="0" w:color="auto"/>
                        <w:left w:val="none" w:sz="0" w:space="0" w:color="auto"/>
                        <w:bottom w:val="none" w:sz="0" w:space="0" w:color="auto"/>
                        <w:right w:val="none" w:sz="0" w:space="0" w:color="auto"/>
                      </w:divBdr>
                    </w:div>
                  </w:divsChild>
                </w:div>
                <w:div w:id="612326460">
                  <w:marLeft w:val="0"/>
                  <w:marRight w:val="0"/>
                  <w:marTop w:val="0"/>
                  <w:marBottom w:val="0"/>
                  <w:divBdr>
                    <w:top w:val="none" w:sz="0" w:space="0" w:color="auto"/>
                    <w:left w:val="none" w:sz="0" w:space="0" w:color="auto"/>
                    <w:bottom w:val="none" w:sz="0" w:space="0" w:color="auto"/>
                    <w:right w:val="none" w:sz="0" w:space="0" w:color="auto"/>
                  </w:divBdr>
                  <w:divsChild>
                    <w:div w:id="543100516">
                      <w:marLeft w:val="0"/>
                      <w:marRight w:val="0"/>
                      <w:marTop w:val="0"/>
                      <w:marBottom w:val="0"/>
                      <w:divBdr>
                        <w:top w:val="none" w:sz="0" w:space="0" w:color="auto"/>
                        <w:left w:val="none" w:sz="0" w:space="0" w:color="auto"/>
                        <w:bottom w:val="none" w:sz="0" w:space="0" w:color="auto"/>
                        <w:right w:val="none" w:sz="0" w:space="0" w:color="auto"/>
                      </w:divBdr>
                    </w:div>
                  </w:divsChild>
                </w:div>
                <w:div w:id="636183102">
                  <w:marLeft w:val="0"/>
                  <w:marRight w:val="0"/>
                  <w:marTop w:val="0"/>
                  <w:marBottom w:val="0"/>
                  <w:divBdr>
                    <w:top w:val="none" w:sz="0" w:space="0" w:color="auto"/>
                    <w:left w:val="none" w:sz="0" w:space="0" w:color="auto"/>
                    <w:bottom w:val="none" w:sz="0" w:space="0" w:color="auto"/>
                    <w:right w:val="none" w:sz="0" w:space="0" w:color="auto"/>
                  </w:divBdr>
                  <w:divsChild>
                    <w:div w:id="1031879054">
                      <w:marLeft w:val="0"/>
                      <w:marRight w:val="0"/>
                      <w:marTop w:val="0"/>
                      <w:marBottom w:val="0"/>
                      <w:divBdr>
                        <w:top w:val="none" w:sz="0" w:space="0" w:color="auto"/>
                        <w:left w:val="none" w:sz="0" w:space="0" w:color="auto"/>
                        <w:bottom w:val="none" w:sz="0" w:space="0" w:color="auto"/>
                        <w:right w:val="none" w:sz="0" w:space="0" w:color="auto"/>
                      </w:divBdr>
                    </w:div>
                  </w:divsChild>
                </w:div>
                <w:div w:id="780301009">
                  <w:marLeft w:val="0"/>
                  <w:marRight w:val="0"/>
                  <w:marTop w:val="0"/>
                  <w:marBottom w:val="0"/>
                  <w:divBdr>
                    <w:top w:val="none" w:sz="0" w:space="0" w:color="auto"/>
                    <w:left w:val="none" w:sz="0" w:space="0" w:color="auto"/>
                    <w:bottom w:val="none" w:sz="0" w:space="0" w:color="auto"/>
                    <w:right w:val="none" w:sz="0" w:space="0" w:color="auto"/>
                  </w:divBdr>
                  <w:divsChild>
                    <w:div w:id="2060588562">
                      <w:marLeft w:val="0"/>
                      <w:marRight w:val="0"/>
                      <w:marTop w:val="0"/>
                      <w:marBottom w:val="0"/>
                      <w:divBdr>
                        <w:top w:val="none" w:sz="0" w:space="0" w:color="auto"/>
                        <w:left w:val="none" w:sz="0" w:space="0" w:color="auto"/>
                        <w:bottom w:val="none" w:sz="0" w:space="0" w:color="auto"/>
                        <w:right w:val="none" w:sz="0" w:space="0" w:color="auto"/>
                      </w:divBdr>
                    </w:div>
                  </w:divsChild>
                </w:div>
                <w:div w:id="927688208">
                  <w:marLeft w:val="0"/>
                  <w:marRight w:val="0"/>
                  <w:marTop w:val="0"/>
                  <w:marBottom w:val="0"/>
                  <w:divBdr>
                    <w:top w:val="none" w:sz="0" w:space="0" w:color="auto"/>
                    <w:left w:val="none" w:sz="0" w:space="0" w:color="auto"/>
                    <w:bottom w:val="none" w:sz="0" w:space="0" w:color="auto"/>
                    <w:right w:val="none" w:sz="0" w:space="0" w:color="auto"/>
                  </w:divBdr>
                  <w:divsChild>
                    <w:div w:id="1464812814">
                      <w:marLeft w:val="0"/>
                      <w:marRight w:val="0"/>
                      <w:marTop w:val="0"/>
                      <w:marBottom w:val="0"/>
                      <w:divBdr>
                        <w:top w:val="none" w:sz="0" w:space="0" w:color="auto"/>
                        <w:left w:val="none" w:sz="0" w:space="0" w:color="auto"/>
                        <w:bottom w:val="none" w:sz="0" w:space="0" w:color="auto"/>
                        <w:right w:val="none" w:sz="0" w:space="0" w:color="auto"/>
                      </w:divBdr>
                    </w:div>
                  </w:divsChild>
                </w:div>
                <w:div w:id="1020472778">
                  <w:marLeft w:val="0"/>
                  <w:marRight w:val="0"/>
                  <w:marTop w:val="0"/>
                  <w:marBottom w:val="0"/>
                  <w:divBdr>
                    <w:top w:val="none" w:sz="0" w:space="0" w:color="auto"/>
                    <w:left w:val="none" w:sz="0" w:space="0" w:color="auto"/>
                    <w:bottom w:val="none" w:sz="0" w:space="0" w:color="auto"/>
                    <w:right w:val="none" w:sz="0" w:space="0" w:color="auto"/>
                  </w:divBdr>
                  <w:divsChild>
                    <w:div w:id="1491826958">
                      <w:marLeft w:val="0"/>
                      <w:marRight w:val="0"/>
                      <w:marTop w:val="0"/>
                      <w:marBottom w:val="0"/>
                      <w:divBdr>
                        <w:top w:val="none" w:sz="0" w:space="0" w:color="auto"/>
                        <w:left w:val="none" w:sz="0" w:space="0" w:color="auto"/>
                        <w:bottom w:val="none" w:sz="0" w:space="0" w:color="auto"/>
                        <w:right w:val="none" w:sz="0" w:space="0" w:color="auto"/>
                      </w:divBdr>
                    </w:div>
                  </w:divsChild>
                </w:div>
                <w:div w:id="1048605338">
                  <w:marLeft w:val="0"/>
                  <w:marRight w:val="0"/>
                  <w:marTop w:val="0"/>
                  <w:marBottom w:val="0"/>
                  <w:divBdr>
                    <w:top w:val="none" w:sz="0" w:space="0" w:color="auto"/>
                    <w:left w:val="none" w:sz="0" w:space="0" w:color="auto"/>
                    <w:bottom w:val="none" w:sz="0" w:space="0" w:color="auto"/>
                    <w:right w:val="none" w:sz="0" w:space="0" w:color="auto"/>
                  </w:divBdr>
                  <w:divsChild>
                    <w:div w:id="2087191424">
                      <w:marLeft w:val="0"/>
                      <w:marRight w:val="0"/>
                      <w:marTop w:val="0"/>
                      <w:marBottom w:val="0"/>
                      <w:divBdr>
                        <w:top w:val="none" w:sz="0" w:space="0" w:color="auto"/>
                        <w:left w:val="none" w:sz="0" w:space="0" w:color="auto"/>
                        <w:bottom w:val="none" w:sz="0" w:space="0" w:color="auto"/>
                        <w:right w:val="none" w:sz="0" w:space="0" w:color="auto"/>
                      </w:divBdr>
                    </w:div>
                  </w:divsChild>
                </w:div>
                <w:div w:id="1056391228">
                  <w:marLeft w:val="0"/>
                  <w:marRight w:val="0"/>
                  <w:marTop w:val="0"/>
                  <w:marBottom w:val="0"/>
                  <w:divBdr>
                    <w:top w:val="none" w:sz="0" w:space="0" w:color="auto"/>
                    <w:left w:val="none" w:sz="0" w:space="0" w:color="auto"/>
                    <w:bottom w:val="none" w:sz="0" w:space="0" w:color="auto"/>
                    <w:right w:val="none" w:sz="0" w:space="0" w:color="auto"/>
                  </w:divBdr>
                  <w:divsChild>
                    <w:div w:id="1403941053">
                      <w:marLeft w:val="0"/>
                      <w:marRight w:val="0"/>
                      <w:marTop w:val="0"/>
                      <w:marBottom w:val="0"/>
                      <w:divBdr>
                        <w:top w:val="none" w:sz="0" w:space="0" w:color="auto"/>
                        <w:left w:val="none" w:sz="0" w:space="0" w:color="auto"/>
                        <w:bottom w:val="none" w:sz="0" w:space="0" w:color="auto"/>
                        <w:right w:val="none" w:sz="0" w:space="0" w:color="auto"/>
                      </w:divBdr>
                    </w:div>
                  </w:divsChild>
                </w:div>
                <w:div w:id="1309019336">
                  <w:marLeft w:val="0"/>
                  <w:marRight w:val="0"/>
                  <w:marTop w:val="0"/>
                  <w:marBottom w:val="0"/>
                  <w:divBdr>
                    <w:top w:val="none" w:sz="0" w:space="0" w:color="auto"/>
                    <w:left w:val="none" w:sz="0" w:space="0" w:color="auto"/>
                    <w:bottom w:val="none" w:sz="0" w:space="0" w:color="auto"/>
                    <w:right w:val="none" w:sz="0" w:space="0" w:color="auto"/>
                  </w:divBdr>
                  <w:divsChild>
                    <w:div w:id="1140734558">
                      <w:marLeft w:val="0"/>
                      <w:marRight w:val="0"/>
                      <w:marTop w:val="0"/>
                      <w:marBottom w:val="0"/>
                      <w:divBdr>
                        <w:top w:val="none" w:sz="0" w:space="0" w:color="auto"/>
                        <w:left w:val="none" w:sz="0" w:space="0" w:color="auto"/>
                        <w:bottom w:val="none" w:sz="0" w:space="0" w:color="auto"/>
                        <w:right w:val="none" w:sz="0" w:space="0" w:color="auto"/>
                      </w:divBdr>
                    </w:div>
                  </w:divsChild>
                </w:div>
                <w:div w:id="1357387150">
                  <w:marLeft w:val="0"/>
                  <w:marRight w:val="0"/>
                  <w:marTop w:val="0"/>
                  <w:marBottom w:val="0"/>
                  <w:divBdr>
                    <w:top w:val="none" w:sz="0" w:space="0" w:color="auto"/>
                    <w:left w:val="none" w:sz="0" w:space="0" w:color="auto"/>
                    <w:bottom w:val="none" w:sz="0" w:space="0" w:color="auto"/>
                    <w:right w:val="none" w:sz="0" w:space="0" w:color="auto"/>
                  </w:divBdr>
                  <w:divsChild>
                    <w:div w:id="1111508835">
                      <w:marLeft w:val="0"/>
                      <w:marRight w:val="0"/>
                      <w:marTop w:val="0"/>
                      <w:marBottom w:val="0"/>
                      <w:divBdr>
                        <w:top w:val="none" w:sz="0" w:space="0" w:color="auto"/>
                        <w:left w:val="none" w:sz="0" w:space="0" w:color="auto"/>
                        <w:bottom w:val="none" w:sz="0" w:space="0" w:color="auto"/>
                        <w:right w:val="none" w:sz="0" w:space="0" w:color="auto"/>
                      </w:divBdr>
                    </w:div>
                  </w:divsChild>
                </w:div>
                <w:div w:id="1363627973">
                  <w:marLeft w:val="0"/>
                  <w:marRight w:val="0"/>
                  <w:marTop w:val="0"/>
                  <w:marBottom w:val="0"/>
                  <w:divBdr>
                    <w:top w:val="none" w:sz="0" w:space="0" w:color="auto"/>
                    <w:left w:val="none" w:sz="0" w:space="0" w:color="auto"/>
                    <w:bottom w:val="none" w:sz="0" w:space="0" w:color="auto"/>
                    <w:right w:val="none" w:sz="0" w:space="0" w:color="auto"/>
                  </w:divBdr>
                  <w:divsChild>
                    <w:div w:id="1427069313">
                      <w:marLeft w:val="0"/>
                      <w:marRight w:val="0"/>
                      <w:marTop w:val="0"/>
                      <w:marBottom w:val="0"/>
                      <w:divBdr>
                        <w:top w:val="none" w:sz="0" w:space="0" w:color="auto"/>
                        <w:left w:val="none" w:sz="0" w:space="0" w:color="auto"/>
                        <w:bottom w:val="none" w:sz="0" w:space="0" w:color="auto"/>
                        <w:right w:val="none" w:sz="0" w:space="0" w:color="auto"/>
                      </w:divBdr>
                    </w:div>
                  </w:divsChild>
                </w:div>
                <w:div w:id="1380787084">
                  <w:marLeft w:val="0"/>
                  <w:marRight w:val="0"/>
                  <w:marTop w:val="0"/>
                  <w:marBottom w:val="0"/>
                  <w:divBdr>
                    <w:top w:val="none" w:sz="0" w:space="0" w:color="auto"/>
                    <w:left w:val="none" w:sz="0" w:space="0" w:color="auto"/>
                    <w:bottom w:val="none" w:sz="0" w:space="0" w:color="auto"/>
                    <w:right w:val="none" w:sz="0" w:space="0" w:color="auto"/>
                  </w:divBdr>
                  <w:divsChild>
                    <w:div w:id="749890283">
                      <w:marLeft w:val="0"/>
                      <w:marRight w:val="0"/>
                      <w:marTop w:val="0"/>
                      <w:marBottom w:val="0"/>
                      <w:divBdr>
                        <w:top w:val="none" w:sz="0" w:space="0" w:color="auto"/>
                        <w:left w:val="none" w:sz="0" w:space="0" w:color="auto"/>
                        <w:bottom w:val="none" w:sz="0" w:space="0" w:color="auto"/>
                        <w:right w:val="none" w:sz="0" w:space="0" w:color="auto"/>
                      </w:divBdr>
                    </w:div>
                  </w:divsChild>
                </w:div>
                <w:div w:id="1389692792">
                  <w:marLeft w:val="0"/>
                  <w:marRight w:val="0"/>
                  <w:marTop w:val="0"/>
                  <w:marBottom w:val="0"/>
                  <w:divBdr>
                    <w:top w:val="none" w:sz="0" w:space="0" w:color="auto"/>
                    <w:left w:val="none" w:sz="0" w:space="0" w:color="auto"/>
                    <w:bottom w:val="none" w:sz="0" w:space="0" w:color="auto"/>
                    <w:right w:val="none" w:sz="0" w:space="0" w:color="auto"/>
                  </w:divBdr>
                  <w:divsChild>
                    <w:div w:id="1187519195">
                      <w:marLeft w:val="0"/>
                      <w:marRight w:val="0"/>
                      <w:marTop w:val="0"/>
                      <w:marBottom w:val="0"/>
                      <w:divBdr>
                        <w:top w:val="none" w:sz="0" w:space="0" w:color="auto"/>
                        <w:left w:val="none" w:sz="0" w:space="0" w:color="auto"/>
                        <w:bottom w:val="none" w:sz="0" w:space="0" w:color="auto"/>
                        <w:right w:val="none" w:sz="0" w:space="0" w:color="auto"/>
                      </w:divBdr>
                    </w:div>
                  </w:divsChild>
                </w:div>
                <w:div w:id="1442148135">
                  <w:marLeft w:val="0"/>
                  <w:marRight w:val="0"/>
                  <w:marTop w:val="0"/>
                  <w:marBottom w:val="0"/>
                  <w:divBdr>
                    <w:top w:val="none" w:sz="0" w:space="0" w:color="auto"/>
                    <w:left w:val="none" w:sz="0" w:space="0" w:color="auto"/>
                    <w:bottom w:val="none" w:sz="0" w:space="0" w:color="auto"/>
                    <w:right w:val="none" w:sz="0" w:space="0" w:color="auto"/>
                  </w:divBdr>
                  <w:divsChild>
                    <w:div w:id="492064515">
                      <w:marLeft w:val="0"/>
                      <w:marRight w:val="0"/>
                      <w:marTop w:val="0"/>
                      <w:marBottom w:val="0"/>
                      <w:divBdr>
                        <w:top w:val="none" w:sz="0" w:space="0" w:color="auto"/>
                        <w:left w:val="none" w:sz="0" w:space="0" w:color="auto"/>
                        <w:bottom w:val="none" w:sz="0" w:space="0" w:color="auto"/>
                        <w:right w:val="none" w:sz="0" w:space="0" w:color="auto"/>
                      </w:divBdr>
                    </w:div>
                  </w:divsChild>
                </w:div>
                <w:div w:id="1591349474">
                  <w:marLeft w:val="0"/>
                  <w:marRight w:val="0"/>
                  <w:marTop w:val="0"/>
                  <w:marBottom w:val="0"/>
                  <w:divBdr>
                    <w:top w:val="none" w:sz="0" w:space="0" w:color="auto"/>
                    <w:left w:val="none" w:sz="0" w:space="0" w:color="auto"/>
                    <w:bottom w:val="none" w:sz="0" w:space="0" w:color="auto"/>
                    <w:right w:val="none" w:sz="0" w:space="0" w:color="auto"/>
                  </w:divBdr>
                  <w:divsChild>
                    <w:div w:id="1167749644">
                      <w:marLeft w:val="0"/>
                      <w:marRight w:val="0"/>
                      <w:marTop w:val="0"/>
                      <w:marBottom w:val="0"/>
                      <w:divBdr>
                        <w:top w:val="none" w:sz="0" w:space="0" w:color="auto"/>
                        <w:left w:val="none" w:sz="0" w:space="0" w:color="auto"/>
                        <w:bottom w:val="none" w:sz="0" w:space="0" w:color="auto"/>
                        <w:right w:val="none" w:sz="0" w:space="0" w:color="auto"/>
                      </w:divBdr>
                    </w:div>
                  </w:divsChild>
                </w:div>
                <w:div w:id="1784304971">
                  <w:marLeft w:val="0"/>
                  <w:marRight w:val="0"/>
                  <w:marTop w:val="0"/>
                  <w:marBottom w:val="0"/>
                  <w:divBdr>
                    <w:top w:val="none" w:sz="0" w:space="0" w:color="auto"/>
                    <w:left w:val="none" w:sz="0" w:space="0" w:color="auto"/>
                    <w:bottom w:val="none" w:sz="0" w:space="0" w:color="auto"/>
                    <w:right w:val="none" w:sz="0" w:space="0" w:color="auto"/>
                  </w:divBdr>
                  <w:divsChild>
                    <w:div w:id="1470855246">
                      <w:marLeft w:val="0"/>
                      <w:marRight w:val="0"/>
                      <w:marTop w:val="0"/>
                      <w:marBottom w:val="0"/>
                      <w:divBdr>
                        <w:top w:val="none" w:sz="0" w:space="0" w:color="auto"/>
                        <w:left w:val="none" w:sz="0" w:space="0" w:color="auto"/>
                        <w:bottom w:val="none" w:sz="0" w:space="0" w:color="auto"/>
                        <w:right w:val="none" w:sz="0" w:space="0" w:color="auto"/>
                      </w:divBdr>
                    </w:div>
                  </w:divsChild>
                </w:div>
                <w:div w:id="1857575190">
                  <w:marLeft w:val="0"/>
                  <w:marRight w:val="0"/>
                  <w:marTop w:val="0"/>
                  <w:marBottom w:val="0"/>
                  <w:divBdr>
                    <w:top w:val="none" w:sz="0" w:space="0" w:color="auto"/>
                    <w:left w:val="none" w:sz="0" w:space="0" w:color="auto"/>
                    <w:bottom w:val="none" w:sz="0" w:space="0" w:color="auto"/>
                    <w:right w:val="none" w:sz="0" w:space="0" w:color="auto"/>
                  </w:divBdr>
                  <w:divsChild>
                    <w:div w:id="1003434647">
                      <w:marLeft w:val="0"/>
                      <w:marRight w:val="0"/>
                      <w:marTop w:val="0"/>
                      <w:marBottom w:val="0"/>
                      <w:divBdr>
                        <w:top w:val="none" w:sz="0" w:space="0" w:color="auto"/>
                        <w:left w:val="none" w:sz="0" w:space="0" w:color="auto"/>
                        <w:bottom w:val="none" w:sz="0" w:space="0" w:color="auto"/>
                        <w:right w:val="none" w:sz="0" w:space="0" w:color="auto"/>
                      </w:divBdr>
                    </w:div>
                  </w:divsChild>
                </w:div>
                <w:div w:id="1954749937">
                  <w:marLeft w:val="0"/>
                  <w:marRight w:val="0"/>
                  <w:marTop w:val="0"/>
                  <w:marBottom w:val="0"/>
                  <w:divBdr>
                    <w:top w:val="none" w:sz="0" w:space="0" w:color="auto"/>
                    <w:left w:val="none" w:sz="0" w:space="0" w:color="auto"/>
                    <w:bottom w:val="none" w:sz="0" w:space="0" w:color="auto"/>
                    <w:right w:val="none" w:sz="0" w:space="0" w:color="auto"/>
                  </w:divBdr>
                  <w:divsChild>
                    <w:div w:id="295063140">
                      <w:marLeft w:val="0"/>
                      <w:marRight w:val="0"/>
                      <w:marTop w:val="0"/>
                      <w:marBottom w:val="0"/>
                      <w:divBdr>
                        <w:top w:val="none" w:sz="0" w:space="0" w:color="auto"/>
                        <w:left w:val="none" w:sz="0" w:space="0" w:color="auto"/>
                        <w:bottom w:val="none" w:sz="0" w:space="0" w:color="auto"/>
                        <w:right w:val="none" w:sz="0" w:space="0" w:color="auto"/>
                      </w:divBdr>
                    </w:div>
                  </w:divsChild>
                </w:div>
                <w:div w:id="2007857009">
                  <w:marLeft w:val="0"/>
                  <w:marRight w:val="0"/>
                  <w:marTop w:val="0"/>
                  <w:marBottom w:val="0"/>
                  <w:divBdr>
                    <w:top w:val="none" w:sz="0" w:space="0" w:color="auto"/>
                    <w:left w:val="none" w:sz="0" w:space="0" w:color="auto"/>
                    <w:bottom w:val="none" w:sz="0" w:space="0" w:color="auto"/>
                    <w:right w:val="none" w:sz="0" w:space="0" w:color="auto"/>
                  </w:divBdr>
                  <w:divsChild>
                    <w:div w:id="925843150">
                      <w:marLeft w:val="0"/>
                      <w:marRight w:val="0"/>
                      <w:marTop w:val="0"/>
                      <w:marBottom w:val="0"/>
                      <w:divBdr>
                        <w:top w:val="none" w:sz="0" w:space="0" w:color="auto"/>
                        <w:left w:val="none" w:sz="0" w:space="0" w:color="auto"/>
                        <w:bottom w:val="none" w:sz="0" w:space="0" w:color="auto"/>
                        <w:right w:val="none" w:sz="0" w:space="0" w:color="auto"/>
                      </w:divBdr>
                    </w:div>
                  </w:divsChild>
                </w:div>
                <w:div w:id="2059746120">
                  <w:marLeft w:val="0"/>
                  <w:marRight w:val="0"/>
                  <w:marTop w:val="0"/>
                  <w:marBottom w:val="0"/>
                  <w:divBdr>
                    <w:top w:val="none" w:sz="0" w:space="0" w:color="auto"/>
                    <w:left w:val="none" w:sz="0" w:space="0" w:color="auto"/>
                    <w:bottom w:val="none" w:sz="0" w:space="0" w:color="auto"/>
                    <w:right w:val="none" w:sz="0" w:space="0" w:color="auto"/>
                  </w:divBdr>
                  <w:divsChild>
                    <w:div w:id="15889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6396">
          <w:marLeft w:val="0"/>
          <w:marRight w:val="0"/>
          <w:marTop w:val="0"/>
          <w:marBottom w:val="0"/>
          <w:divBdr>
            <w:top w:val="none" w:sz="0" w:space="0" w:color="auto"/>
            <w:left w:val="none" w:sz="0" w:space="0" w:color="auto"/>
            <w:bottom w:val="none" w:sz="0" w:space="0" w:color="auto"/>
            <w:right w:val="none" w:sz="0" w:space="0" w:color="auto"/>
          </w:divBdr>
        </w:div>
        <w:div w:id="1435521116">
          <w:marLeft w:val="0"/>
          <w:marRight w:val="0"/>
          <w:marTop w:val="0"/>
          <w:marBottom w:val="0"/>
          <w:divBdr>
            <w:top w:val="none" w:sz="0" w:space="0" w:color="auto"/>
            <w:left w:val="none" w:sz="0" w:space="0" w:color="auto"/>
            <w:bottom w:val="none" w:sz="0" w:space="0" w:color="auto"/>
            <w:right w:val="none" w:sz="0" w:space="0" w:color="auto"/>
          </w:divBdr>
        </w:div>
        <w:div w:id="1882473452">
          <w:marLeft w:val="0"/>
          <w:marRight w:val="0"/>
          <w:marTop w:val="0"/>
          <w:marBottom w:val="0"/>
          <w:divBdr>
            <w:top w:val="none" w:sz="0" w:space="0" w:color="auto"/>
            <w:left w:val="none" w:sz="0" w:space="0" w:color="auto"/>
            <w:bottom w:val="none" w:sz="0" w:space="0" w:color="auto"/>
            <w:right w:val="none" w:sz="0" w:space="0" w:color="auto"/>
          </w:divBdr>
        </w:div>
      </w:divsChild>
    </w:div>
    <w:div w:id="1059984451">
      <w:bodyDiv w:val="1"/>
      <w:marLeft w:val="0"/>
      <w:marRight w:val="0"/>
      <w:marTop w:val="0"/>
      <w:marBottom w:val="0"/>
      <w:divBdr>
        <w:top w:val="none" w:sz="0" w:space="0" w:color="auto"/>
        <w:left w:val="none" w:sz="0" w:space="0" w:color="auto"/>
        <w:bottom w:val="none" w:sz="0" w:space="0" w:color="auto"/>
        <w:right w:val="none" w:sz="0" w:space="0" w:color="auto"/>
      </w:divBdr>
    </w:div>
    <w:div w:id="1060590168">
      <w:bodyDiv w:val="1"/>
      <w:marLeft w:val="0"/>
      <w:marRight w:val="0"/>
      <w:marTop w:val="0"/>
      <w:marBottom w:val="0"/>
      <w:divBdr>
        <w:top w:val="none" w:sz="0" w:space="0" w:color="auto"/>
        <w:left w:val="none" w:sz="0" w:space="0" w:color="auto"/>
        <w:bottom w:val="none" w:sz="0" w:space="0" w:color="auto"/>
        <w:right w:val="none" w:sz="0" w:space="0" w:color="auto"/>
      </w:divBdr>
    </w:div>
    <w:div w:id="1068113888">
      <w:bodyDiv w:val="1"/>
      <w:marLeft w:val="0"/>
      <w:marRight w:val="0"/>
      <w:marTop w:val="0"/>
      <w:marBottom w:val="0"/>
      <w:divBdr>
        <w:top w:val="none" w:sz="0" w:space="0" w:color="auto"/>
        <w:left w:val="none" w:sz="0" w:space="0" w:color="auto"/>
        <w:bottom w:val="none" w:sz="0" w:space="0" w:color="auto"/>
        <w:right w:val="none" w:sz="0" w:space="0" w:color="auto"/>
      </w:divBdr>
      <w:divsChild>
        <w:div w:id="513766473">
          <w:marLeft w:val="0"/>
          <w:marRight w:val="0"/>
          <w:marTop w:val="0"/>
          <w:marBottom w:val="0"/>
          <w:divBdr>
            <w:top w:val="none" w:sz="0" w:space="0" w:color="auto"/>
            <w:left w:val="none" w:sz="0" w:space="0" w:color="auto"/>
            <w:bottom w:val="none" w:sz="0" w:space="0" w:color="auto"/>
            <w:right w:val="none" w:sz="0" w:space="0" w:color="auto"/>
          </w:divBdr>
        </w:div>
        <w:div w:id="1220046266">
          <w:marLeft w:val="0"/>
          <w:marRight w:val="0"/>
          <w:marTop w:val="0"/>
          <w:marBottom w:val="0"/>
          <w:divBdr>
            <w:top w:val="none" w:sz="0" w:space="0" w:color="auto"/>
            <w:left w:val="none" w:sz="0" w:space="0" w:color="auto"/>
            <w:bottom w:val="none" w:sz="0" w:space="0" w:color="auto"/>
            <w:right w:val="none" w:sz="0" w:space="0" w:color="auto"/>
          </w:divBdr>
        </w:div>
        <w:div w:id="1235318344">
          <w:marLeft w:val="0"/>
          <w:marRight w:val="0"/>
          <w:marTop w:val="0"/>
          <w:marBottom w:val="0"/>
          <w:divBdr>
            <w:top w:val="none" w:sz="0" w:space="0" w:color="auto"/>
            <w:left w:val="none" w:sz="0" w:space="0" w:color="auto"/>
            <w:bottom w:val="none" w:sz="0" w:space="0" w:color="auto"/>
            <w:right w:val="none" w:sz="0" w:space="0" w:color="auto"/>
          </w:divBdr>
        </w:div>
      </w:divsChild>
    </w:div>
    <w:div w:id="1073506002">
      <w:bodyDiv w:val="1"/>
      <w:marLeft w:val="0"/>
      <w:marRight w:val="0"/>
      <w:marTop w:val="0"/>
      <w:marBottom w:val="0"/>
      <w:divBdr>
        <w:top w:val="none" w:sz="0" w:space="0" w:color="auto"/>
        <w:left w:val="none" w:sz="0" w:space="0" w:color="auto"/>
        <w:bottom w:val="none" w:sz="0" w:space="0" w:color="auto"/>
        <w:right w:val="none" w:sz="0" w:space="0" w:color="auto"/>
      </w:divBdr>
    </w:div>
    <w:div w:id="1076590180">
      <w:bodyDiv w:val="1"/>
      <w:marLeft w:val="0"/>
      <w:marRight w:val="0"/>
      <w:marTop w:val="0"/>
      <w:marBottom w:val="0"/>
      <w:divBdr>
        <w:top w:val="none" w:sz="0" w:space="0" w:color="auto"/>
        <w:left w:val="none" w:sz="0" w:space="0" w:color="auto"/>
        <w:bottom w:val="none" w:sz="0" w:space="0" w:color="auto"/>
        <w:right w:val="none" w:sz="0" w:space="0" w:color="auto"/>
      </w:divBdr>
    </w:div>
    <w:div w:id="1079979807">
      <w:bodyDiv w:val="1"/>
      <w:marLeft w:val="0"/>
      <w:marRight w:val="0"/>
      <w:marTop w:val="0"/>
      <w:marBottom w:val="0"/>
      <w:divBdr>
        <w:top w:val="none" w:sz="0" w:space="0" w:color="auto"/>
        <w:left w:val="none" w:sz="0" w:space="0" w:color="auto"/>
        <w:bottom w:val="none" w:sz="0" w:space="0" w:color="auto"/>
        <w:right w:val="none" w:sz="0" w:space="0" w:color="auto"/>
      </w:divBdr>
    </w:div>
    <w:div w:id="1091511847">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23885500">
      <w:bodyDiv w:val="1"/>
      <w:marLeft w:val="0"/>
      <w:marRight w:val="0"/>
      <w:marTop w:val="0"/>
      <w:marBottom w:val="0"/>
      <w:divBdr>
        <w:top w:val="none" w:sz="0" w:space="0" w:color="auto"/>
        <w:left w:val="none" w:sz="0" w:space="0" w:color="auto"/>
        <w:bottom w:val="none" w:sz="0" w:space="0" w:color="auto"/>
        <w:right w:val="none" w:sz="0" w:space="0" w:color="auto"/>
      </w:divBdr>
    </w:div>
    <w:div w:id="1139150045">
      <w:bodyDiv w:val="1"/>
      <w:marLeft w:val="0"/>
      <w:marRight w:val="0"/>
      <w:marTop w:val="0"/>
      <w:marBottom w:val="0"/>
      <w:divBdr>
        <w:top w:val="none" w:sz="0" w:space="0" w:color="auto"/>
        <w:left w:val="none" w:sz="0" w:space="0" w:color="auto"/>
        <w:bottom w:val="none" w:sz="0" w:space="0" w:color="auto"/>
        <w:right w:val="none" w:sz="0" w:space="0" w:color="auto"/>
      </w:divBdr>
      <w:divsChild>
        <w:div w:id="1323200685">
          <w:marLeft w:val="0"/>
          <w:marRight w:val="0"/>
          <w:marTop w:val="0"/>
          <w:marBottom w:val="0"/>
          <w:divBdr>
            <w:top w:val="none" w:sz="0" w:space="0" w:color="auto"/>
            <w:left w:val="none" w:sz="0" w:space="0" w:color="auto"/>
            <w:bottom w:val="none" w:sz="0" w:space="0" w:color="auto"/>
            <w:right w:val="none" w:sz="0" w:space="0" w:color="auto"/>
          </w:divBdr>
        </w:div>
        <w:div w:id="1404906996">
          <w:marLeft w:val="0"/>
          <w:marRight w:val="0"/>
          <w:marTop w:val="0"/>
          <w:marBottom w:val="0"/>
          <w:divBdr>
            <w:top w:val="none" w:sz="0" w:space="0" w:color="auto"/>
            <w:left w:val="none" w:sz="0" w:space="0" w:color="auto"/>
            <w:bottom w:val="none" w:sz="0" w:space="0" w:color="auto"/>
            <w:right w:val="none" w:sz="0" w:space="0" w:color="auto"/>
          </w:divBdr>
        </w:div>
        <w:div w:id="2103141118">
          <w:marLeft w:val="0"/>
          <w:marRight w:val="0"/>
          <w:marTop w:val="0"/>
          <w:marBottom w:val="0"/>
          <w:divBdr>
            <w:top w:val="none" w:sz="0" w:space="0" w:color="auto"/>
            <w:left w:val="none" w:sz="0" w:space="0" w:color="auto"/>
            <w:bottom w:val="none" w:sz="0" w:space="0" w:color="auto"/>
            <w:right w:val="none" w:sz="0" w:space="0" w:color="auto"/>
          </w:divBdr>
        </w:div>
      </w:divsChild>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59347015">
      <w:bodyDiv w:val="1"/>
      <w:marLeft w:val="0"/>
      <w:marRight w:val="0"/>
      <w:marTop w:val="0"/>
      <w:marBottom w:val="0"/>
      <w:divBdr>
        <w:top w:val="none" w:sz="0" w:space="0" w:color="auto"/>
        <w:left w:val="none" w:sz="0" w:space="0" w:color="auto"/>
        <w:bottom w:val="none" w:sz="0" w:space="0" w:color="auto"/>
        <w:right w:val="none" w:sz="0" w:space="0" w:color="auto"/>
      </w:divBdr>
    </w:div>
    <w:div w:id="1161385421">
      <w:bodyDiv w:val="1"/>
      <w:marLeft w:val="0"/>
      <w:marRight w:val="0"/>
      <w:marTop w:val="0"/>
      <w:marBottom w:val="0"/>
      <w:divBdr>
        <w:top w:val="none" w:sz="0" w:space="0" w:color="auto"/>
        <w:left w:val="none" w:sz="0" w:space="0" w:color="auto"/>
        <w:bottom w:val="none" w:sz="0" w:space="0" w:color="auto"/>
        <w:right w:val="none" w:sz="0" w:space="0" w:color="auto"/>
      </w:divBdr>
    </w:div>
    <w:div w:id="1170831825">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98354305">
      <w:bodyDiv w:val="1"/>
      <w:marLeft w:val="0"/>
      <w:marRight w:val="0"/>
      <w:marTop w:val="0"/>
      <w:marBottom w:val="0"/>
      <w:divBdr>
        <w:top w:val="none" w:sz="0" w:space="0" w:color="auto"/>
        <w:left w:val="none" w:sz="0" w:space="0" w:color="auto"/>
        <w:bottom w:val="none" w:sz="0" w:space="0" w:color="auto"/>
        <w:right w:val="none" w:sz="0" w:space="0" w:color="auto"/>
      </w:divBdr>
    </w:div>
    <w:div w:id="1216235734">
      <w:bodyDiv w:val="1"/>
      <w:marLeft w:val="0"/>
      <w:marRight w:val="0"/>
      <w:marTop w:val="0"/>
      <w:marBottom w:val="0"/>
      <w:divBdr>
        <w:top w:val="none" w:sz="0" w:space="0" w:color="auto"/>
        <w:left w:val="none" w:sz="0" w:space="0" w:color="auto"/>
        <w:bottom w:val="none" w:sz="0" w:space="0" w:color="auto"/>
        <w:right w:val="none" w:sz="0" w:space="0" w:color="auto"/>
      </w:divBdr>
    </w:div>
    <w:div w:id="1219048721">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33078005">
      <w:bodyDiv w:val="1"/>
      <w:marLeft w:val="0"/>
      <w:marRight w:val="0"/>
      <w:marTop w:val="0"/>
      <w:marBottom w:val="0"/>
      <w:divBdr>
        <w:top w:val="none" w:sz="0" w:space="0" w:color="auto"/>
        <w:left w:val="none" w:sz="0" w:space="0" w:color="auto"/>
        <w:bottom w:val="none" w:sz="0" w:space="0" w:color="auto"/>
        <w:right w:val="none" w:sz="0" w:space="0" w:color="auto"/>
      </w:divBdr>
    </w:div>
    <w:div w:id="1233543079">
      <w:bodyDiv w:val="1"/>
      <w:marLeft w:val="0"/>
      <w:marRight w:val="0"/>
      <w:marTop w:val="0"/>
      <w:marBottom w:val="0"/>
      <w:divBdr>
        <w:top w:val="none" w:sz="0" w:space="0" w:color="auto"/>
        <w:left w:val="none" w:sz="0" w:space="0" w:color="auto"/>
        <w:bottom w:val="none" w:sz="0" w:space="0" w:color="auto"/>
        <w:right w:val="none" w:sz="0" w:space="0" w:color="auto"/>
      </w:divBdr>
    </w:div>
    <w:div w:id="1240866103">
      <w:bodyDiv w:val="1"/>
      <w:marLeft w:val="0"/>
      <w:marRight w:val="0"/>
      <w:marTop w:val="0"/>
      <w:marBottom w:val="0"/>
      <w:divBdr>
        <w:top w:val="none" w:sz="0" w:space="0" w:color="auto"/>
        <w:left w:val="none" w:sz="0" w:space="0" w:color="auto"/>
        <w:bottom w:val="none" w:sz="0" w:space="0" w:color="auto"/>
        <w:right w:val="none" w:sz="0" w:space="0" w:color="auto"/>
      </w:divBdr>
      <w:divsChild>
        <w:div w:id="2369094">
          <w:marLeft w:val="0"/>
          <w:marRight w:val="0"/>
          <w:marTop w:val="0"/>
          <w:marBottom w:val="0"/>
          <w:divBdr>
            <w:top w:val="none" w:sz="0" w:space="0" w:color="auto"/>
            <w:left w:val="none" w:sz="0" w:space="0" w:color="auto"/>
            <w:bottom w:val="none" w:sz="0" w:space="0" w:color="auto"/>
            <w:right w:val="none" w:sz="0" w:space="0" w:color="auto"/>
          </w:divBdr>
        </w:div>
        <w:div w:id="118770281">
          <w:marLeft w:val="0"/>
          <w:marRight w:val="0"/>
          <w:marTop w:val="0"/>
          <w:marBottom w:val="0"/>
          <w:divBdr>
            <w:top w:val="none" w:sz="0" w:space="0" w:color="auto"/>
            <w:left w:val="none" w:sz="0" w:space="0" w:color="auto"/>
            <w:bottom w:val="none" w:sz="0" w:space="0" w:color="auto"/>
            <w:right w:val="none" w:sz="0" w:space="0" w:color="auto"/>
          </w:divBdr>
        </w:div>
        <w:div w:id="287978072">
          <w:marLeft w:val="0"/>
          <w:marRight w:val="0"/>
          <w:marTop w:val="0"/>
          <w:marBottom w:val="0"/>
          <w:divBdr>
            <w:top w:val="none" w:sz="0" w:space="0" w:color="auto"/>
            <w:left w:val="none" w:sz="0" w:space="0" w:color="auto"/>
            <w:bottom w:val="none" w:sz="0" w:space="0" w:color="auto"/>
            <w:right w:val="none" w:sz="0" w:space="0" w:color="auto"/>
          </w:divBdr>
        </w:div>
        <w:div w:id="355621449">
          <w:marLeft w:val="0"/>
          <w:marRight w:val="0"/>
          <w:marTop w:val="0"/>
          <w:marBottom w:val="0"/>
          <w:divBdr>
            <w:top w:val="none" w:sz="0" w:space="0" w:color="auto"/>
            <w:left w:val="none" w:sz="0" w:space="0" w:color="auto"/>
            <w:bottom w:val="none" w:sz="0" w:space="0" w:color="auto"/>
            <w:right w:val="none" w:sz="0" w:space="0" w:color="auto"/>
          </w:divBdr>
        </w:div>
        <w:div w:id="376393768">
          <w:marLeft w:val="0"/>
          <w:marRight w:val="0"/>
          <w:marTop w:val="0"/>
          <w:marBottom w:val="0"/>
          <w:divBdr>
            <w:top w:val="none" w:sz="0" w:space="0" w:color="auto"/>
            <w:left w:val="none" w:sz="0" w:space="0" w:color="auto"/>
            <w:bottom w:val="none" w:sz="0" w:space="0" w:color="auto"/>
            <w:right w:val="none" w:sz="0" w:space="0" w:color="auto"/>
          </w:divBdr>
        </w:div>
        <w:div w:id="386611196">
          <w:marLeft w:val="0"/>
          <w:marRight w:val="0"/>
          <w:marTop w:val="0"/>
          <w:marBottom w:val="0"/>
          <w:divBdr>
            <w:top w:val="none" w:sz="0" w:space="0" w:color="auto"/>
            <w:left w:val="none" w:sz="0" w:space="0" w:color="auto"/>
            <w:bottom w:val="none" w:sz="0" w:space="0" w:color="auto"/>
            <w:right w:val="none" w:sz="0" w:space="0" w:color="auto"/>
          </w:divBdr>
        </w:div>
        <w:div w:id="402215947">
          <w:marLeft w:val="0"/>
          <w:marRight w:val="0"/>
          <w:marTop w:val="0"/>
          <w:marBottom w:val="0"/>
          <w:divBdr>
            <w:top w:val="none" w:sz="0" w:space="0" w:color="auto"/>
            <w:left w:val="none" w:sz="0" w:space="0" w:color="auto"/>
            <w:bottom w:val="none" w:sz="0" w:space="0" w:color="auto"/>
            <w:right w:val="none" w:sz="0" w:space="0" w:color="auto"/>
          </w:divBdr>
        </w:div>
        <w:div w:id="403259951">
          <w:marLeft w:val="0"/>
          <w:marRight w:val="0"/>
          <w:marTop w:val="0"/>
          <w:marBottom w:val="0"/>
          <w:divBdr>
            <w:top w:val="none" w:sz="0" w:space="0" w:color="auto"/>
            <w:left w:val="none" w:sz="0" w:space="0" w:color="auto"/>
            <w:bottom w:val="none" w:sz="0" w:space="0" w:color="auto"/>
            <w:right w:val="none" w:sz="0" w:space="0" w:color="auto"/>
          </w:divBdr>
        </w:div>
        <w:div w:id="455024711">
          <w:marLeft w:val="0"/>
          <w:marRight w:val="0"/>
          <w:marTop w:val="0"/>
          <w:marBottom w:val="0"/>
          <w:divBdr>
            <w:top w:val="none" w:sz="0" w:space="0" w:color="auto"/>
            <w:left w:val="none" w:sz="0" w:space="0" w:color="auto"/>
            <w:bottom w:val="none" w:sz="0" w:space="0" w:color="auto"/>
            <w:right w:val="none" w:sz="0" w:space="0" w:color="auto"/>
          </w:divBdr>
        </w:div>
        <w:div w:id="715929822">
          <w:marLeft w:val="0"/>
          <w:marRight w:val="0"/>
          <w:marTop w:val="0"/>
          <w:marBottom w:val="0"/>
          <w:divBdr>
            <w:top w:val="none" w:sz="0" w:space="0" w:color="auto"/>
            <w:left w:val="none" w:sz="0" w:space="0" w:color="auto"/>
            <w:bottom w:val="none" w:sz="0" w:space="0" w:color="auto"/>
            <w:right w:val="none" w:sz="0" w:space="0" w:color="auto"/>
          </w:divBdr>
        </w:div>
        <w:div w:id="774137437">
          <w:marLeft w:val="0"/>
          <w:marRight w:val="0"/>
          <w:marTop w:val="0"/>
          <w:marBottom w:val="0"/>
          <w:divBdr>
            <w:top w:val="none" w:sz="0" w:space="0" w:color="auto"/>
            <w:left w:val="none" w:sz="0" w:space="0" w:color="auto"/>
            <w:bottom w:val="none" w:sz="0" w:space="0" w:color="auto"/>
            <w:right w:val="none" w:sz="0" w:space="0" w:color="auto"/>
          </w:divBdr>
        </w:div>
        <w:div w:id="776682968">
          <w:marLeft w:val="0"/>
          <w:marRight w:val="0"/>
          <w:marTop w:val="0"/>
          <w:marBottom w:val="0"/>
          <w:divBdr>
            <w:top w:val="none" w:sz="0" w:space="0" w:color="auto"/>
            <w:left w:val="none" w:sz="0" w:space="0" w:color="auto"/>
            <w:bottom w:val="none" w:sz="0" w:space="0" w:color="auto"/>
            <w:right w:val="none" w:sz="0" w:space="0" w:color="auto"/>
          </w:divBdr>
        </w:div>
        <w:div w:id="823009791">
          <w:marLeft w:val="0"/>
          <w:marRight w:val="0"/>
          <w:marTop w:val="0"/>
          <w:marBottom w:val="0"/>
          <w:divBdr>
            <w:top w:val="none" w:sz="0" w:space="0" w:color="auto"/>
            <w:left w:val="none" w:sz="0" w:space="0" w:color="auto"/>
            <w:bottom w:val="none" w:sz="0" w:space="0" w:color="auto"/>
            <w:right w:val="none" w:sz="0" w:space="0" w:color="auto"/>
          </w:divBdr>
        </w:div>
        <w:div w:id="873159006">
          <w:marLeft w:val="0"/>
          <w:marRight w:val="0"/>
          <w:marTop w:val="0"/>
          <w:marBottom w:val="0"/>
          <w:divBdr>
            <w:top w:val="none" w:sz="0" w:space="0" w:color="auto"/>
            <w:left w:val="none" w:sz="0" w:space="0" w:color="auto"/>
            <w:bottom w:val="none" w:sz="0" w:space="0" w:color="auto"/>
            <w:right w:val="none" w:sz="0" w:space="0" w:color="auto"/>
          </w:divBdr>
        </w:div>
        <w:div w:id="934291029">
          <w:marLeft w:val="0"/>
          <w:marRight w:val="0"/>
          <w:marTop w:val="0"/>
          <w:marBottom w:val="0"/>
          <w:divBdr>
            <w:top w:val="none" w:sz="0" w:space="0" w:color="auto"/>
            <w:left w:val="none" w:sz="0" w:space="0" w:color="auto"/>
            <w:bottom w:val="none" w:sz="0" w:space="0" w:color="auto"/>
            <w:right w:val="none" w:sz="0" w:space="0" w:color="auto"/>
          </w:divBdr>
        </w:div>
        <w:div w:id="1020736306">
          <w:marLeft w:val="0"/>
          <w:marRight w:val="0"/>
          <w:marTop w:val="0"/>
          <w:marBottom w:val="0"/>
          <w:divBdr>
            <w:top w:val="none" w:sz="0" w:space="0" w:color="auto"/>
            <w:left w:val="none" w:sz="0" w:space="0" w:color="auto"/>
            <w:bottom w:val="none" w:sz="0" w:space="0" w:color="auto"/>
            <w:right w:val="none" w:sz="0" w:space="0" w:color="auto"/>
          </w:divBdr>
        </w:div>
        <w:div w:id="1050689606">
          <w:marLeft w:val="0"/>
          <w:marRight w:val="0"/>
          <w:marTop w:val="0"/>
          <w:marBottom w:val="0"/>
          <w:divBdr>
            <w:top w:val="none" w:sz="0" w:space="0" w:color="auto"/>
            <w:left w:val="none" w:sz="0" w:space="0" w:color="auto"/>
            <w:bottom w:val="none" w:sz="0" w:space="0" w:color="auto"/>
            <w:right w:val="none" w:sz="0" w:space="0" w:color="auto"/>
          </w:divBdr>
        </w:div>
        <w:div w:id="1253051848">
          <w:marLeft w:val="0"/>
          <w:marRight w:val="0"/>
          <w:marTop w:val="0"/>
          <w:marBottom w:val="0"/>
          <w:divBdr>
            <w:top w:val="none" w:sz="0" w:space="0" w:color="auto"/>
            <w:left w:val="none" w:sz="0" w:space="0" w:color="auto"/>
            <w:bottom w:val="none" w:sz="0" w:space="0" w:color="auto"/>
            <w:right w:val="none" w:sz="0" w:space="0" w:color="auto"/>
          </w:divBdr>
        </w:div>
        <w:div w:id="1265118011">
          <w:marLeft w:val="0"/>
          <w:marRight w:val="0"/>
          <w:marTop w:val="0"/>
          <w:marBottom w:val="0"/>
          <w:divBdr>
            <w:top w:val="none" w:sz="0" w:space="0" w:color="auto"/>
            <w:left w:val="none" w:sz="0" w:space="0" w:color="auto"/>
            <w:bottom w:val="none" w:sz="0" w:space="0" w:color="auto"/>
            <w:right w:val="none" w:sz="0" w:space="0" w:color="auto"/>
          </w:divBdr>
        </w:div>
        <w:div w:id="1338266502">
          <w:marLeft w:val="0"/>
          <w:marRight w:val="0"/>
          <w:marTop w:val="0"/>
          <w:marBottom w:val="0"/>
          <w:divBdr>
            <w:top w:val="none" w:sz="0" w:space="0" w:color="auto"/>
            <w:left w:val="none" w:sz="0" w:space="0" w:color="auto"/>
            <w:bottom w:val="none" w:sz="0" w:space="0" w:color="auto"/>
            <w:right w:val="none" w:sz="0" w:space="0" w:color="auto"/>
          </w:divBdr>
        </w:div>
        <w:div w:id="1426001621">
          <w:marLeft w:val="0"/>
          <w:marRight w:val="0"/>
          <w:marTop w:val="0"/>
          <w:marBottom w:val="0"/>
          <w:divBdr>
            <w:top w:val="none" w:sz="0" w:space="0" w:color="auto"/>
            <w:left w:val="none" w:sz="0" w:space="0" w:color="auto"/>
            <w:bottom w:val="none" w:sz="0" w:space="0" w:color="auto"/>
            <w:right w:val="none" w:sz="0" w:space="0" w:color="auto"/>
          </w:divBdr>
        </w:div>
        <w:div w:id="1546677791">
          <w:marLeft w:val="0"/>
          <w:marRight w:val="0"/>
          <w:marTop w:val="0"/>
          <w:marBottom w:val="0"/>
          <w:divBdr>
            <w:top w:val="none" w:sz="0" w:space="0" w:color="auto"/>
            <w:left w:val="none" w:sz="0" w:space="0" w:color="auto"/>
            <w:bottom w:val="none" w:sz="0" w:space="0" w:color="auto"/>
            <w:right w:val="none" w:sz="0" w:space="0" w:color="auto"/>
          </w:divBdr>
        </w:div>
        <w:div w:id="1553880369">
          <w:marLeft w:val="0"/>
          <w:marRight w:val="0"/>
          <w:marTop w:val="0"/>
          <w:marBottom w:val="0"/>
          <w:divBdr>
            <w:top w:val="none" w:sz="0" w:space="0" w:color="auto"/>
            <w:left w:val="none" w:sz="0" w:space="0" w:color="auto"/>
            <w:bottom w:val="none" w:sz="0" w:space="0" w:color="auto"/>
            <w:right w:val="none" w:sz="0" w:space="0" w:color="auto"/>
          </w:divBdr>
        </w:div>
        <w:div w:id="1626348739">
          <w:marLeft w:val="0"/>
          <w:marRight w:val="0"/>
          <w:marTop w:val="0"/>
          <w:marBottom w:val="0"/>
          <w:divBdr>
            <w:top w:val="none" w:sz="0" w:space="0" w:color="auto"/>
            <w:left w:val="none" w:sz="0" w:space="0" w:color="auto"/>
            <w:bottom w:val="none" w:sz="0" w:space="0" w:color="auto"/>
            <w:right w:val="none" w:sz="0" w:space="0" w:color="auto"/>
          </w:divBdr>
        </w:div>
        <w:div w:id="1698775582">
          <w:marLeft w:val="0"/>
          <w:marRight w:val="0"/>
          <w:marTop w:val="0"/>
          <w:marBottom w:val="0"/>
          <w:divBdr>
            <w:top w:val="none" w:sz="0" w:space="0" w:color="auto"/>
            <w:left w:val="none" w:sz="0" w:space="0" w:color="auto"/>
            <w:bottom w:val="none" w:sz="0" w:space="0" w:color="auto"/>
            <w:right w:val="none" w:sz="0" w:space="0" w:color="auto"/>
          </w:divBdr>
        </w:div>
        <w:div w:id="1718236707">
          <w:marLeft w:val="0"/>
          <w:marRight w:val="0"/>
          <w:marTop w:val="0"/>
          <w:marBottom w:val="0"/>
          <w:divBdr>
            <w:top w:val="none" w:sz="0" w:space="0" w:color="auto"/>
            <w:left w:val="none" w:sz="0" w:space="0" w:color="auto"/>
            <w:bottom w:val="none" w:sz="0" w:space="0" w:color="auto"/>
            <w:right w:val="none" w:sz="0" w:space="0" w:color="auto"/>
          </w:divBdr>
        </w:div>
        <w:div w:id="1720546291">
          <w:marLeft w:val="0"/>
          <w:marRight w:val="0"/>
          <w:marTop w:val="0"/>
          <w:marBottom w:val="0"/>
          <w:divBdr>
            <w:top w:val="none" w:sz="0" w:space="0" w:color="auto"/>
            <w:left w:val="none" w:sz="0" w:space="0" w:color="auto"/>
            <w:bottom w:val="none" w:sz="0" w:space="0" w:color="auto"/>
            <w:right w:val="none" w:sz="0" w:space="0" w:color="auto"/>
          </w:divBdr>
        </w:div>
        <w:div w:id="1819346267">
          <w:marLeft w:val="0"/>
          <w:marRight w:val="0"/>
          <w:marTop w:val="0"/>
          <w:marBottom w:val="0"/>
          <w:divBdr>
            <w:top w:val="none" w:sz="0" w:space="0" w:color="auto"/>
            <w:left w:val="none" w:sz="0" w:space="0" w:color="auto"/>
            <w:bottom w:val="none" w:sz="0" w:space="0" w:color="auto"/>
            <w:right w:val="none" w:sz="0" w:space="0" w:color="auto"/>
          </w:divBdr>
        </w:div>
        <w:div w:id="1822765625">
          <w:marLeft w:val="0"/>
          <w:marRight w:val="0"/>
          <w:marTop w:val="0"/>
          <w:marBottom w:val="0"/>
          <w:divBdr>
            <w:top w:val="none" w:sz="0" w:space="0" w:color="auto"/>
            <w:left w:val="none" w:sz="0" w:space="0" w:color="auto"/>
            <w:bottom w:val="none" w:sz="0" w:space="0" w:color="auto"/>
            <w:right w:val="none" w:sz="0" w:space="0" w:color="auto"/>
          </w:divBdr>
        </w:div>
        <w:div w:id="1926916658">
          <w:marLeft w:val="0"/>
          <w:marRight w:val="0"/>
          <w:marTop w:val="0"/>
          <w:marBottom w:val="0"/>
          <w:divBdr>
            <w:top w:val="none" w:sz="0" w:space="0" w:color="auto"/>
            <w:left w:val="none" w:sz="0" w:space="0" w:color="auto"/>
            <w:bottom w:val="none" w:sz="0" w:space="0" w:color="auto"/>
            <w:right w:val="none" w:sz="0" w:space="0" w:color="auto"/>
          </w:divBdr>
        </w:div>
        <w:div w:id="2011517910">
          <w:marLeft w:val="0"/>
          <w:marRight w:val="0"/>
          <w:marTop w:val="0"/>
          <w:marBottom w:val="0"/>
          <w:divBdr>
            <w:top w:val="none" w:sz="0" w:space="0" w:color="auto"/>
            <w:left w:val="none" w:sz="0" w:space="0" w:color="auto"/>
            <w:bottom w:val="none" w:sz="0" w:space="0" w:color="auto"/>
            <w:right w:val="none" w:sz="0" w:space="0" w:color="auto"/>
          </w:divBdr>
        </w:div>
        <w:div w:id="2058503519">
          <w:marLeft w:val="0"/>
          <w:marRight w:val="0"/>
          <w:marTop w:val="0"/>
          <w:marBottom w:val="0"/>
          <w:divBdr>
            <w:top w:val="none" w:sz="0" w:space="0" w:color="auto"/>
            <w:left w:val="none" w:sz="0" w:space="0" w:color="auto"/>
            <w:bottom w:val="none" w:sz="0" w:space="0" w:color="auto"/>
            <w:right w:val="none" w:sz="0" w:space="0" w:color="auto"/>
          </w:divBdr>
        </w:div>
        <w:div w:id="2091265323">
          <w:marLeft w:val="0"/>
          <w:marRight w:val="0"/>
          <w:marTop w:val="0"/>
          <w:marBottom w:val="0"/>
          <w:divBdr>
            <w:top w:val="none" w:sz="0" w:space="0" w:color="auto"/>
            <w:left w:val="none" w:sz="0" w:space="0" w:color="auto"/>
            <w:bottom w:val="none" w:sz="0" w:space="0" w:color="auto"/>
            <w:right w:val="none" w:sz="0" w:space="0" w:color="auto"/>
          </w:divBdr>
        </w:div>
      </w:divsChild>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48879306">
      <w:bodyDiv w:val="1"/>
      <w:marLeft w:val="0"/>
      <w:marRight w:val="0"/>
      <w:marTop w:val="0"/>
      <w:marBottom w:val="0"/>
      <w:divBdr>
        <w:top w:val="none" w:sz="0" w:space="0" w:color="auto"/>
        <w:left w:val="none" w:sz="0" w:space="0" w:color="auto"/>
        <w:bottom w:val="none" w:sz="0" w:space="0" w:color="auto"/>
        <w:right w:val="none" w:sz="0" w:space="0" w:color="auto"/>
      </w:divBdr>
    </w:div>
    <w:div w:id="1254819221">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6934385">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67612960">
      <w:bodyDiv w:val="1"/>
      <w:marLeft w:val="0"/>
      <w:marRight w:val="0"/>
      <w:marTop w:val="0"/>
      <w:marBottom w:val="0"/>
      <w:divBdr>
        <w:top w:val="none" w:sz="0" w:space="0" w:color="auto"/>
        <w:left w:val="none" w:sz="0" w:space="0" w:color="auto"/>
        <w:bottom w:val="none" w:sz="0" w:space="0" w:color="auto"/>
        <w:right w:val="none" w:sz="0" w:space="0" w:color="auto"/>
      </w:divBdr>
    </w:div>
    <w:div w:id="1268348140">
      <w:bodyDiv w:val="1"/>
      <w:marLeft w:val="0"/>
      <w:marRight w:val="0"/>
      <w:marTop w:val="0"/>
      <w:marBottom w:val="0"/>
      <w:divBdr>
        <w:top w:val="none" w:sz="0" w:space="0" w:color="auto"/>
        <w:left w:val="none" w:sz="0" w:space="0" w:color="auto"/>
        <w:bottom w:val="none" w:sz="0" w:space="0" w:color="auto"/>
        <w:right w:val="none" w:sz="0" w:space="0" w:color="auto"/>
      </w:divBdr>
    </w:div>
    <w:div w:id="1268848988">
      <w:bodyDiv w:val="1"/>
      <w:marLeft w:val="0"/>
      <w:marRight w:val="0"/>
      <w:marTop w:val="0"/>
      <w:marBottom w:val="0"/>
      <w:divBdr>
        <w:top w:val="none" w:sz="0" w:space="0" w:color="auto"/>
        <w:left w:val="none" w:sz="0" w:space="0" w:color="auto"/>
        <w:bottom w:val="none" w:sz="0" w:space="0" w:color="auto"/>
        <w:right w:val="none" w:sz="0" w:space="0" w:color="auto"/>
      </w:divBdr>
    </w:div>
    <w:div w:id="1270508357">
      <w:bodyDiv w:val="1"/>
      <w:marLeft w:val="0"/>
      <w:marRight w:val="0"/>
      <w:marTop w:val="0"/>
      <w:marBottom w:val="0"/>
      <w:divBdr>
        <w:top w:val="none" w:sz="0" w:space="0" w:color="auto"/>
        <w:left w:val="none" w:sz="0" w:space="0" w:color="auto"/>
        <w:bottom w:val="none" w:sz="0" w:space="0" w:color="auto"/>
        <w:right w:val="none" w:sz="0" w:space="0" w:color="auto"/>
      </w:divBdr>
      <w:divsChild>
        <w:div w:id="1989477461">
          <w:marLeft w:val="0"/>
          <w:marRight w:val="0"/>
          <w:marTop w:val="0"/>
          <w:marBottom w:val="0"/>
          <w:divBdr>
            <w:top w:val="none" w:sz="0" w:space="0" w:color="auto"/>
            <w:left w:val="none" w:sz="0" w:space="0" w:color="auto"/>
            <w:bottom w:val="none" w:sz="0" w:space="0" w:color="auto"/>
            <w:right w:val="none" w:sz="0" w:space="0" w:color="auto"/>
          </w:divBdr>
        </w:div>
      </w:divsChild>
    </w:div>
    <w:div w:id="1279488752">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293176964">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13755243">
      <w:bodyDiv w:val="1"/>
      <w:marLeft w:val="0"/>
      <w:marRight w:val="0"/>
      <w:marTop w:val="0"/>
      <w:marBottom w:val="0"/>
      <w:divBdr>
        <w:top w:val="none" w:sz="0" w:space="0" w:color="auto"/>
        <w:left w:val="none" w:sz="0" w:space="0" w:color="auto"/>
        <w:bottom w:val="none" w:sz="0" w:space="0" w:color="auto"/>
        <w:right w:val="none" w:sz="0" w:space="0" w:color="auto"/>
      </w:divBdr>
    </w:div>
    <w:div w:id="1320035009">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26737106">
      <w:bodyDiv w:val="1"/>
      <w:marLeft w:val="0"/>
      <w:marRight w:val="0"/>
      <w:marTop w:val="0"/>
      <w:marBottom w:val="0"/>
      <w:divBdr>
        <w:top w:val="none" w:sz="0" w:space="0" w:color="auto"/>
        <w:left w:val="none" w:sz="0" w:space="0" w:color="auto"/>
        <w:bottom w:val="none" w:sz="0" w:space="0" w:color="auto"/>
        <w:right w:val="none" w:sz="0" w:space="0" w:color="auto"/>
      </w:divBdr>
    </w:div>
    <w:div w:id="1332220711">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43316014">
      <w:bodyDiv w:val="1"/>
      <w:marLeft w:val="0"/>
      <w:marRight w:val="0"/>
      <w:marTop w:val="0"/>
      <w:marBottom w:val="0"/>
      <w:divBdr>
        <w:top w:val="none" w:sz="0" w:space="0" w:color="auto"/>
        <w:left w:val="none" w:sz="0" w:space="0" w:color="auto"/>
        <w:bottom w:val="none" w:sz="0" w:space="0" w:color="auto"/>
        <w:right w:val="none" w:sz="0" w:space="0" w:color="auto"/>
      </w:divBdr>
      <w:divsChild>
        <w:div w:id="274681711">
          <w:marLeft w:val="0"/>
          <w:marRight w:val="0"/>
          <w:marTop w:val="0"/>
          <w:marBottom w:val="0"/>
          <w:divBdr>
            <w:top w:val="none" w:sz="0" w:space="0" w:color="auto"/>
            <w:left w:val="none" w:sz="0" w:space="0" w:color="auto"/>
            <w:bottom w:val="none" w:sz="0" w:space="0" w:color="auto"/>
            <w:right w:val="none" w:sz="0" w:space="0" w:color="auto"/>
          </w:divBdr>
        </w:div>
        <w:div w:id="842205057">
          <w:marLeft w:val="0"/>
          <w:marRight w:val="0"/>
          <w:marTop w:val="0"/>
          <w:marBottom w:val="0"/>
          <w:divBdr>
            <w:top w:val="none" w:sz="0" w:space="0" w:color="auto"/>
            <w:left w:val="none" w:sz="0" w:space="0" w:color="auto"/>
            <w:bottom w:val="none" w:sz="0" w:space="0" w:color="auto"/>
            <w:right w:val="none" w:sz="0" w:space="0" w:color="auto"/>
          </w:divBdr>
        </w:div>
        <w:div w:id="1046567442">
          <w:marLeft w:val="0"/>
          <w:marRight w:val="0"/>
          <w:marTop w:val="0"/>
          <w:marBottom w:val="0"/>
          <w:divBdr>
            <w:top w:val="none" w:sz="0" w:space="0" w:color="auto"/>
            <w:left w:val="none" w:sz="0" w:space="0" w:color="auto"/>
            <w:bottom w:val="none" w:sz="0" w:space="0" w:color="auto"/>
            <w:right w:val="none" w:sz="0" w:space="0" w:color="auto"/>
          </w:divBdr>
        </w:div>
        <w:div w:id="1094670720">
          <w:marLeft w:val="0"/>
          <w:marRight w:val="0"/>
          <w:marTop w:val="0"/>
          <w:marBottom w:val="0"/>
          <w:divBdr>
            <w:top w:val="none" w:sz="0" w:space="0" w:color="auto"/>
            <w:left w:val="none" w:sz="0" w:space="0" w:color="auto"/>
            <w:bottom w:val="none" w:sz="0" w:space="0" w:color="auto"/>
            <w:right w:val="none" w:sz="0" w:space="0" w:color="auto"/>
          </w:divBdr>
        </w:div>
        <w:div w:id="1194802502">
          <w:marLeft w:val="0"/>
          <w:marRight w:val="0"/>
          <w:marTop w:val="0"/>
          <w:marBottom w:val="0"/>
          <w:divBdr>
            <w:top w:val="none" w:sz="0" w:space="0" w:color="auto"/>
            <w:left w:val="none" w:sz="0" w:space="0" w:color="auto"/>
            <w:bottom w:val="none" w:sz="0" w:space="0" w:color="auto"/>
            <w:right w:val="none" w:sz="0" w:space="0" w:color="auto"/>
          </w:divBdr>
        </w:div>
        <w:div w:id="1585918558">
          <w:marLeft w:val="0"/>
          <w:marRight w:val="0"/>
          <w:marTop w:val="0"/>
          <w:marBottom w:val="0"/>
          <w:divBdr>
            <w:top w:val="none" w:sz="0" w:space="0" w:color="auto"/>
            <w:left w:val="none" w:sz="0" w:space="0" w:color="auto"/>
            <w:bottom w:val="none" w:sz="0" w:space="0" w:color="auto"/>
            <w:right w:val="none" w:sz="0" w:space="0" w:color="auto"/>
          </w:divBdr>
        </w:div>
        <w:div w:id="1656566416">
          <w:marLeft w:val="0"/>
          <w:marRight w:val="0"/>
          <w:marTop w:val="0"/>
          <w:marBottom w:val="0"/>
          <w:divBdr>
            <w:top w:val="none" w:sz="0" w:space="0" w:color="auto"/>
            <w:left w:val="none" w:sz="0" w:space="0" w:color="auto"/>
            <w:bottom w:val="none" w:sz="0" w:space="0" w:color="auto"/>
            <w:right w:val="none" w:sz="0" w:space="0" w:color="auto"/>
          </w:divBdr>
        </w:div>
        <w:div w:id="2078429096">
          <w:marLeft w:val="0"/>
          <w:marRight w:val="0"/>
          <w:marTop w:val="0"/>
          <w:marBottom w:val="0"/>
          <w:divBdr>
            <w:top w:val="none" w:sz="0" w:space="0" w:color="auto"/>
            <w:left w:val="none" w:sz="0" w:space="0" w:color="auto"/>
            <w:bottom w:val="none" w:sz="0" w:space="0" w:color="auto"/>
            <w:right w:val="none" w:sz="0" w:space="0" w:color="auto"/>
          </w:divBdr>
        </w:div>
      </w:divsChild>
    </w:div>
    <w:div w:id="1362243300">
      <w:bodyDiv w:val="1"/>
      <w:marLeft w:val="0"/>
      <w:marRight w:val="0"/>
      <w:marTop w:val="0"/>
      <w:marBottom w:val="0"/>
      <w:divBdr>
        <w:top w:val="none" w:sz="0" w:space="0" w:color="auto"/>
        <w:left w:val="none" w:sz="0" w:space="0" w:color="auto"/>
        <w:bottom w:val="none" w:sz="0" w:space="0" w:color="auto"/>
        <w:right w:val="none" w:sz="0" w:space="0" w:color="auto"/>
      </w:divBdr>
    </w:div>
    <w:div w:id="1371149197">
      <w:bodyDiv w:val="1"/>
      <w:marLeft w:val="0"/>
      <w:marRight w:val="0"/>
      <w:marTop w:val="0"/>
      <w:marBottom w:val="0"/>
      <w:divBdr>
        <w:top w:val="none" w:sz="0" w:space="0" w:color="auto"/>
        <w:left w:val="none" w:sz="0" w:space="0" w:color="auto"/>
        <w:bottom w:val="none" w:sz="0" w:space="0" w:color="auto"/>
        <w:right w:val="none" w:sz="0" w:space="0" w:color="auto"/>
      </w:divBdr>
    </w:div>
    <w:div w:id="1372455353">
      <w:bodyDiv w:val="1"/>
      <w:marLeft w:val="0"/>
      <w:marRight w:val="0"/>
      <w:marTop w:val="0"/>
      <w:marBottom w:val="0"/>
      <w:divBdr>
        <w:top w:val="none" w:sz="0" w:space="0" w:color="auto"/>
        <w:left w:val="none" w:sz="0" w:space="0" w:color="auto"/>
        <w:bottom w:val="none" w:sz="0" w:space="0" w:color="auto"/>
        <w:right w:val="none" w:sz="0" w:space="0" w:color="auto"/>
      </w:divBdr>
    </w:div>
    <w:div w:id="1375499048">
      <w:bodyDiv w:val="1"/>
      <w:marLeft w:val="0"/>
      <w:marRight w:val="0"/>
      <w:marTop w:val="0"/>
      <w:marBottom w:val="0"/>
      <w:divBdr>
        <w:top w:val="none" w:sz="0" w:space="0" w:color="auto"/>
        <w:left w:val="none" w:sz="0" w:space="0" w:color="auto"/>
        <w:bottom w:val="none" w:sz="0" w:space="0" w:color="auto"/>
        <w:right w:val="none" w:sz="0" w:space="0" w:color="auto"/>
      </w:divBdr>
    </w:div>
    <w:div w:id="1399401216">
      <w:bodyDiv w:val="1"/>
      <w:marLeft w:val="0"/>
      <w:marRight w:val="0"/>
      <w:marTop w:val="0"/>
      <w:marBottom w:val="0"/>
      <w:divBdr>
        <w:top w:val="none" w:sz="0" w:space="0" w:color="auto"/>
        <w:left w:val="none" w:sz="0" w:space="0" w:color="auto"/>
        <w:bottom w:val="none" w:sz="0" w:space="0" w:color="auto"/>
        <w:right w:val="none" w:sz="0" w:space="0" w:color="auto"/>
      </w:divBdr>
    </w:div>
    <w:div w:id="1400177583">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11847794">
      <w:bodyDiv w:val="1"/>
      <w:marLeft w:val="0"/>
      <w:marRight w:val="0"/>
      <w:marTop w:val="0"/>
      <w:marBottom w:val="0"/>
      <w:divBdr>
        <w:top w:val="none" w:sz="0" w:space="0" w:color="auto"/>
        <w:left w:val="none" w:sz="0" w:space="0" w:color="auto"/>
        <w:bottom w:val="none" w:sz="0" w:space="0" w:color="auto"/>
        <w:right w:val="none" w:sz="0" w:space="0" w:color="auto"/>
      </w:divBdr>
    </w:div>
    <w:div w:id="1430419996">
      <w:bodyDiv w:val="1"/>
      <w:marLeft w:val="0"/>
      <w:marRight w:val="0"/>
      <w:marTop w:val="0"/>
      <w:marBottom w:val="0"/>
      <w:divBdr>
        <w:top w:val="none" w:sz="0" w:space="0" w:color="auto"/>
        <w:left w:val="none" w:sz="0" w:space="0" w:color="auto"/>
        <w:bottom w:val="none" w:sz="0" w:space="0" w:color="auto"/>
        <w:right w:val="none" w:sz="0" w:space="0" w:color="auto"/>
      </w:divBdr>
      <w:divsChild>
        <w:div w:id="184637924">
          <w:marLeft w:val="0"/>
          <w:marRight w:val="0"/>
          <w:marTop w:val="0"/>
          <w:marBottom w:val="0"/>
          <w:divBdr>
            <w:top w:val="none" w:sz="0" w:space="0" w:color="auto"/>
            <w:left w:val="none" w:sz="0" w:space="0" w:color="auto"/>
            <w:bottom w:val="none" w:sz="0" w:space="0" w:color="auto"/>
            <w:right w:val="none" w:sz="0" w:space="0" w:color="auto"/>
          </w:divBdr>
        </w:div>
        <w:div w:id="323627512">
          <w:marLeft w:val="0"/>
          <w:marRight w:val="0"/>
          <w:marTop w:val="0"/>
          <w:marBottom w:val="0"/>
          <w:divBdr>
            <w:top w:val="none" w:sz="0" w:space="0" w:color="auto"/>
            <w:left w:val="none" w:sz="0" w:space="0" w:color="auto"/>
            <w:bottom w:val="none" w:sz="0" w:space="0" w:color="auto"/>
            <w:right w:val="none" w:sz="0" w:space="0" w:color="auto"/>
          </w:divBdr>
        </w:div>
        <w:div w:id="883180868">
          <w:marLeft w:val="0"/>
          <w:marRight w:val="0"/>
          <w:marTop w:val="0"/>
          <w:marBottom w:val="0"/>
          <w:divBdr>
            <w:top w:val="none" w:sz="0" w:space="0" w:color="auto"/>
            <w:left w:val="none" w:sz="0" w:space="0" w:color="auto"/>
            <w:bottom w:val="none" w:sz="0" w:space="0" w:color="auto"/>
            <w:right w:val="none" w:sz="0" w:space="0" w:color="auto"/>
          </w:divBdr>
        </w:div>
        <w:div w:id="1270743087">
          <w:marLeft w:val="0"/>
          <w:marRight w:val="0"/>
          <w:marTop w:val="0"/>
          <w:marBottom w:val="0"/>
          <w:divBdr>
            <w:top w:val="none" w:sz="0" w:space="0" w:color="auto"/>
            <w:left w:val="none" w:sz="0" w:space="0" w:color="auto"/>
            <w:bottom w:val="none" w:sz="0" w:space="0" w:color="auto"/>
            <w:right w:val="none" w:sz="0" w:space="0" w:color="auto"/>
          </w:divBdr>
        </w:div>
        <w:div w:id="1446458884">
          <w:marLeft w:val="0"/>
          <w:marRight w:val="0"/>
          <w:marTop w:val="0"/>
          <w:marBottom w:val="0"/>
          <w:divBdr>
            <w:top w:val="none" w:sz="0" w:space="0" w:color="auto"/>
            <w:left w:val="none" w:sz="0" w:space="0" w:color="auto"/>
            <w:bottom w:val="none" w:sz="0" w:space="0" w:color="auto"/>
            <w:right w:val="none" w:sz="0" w:space="0" w:color="auto"/>
          </w:divBdr>
        </w:div>
        <w:div w:id="1454519274">
          <w:marLeft w:val="0"/>
          <w:marRight w:val="0"/>
          <w:marTop w:val="0"/>
          <w:marBottom w:val="0"/>
          <w:divBdr>
            <w:top w:val="none" w:sz="0" w:space="0" w:color="auto"/>
            <w:left w:val="none" w:sz="0" w:space="0" w:color="auto"/>
            <w:bottom w:val="none" w:sz="0" w:space="0" w:color="auto"/>
            <w:right w:val="none" w:sz="0" w:space="0" w:color="auto"/>
          </w:divBdr>
        </w:div>
        <w:div w:id="1549536526">
          <w:marLeft w:val="0"/>
          <w:marRight w:val="0"/>
          <w:marTop w:val="0"/>
          <w:marBottom w:val="0"/>
          <w:divBdr>
            <w:top w:val="none" w:sz="0" w:space="0" w:color="auto"/>
            <w:left w:val="none" w:sz="0" w:space="0" w:color="auto"/>
            <w:bottom w:val="none" w:sz="0" w:space="0" w:color="auto"/>
            <w:right w:val="none" w:sz="0" w:space="0" w:color="auto"/>
          </w:divBdr>
        </w:div>
        <w:div w:id="1976445851">
          <w:marLeft w:val="0"/>
          <w:marRight w:val="0"/>
          <w:marTop w:val="0"/>
          <w:marBottom w:val="0"/>
          <w:divBdr>
            <w:top w:val="none" w:sz="0" w:space="0" w:color="auto"/>
            <w:left w:val="none" w:sz="0" w:space="0" w:color="auto"/>
            <w:bottom w:val="none" w:sz="0" w:space="0" w:color="auto"/>
            <w:right w:val="none" w:sz="0" w:space="0" w:color="auto"/>
          </w:divBdr>
        </w:div>
      </w:divsChild>
    </w:div>
    <w:div w:id="1433356670">
      <w:bodyDiv w:val="1"/>
      <w:marLeft w:val="0"/>
      <w:marRight w:val="0"/>
      <w:marTop w:val="0"/>
      <w:marBottom w:val="0"/>
      <w:divBdr>
        <w:top w:val="none" w:sz="0" w:space="0" w:color="auto"/>
        <w:left w:val="none" w:sz="0" w:space="0" w:color="auto"/>
        <w:bottom w:val="none" w:sz="0" w:space="0" w:color="auto"/>
        <w:right w:val="none" w:sz="0" w:space="0" w:color="auto"/>
      </w:divBdr>
    </w:div>
    <w:div w:id="1436052518">
      <w:bodyDiv w:val="1"/>
      <w:marLeft w:val="0"/>
      <w:marRight w:val="0"/>
      <w:marTop w:val="0"/>
      <w:marBottom w:val="0"/>
      <w:divBdr>
        <w:top w:val="none" w:sz="0" w:space="0" w:color="auto"/>
        <w:left w:val="none" w:sz="0" w:space="0" w:color="auto"/>
        <w:bottom w:val="none" w:sz="0" w:space="0" w:color="auto"/>
        <w:right w:val="none" w:sz="0" w:space="0" w:color="auto"/>
      </w:divBdr>
    </w:div>
    <w:div w:id="1436367481">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48769557">
      <w:bodyDiv w:val="1"/>
      <w:marLeft w:val="0"/>
      <w:marRight w:val="0"/>
      <w:marTop w:val="0"/>
      <w:marBottom w:val="0"/>
      <w:divBdr>
        <w:top w:val="none" w:sz="0" w:space="0" w:color="auto"/>
        <w:left w:val="none" w:sz="0" w:space="0" w:color="auto"/>
        <w:bottom w:val="none" w:sz="0" w:space="0" w:color="auto"/>
        <w:right w:val="none" w:sz="0" w:space="0" w:color="auto"/>
      </w:divBdr>
      <w:divsChild>
        <w:div w:id="395595880">
          <w:marLeft w:val="0"/>
          <w:marRight w:val="0"/>
          <w:marTop w:val="0"/>
          <w:marBottom w:val="0"/>
          <w:divBdr>
            <w:top w:val="none" w:sz="0" w:space="0" w:color="auto"/>
            <w:left w:val="none" w:sz="0" w:space="0" w:color="auto"/>
            <w:bottom w:val="none" w:sz="0" w:space="0" w:color="auto"/>
            <w:right w:val="none" w:sz="0" w:space="0" w:color="auto"/>
          </w:divBdr>
        </w:div>
        <w:div w:id="539630269">
          <w:marLeft w:val="0"/>
          <w:marRight w:val="0"/>
          <w:marTop w:val="0"/>
          <w:marBottom w:val="0"/>
          <w:divBdr>
            <w:top w:val="none" w:sz="0" w:space="0" w:color="auto"/>
            <w:left w:val="none" w:sz="0" w:space="0" w:color="auto"/>
            <w:bottom w:val="none" w:sz="0" w:space="0" w:color="auto"/>
            <w:right w:val="none" w:sz="0" w:space="0" w:color="auto"/>
          </w:divBdr>
        </w:div>
        <w:div w:id="596594664">
          <w:marLeft w:val="0"/>
          <w:marRight w:val="0"/>
          <w:marTop w:val="0"/>
          <w:marBottom w:val="0"/>
          <w:divBdr>
            <w:top w:val="none" w:sz="0" w:space="0" w:color="auto"/>
            <w:left w:val="none" w:sz="0" w:space="0" w:color="auto"/>
            <w:bottom w:val="none" w:sz="0" w:space="0" w:color="auto"/>
            <w:right w:val="none" w:sz="0" w:space="0" w:color="auto"/>
          </w:divBdr>
        </w:div>
        <w:div w:id="822280410">
          <w:marLeft w:val="0"/>
          <w:marRight w:val="0"/>
          <w:marTop w:val="0"/>
          <w:marBottom w:val="0"/>
          <w:divBdr>
            <w:top w:val="none" w:sz="0" w:space="0" w:color="auto"/>
            <w:left w:val="none" w:sz="0" w:space="0" w:color="auto"/>
            <w:bottom w:val="none" w:sz="0" w:space="0" w:color="auto"/>
            <w:right w:val="none" w:sz="0" w:space="0" w:color="auto"/>
          </w:divBdr>
        </w:div>
        <w:div w:id="1368681527">
          <w:marLeft w:val="0"/>
          <w:marRight w:val="0"/>
          <w:marTop w:val="0"/>
          <w:marBottom w:val="0"/>
          <w:divBdr>
            <w:top w:val="none" w:sz="0" w:space="0" w:color="auto"/>
            <w:left w:val="none" w:sz="0" w:space="0" w:color="auto"/>
            <w:bottom w:val="none" w:sz="0" w:space="0" w:color="auto"/>
            <w:right w:val="none" w:sz="0" w:space="0" w:color="auto"/>
          </w:divBdr>
        </w:div>
        <w:div w:id="1451392013">
          <w:marLeft w:val="0"/>
          <w:marRight w:val="0"/>
          <w:marTop w:val="0"/>
          <w:marBottom w:val="0"/>
          <w:divBdr>
            <w:top w:val="none" w:sz="0" w:space="0" w:color="auto"/>
            <w:left w:val="none" w:sz="0" w:space="0" w:color="auto"/>
            <w:bottom w:val="none" w:sz="0" w:space="0" w:color="auto"/>
            <w:right w:val="none" w:sz="0" w:space="0" w:color="auto"/>
          </w:divBdr>
        </w:div>
        <w:div w:id="1535851883">
          <w:marLeft w:val="0"/>
          <w:marRight w:val="0"/>
          <w:marTop w:val="0"/>
          <w:marBottom w:val="0"/>
          <w:divBdr>
            <w:top w:val="none" w:sz="0" w:space="0" w:color="auto"/>
            <w:left w:val="none" w:sz="0" w:space="0" w:color="auto"/>
            <w:bottom w:val="none" w:sz="0" w:space="0" w:color="auto"/>
            <w:right w:val="none" w:sz="0" w:space="0" w:color="auto"/>
          </w:divBdr>
        </w:div>
      </w:divsChild>
    </w:div>
    <w:div w:id="1450586210">
      <w:bodyDiv w:val="1"/>
      <w:marLeft w:val="0"/>
      <w:marRight w:val="0"/>
      <w:marTop w:val="0"/>
      <w:marBottom w:val="0"/>
      <w:divBdr>
        <w:top w:val="none" w:sz="0" w:space="0" w:color="auto"/>
        <w:left w:val="none" w:sz="0" w:space="0" w:color="auto"/>
        <w:bottom w:val="none" w:sz="0" w:space="0" w:color="auto"/>
        <w:right w:val="none" w:sz="0" w:space="0" w:color="auto"/>
      </w:divBdr>
    </w:div>
    <w:div w:id="1461417663">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66578316">
      <w:bodyDiv w:val="1"/>
      <w:marLeft w:val="0"/>
      <w:marRight w:val="0"/>
      <w:marTop w:val="0"/>
      <w:marBottom w:val="0"/>
      <w:divBdr>
        <w:top w:val="none" w:sz="0" w:space="0" w:color="auto"/>
        <w:left w:val="none" w:sz="0" w:space="0" w:color="auto"/>
        <w:bottom w:val="none" w:sz="0" w:space="0" w:color="auto"/>
        <w:right w:val="none" w:sz="0" w:space="0" w:color="auto"/>
      </w:divBdr>
    </w:div>
    <w:div w:id="1472551826">
      <w:bodyDiv w:val="1"/>
      <w:marLeft w:val="0"/>
      <w:marRight w:val="0"/>
      <w:marTop w:val="0"/>
      <w:marBottom w:val="0"/>
      <w:divBdr>
        <w:top w:val="none" w:sz="0" w:space="0" w:color="auto"/>
        <w:left w:val="none" w:sz="0" w:space="0" w:color="auto"/>
        <w:bottom w:val="none" w:sz="0" w:space="0" w:color="auto"/>
        <w:right w:val="none" w:sz="0" w:space="0" w:color="auto"/>
      </w:divBdr>
    </w:div>
    <w:div w:id="1480918688">
      <w:bodyDiv w:val="1"/>
      <w:marLeft w:val="0"/>
      <w:marRight w:val="0"/>
      <w:marTop w:val="0"/>
      <w:marBottom w:val="0"/>
      <w:divBdr>
        <w:top w:val="none" w:sz="0" w:space="0" w:color="auto"/>
        <w:left w:val="none" w:sz="0" w:space="0" w:color="auto"/>
        <w:bottom w:val="none" w:sz="0" w:space="0" w:color="auto"/>
        <w:right w:val="none" w:sz="0" w:space="0" w:color="auto"/>
      </w:divBdr>
    </w:div>
    <w:div w:id="1488133965">
      <w:bodyDiv w:val="1"/>
      <w:marLeft w:val="0"/>
      <w:marRight w:val="0"/>
      <w:marTop w:val="0"/>
      <w:marBottom w:val="0"/>
      <w:divBdr>
        <w:top w:val="none" w:sz="0" w:space="0" w:color="auto"/>
        <w:left w:val="none" w:sz="0" w:space="0" w:color="auto"/>
        <w:bottom w:val="none" w:sz="0" w:space="0" w:color="auto"/>
        <w:right w:val="none" w:sz="0" w:space="0" w:color="auto"/>
      </w:divBdr>
    </w:div>
    <w:div w:id="1505900697">
      <w:bodyDiv w:val="1"/>
      <w:marLeft w:val="0"/>
      <w:marRight w:val="0"/>
      <w:marTop w:val="0"/>
      <w:marBottom w:val="0"/>
      <w:divBdr>
        <w:top w:val="none" w:sz="0" w:space="0" w:color="auto"/>
        <w:left w:val="none" w:sz="0" w:space="0" w:color="auto"/>
        <w:bottom w:val="none" w:sz="0" w:space="0" w:color="auto"/>
        <w:right w:val="none" w:sz="0" w:space="0" w:color="auto"/>
      </w:divBdr>
    </w:div>
    <w:div w:id="1524632736">
      <w:bodyDiv w:val="1"/>
      <w:marLeft w:val="0"/>
      <w:marRight w:val="0"/>
      <w:marTop w:val="0"/>
      <w:marBottom w:val="0"/>
      <w:divBdr>
        <w:top w:val="none" w:sz="0" w:space="0" w:color="auto"/>
        <w:left w:val="none" w:sz="0" w:space="0" w:color="auto"/>
        <w:bottom w:val="none" w:sz="0" w:space="0" w:color="auto"/>
        <w:right w:val="none" w:sz="0" w:space="0" w:color="auto"/>
      </w:divBdr>
    </w:div>
    <w:div w:id="1534421824">
      <w:bodyDiv w:val="1"/>
      <w:marLeft w:val="0"/>
      <w:marRight w:val="0"/>
      <w:marTop w:val="0"/>
      <w:marBottom w:val="0"/>
      <w:divBdr>
        <w:top w:val="none" w:sz="0" w:space="0" w:color="auto"/>
        <w:left w:val="none" w:sz="0" w:space="0" w:color="auto"/>
        <w:bottom w:val="none" w:sz="0" w:space="0" w:color="auto"/>
        <w:right w:val="none" w:sz="0" w:space="0" w:color="auto"/>
      </w:divBdr>
    </w:div>
    <w:div w:id="1553347741">
      <w:bodyDiv w:val="1"/>
      <w:marLeft w:val="0"/>
      <w:marRight w:val="0"/>
      <w:marTop w:val="0"/>
      <w:marBottom w:val="0"/>
      <w:divBdr>
        <w:top w:val="none" w:sz="0" w:space="0" w:color="auto"/>
        <w:left w:val="none" w:sz="0" w:space="0" w:color="auto"/>
        <w:bottom w:val="none" w:sz="0" w:space="0" w:color="auto"/>
        <w:right w:val="none" w:sz="0" w:space="0" w:color="auto"/>
      </w:divBdr>
      <w:divsChild>
        <w:div w:id="896665741">
          <w:marLeft w:val="0"/>
          <w:marRight w:val="0"/>
          <w:marTop w:val="0"/>
          <w:marBottom w:val="0"/>
          <w:divBdr>
            <w:top w:val="none" w:sz="0" w:space="0" w:color="auto"/>
            <w:left w:val="none" w:sz="0" w:space="0" w:color="auto"/>
            <w:bottom w:val="none" w:sz="0" w:space="0" w:color="auto"/>
            <w:right w:val="none" w:sz="0" w:space="0" w:color="auto"/>
          </w:divBdr>
        </w:div>
      </w:divsChild>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560094519">
      <w:bodyDiv w:val="1"/>
      <w:marLeft w:val="0"/>
      <w:marRight w:val="0"/>
      <w:marTop w:val="0"/>
      <w:marBottom w:val="0"/>
      <w:divBdr>
        <w:top w:val="none" w:sz="0" w:space="0" w:color="auto"/>
        <w:left w:val="none" w:sz="0" w:space="0" w:color="auto"/>
        <w:bottom w:val="none" w:sz="0" w:space="0" w:color="auto"/>
        <w:right w:val="none" w:sz="0" w:space="0" w:color="auto"/>
      </w:divBdr>
    </w:div>
    <w:div w:id="1562329006">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1306249">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599634354">
      <w:bodyDiv w:val="1"/>
      <w:marLeft w:val="0"/>
      <w:marRight w:val="0"/>
      <w:marTop w:val="0"/>
      <w:marBottom w:val="0"/>
      <w:divBdr>
        <w:top w:val="none" w:sz="0" w:space="0" w:color="auto"/>
        <w:left w:val="none" w:sz="0" w:space="0" w:color="auto"/>
        <w:bottom w:val="none" w:sz="0" w:space="0" w:color="auto"/>
        <w:right w:val="none" w:sz="0" w:space="0" w:color="auto"/>
      </w:divBdr>
    </w:div>
    <w:div w:id="1600480116">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06688358">
      <w:bodyDiv w:val="1"/>
      <w:marLeft w:val="0"/>
      <w:marRight w:val="0"/>
      <w:marTop w:val="0"/>
      <w:marBottom w:val="0"/>
      <w:divBdr>
        <w:top w:val="none" w:sz="0" w:space="0" w:color="auto"/>
        <w:left w:val="none" w:sz="0" w:space="0" w:color="auto"/>
        <w:bottom w:val="none" w:sz="0" w:space="0" w:color="auto"/>
        <w:right w:val="none" w:sz="0" w:space="0" w:color="auto"/>
      </w:divBdr>
    </w:div>
    <w:div w:id="1610119300">
      <w:bodyDiv w:val="1"/>
      <w:marLeft w:val="0"/>
      <w:marRight w:val="0"/>
      <w:marTop w:val="0"/>
      <w:marBottom w:val="0"/>
      <w:divBdr>
        <w:top w:val="none" w:sz="0" w:space="0" w:color="auto"/>
        <w:left w:val="none" w:sz="0" w:space="0" w:color="auto"/>
        <w:bottom w:val="none" w:sz="0" w:space="0" w:color="auto"/>
        <w:right w:val="none" w:sz="0" w:space="0" w:color="auto"/>
      </w:divBdr>
    </w:div>
    <w:div w:id="1621105463">
      <w:bodyDiv w:val="1"/>
      <w:marLeft w:val="0"/>
      <w:marRight w:val="0"/>
      <w:marTop w:val="0"/>
      <w:marBottom w:val="0"/>
      <w:divBdr>
        <w:top w:val="none" w:sz="0" w:space="0" w:color="auto"/>
        <w:left w:val="none" w:sz="0" w:space="0" w:color="auto"/>
        <w:bottom w:val="none" w:sz="0" w:space="0" w:color="auto"/>
        <w:right w:val="none" w:sz="0" w:space="0" w:color="auto"/>
      </w:divBdr>
    </w:div>
    <w:div w:id="1645503915">
      <w:bodyDiv w:val="1"/>
      <w:marLeft w:val="0"/>
      <w:marRight w:val="0"/>
      <w:marTop w:val="0"/>
      <w:marBottom w:val="0"/>
      <w:divBdr>
        <w:top w:val="none" w:sz="0" w:space="0" w:color="auto"/>
        <w:left w:val="none" w:sz="0" w:space="0" w:color="auto"/>
        <w:bottom w:val="none" w:sz="0" w:space="0" w:color="auto"/>
        <w:right w:val="none" w:sz="0" w:space="0" w:color="auto"/>
      </w:divBdr>
    </w:div>
    <w:div w:id="1647393757">
      <w:bodyDiv w:val="1"/>
      <w:marLeft w:val="0"/>
      <w:marRight w:val="0"/>
      <w:marTop w:val="0"/>
      <w:marBottom w:val="0"/>
      <w:divBdr>
        <w:top w:val="none" w:sz="0" w:space="0" w:color="auto"/>
        <w:left w:val="none" w:sz="0" w:space="0" w:color="auto"/>
        <w:bottom w:val="none" w:sz="0" w:space="0" w:color="auto"/>
        <w:right w:val="none" w:sz="0" w:space="0" w:color="auto"/>
      </w:divBdr>
    </w:div>
    <w:div w:id="1648125529">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83051063">
      <w:bodyDiv w:val="1"/>
      <w:marLeft w:val="0"/>
      <w:marRight w:val="0"/>
      <w:marTop w:val="0"/>
      <w:marBottom w:val="0"/>
      <w:divBdr>
        <w:top w:val="none" w:sz="0" w:space="0" w:color="auto"/>
        <w:left w:val="none" w:sz="0" w:space="0" w:color="auto"/>
        <w:bottom w:val="none" w:sz="0" w:space="0" w:color="auto"/>
        <w:right w:val="none" w:sz="0" w:space="0" w:color="auto"/>
      </w:divBdr>
    </w:div>
    <w:div w:id="1685278553">
      <w:bodyDiv w:val="1"/>
      <w:marLeft w:val="0"/>
      <w:marRight w:val="0"/>
      <w:marTop w:val="0"/>
      <w:marBottom w:val="0"/>
      <w:divBdr>
        <w:top w:val="none" w:sz="0" w:space="0" w:color="auto"/>
        <w:left w:val="none" w:sz="0" w:space="0" w:color="auto"/>
        <w:bottom w:val="none" w:sz="0" w:space="0" w:color="auto"/>
        <w:right w:val="none" w:sz="0" w:space="0" w:color="auto"/>
      </w:divBdr>
    </w:div>
    <w:div w:id="1690986297">
      <w:bodyDiv w:val="1"/>
      <w:marLeft w:val="0"/>
      <w:marRight w:val="0"/>
      <w:marTop w:val="0"/>
      <w:marBottom w:val="0"/>
      <w:divBdr>
        <w:top w:val="none" w:sz="0" w:space="0" w:color="auto"/>
        <w:left w:val="none" w:sz="0" w:space="0" w:color="auto"/>
        <w:bottom w:val="none" w:sz="0" w:space="0" w:color="auto"/>
        <w:right w:val="none" w:sz="0" w:space="0" w:color="auto"/>
      </w:divBdr>
    </w:div>
    <w:div w:id="1720200482">
      <w:bodyDiv w:val="1"/>
      <w:marLeft w:val="0"/>
      <w:marRight w:val="0"/>
      <w:marTop w:val="0"/>
      <w:marBottom w:val="0"/>
      <w:divBdr>
        <w:top w:val="none" w:sz="0" w:space="0" w:color="auto"/>
        <w:left w:val="none" w:sz="0" w:space="0" w:color="auto"/>
        <w:bottom w:val="none" w:sz="0" w:space="0" w:color="auto"/>
        <w:right w:val="none" w:sz="0" w:space="0" w:color="auto"/>
      </w:divBdr>
    </w:div>
    <w:div w:id="1727953833">
      <w:bodyDiv w:val="1"/>
      <w:marLeft w:val="0"/>
      <w:marRight w:val="0"/>
      <w:marTop w:val="0"/>
      <w:marBottom w:val="0"/>
      <w:divBdr>
        <w:top w:val="none" w:sz="0" w:space="0" w:color="auto"/>
        <w:left w:val="none" w:sz="0" w:space="0" w:color="auto"/>
        <w:bottom w:val="none" w:sz="0" w:space="0" w:color="auto"/>
        <w:right w:val="none" w:sz="0" w:space="0" w:color="auto"/>
      </w:divBdr>
    </w:div>
    <w:div w:id="1757245505">
      <w:bodyDiv w:val="1"/>
      <w:marLeft w:val="0"/>
      <w:marRight w:val="0"/>
      <w:marTop w:val="0"/>
      <w:marBottom w:val="0"/>
      <w:divBdr>
        <w:top w:val="none" w:sz="0" w:space="0" w:color="auto"/>
        <w:left w:val="none" w:sz="0" w:space="0" w:color="auto"/>
        <w:bottom w:val="none" w:sz="0" w:space="0" w:color="auto"/>
        <w:right w:val="none" w:sz="0" w:space="0" w:color="auto"/>
      </w:divBdr>
    </w:div>
    <w:div w:id="1764567920">
      <w:bodyDiv w:val="1"/>
      <w:marLeft w:val="0"/>
      <w:marRight w:val="0"/>
      <w:marTop w:val="0"/>
      <w:marBottom w:val="0"/>
      <w:divBdr>
        <w:top w:val="none" w:sz="0" w:space="0" w:color="auto"/>
        <w:left w:val="none" w:sz="0" w:space="0" w:color="auto"/>
        <w:bottom w:val="none" w:sz="0" w:space="0" w:color="auto"/>
        <w:right w:val="none" w:sz="0" w:space="0" w:color="auto"/>
      </w:divBdr>
    </w:div>
    <w:div w:id="17736667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98176835">
      <w:bodyDiv w:val="1"/>
      <w:marLeft w:val="0"/>
      <w:marRight w:val="0"/>
      <w:marTop w:val="0"/>
      <w:marBottom w:val="0"/>
      <w:divBdr>
        <w:top w:val="none" w:sz="0" w:space="0" w:color="auto"/>
        <w:left w:val="none" w:sz="0" w:space="0" w:color="auto"/>
        <w:bottom w:val="none" w:sz="0" w:space="0" w:color="auto"/>
        <w:right w:val="none" w:sz="0" w:space="0" w:color="auto"/>
      </w:divBdr>
    </w:div>
    <w:div w:id="1798378171">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17841160">
      <w:bodyDiv w:val="1"/>
      <w:marLeft w:val="0"/>
      <w:marRight w:val="0"/>
      <w:marTop w:val="0"/>
      <w:marBottom w:val="0"/>
      <w:divBdr>
        <w:top w:val="none" w:sz="0" w:space="0" w:color="auto"/>
        <w:left w:val="none" w:sz="0" w:space="0" w:color="auto"/>
        <w:bottom w:val="none" w:sz="0" w:space="0" w:color="auto"/>
        <w:right w:val="none" w:sz="0" w:space="0" w:color="auto"/>
      </w:divBdr>
      <w:divsChild>
        <w:div w:id="1965891242">
          <w:marLeft w:val="0"/>
          <w:marRight w:val="0"/>
          <w:marTop w:val="240"/>
          <w:marBottom w:val="240"/>
          <w:divBdr>
            <w:top w:val="single" w:sz="2" w:space="0" w:color="auto"/>
            <w:left w:val="single" w:sz="2" w:space="0" w:color="auto"/>
            <w:bottom w:val="single" w:sz="2" w:space="0" w:color="auto"/>
            <w:right w:val="single" w:sz="2" w:space="0" w:color="auto"/>
          </w:divBdr>
        </w:div>
      </w:divsChild>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29125861">
      <w:bodyDiv w:val="1"/>
      <w:marLeft w:val="0"/>
      <w:marRight w:val="0"/>
      <w:marTop w:val="0"/>
      <w:marBottom w:val="0"/>
      <w:divBdr>
        <w:top w:val="none" w:sz="0" w:space="0" w:color="auto"/>
        <w:left w:val="none" w:sz="0" w:space="0" w:color="auto"/>
        <w:bottom w:val="none" w:sz="0" w:space="0" w:color="auto"/>
        <w:right w:val="none" w:sz="0" w:space="0" w:color="auto"/>
      </w:divBdr>
    </w:div>
    <w:div w:id="1830362886">
      <w:bodyDiv w:val="1"/>
      <w:marLeft w:val="0"/>
      <w:marRight w:val="0"/>
      <w:marTop w:val="0"/>
      <w:marBottom w:val="0"/>
      <w:divBdr>
        <w:top w:val="none" w:sz="0" w:space="0" w:color="auto"/>
        <w:left w:val="none" w:sz="0" w:space="0" w:color="auto"/>
        <w:bottom w:val="none" w:sz="0" w:space="0" w:color="auto"/>
        <w:right w:val="none" w:sz="0" w:space="0" w:color="auto"/>
      </w:divBdr>
    </w:div>
    <w:div w:id="1833376577">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46286546">
      <w:bodyDiv w:val="1"/>
      <w:marLeft w:val="0"/>
      <w:marRight w:val="0"/>
      <w:marTop w:val="0"/>
      <w:marBottom w:val="0"/>
      <w:divBdr>
        <w:top w:val="none" w:sz="0" w:space="0" w:color="auto"/>
        <w:left w:val="none" w:sz="0" w:space="0" w:color="auto"/>
        <w:bottom w:val="none" w:sz="0" w:space="0" w:color="auto"/>
        <w:right w:val="none" w:sz="0" w:space="0" w:color="auto"/>
      </w:divBdr>
    </w:div>
    <w:div w:id="1851330580">
      <w:bodyDiv w:val="1"/>
      <w:marLeft w:val="0"/>
      <w:marRight w:val="0"/>
      <w:marTop w:val="0"/>
      <w:marBottom w:val="0"/>
      <w:divBdr>
        <w:top w:val="none" w:sz="0" w:space="0" w:color="auto"/>
        <w:left w:val="none" w:sz="0" w:space="0" w:color="auto"/>
        <w:bottom w:val="none" w:sz="0" w:space="0" w:color="auto"/>
        <w:right w:val="none" w:sz="0" w:space="0" w:color="auto"/>
      </w:divBdr>
    </w:div>
    <w:div w:id="1853375663">
      <w:bodyDiv w:val="1"/>
      <w:marLeft w:val="0"/>
      <w:marRight w:val="0"/>
      <w:marTop w:val="0"/>
      <w:marBottom w:val="0"/>
      <w:divBdr>
        <w:top w:val="none" w:sz="0" w:space="0" w:color="auto"/>
        <w:left w:val="none" w:sz="0" w:space="0" w:color="auto"/>
        <w:bottom w:val="none" w:sz="0" w:space="0" w:color="auto"/>
        <w:right w:val="none" w:sz="0" w:space="0" w:color="auto"/>
      </w:divBdr>
    </w:div>
    <w:div w:id="1866334235">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74689277">
      <w:bodyDiv w:val="1"/>
      <w:marLeft w:val="0"/>
      <w:marRight w:val="0"/>
      <w:marTop w:val="0"/>
      <w:marBottom w:val="0"/>
      <w:divBdr>
        <w:top w:val="none" w:sz="0" w:space="0" w:color="auto"/>
        <w:left w:val="none" w:sz="0" w:space="0" w:color="auto"/>
        <w:bottom w:val="none" w:sz="0" w:space="0" w:color="auto"/>
        <w:right w:val="none" w:sz="0" w:space="0" w:color="auto"/>
      </w:divBdr>
    </w:div>
    <w:div w:id="1881622489">
      <w:bodyDiv w:val="1"/>
      <w:marLeft w:val="0"/>
      <w:marRight w:val="0"/>
      <w:marTop w:val="0"/>
      <w:marBottom w:val="0"/>
      <w:divBdr>
        <w:top w:val="none" w:sz="0" w:space="0" w:color="auto"/>
        <w:left w:val="none" w:sz="0" w:space="0" w:color="auto"/>
        <w:bottom w:val="none" w:sz="0" w:space="0" w:color="auto"/>
        <w:right w:val="none" w:sz="0" w:space="0" w:color="auto"/>
      </w:divBdr>
    </w:div>
    <w:div w:id="1882396006">
      <w:bodyDiv w:val="1"/>
      <w:marLeft w:val="0"/>
      <w:marRight w:val="0"/>
      <w:marTop w:val="0"/>
      <w:marBottom w:val="0"/>
      <w:divBdr>
        <w:top w:val="none" w:sz="0" w:space="0" w:color="auto"/>
        <w:left w:val="none" w:sz="0" w:space="0" w:color="auto"/>
        <w:bottom w:val="none" w:sz="0" w:space="0" w:color="auto"/>
        <w:right w:val="none" w:sz="0" w:space="0" w:color="auto"/>
      </w:divBdr>
    </w:div>
    <w:div w:id="1890531207">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898974500">
      <w:bodyDiv w:val="1"/>
      <w:marLeft w:val="0"/>
      <w:marRight w:val="0"/>
      <w:marTop w:val="0"/>
      <w:marBottom w:val="0"/>
      <w:divBdr>
        <w:top w:val="none" w:sz="0" w:space="0" w:color="auto"/>
        <w:left w:val="none" w:sz="0" w:space="0" w:color="auto"/>
        <w:bottom w:val="none" w:sz="0" w:space="0" w:color="auto"/>
        <w:right w:val="none" w:sz="0" w:space="0" w:color="auto"/>
      </w:divBdr>
    </w:div>
    <w:div w:id="1903515062">
      <w:bodyDiv w:val="1"/>
      <w:marLeft w:val="0"/>
      <w:marRight w:val="0"/>
      <w:marTop w:val="0"/>
      <w:marBottom w:val="0"/>
      <w:divBdr>
        <w:top w:val="none" w:sz="0" w:space="0" w:color="auto"/>
        <w:left w:val="none" w:sz="0" w:space="0" w:color="auto"/>
        <w:bottom w:val="none" w:sz="0" w:space="0" w:color="auto"/>
        <w:right w:val="none" w:sz="0" w:space="0" w:color="auto"/>
      </w:divBdr>
    </w:div>
    <w:div w:id="1945720242">
      <w:bodyDiv w:val="1"/>
      <w:marLeft w:val="0"/>
      <w:marRight w:val="0"/>
      <w:marTop w:val="0"/>
      <w:marBottom w:val="0"/>
      <w:divBdr>
        <w:top w:val="none" w:sz="0" w:space="0" w:color="auto"/>
        <w:left w:val="none" w:sz="0" w:space="0" w:color="auto"/>
        <w:bottom w:val="none" w:sz="0" w:space="0" w:color="auto"/>
        <w:right w:val="none" w:sz="0" w:space="0" w:color="auto"/>
      </w:divBdr>
    </w:div>
    <w:div w:id="1951280916">
      <w:bodyDiv w:val="1"/>
      <w:marLeft w:val="0"/>
      <w:marRight w:val="0"/>
      <w:marTop w:val="0"/>
      <w:marBottom w:val="0"/>
      <w:divBdr>
        <w:top w:val="none" w:sz="0" w:space="0" w:color="auto"/>
        <w:left w:val="none" w:sz="0" w:space="0" w:color="auto"/>
        <w:bottom w:val="none" w:sz="0" w:space="0" w:color="auto"/>
        <w:right w:val="none" w:sz="0" w:space="0" w:color="auto"/>
      </w:divBdr>
    </w:div>
    <w:div w:id="1951474586">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78535854">
      <w:bodyDiv w:val="1"/>
      <w:marLeft w:val="0"/>
      <w:marRight w:val="0"/>
      <w:marTop w:val="0"/>
      <w:marBottom w:val="0"/>
      <w:divBdr>
        <w:top w:val="none" w:sz="0" w:space="0" w:color="auto"/>
        <w:left w:val="none" w:sz="0" w:space="0" w:color="auto"/>
        <w:bottom w:val="none" w:sz="0" w:space="0" w:color="auto"/>
        <w:right w:val="none" w:sz="0" w:space="0" w:color="auto"/>
      </w:divBdr>
    </w:div>
    <w:div w:id="1979532589">
      <w:bodyDiv w:val="1"/>
      <w:marLeft w:val="0"/>
      <w:marRight w:val="0"/>
      <w:marTop w:val="0"/>
      <w:marBottom w:val="0"/>
      <w:divBdr>
        <w:top w:val="none" w:sz="0" w:space="0" w:color="auto"/>
        <w:left w:val="none" w:sz="0" w:space="0" w:color="auto"/>
        <w:bottom w:val="none" w:sz="0" w:space="0" w:color="auto"/>
        <w:right w:val="none" w:sz="0" w:space="0" w:color="auto"/>
      </w:divBdr>
    </w:div>
    <w:div w:id="1991708119">
      <w:bodyDiv w:val="1"/>
      <w:marLeft w:val="0"/>
      <w:marRight w:val="0"/>
      <w:marTop w:val="0"/>
      <w:marBottom w:val="0"/>
      <w:divBdr>
        <w:top w:val="none" w:sz="0" w:space="0" w:color="auto"/>
        <w:left w:val="none" w:sz="0" w:space="0" w:color="auto"/>
        <w:bottom w:val="none" w:sz="0" w:space="0" w:color="auto"/>
        <w:right w:val="none" w:sz="0" w:space="0" w:color="auto"/>
      </w:divBdr>
    </w:div>
    <w:div w:id="2006936311">
      <w:bodyDiv w:val="1"/>
      <w:marLeft w:val="0"/>
      <w:marRight w:val="0"/>
      <w:marTop w:val="0"/>
      <w:marBottom w:val="0"/>
      <w:divBdr>
        <w:top w:val="none" w:sz="0" w:space="0" w:color="auto"/>
        <w:left w:val="none" w:sz="0" w:space="0" w:color="auto"/>
        <w:bottom w:val="none" w:sz="0" w:space="0" w:color="auto"/>
        <w:right w:val="none" w:sz="0" w:space="0" w:color="auto"/>
      </w:divBdr>
    </w:div>
    <w:div w:id="2009672344">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17684092">
      <w:bodyDiv w:val="1"/>
      <w:marLeft w:val="0"/>
      <w:marRight w:val="0"/>
      <w:marTop w:val="0"/>
      <w:marBottom w:val="0"/>
      <w:divBdr>
        <w:top w:val="none" w:sz="0" w:space="0" w:color="auto"/>
        <w:left w:val="none" w:sz="0" w:space="0" w:color="auto"/>
        <w:bottom w:val="none" w:sz="0" w:space="0" w:color="auto"/>
        <w:right w:val="none" w:sz="0" w:space="0" w:color="auto"/>
      </w:divBdr>
    </w:div>
    <w:div w:id="2049405678">
      <w:bodyDiv w:val="1"/>
      <w:marLeft w:val="0"/>
      <w:marRight w:val="0"/>
      <w:marTop w:val="0"/>
      <w:marBottom w:val="0"/>
      <w:divBdr>
        <w:top w:val="none" w:sz="0" w:space="0" w:color="auto"/>
        <w:left w:val="none" w:sz="0" w:space="0" w:color="auto"/>
        <w:bottom w:val="none" w:sz="0" w:space="0" w:color="auto"/>
        <w:right w:val="none" w:sz="0" w:space="0" w:color="auto"/>
      </w:divBdr>
    </w:div>
    <w:div w:id="2052919854">
      <w:bodyDiv w:val="1"/>
      <w:marLeft w:val="0"/>
      <w:marRight w:val="0"/>
      <w:marTop w:val="0"/>
      <w:marBottom w:val="0"/>
      <w:divBdr>
        <w:top w:val="none" w:sz="0" w:space="0" w:color="auto"/>
        <w:left w:val="none" w:sz="0" w:space="0" w:color="auto"/>
        <w:bottom w:val="none" w:sz="0" w:space="0" w:color="auto"/>
        <w:right w:val="none" w:sz="0" w:space="0" w:color="auto"/>
      </w:divBdr>
    </w:div>
    <w:div w:id="2053382232">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85833986">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24497346">
      <w:bodyDiv w:val="1"/>
      <w:marLeft w:val="0"/>
      <w:marRight w:val="0"/>
      <w:marTop w:val="0"/>
      <w:marBottom w:val="0"/>
      <w:divBdr>
        <w:top w:val="none" w:sz="0" w:space="0" w:color="auto"/>
        <w:left w:val="none" w:sz="0" w:space="0" w:color="auto"/>
        <w:bottom w:val="none" w:sz="0" w:space="0" w:color="auto"/>
        <w:right w:val="none" w:sz="0" w:space="0" w:color="auto"/>
      </w:divBdr>
    </w:div>
    <w:div w:id="212457206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403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sac.gov.au/internet/msac/publishing.nsf/Content/Home-1" TargetMode="External"/><Relationship Id="rId4" Type="http://schemas.openxmlformats.org/officeDocument/2006/relationships/settings" Target="settings.xml"/><Relationship Id="rId9" Type="http://schemas.openxmlformats.org/officeDocument/2006/relationships/hyperlink" Target="https://qdocs.qimrberghofer.edu.au/mosle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C862-DE60-4118-9756-B20D3C7F2597}">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32</Pages>
  <Words>17223</Words>
  <Characters>98177</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2024-02-06T04:57:00Z</dcterms:created>
  <dcterms:modified xsi:type="dcterms:W3CDTF">2024-02-06T04:57:00Z</dcterms:modified>
</cp:coreProperties>
</file>