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ED49" w14:textId="21423270" w:rsidR="009153B1" w:rsidRDefault="00991BF0" w:rsidP="009153B1">
      <w:pPr>
        <w:jc w:val="center"/>
      </w:pPr>
      <w:r>
        <w:t>;</w:t>
      </w:r>
      <w:r w:rsidR="00C25893">
        <w:rPr>
          <w:noProof/>
        </w:rPr>
        <w:drawing>
          <wp:inline distT="0" distB="0" distL="0" distR="0" wp14:anchorId="4BB25608" wp14:editId="139B5D7B">
            <wp:extent cx="2627630" cy="1078865"/>
            <wp:effectExtent l="0" t="0" r="1270" b="6985"/>
            <wp:docPr id="1" name="Picture 1" descr="Medical Services Advisory Committee Logo"/>
            <wp:cNvGraphicFramePr/>
            <a:graphic xmlns:a="http://schemas.openxmlformats.org/drawingml/2006/main">
              <a:graphicData uri="http://schemas.openxmlformats.org/drawingml/2006/picture">
                <pic:pic xmlns:pic="http://schemas.openxmlformats.org/drawingml/2006/picture">
                  <pic:nvPicPr>
                    <pic:cNvPr id="1" name="Picture 1" descr="Medical Services Advisory Committee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7FEF21B" w14:textId="77777777" w:rsidR="00C25893" w:rsidRDefault="00C25893" w:rsidP="00C25893">
      <w:pPr>
        <w:pStyle w:val="Subtitle"/>
        <w:spacing w:before="480"/>
        <w:rPr>
          <w:rFonts w:eastAsiaTheme="majorEastAsia"/>
          <w:i w:val="0"/>
          <w:sz w:val="36"/>
          <w:szCs w:val="36"/>
          <w:lang w:val="en-US" w:eastAsia="en-US"/>
        </w:rPr>
      </w:pPr>
      <w:r w:rsidRPr="00C25893">
        <w:rPr>
          <w:rFonts w:eastAsiaTheme="majorEastAsia"/>
          <w:i w:val="0"/>
          <w:sz w:val="36"/>
          <w:szCs w:val="36"/>
          <w:lang w:val="en-US" w:eastAsia="en-US"/>
        </w:rPr>
        <w:t xml:space="preserve">Public Summary Document </w:t>
      </w:r>
    </w:p>
    <w:p w14:paraId="0FC0C1FA" w14:textId="2181B4B9" w:rsidR="00B764CC" w:rsidRDefault="00B764CC" w:rsidP="00B764CC">
      <w:pPr>
        <w:pStyle w:val="Subtitle"/>
      </w:pPr>
      <w:r>
        <w:t xml:space="preserve">Application No. </w:t>
      </w:r>
      <w:r w:rsidR="00403EB5">
        <w:t>1672</w:t>
      </w:r>
      <w:r>
        <w:t xml:space="preserve"> – </w:t>
      </w:r>
      <w:bookmarkStart w:id="0" w:name="_Hlk112056274"/>
      <w:r w:rsidR="006B65C1" w:rsidRPr="006B65C1">
        <w:t>Procedures for the insertion or removal of a leadless permanent pacemaker for the treatment of bradyarrhythmia</w:t>
      </w:r>
      <w:bookmarkEnd w:id="0"/>
    </w:p>
    <w:p w14:paraId="70DE5A2D" w14:textId="6191B74B" w:rsidR="00B764CC" w:rsidRPr="00165804" w:rsidRDefault="00B764CC" w:rsidP="00B764CC">
      <w:pPr>
        <w:pStyle w:val="Instructionaltext"/>
        <w:rPr>
          <w:rFonts w:ascii="Arial" w:hAnsi="Arial" w:cs="Arial"/>
          <w:b/>
          <w:bCs/>
          <w:color w:val="auto"/>
        </w:rPr>
      </w:pPr>
      <w:r w:rsidRPr="00165804">
        <w:rPr>
          <w:rFonts w:ascii="Arial" w:hAnsi="Arial" w:cs="Arial"/>
          <w:b/>
          <w:bCs/>
          <w:color w:val="auto"/>
        </w:rPr>
        <w:t>Applicant:</w:t>
      </w:r>
      <w:r w:rsidRPr="00165804">
        <w:rPr>
          <w:rFonts w:ascii="Arial" w:hAnsi="Arial" w:cs="Arial"/>
          <w:b/>
          <w:bCs/>
          <w:color w:val="auto"/>
        </w:rPr>
        <w:tab/>
      </w:r>
      <w:r w:rsidR="00004945" w:rsidRPr="00165804">
        <w:rPr>
          <w:rFonts w:ascii="Arial" w:hAnsi="Arial" w:cs="Arial"/>
          <w:b/>
          <w:bCs/>
          <w:color w:val="auto"/>
        </w:rPr>
        <w:tab/>
      </w:r>
      <w:r w:rsidR="00A7671C" w:rsidRPr="00165804">
        <w:rPr>
          <w:rFonts w:ascii="Arial" w:hAnsi="Arial" w:cs="Arial"/>
          <w:b/>
          <w:bCs/>
          <w:color w:val="auto"/>
        </w:rPr>
        <w:tab/>
      </w:r>
      <w:r w:rsidR="00165804">
        <w:rPr>
          <w:rFonts w:ascii="Arial" w:hAnsi="Arial" w:cs="Arial"/>
          <w:b/>
          <w:bCs/>
          <w:color w:val="auto"/>
        </w:rPr>
        <w:tab/>
      </w:r>
      <w:r w:rsidR="00F90D6F" w:rsidRPr="00F90D6F">
        <w:rPr>
          <w:rFonts w:ascii="Arial" w:hAnsi="Arial" w:cs="Arial"/>
          <w:b/>
          <w:bCs/>
          <w:color w:val="auto"/>
        </w:rPr>
        <w:t>Medtronic Australasia Pty Ltd</w:t>
      </w:r>
    </w:p>
    <w:p w14:paraId="22EF5E24" w14:textId="6F095287" w:rsidR="00F90BD9" w:rsidRDefault="00F90BD9" w:rsidP="00F90BD9">
      <w:pPr>
        <w:tabs>
          <w:tab w:val="left" w:pos="3686"/>
        </w:tabs>
        <w:spacing w:after="360"/>
        <w:rPr>
          <w:rFonts w:ascii="Arial" w:eastAsia="Calibri" w:hAnsi="Arial" w:cs="Arial"/>
          <w:b/>
          <w:szCs w:val="24"/>
        </w:rPr>
      </w:pPr>
      <w:r w:rsidRPr="00F90BD9">
        <w:rPr>
          <w:rFonts w:ascii="Arial" w:eastAsia="Calibri" w:hAnsi="Arial" w:cs="Arial"/>
          <w:b/>
          <w:szCs w:val="24"/>
        </w:rPr>
        <w:t xml:space="preserve">Date of </w:t>
      </w:r>
      <w:r w:rsidR="00C25893">
        <w:rPr>
          <w:rFonts w:ascii="Arial" w:eastAsia="Calibri" w:hAnsi="Arial" w:cs="Arial"/>
          <w:b/>
          <w:szCs w:val="24"/>
        </w:rPr>
        <w:t>MSAC</w:t>
      </w:r>
      <w:r w:rsidRPr="00F90BD9">
        <w:rPr>
          <w:rFonts w:ascii="Arial" w:eastAsia="Calibri" w:hAnsi="Arial" w:cs="Arial"/>
          <w:b/>
          <w:szCs w:val="24"/>
        </w:rPr>
        <w:t xml:space="preserve"> consideration:</w:t>
      </w:r>
      <w:r w:rsidRPr="00F90BD9">
        <w:rPr>
          <w:rFonts w:ascii="Arial" w:eastAsia="Calibri" w:hAnsi="Arial" w:cs="Arial"/>
          <w:b/>
          <w:szCs w:val="24"/>
        </w:rPr>
        <w:tab/>
      </w:r>
      <w:r w:rsidR="00C25893">
        <w:rPr>
          <w:rFonts w:ascii="Arial" w:eastAsia="Calibri" w:hAnsi="Arial" w:cs="Arial"/>
          <w:b/>
          <w:szCs w:val="24"/>
        </w:rPr>
        <w:t>28-29 July</w:t>
      </w:r>
      <w:r w:rsidRPr="00F90BD9">
        <w:rPr>
          <w:rFonts w:ascii="Arial" w:eastAsia="Calibri" w:hAnsi="Arial" w:cs="Arial"/>
          <w:b/>
          <w:szCs w:val="24"/>
        </w:rPr>
        <w:t xml:space="preserve"> </w:t>
      </w:r>
      <w:r w:rsidR="00CC2F72" w:rsidRPr="00F90BD9">
        <w:rPr>
          <w:rFonts w:ascii="Arial" w:eastAsia="Calibri" w:hAnsi="Arial" w:cs="Arial"/>
          <w:b/>
          <w:szCs w:val="24"/>
        </w:rPr>
        <w:t>20</w:t>
      </w:r>
      <w:r w:rsidR="00CC2F72">
        <w:rPr>
          <w:rFonts w:ascii="Arial" w:eastAsia="Calibri" w:hAnsi="Arial" w:cs="Arial"/>
          <w:b/>
          <w:szCs w:val="24"/>
        </w:rPr>
        <w:t>2</w:t>
      </w:r>
      <w:r w:rsidR="00CC2F72" w:rsidRPr="00F90BD9">
        <w:rPr>
          <w:rFonts w:ascii="Arial" w:eastAsia="Calibri" w:hAnsi="Arial" w:cs="Arial"/>
          <w:b/>
          <w:szCs w:val="24"/>
        </w:rPr>
        <w:t>2</w:t>
      </w:r>
    </w:p>
    <w:p w14:paraId="1F4A177B" w14:textId="77777777" w:rsidR="00611DC1" w:rsidRPr="00B03EAB" w:rsidRDefault="00611DC1" w:rsidP="00611DC1">
      <w:pPr>
        <w:spacing w:before="240"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7FA46BB4" w14:textId="77777777" w:rsidR="00DC02C4" w:rsidRDefault="00DC02C4" w:rsidP="00D27D2E">
      <w:pPr>
        <w:pStyle w:val="Heading2execsummary"/>
        <w:spacing w:before="360"/>
      </w:pPr>
      <w:r>
        <w:t>Purpose of application</w:t>
      </w:r>
    </w:p>
    <w:p w14:paraId="4C8F8169" w14:textId="1C6256C0" w:rsidR="005345DF" w:rsidRDefault="00DC02C4" w:rsidP="00DC02C4">
      <w:pPr>
        <w:spacing w:before="0"/>
      </w:pPr>
      <w:r>
        <w:t xml:space="preserve">An application requesting Medicare Benefits Schedule (MBS) listing of </w:t>
      </w:r>
      <w:r w:rsidR="006564F8">
        <w:t xml:space="preserve">percutaneous </w:t>
      </w:r>
      <w:r w:rsidR="00153EF3">
        <w:t>transcatheter insertion</w:t>
      </w:r>
      <w:r w:rsidR="00266FFB">
        <w:t xml:space="preserve"> </w:t>
      </w:r>
      <w:r w:rsidR="006D609F">
        <w:t xml:space="preserve">or removal of a </w:t>
      </w:r>
      <w:r w:rsidR="00153EF3">
        <w:t xml:space="preserve">leadless permanent pacemaker (LPM) </w:t>
      </w:r>
      <w:r>
        <w:t xml:space="preserve">for </w:t>
      </w:r>
      <w:r w:rsidR="00BD7480">
        <w:t xml:space="preserve">the treatment </w:t>
      </w:r>
      <w:r w:rsidR="004317A6">
        <w:t xml:space="preserve">of </w:t>
      </w:r>
      <w:r w:rsidR="00A221BF" w:rsidRPr="00B44AFD">
        <w:rPr>
          <w:iCs/>
        </w:rPr>
        <w:t>bradyarrhythmia</w:t>
      </w:r>
      <w:r w:rsidR="00A221BF" w:rsidDel="00A221BF">
        <w:t xml:space="preserve"> </w:t>
      </w:r>
      <w:r w:rsidR="00972966">
        <w:t>that requires</w:t>
      </w:r>
      <w:r w:rsidR="0070274D">
        <w:t xml:space="preserve"> single-chamber </w:t>
      </w:r>
      <w:r w:rsidR="009F336D">
        <w:t xml:space="preserve">ventricular </w:t>
      </w:r>
      <w:r w:rsidR="0070274D">
        <w:t>pac</w:t>
      </w:r>
      <w:r w:rsidR="00FA218A">
        <w:t>ing</w:t>
      </w:r>
      <w:r>
        <w:t xml:space="preserve"> was received from </w:t>
      </w:r>
      <w:r w:rsidR="00DA717A">
        <w:t xml:space="preserve">the medical device company </w:t>
      </w:r>
      <w:r w:rsidR="00734DF3">
        <w:t>Medtronic</w:t>
      </w:r>
      <w:r w:rsidR="0004773D" w:rsidRPr="0004773D">
        <w:t xml:space="preserve"> </w:t>
      </w:r>
      <w:r w:rsidR="0004773D">
        <w:t>Australasia</w:t>
      </w:r>
      <w:r w:rsidR="0004773D" w:rsidRPr="005B2D09">
        <w:t xml:space="preserve"> Pty Ltd </w:t>
      </w:r>
      <w:r>
        <w:t>by the Department of Health.</w:t>
      </w:r>
    </w:p>
    <w:p w14:paraId="246FFB90" w14:textId="7E3B5C9A" w:rsidR="00DC02C4" w:rsidRPr="009445DF" w:rsidRDefault="00051BD9" w:rsidP="00DC02C4">
      <w:pPr>
        <w:spacing w:before="0"/>
      </w:pPr>
      <w:r w:rsidRPr="009445DF">
        <w:t xml:space="preserve">Medtronic also </w:t>
      </w:r>
      <w:r w:rsidR="005345DF" w:rsidRPr="009445DF">
        <w:t xml:space="preserve">indicated its </w:t>
      </w:r>
      <w:r w:rsidRPr="009445DF">
        <w:t>inten</w:t>
      </w:r>
      <w:r w:rsidR="00462B76" w:rsidRPr="009445DF">
        <w:t>t</w:t>
      </w:r>
      <w:r w:rsidR="005345DF" w:rsidRPr="009445DF">
        <w:t>ion</w:t>
      </w:r>
      <w:r w:rsidRPr="009445DF">
        <w:t xml:space="preserve"> to </w:t>
      </w:r>
      <w:r w:rsidR="00BC4C59" w:rsidRPr="009445DF">
        <w:t>apply for</w:t>
      </w:r>
      <w:r w:rsidRPr="009445DF">
        <w:t xml:space="preserve"> listing of the </w:t>
      </w:r>
      <w:r w:rsidR="002E5D82" w:rsidRPr="009445DF">
        <w:t xml:space="preserve">LPM, </w:t>
      </w:r>
      <w:r w:rsidR="00FC41A3" w:rsidRPr="009445DF">
        <w:t xml:space="preserve">the </w:t>
      </w:r>
      <w:r w:rsidRPr="009445DF">
        <w:t>Micra</w:t>
      </w:r>
      <w:r w:rsidR="00FC41A3" w:rsidRPr="009445DF">
        <w:t>™</w:t>
      </w:r>
      <w:r w:rsidR="00B242C2" w:rsidRPr="009445DF">
        <w:t xml:space="preserve"> </w:t>
      </w:r>
      <w:r w:rsidR="00196F56" w:rsidRPr="009445DF">
        <w:t>Ventricular (</w:t>
      </w:r>
      <w:r w:rsidR="00B242C2" w:rsidRPr="009445DF">
        <w:t>VR</w:t>
      </w:r>
      <w:r w:rsidR="00196F56" w:rsidRPr="009445DF">
        <w:t>)</w:t>
      </w:r>
      <w:r w:rsidRPr="009445DF">
        <w:t xml:space="preserve"> </w:t>
      </w:r>
      <w:r w:rsidR="00EE05D9" w:rsidRPr="009445DF">
        <w:t>Transcatheter Pacing System</w:t>
      </w:r>
      <w:r w:rsidR="0019256D" w:rsidRPr="009445DF">
        <w:t xml:space="preserve"> (</w:t>
      </w:r>
      <w:r w:rsidRPr="009445DF">
        <w:t>TPS</w:t>
      </w:r>
      <w:r w:rsidR="0019256D" w:rsidRPr="009445DF">
        <w:t>)</w:t>
      </w:r>
      <w:r w:rsidRPr="009445DF">
        <w:t xml:space="preserve"> device on the Prostheses List</w:t>
      </w:r>
      <w:r w:rsidR="00A22F23" w:rsidRPr="009445DF">
        <w:t xml:space="preserve"> (PL)</w:t>
      </w:r>
      <w:r w:rsidRPr="009445DF">
        <w:t>.</w:t>
      </w:r>
    </w:p>
    <w:p w14:paraId="185DEF00" w14:textId="617B96D3" w:rsidR="00B54396" w:rsidRDefault="00B54396" w:rsidP="00B54396">
      <w:pPr>
        <w:pStyle w:val="Heading2execsummary"/>
        <w:spacing w:before="360"/>
      </w:pPr>
      <w:r>
        <w:t>MSAC’s advice to the Minister</w:t>
      </w:r>
    </w:p>
    <w:p w14:paraId="66A69682" w14:textId="6AF1F9F8" w:rsidR="00B54396" w:rsidRDefault="00B44AFD" w:rsidP="00B54396">
      <w:pPr>
        <w:spacing w:after="240"/>
        <w:rPr>
          <w:iCs/>
        </w:rPr>
      </w:pPr>
      <w:r w:rsidRPr="00B44AFD">
        <w:rPr>
          <w:iCs/>
        </w:rPr>
        <w:t>After considering the strength of the available evidence in relation to comparative safety, clinical effectiveness</w:t>
      </w:r>
      <w:r w:rsidR="003C4C60">
        <w:rPr>
          <w:iCs/>
        </w:rPr>
        <w:t>,</w:t>
      </w:r>
      <w:r w:rsidRPr="00B44AFD">
        <w:rPr>
          <w:iCs/>
        </w:rPr>
        <w:t xml:space="preserve"> </w:t>
      </w:r>
      <w:proofErr w:type="gramStart"/>
      <w:r w:rsidRPr="00B44AFD">
        <w:rPr>
          <w:iCs/>
        </w:rPr>
        <w:t>cost-effectiveness</w:t>
      </w:r>
      <w:proofErr w:type="gramEnd"/>
      <w:r w:rsidR="003C4C60">
        <w:rPr>
          <w:iCs/>
        </w:rPr>
        <w:t xml:space="preserve"> and total cost</w:t>
      </w:r>
      <w:r w:rsidRPr="00B44AFD">
        <w:rPr>
          <w:iCs/>
        </w:rPr>
        <w:t>, MSAC supported the creation of new Medicare Benefits Schedule (MBS) items for percutaneous transcatheter insertion or removal of a leadless permanent pacemaker (LPM) for the treatment of bradyarrhythmia that requires single-chamber ventricular pac</w:t>
      </w:r>
      <w:r w:rsidR="003C1647">
        <w:rPr>
          <w:iCs/>
        </w:rPr>
        <w:t>ing</w:t>
      </w:r>
      <w:r w:rsidRPr="00B44AFD">
        <w:rPr>
          <w:iCs/>
        </w:rPr>
        <w:t xml:space="preserve">. MSAC considered there was an unmet clinical need for a subpopulation of those patients for whom </w:t>
      </w:r>
      <w:r w:rsidR="003C1647">
        <w:rPr>
          <w:iCs/>
        </w:rPr>
        <w:t xml:space="preserve">a </w:t>
      </w:r>
      <w:r w:rsidRPr="00B44AFD">
        <w:rPr>
          <w:iCs/>
        </w:rPr>
        <w:t xml:space="preserve">transvenous pacemaker (TVPM) is inappropriate due to inaccessible </w:t>
      </w:r>
      <w:r w:rsidR="00214B80" w:rsidRPr="00214B80">
        <w:rPr>
          <w:iCs/>
        </w:rPr>
        <w:t xml:space="preserve">upper extremity </w:t>
      </w:r>
      <w:r w:rsidRPr="00B44AFD">
        <w:rPr>
          <w:iCs/>
        </w:rPr>
        <w:t xml:space="preserve">venous system, </w:t>
      </w:r>
      <w:r w:rsidR="00214B80">
        <w:rPr>
          <w:iCs/>
        </w:rPr>
        <w:t xml:space="preserve">increased </w:t>
      </w:r>
      <w:r w:rsidRPr="00B44AFD">
        <w:rPr>
          <w:iCs/>
        </w:rPr>
        <w:t xml:space="preserve">risk of infection or history of </w:t>
      </w:r>
      <w:r w:rsidR="00214B80">
        <w:rPr>
          <w:iCs/>
        </w:rPr>
        <w:t xml:space="preserve">venous </w:t>
      </w:r>
      <w:r w:rsidRPr="00B44AFD">
        <w:rPr>
          <w:iCs/>
        </w:rPr>
        <w:t xml:space="preserve">thrombosis and advised that this subpopulation needed to be defined in the item descriptor. MSAC noted the limitations in the clinical evidence, but accepted that LPM was noninferior for short-term safety, superior for long-term safety and noninferior for effectiveness compared with TVPM. </w:t>
      </w:r>
      <w:r w:rsidRPr="00F25AB7">
        <w:t xml:space="preserve">MSAC advised that a reduction in the proposed </w:t>
      </w:r>
      <w:r w:rsidR="003D6F56" w:rsidRPr="00F25AB7">
        <w:t xml:space="preserve">cost of </w:t>
      </w:r>
      <w:r w:rsidRPr="00F25AB7">
        <w:t xml:space="preserve">the device would be required for the cost-effectiveness of LPM to be considered </w:t>
      </w:r>
      <w:bookmarkStart w:id="1" w:name="_Hlk112056395"/>
      <w:r w:rsidRPr="00F25AB7">
        <w:t xml:space="preserve">acceptable at an incremental cost-effectiveness ratio (ICER) of approximately $50,000 </w:t>
      </w:r>
      <w:bookmarkEnd w:id="1"/>
      <w:r w:rsidRPr="00F25AB7">
        <w:t>per quality-adjusted-life year which is an acceptable ICER for this population and level of uncertainty around the clinical evidence and utilisation.</w:t>
      </w:r>
    </w:p>
    <w:p w14:paraId="3F956C03" w14:textId="2AB40BEA" w:rsidR="00DD1763" w:rsidRDefault="00DD1763" w:rsidP="00B54396">
      <w:pPr>
        <w:spacing w:after="240"/>
        <w:rPr>
          <w:iCs/>
        </w:rPr>
      </w:pPr>
      <w:r>
        <w:rPr>
          <w:iCs/>
        </w:rPr>
        <w:lastRenderedPageBreak/>
        <w:t>The MSAC supported item descriptors are provided below</w:t>
      </w:r>
      <w:r w:rsidR="00046BE6">
        <w:rPr>
          <w:iCs/>
        </w:rPr>
        <w:t xml:space="preserve">. MSAC advised that the Department should consult with the </w:t>
      </w:r>
      <w:r w:rsidR="00046BE6">
        <w:t>Cardiac Society of Australia and New Zealand (</w:t>
      </w:r>
      <w:r w:rsidR="00046BE6">
        <w:rPr>
          <w:iCs/>
        </w:rPr>
        <w:t>CSANZ) to further define this indication, and the contraindications that would preclude a TVPM.</w:t>
      </w:r>
      <w:r w:rsidR="00214B80">
        <w:rPr>
          <w:iCs/>
        </w:rPr>
        <w:t xml:space="preserve"> MSAC considered that the criteria for removal should also be defined.</w:t>
      </w:r>
    </w:p>
    <w:tbl>
      <w:tblPr>
        <w:tblStyle w:val="TableGrid1"/>
        <w:tblW w:w="9209" w:type="dxa"/>
        <w:tblCellMar>
          <w:left w:w="0" w:type="dxa"/>
          <w:right w:w="0" w:type="dxa"/>
        </w:tblCellMar>
        <w:tblLook w:val="04A0" w:firstRow="1" w:lastRow="0" w:firstColumn="1" w:lastColumn="0" w:noHBand="0" w:noVBand="1"/>
      </w:tblPr>
      <w:tblGrid>
        <w:gridCol w:w="9209"/>
      </w:tblGrid>
      <w:tr w:rsidR="00DD1763" w:rsidRPr="00B44AFD" w14:paraId="7CF3AE4E" w14:textId="77777777" w:rsidTr="00865828">
        <w:trPr>
          <w:cnfStyle w:val="100000000000" w:firstRow="1" w:lastRow="0" w:firstColumn="0" w:lastColumn="0" w:oddVBand="0" w:evenVBand="0" w:oddHBand="0" w:evenHBand="0" w:firstRowFirstColumn="0" w:firstRowLastColumn="0" w:lastRowFirstColumn="0" w:lastRowLastColumn="0"/>
        </w:trPr>
        <w:tc>
          <w:tcPr>
            <w:tcW w:w="9209"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F265765" w14:textId="77777777" w:rsidR="00DD1763" w:rsidRPr="00B44AFD" w:rsidRDefault="00DD1763" w:rsidP="00865828">
            <w:pPr>
              <w:rPr>
                <w:rFonts w:ascii="Arial Narrow" w:hAnsi="Arial Narrow"/>
              </w:rPr>
            </w:pPr>
            <w:r w:rsidRPr="00B44AFD">
              <w:rPr>
                <w:rFonts w:ascii="Arial Narrow" w:hAnsi="Arial Narrow"/>
                <w:b/>
                <w:bCs/>
                <w:lang w:val="en-US"/>
              </w:rPr>
              <w:t xml:space="preserve">Category 3 – THERAPEUTIC PROCEDURES   T8 Surgical Operations    Subgroup 6 – Cardiothoracic </w:t>
            </w:r>
          </w:p>
        </w:tc>
      </w:tr>
      <w:tr w:rsidR="00DD1763" w:rsidRPr="00B44AFD" w14:paraId="389B718A" w14:textId="77777777" w:rsidTr="00865828">
        <w:tc>
          <w:tcPr>
            <w:tcW w:w="9209"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2B72E6D7" w14:textId="77777777" w:rsidR="00DD1763" w:rsidRPr="00B44AFD" w:rsidRDefault="00DD1763" w:rsidP="00865828">
            <w:pPr>
              <w:rPr>
                <w:rFonts w:ascii="Arial Narrow" w:hAnsi="Arial Narrow"/>
              </w:rPr>
            </w:pPr>
            <w:r w:rsidRPr="00B44AFD">
              <w:rPr>
                <w:rFonts w:ascii="Arial Narrow" w:hAnsi="Arial Narrow"/>
                <w:lang w:val="en-US"/>
              </w:rPr>
              <w:t>MBS item WWWWW</w:t>
            </w:r>
          </w:p>
          <w:p w14:paraId="720E8D5C" w14:textId="069D5410" w:rsidR="00DD1763" w:rsidRPr="00E503E9" w:rsidRDefault="00DD1763" w:rsidP="00865828">
            <w:pPr>
              <w:rPr>
                <w:rFonts w:ascii="Arial Narrow" w:hAnsi="Arial Narrow"/>
                <w:i/>
                <w:iCs/>
              </w:rPr>
            </w:pPr>
            <w:r w:rsidRPr="00B44AFD">
              <w:rPr>
                <w:rFonts w:ascii="Arial Narrow" w:hAnsi="Arial Narrow"/>
                <w:lang w:val="en-US"/>
              </w:rPr>
              <w:t xml:space="preserve">LEADLESS PERMANENT CARDIAC PACEMAKER, SINGLE-CHAMBER VENTRICULAR, percutaneous insertion of, </w:t>
            </w:r>
            <w:r w:rsidRPr="00E503E9">
              <w:rPr>
                <w:rFonts w:ascii="Arial Narrow" w:hAnsi="Arial Narrow"/>
                <w:i/>
                <w:iCs/>
                <w:lang w:val="en-US"/>
              </w:rPr>
              <w:t>for the treatment of brady</w:t>
            </w:r>
            <w:r w:rsidRPr="00E503E9">
              <w:rPr>
                <w:rFonts w:ascii="Arial Narrow" w:hAnsi="Arial Narrow"/>
                <w:i/>
                <w:iCs/>
              </w:rPr>
              <w:t>arrhythmia</w:t>
            </w:r>
            <w:r w:rsidRPr="00B44AFD">
              <w:rPr>
                <w:rFonts w:ascii="Arial Narrow" w:hAnsi="Arial Narrow"/>
                <w:lang w:val="en-US"/>
              </w:rPr>
              <w:t>, including cardiac electrophysiological services</w:t>
            </w:r>
            <w:r>
              <w:rPr>
                <w:rFonts w:ascii="Arial Narrow" w:hAnsi="Arial Narrow"/>
                <w:lang w:val="en-US"/>
              </w:rPr>
              <w:t xml:space="preserve"> </w:t>
            </w:r>
            <w:r>
              <w:rPr>
                <w:rFonts w:ascii="Arial Narrow" w:hAnsi="Arial Narrow"/>
                <w:i/>
                <w:iCs/>
                <w:lang w:val="en-US"/>
              </w:rPr>
              <w:t xml:space="preserve">where </w:t>
            </w:r>
            <w:r w:rsidRPr="00DD1763">
              <w:rPr>
                <w:rFonts w:ascii="Arial Narrow" w:hAnsi="Arial Narrow"/>
                <w:i/>
                <w:iCs/>
                <w:lang w:val="en-US"/>
              </w:rPr>
              <w:t>transvenous pacemaker (TVPM) is inappropriate due to inaccessible</w:t>
            </w:r>
            <w:r w:rsidR="00046BE6">
              <w:rPr>
                <w:rFonts w:ascii="Arial Narrow" w:hAnsi="Arial Narrow"/>
                <w:i/>
                <w:iCs/>
                <w:lang w:val="en-US"/>
              </w:rPr>
              <w:t xml:space="preserve"> upper extremity</w:t>
            </w:r>
            <w:r w:rsidRPr="00DD1763">
              <w:rPr>
                <w:rFonts w:ascii="Arial Narrow" w:hAnsi="Arial Narrow"/>
                <w:i/>
                <w:iCs/>
                <w:lang w:val="en-US"/>
              </w:rPr>
              <w:t xml:space="preserve"> venous system, </w:t>
            </w:r>
            <w:r w:rsidR="00A05202">
              <w:rPr>
                <w:rFonts w:ascii="Arial Narrow" w:hAnsi="Arial Narrow"/>
                <w:i/>
                <w:iCs/>
                <w:lang w:val="en-US"/>
              </w:rPr>
              <w:t xml:space="preserve">increased </w:t>
            </w:r>
            <w:r w:rsidRPr="00DD1763">
              <w:rPr>
                <w:rFonts w:ascii="Arial Narrow" w:hAnsi="Arial Narrow"/>
                <w:i/>
                <w:iCs/>
                <w:lang w:val="en-US"/>
              </w:rPr>
              <w:t xml:space="preserve">risk of infection or history of </w:t>
            </w:r>
            <w:r w:rsidR="00A05202">
              <w:rPr>
                <w:rFonts w:ascii="Arial Narrow" w:hAnsi="Arial Narrow"/>
                <w:i/>
                <w:iCs/>
                <w:lang w:val="en-US"/>
              </w:rPr>
              <w:t xml:space="preserve">venous </w:t>
            </w:r>
            <w:r w:rsidRPr="00DD1763">
              <w:rPr>
                <w:rFonts w:ascii="Arial Narrow" w:hAnsi="Arial Narrow"/>
                <w:i/>
                <w:iCs/>
                <w:lang w:val="en-US"/>
              </w:rPr>
              <w:t>thrombosis</w:t>
            </w:r>
          </w:p>
          <w:p w14:paraId="3351F8A9" w14:textId="77777777" w:rsidR="00DD1763" w:rsidRPr="00B44AFD" w:rsidRDefault="00DD1763" w:rsidP="00865828">
            <w:pPr>
              <w:rPr>
                <w:rFonts w:ascii="Arial Narrow" w:hAnsi="Arial Narrow"/>
              </w:rPr>
            </w:pPr>
            <w:r w:rsidRPr="00B44AFD">
              <w:rPr>
                <w:rFonts w:ascii="Arial Narrow" w:hAnsi="Arial Narrow"/>
                <w:lang w:val="en-US"/>
              </w:rPr>
              <w:t>Multiple Operation Rule</w:t>
            </w:r>
          </w:p>
          <w:p w14:paraId="6ABD3725" w14:textId="77777777" w:rsidR="00DD1763" w:rsidRPr="00B44AFD" w:rsidRDefault="00DD1763" w:rsidP="00865828">
            <w:pPr>
              <w:rPr>
                <w:rFonts w:ascii="Arial Narrow" w:hAnsi="Arial Narrow"/>
              </w:rPr>
            </w:pPr>
            <w:r w:rsidRPr="00B44AFD">
              <w:rPr>
                <w:rFonts w:ascii="Arial Narrow" w:hAnsi="Arial Narrow"/>
                <w:lang w:val="en-US"/>
              </w:rPr>
              <w:t>(</w:t>
            </w:r>
            <w:proofErr w:type="spellStart"/>
            <w:r w:rsidRPr="00B44AFD">
              <w:rPr>
                <w:rFonts w:ascii="Arial Narrow" w:hAnsi="Arial Narrow"/>
                <w:lang w:val="en-US"/>
              </w:rPr>
              <w:t>Anaes</w:t>
            </w:r>
            <w:proofErr w:type="spellEnd"/>
            <w:r w:rsidRPr="00B44AFD">
              <w:rPr>
                <w:rFonts w:ascii="Arial Narrow" w:hAnsi="Arial Narrow"/>
                <w:lang w:val="en-US"/>
              </w:rPr>
              <w:t xml:space="preserve">.) </w:t>
            </w:r>
          </w:p>
          <w:p w14:paraId="77F978C7" w14:textId="540B49BB" w:rsidR="00DD1763" w:rsidRPr="00B44AFD" w:rsidRDefault="00DD1763" w:rsidP="00865828">
            <w:pPr>
              <w:rPr>
                <w:rFonts w:ascii="Arial Narrow" w:hAnsi="Arial Narrow"/>
              </w:rPr>
            </w:pPr>
            <w:r w:rsidRPr="00B44AFD">
              <w:rPr>
                <w:rFonts w:ascii="Arial Narrow" w:hAnsi="Arial Narrow"/>
                <w:lang w:val="en-US"/>
              </w:rPr>
              <w:t xml:space="preserve">Fee: $797.45 </w:t>
            </w:r>
            <w:r w:rsidRPr="00E503E9">
              <w:rPr>
                <w:rFonts w:ascii="Arial Narrow" w:hAnsi="Arial Narrow"/>
                <w:i/>
                <w:iCs/>
                <w:lang w:val="en-US"/>
              </w:rPr>
              <w:t>H (75% rebate)</w:t>
            </w:r>
          </w:p>
        </w:tc>
      </w:tr>
      <w:tr w:rsidR="00DD1763" w:rsidRPr="00B44AFD" w14:paraId="69CDD9F6" w14:textId="77777777" w:rsidTr="00865828">
        <w:tc>
          <w:tcPr>
            <w:tcW w:w="9209"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E5F8FBA" w14:textId="77777777" w:rsidR="00DD1763" w:rsidRPr="00B44AFD" w:rsidRDefault="00DD1763" w:rsidP="00865828">
            <w:pPr>
              <w:rPr>
                <w:rFonts w:ascii="Arial Narrow" w:hAnsi="Arial Narrow"/>
              </w:rPr>
            </w:pPr>
            <w:r w:rsidRPr="00B44AFD">
              <w:rPr>
                <w:rFonts w:ascii="Arial Narrow" w:hAnsi="Arial Narrow"/>
                <w:lang w:val="en-US"/>
              </w:rPr>
              <w:t>MBS item XXXXX</w:t>
            </w:r>
          </w:p>
          <w:p w14:paraId="7319AF2E" w14:textId="77777777" w:rsidR="00DD1763" w:rsidRPr="00B44AFD" w:rsidRDefault="00DD1763" w:rsidP="00865828">
            <w:pPr>
              <w:rPr>
                <w:rFonts w:ascii="Arial Narrow" w:hAnsi="Arial Narrow"/>
              </w:rPr>
            </w:pPr>
            <w:r w:rsidRPr="00B44AFD">
              <w:rPr>
                <w:rFonts w:ascii="Arial Narrow" w:hAnsi="Arial Narrow"/>
                <w:lang w:val="en-US"/>
              </w:rPr>
              <w:t xml:space="preserve">LEADLESS PERMANENT CARDIAC PACEMAKER, SINGLE-CHAMBER VENTRICULAR, percutaneous </w:t>
            </w:r>
            <w:proofErr w:type="gramStart"/>
            <w:r w:rsidRPr="00B44AFD">
              <w:rPr>
                <w:rFonts w:ascii="Arial Narrow" w:hAnsi="Arial Narrow"/>
                <w:lang w:val="en-US"/>
              </w:rPr>
              <w:t>retrieval</w:t>
            </w:r>
            <w:proofErr w:type="gramEnd"/>
            <w:r w:rsidRPr="00B44AFD">
              <w:rPr>
                <w:rFonts w:ascii="Arial Narrow" w:hAnsi="Arial Narrow"/>
                <w:lang w:val="en-US"/>
              </w:rPr>
              <w:t xml:space="preserve"> and replacement of, including cardiac electrophysiological services</w:t>
            </w:r>
          </w:p>
          <w:p w14:paraId="3B626508" w14:textId="77777777" w:rsidR="00DD1763" w:rsidRPr="00B44AFD" w:rsidRDefault="00DD1763" w:rsidP="00865828">
            <w:pPr>
              <w:rPr>
                <w:rFonts w:ascii="Arial Narrow" w:hAnsi="Arial Narrow"/>
              </w:rPr>
            </w:pPr>
            <w:r w:rsidRPr="00B44AFD">
              <w:rPr>
                <w:rFonts w:ascii="Arial Narrow" w:hAnsi="Arial Narrow"/>
                <w:lang w:val="en-US"/>
              </w:rPr>
              <w:t>Multiple Operation Rule</w:t>
            </w:r>
          </w:p>
          <w:p w14:paraId="48CABE58" w14:textId="77777777" w:rsidR="00DD1763" w:rsidRPr="00B44AFD" w:rsidRDefault="00DD1763" w:rsidP="00865828">
            <w:pPr>
              <w:rPr>
                <w:rFonts w:ascii="Arial Narrow" w:hAnsi="Arial Narrow"/>
              </w:rPr>
            </w:pPr>
            <w:r w:rsidRPr="00B44AFD">
              <w:rPr>
                <w:rFonts w:ascii="Arial Narrow" w:hAnsi="Arial Narrow"/>
                <w:lang w:val="en-US"/>
              </w:rPr>
              <w:t>(</w:t>
            </w:r>
            <w:proofErr w:type="spellStart"/>
            <w:r w:rsidRPr="00B44AFD">
              <w:rPr>
                <w:rFonts w:ascii="Arial Narrow" w:hAnsi="Arial Narrow"/>
                <w:lang w:val="en-US"/>
              </w:rPr>
              <w:t>Anaes</w:t>
            </w:r>
            <w:proofErr w:type="spellEnd"/>
            <w:r w:rsidRPr="00B44AFD">
              <w:rPr>
                <w:rFonts w:ascii="Arial Narrow" w:hAnsi="Arial Narrow"/>
                <w:lang w:val="en-US"/>
              </w:rPr>
              <w:t>.)</w:t>
            </w:r>
          </w:p>
          <w:p w14:paraId="24F51907" w14:textId="77777777" w:rsidR="00DD1763" w:rsidRPr="00B44AFD" w:rsidRDefault="00DD1763" w:rsidP="00865828">
            <w:pPr>
              <w:rPr>
                <w:rFonts w:ascii="Arial Narrow" w:hAnsi="Arial Narrow"/>
              </w:rPr>
            </w:pPr>
            <w:r w:rsidRPr="00B44AFD">
              <w:rPr>
                <w:rFonts w:ascii="Arial Narrow" w:hAnsi="Arial Narrow"/>
                <w:lang w:val="en-US"/>
              </w:rPr>
              <w:t xml:space="preserve">Fee: $797.45 </w:t>
            </w:r>
            <w:r w:rsidRPr="00E503E9">
              <w:rPr>
                <w:rFonts w:ascii="Arial Narrow" w:hAnsi="Arial Narrow"/>
                <w:i/>
                <w:iCs/>
                <w:lang w:val="en-US"/>
              </w:rPr>
              <w:t>H (75% rebate)</w:t>
            </w:r>
          </w:p>
        </w:tc>
      </w:tr>
      <w:tr w:rsidR="00DD1763" w:rsidRPr="00B44AFD" w14:paraId="20F36FEE" w14:textId="77777777" w:rsidTr="00865828">
        <w:tc>
          <w:tcPr>
            <w:tcW w:w="9209"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92FA9F5" w14:textId="77777777" w:rsidR="00DD1763" w:rsidRPr="00B44AFD" w:rsidRDefault="00DD1763" w:rsidP="00865828">
            <w:pPr>
              <w:rPr>
                <w:rFonts w:ascii="Arial Narrow" w:hAnsi="Arial Narrow"/>
              </w:rPr>
            </w:pPr>
            <w:r w:rsidRPr="00B44AFD">
              <w:rPr>
                <w:rFonts w:ascii="Arial Narrow" w:hAnsi="Arial Narrow"/>
                <w:lang w:val="en-US"/>
              </w:rPr>
              <w:t>MBS item YYYYY</w:t>
            </w:r>
          </w:p>
          <w:p w14:paraId="5497CB95" w14:textId="77777777" w:rsidR="00DD1763" w:rsidRPr="00B44AFD" w:rsidRDefault="00DD1763" w:rsidP="00865828">
            <w:pPr>
              <w:rPr>
                <w:rFonts w:ascii="Arial Narrow" w:hAnsi="Arial Narrow"/>
              </w:rPr>
            </w:pPr>
            <w:r w:rsidRPr="00B44AFD">
              <w:rPr>
                <w:rFonts w:ascii="Arial Narrow" w:hAnsi="Arial Narrow"/>
                <w:lang w:val="en-US"/>
              </w:rPr>
              <w:t>LEADLESS PERMANENT CARDIAC PACEMAKER, SINGLE-CHAMBER VENTRICULAR, percutaneous retrieval of</w:t>
            </w:r>
          </w:p>
          <w:p w14:paraId="5E69FA14" w14:textId="77777777" w:rsidR="00DD1763" w:rsidRPr="00B44AFD" w:rsidRDefault="00DD1763" w:rsidP="00865828">
            <w:pPr>
              <w:rPr>
                <w:rFonts w:ascii="Arial Narrow" w:hAnsi="Arial Narrow"/>
              </w:rPr>
            </w:pPr>
            <w:r w:rsidRPr="00B44AFD">
              <w:rPr>
                <w:rFonts w:ascii="Arial Narrow" w:hAnsi="Arial Narrow"/>
                <w:lang w:val="en-US"/>
              </w:rPr>
              <w:t>Multiple Operation Rule</w:t>
            </w:r>
          </w:p>
          <w:p w14:paraId="22ABC123" w14:textId="77777777" w:rsidR="00DD1763" w:rsidRPr="00B44AFD" w:rsidRDefault="00DD1763" w:rsidP="00865828">
            <w:pPr>
              <w:rPr>
                <w:rFonts w:ascii="Arial Narrow" w:hAnsi="Arial Narrow"/>
              </w:rPr>
            </w:pPr>
            <w:r w:rsidRPr="00B44AFD">
              <w:rPr>
                <w:rFonts w:ascii="Arial Narrow" w:hAnsi="Arial Narrow"/>
                <w:lang w:val="en-US"/>
              </w:rPr>
              <w:t>(</w:t>
            </w:r>
            <w:proofErr w:type="spellStart"/>
            <w:r w:rsidRPr="00B44AFD">
              <w:rPr>
                <w:rFonts w:ascii="Arial Narrow" w:hAnsi="Arial Narrow"/>
                <w:lang w:val="en-US"/>
              </w:rPr>
              <w:t>Anaes</w:t>
            </w:r>
            <w:proofErr w:type="spellEnd"/>
            <w:r w:rsidRPr="00B44AFD">
              <w:rPr>
                <w:rFonts w:ascii="Arial Narrow" w:hAnsi="Arial Narrow"/>
                <w:lang w:val="en-US"/>
              </w:rPr>
              <w:t>.)</w:t>
            </w:r>
          </w:p>
          <w:p w14:paraId="321D1676" w14:textId="77777777" w:rsidR="00DD1763" w:rsidRPr="00B44AFD" w:rsidRDefault="00DD1763" w:rsidP="00865828">
            <w:pPr>
              <w:rPr>
                <w:rFonts w:ascii="Arial Narrow" w:hAnsi="Arial Narrow"/>
              </w:rPr>
            </w:pPr>
            <w:r w:rsidRPr="00B44AFD">
              <w:rPr>
                <w:rFonts w:ascii="Arial Narrow" w:hAnsi="Arial Narrow"/>
                <w:lang w:val="en-US"/>
              </w:rPr>
              <w:t xml:space="preserve">Fee: $797.45 </w:t>
            </w:r>
            <w:r w:rsidRPr="00E503E9">
              <w:rPr>
                <w:rFonts w:ascii="Arial Narrow" w:hAnsi="Arial Narrow"/>
                <w:i/>
                <w:iCs/>
                <w:lang w:val="en-US"/>
              </w:rPr>
              <w:t>H (75% rebate)</w:t>
            </w:r>
          </w:p>
        </w:tc>
      </w:tr>
      <w:tr w:rsidR="00DD1763" w:rsidRPr="00B44AFD" w14:paraId="507310F7" w14:textId="77777777" w:rsidTr="00865828">
        <w:tc>
          <w:tcPr>
            <w:tcW w:w="9209"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619C6BE" w14:textId="77777777" w:rsidR="00DD1763" w:rsidRPr="00B44AFD" w:rsidRDefault="00DD1763" w:rsidP="00865828">
            <w:pPr>
              <w:rPr>
                <w:rFonts w:ascii="Arial Narrow" w:hAnsi="Arial Narrow"/>
              </w:rPr>
            </w:pPr>
            <w:r w:rsidRPr="00B44AFD">
              <w:rPr>
                <w:rFonts w:ascii="Arial Narrow" w:hAnsi="Arial Narrow"/>
                <w:lang w:val="en-US"/>
              </w:rPr>
              <w:t>MBS item ZZZZZ</w:t>
            </w:r>
          </w:p>
          <w:p w14:paraId="15EA333A" w14:textId="77777777" w:rsidR="00DD1763" w:rsidRPr="00B44AFD" w:rsidRDefault="00DD1763" w:rsidP="00865828">
            <w:pPr>
              <w:rPr>
                <w:rFonts w:ascii="Arial Narrow" w:hAnsi="Arial Narrow"/>
              </w:rPr>
            </w:pPr>
            <w:r w:rsidRPr="00B44AFD">
              <w:rPr>
                <w:rFonts w:ascii="Arial Narrow" w:hAnsi="Arial Narrow"/>
                <w:lang w:val="en-US"/>
              </w:rPr>
              <w:t xml:space="preserve">LEADLESS PERMANENT CARDIAC PACEMAKER, SINGLE-CHAMBER VENTRICULAR, </w:t>
            </w:r>
            <w:r w:rsidRPr="00E503E9">
              <w:rPr>
                <w:rFonts w:ascii="Arial Narrow" w:hAnsi="Arial Narrow"/>
                <w:strike/>
                <w:lang w:val="en-US"/>
              </w:rPr>
              <w:t xml:space="preserve">surgical </w:t>
            </w:r>
            <w:r w:rsidRPr="00B44AFD">
              <w:rPr>
                <w:rFonts w:ascii="Arial Narrow" w:hAnsi="Arial Narrow"/>
                <w:lang w:val="en-US"/>
              </w:rPr>
              <w:t>explantation of</w:t>
            </w:r>
          </w:p>
          <w:p w14:paraId="54BC077E" w14:textId="77777777" w:rsidR="00DD1763" w:rsidRPr="00B44AFD" w:rsidRDefault="00DD1763" w:rsidP="00865828">
            <w:pPr>
              <w:rPr>
                <w:rFonts w:ascii="Arial Narrow" w:hAnsi="Arial Narrow"/>
              </w:rPr>
            </w:pPr>
            <w:r w:rsidRPr="00B44AFD">
              <w:rPr>
                <w:rFonts w:ascii="Arial Narrow" w:hAnsi="Arial Narrow"/>
                <w:lang w:val="en-US"/>
              </w:rPr>
              <w:t>Multiple Operation Rule</w:t>
            </w:r>
          </w:p>
          <w:p w14:paraId="4C785B4B" w14:textId="77777777" w:rsidR="00DD1763" w:rsidRPr="00B44AFD" w:rsidRDefault="00DD1763" w:rsidP="00865828">
            <w:pPr>
              <w:rPr>
                <w:rFonts w:ascii="Arial Narrow" w:hAnsi="Arial Narrow"/>
              </w:rPr>
            </w:pPr>
            <w:r w:rsidRPr="00B44AFD">
              <w:rPr>
                <w:rFonts w:ascii="Arial Narrow" w:hAnsi="Arial Narrow"/>
                <w:lang w:val="en-US"/>
              </w:rPr>
              <w:t>(</w:t>
            </w:r>
            <w:proofErr w:type="spellStart"/>
            <w:r w:rsidRPr="00B44AFD">
              <w:rPr>
                <w:rFonts w:ascii="Arial Narrow" w:hAnsi="Arial Narrow"/>
                <w:lang w:val="en-US"/>
              </w:rPr>
              <w:t>Anaes</w:t>
            </w:r>
            <w:proofErr w:type="spellEnd"/>
            <w:r w:rsidRPr="00B44AFD">
              <w:rPr>
                <w:rFonts w:ascii="Arial Narrow" w:hAnsi="Arial Narrow"/>
                <w:lang w:val="en-US"/>
              </w:rPr>
              <w:t>.) (Assist)</w:t>
            </w:r>
          </w:p>
          <w:p w14:paraId="40532303" w14:textId="77777777" w:rsidR="00DD1763" w:rsidRPr="00B44AFD" w:rsidRDefault="00DD1763" w:rsidP="00865828">
            <w:pPr>
              <w:rPr>
                <w:rFonts w:ascii="Arial Narrow" w:hAnsi="Arial Narrow"/>
              </w:rPr>
            </w:pPr>
            <w:r w:rsidRPr="00B44AFD">
              <w:rPr>
                <w:rFonts w:ascii="Arial Narrow" w:hAnsi="Arial Narrow"/>
                <w:lang w:val="en-US"/>
              </w:rPr>
              <w:t xml:space="preserve">Fee: $2,984.25 </w:t>
            </w:r>
            <w:r w:rsidRPr="00E503E9">
              <w:rPr>
                <w:rFonts w:ascii="Arial Narrow" w:hAnsi="Arial Narrow"/>
                <w:i/>
                <w:iCs/>
                <w:lang w:val="en-US"/>
              </w:rPr>
              <w:t>H (75% rebate)</w:t>
            </w:r>
          </w:p>
        </w:tc>
      </w:tr>
    </w:tbl>
    <w:p w14:paraId="6C407070" w14:textId="77777777" w:rsidR="00DD1763" w:rsidRPr="00B54396" w:rsidRDefault="00DD1763" w:rsidP="00B54396">
      <w:pPr>
        <w:spacing w:after="240"/>
        <w:rPr>
          <w:iCs/>
        </w:rPr>
      </w:pPr>
    </w:p>
    <w:tbl>
      <w:tblPr>
        <w:tblStyle w:val="TableGrid"/>
        <w:tblW w:w="0" w:type="auto"/>
        <w:tblLook w:val="04A0" w:firstRow="1" w:lastRow="0" w:firstColumn="1" w:lastColumn="0" w:noHBand="0" w:noVBand="1"/>
        <w:tblDescription w:val="Consumer summary of MSAC consideration"/>
      </w:tblPr>
      <w:tblGrid>
        <w:gridCol w:w="9016"/>
      </w:tblGrid>
      <w:tr w:rsidR="00B54396" w14:paraId="45BEB944" w14:textId="77777777" w:rsidTr="00B54396">
        <w:trPr>
          <w:tblHeader/>
        </w:trPr>
        <w:tc>
          <w:tcPr>
            <w:tcW w:w="9016" w:type="dxa"/>
            <w:tcBorders>
              <w:top w:val="single" w:sz="4" w:space="0" w:color="auto"/>
              <w:left w:val="single" w:sz="4" w:space="0" w:color="auto"/>
              <w:bottom w:val="single" w:sz="4" w:space="0" w:color="auto"/>
              <w:right w:val="single" w:sz="4" w:space="0" w:color="auto"/>
            </w:tcBorders>
            <w:hideMark/>
          </w:tcPr>
          <w:p w14:paraId="1FE8EC52" w14:textId="77777777" w:rsidR="00B54396" w:rsidRPr="00B54396" w:rsidRDefault="00B54396" w:rsidP="00E503E9">
            <w:pPr>
              <w:pStyle w:val="Default"/>
              <w:keepNext/>
              <w:spacing w:before="120" w:after="120"/>
              <w:rPr>
                <w:rFonts w:ascii="Franklin Gothic Book" w:hAnsi="Franklin Gothic Book"/>
                <w:b/>
                <w:bCs/>
                <w:color w:val="auto"/>
                <w:sz w:val="22"/>
                <w:szCs w:val="22"/>
              </w:rPr>
            </w:pPr>
            <w:r w:rsidRPr="00B54396">
              <w:rPr>
                <w:rFonts w:ascii="Franklin Gothic Book" w:hAnsi="Franklin Gothic Book"/>
                <w:b/>
                <w:bCs/>
                <w:color w:val="auto"/>
                <w:sz w:val="22"/>
                <w:szCs w:val="22"/>
              </w:rPr>
              <w:lastRenderedPageBreak/>
              <w:t>Consumer summary</w:t>
            </w:r>
          </w:p>
        </w:tc>
      </w:tr>
      <w:tr w:rsidR="00B54396" w14:paraId="7813EB36" w14:textId="77777777" w:rsidTr="00B54396">
        <w:tc>
          <w:tcPr>
            <w:tcW w:w="9016" w:type="dxa"/>
            <w:tcBorders>
              <w:top w:val="single" w:sz="4" w:space="0" w:color="auto"/>
              <w:left w:val="single" w:sz="4" w:space="0" w:color="auto"/>
              <w:bottom w:val="single" w:sz="4" w:space="0" w:color="auto"/>
              <w:right w:val="single" w:sz="4" w:space="0" w:color="auto"/>
            </w:tcBorders>
            <w:hideMark/>
          </w:tcPr>
          <w:p w14:paraId="0C231FA9" w14:textId="6B7EA6B5" w:rsidR="00B44AFD" w:rsidRPr="00B44AFD" w:rsidRDefault="00B44AFD" w:rsidP="00E503E9">
            <w:pPr>
              <w:pStyle w:val="Default"/>
              <w:keepNext/>
              <w:spacing w:after="240"/>
              <w:rPr>
                <w:rFonts w:ascii="Franklin Gothic Book" w:hAnsi="Franklin Gothic Book"/>
                <w:iCs/>
                <w:color w:val="auto"/>
                <w:sz w:val="22"/>
                <w:szCs w:val="22"/>
              </w:rPr>
            </w:pPr>
            <w:r w:rsidRPr="00B44AFD">
              <w:rPr>
                <w:rFonts w:ascii="Franklin Gothic Book" w:hAnsi="Franklin Gothic Book"/>
                <w:iCs/>
                <w:color w:val="auto"/>
                <w:sz w:val="22"/>
                <w:szCs w:val="22"/>
              </w:rPr>
              <w:t>This is an application from Medtronic Australasia Pty Ltd requesting Medicare Benefits Schedule (MBS) listing of the insertion or removal of a permanent leadless pacemaker for the treatment of bradyarrhythmia that requires single-chamber ventricular pacing.</w:t>
            </w:r>
          </w:p>
          <w:p w14:paraId="3A82552F" w14:textId="3C74002C" w:rsidR="00B44AFD" w:rsidRPr="00B44AFD" w:rsidRDefault="00B44AFD" w:rsidP="00E503E9">
            <w:pPr>
              <w:pStyle w:val="Default"/>
              <w:keepNext/>
              <w:spacing w:after="240"/>
              <w:rPr>
                <w:rFonts w:ascii="Franklin Gothic Book" w:hAnsi="Franklin Gothic Book"/>
                <w:iCs/>
                <w:color w:val="auto"/>
                <w:sz w:val="22"/>
                <w:szCs w:val="22"/>
              </w:rPr>
            </w:pPr>
            <w:r w:rsidRPr="00B44AFD">
              <w:rPr>
                <w:rFonts w:ascii="Franklin Gothic Book" w:hAnsi="Franklin Gothic Book"/>
                <w:iCs/>
                <w:color w:val="auto"/>
                <w:sz w:val="22"/>
                <w:szCs w:val="22"/>
              </w:rPr>
              <w:t>The human heart needs to beat a minimum number of beats per minute to pump enough blood around the body. But in people with bradyarrhythmia, the heart beats too slowly</w:t>
            </w:r>
            <w:r w:rsidR="000C3111">
              <w:rPr>
                <w:rFonts w:ascii="Franklin Gothic Book" w:hAnsi="Franklin Gothic Book"/>
                <w:iCs/>
                <w:color w:val="auto"/>
                <w:sz w:val="22"/>
                <w:szCs w:val="22"/>
              </w:rPr>
              <w:t xml:space="preserve"> and sometimes erratically</w:t>
            </w:r>
            <w:r w:rsidRPr="00B44AFD">
              <w:rPr>
                <w:rFonts w:ascii="Franklin Gothic Book" w:hAnsi="Franklin Gothic Book"/>
                <w:iCs/>
                <w:color w:val="auto"/>
                <w:sz w:val="22"/>
                <w:szCs w:val="22"/>
              </w:rPr>
              <w:t xml:space="preserve">, so they need a pacemaker that sends electrical signals to the heart to correct the </w:t>
            </w:r>
            <w:r w:rsidR="003C1647">
              <w:rPr>
                <w:rFonts w:ascii="Franklin Gothic Book" w:hAnsi="Franklin Gothic Book"/>
                <w:iCs/>
                <w:color w:val="auto"/>
                <w:sz w:val="22"/>
                <w:szCs w:val="22"/>
              </w:rPr>
              <w:t>heart rate</w:t>
            </w:r>
            <w:r w:rsidRPr="00B44AFD">
              <w:rPr>
                <w:rFonts w:ascii="Franklin Gothic Book" w:hAnsi="Franklin Gothic Book"/>
                <w:iCs/>
                <w:color w:val="auto"/>
                <w:sz w:val="22"/>
                <w:szCs w:val="22"/>
              </w:rPr>
              <w:t>.</w:t>
            </w:r>
          </w:p>
          <w:p w14:paraId="0E48427D" w14:textId="12F0FC2D" w:rsidR="00865828" w:rsidRDefault="00B44AFD">
            <w:pPr>
              <w:pStyle w:val="Default"/>
              <w:keepNext/>
              <w:spacing w:after="240"/>
              <w:rPr>
                <w:rFonts w:ascii="Franklin Gothic Book" w:hAnsi="Franklin Gothic Book"/>
                <w:iCs/>
                <w:color w:val="auto"/>
                <w:sz w:val="22"/>
                <w:szCs w:val="22"/>
              </w:rPr>
            </w:pPr>
            <w:r w:rsidRPr="00B44AFD">
              <w:rPr>
                <w:rFonts w:ascii="Franklin Gothic Book" w:hAnsi="Franklin Gothic Book"/>
                <w:iCs/>
                <w:color w:val="auto"/>
                <w:sz w:val="22"/>
                <w:szCs w:val="22"/>
              </w:rPr>
              <w:t xml:space="preserve">Traditionally, </w:t>
            </w:r>
            <w:r w:rsidR="000C3111">
              <w:rPr>
                <w:rFonts w:ascii="Franklin Gothic Book" w:hAnsi="Franklin Gothic Book"/>
                <w:iCs/>
                <w:color w:val="auto"/>
                <w:sz w:val="22"/>
                <w:szCs w:val="22"/>
              </w:rPr>
              <w:t>transvenous</w:t>
            </w:r>
            <w:r w:rsidRPr="00B44AFD">
              <w:rPr>
                <w:rFonts w:ascii="Franklin Gothic Book" w:hAnsi="Franklin Gothic Book"/>
                <w:iCs/>
                <w:color w:val="auto"/>
                <w:sz w:val="22"/>
                <w:szCs w:val="22"/>
              </w:rPr>
              <w:t xml:space="preserve"> pacemakers have a</w:t>
            </w:r>
            <w:r w:rsidR="003C1647">
              <w:rPr>
                <w:rFonts w:ascii="Franklin Gothic Book" w:hAnsi="Franklin Gothic Book"/>
                <w:iCs/>
                <w:color w:val="auto"/>
                <w:sz w:val="22"/>
                <w:szCs w:val="22"/>
              </w:rPr>
              <w:t xml:space="preserve"> wire</w:t>
            </w:r>
            <w:r w:rsidRPr="00B44AFD">
              <w:rPr>
                <w:rFonts w:ascii="Franklin Gothic Book" w:hAnsi="Franklin Gothic Book"/>
                <w:iCs/>
                <w:color w:val="auto"/>
                <w:sz w:val="22"/>
                <w:szCs w:val="22"/>
              </w:rPr>
              <w:t xml:space="preserve"> lead that delivers electrical impulses from the pulse generator to the heart, and a surgical procedure is required</w:t>
            </w:r>
            <w:r w:rsidR="003C1647">
              <w:rPr>
                <w:rFonts w:ascii="Franklin Gothic Book" w:hAnsi="Franklin Gothic Book"/>
                <w:iCs/>
                <w:color w:val="auto"/>
                <w:sz w:val="22"/>
                <w:szCs w:val="22"/>
              </w:rPr>
              <w:t xml:space="preserve"> to insert the</w:t>
            </w:r>
            <w:r w:rsidR="00865828">
              <w:rPr>
                <w:rFonts w:ascii="Franklin Gothic Book" w:hAnsi="Franklin Gothic Book"/>
                <w:iCs/>
                <w:color w:val="auto"/>
                <w:sz w:val="22"/>
                <w:szCs w:val="22"/>
              </w:rPr>
              <w:t xml:space="preserve"> generator and lead</w:t>
            </w:r>
            <w:r w:rsidR="00AB76EB">
              <w:rPr>
                <w:rFonts w:ascii="Franklin Gothic Book" w:hAnsi="Franklin Gothic Book"/>
                <w:iCs/>
                <w:color w:val="auto"/>
                <w:sz w:val="22"/>
                <w:szCs w:val="22"/>
              </w:rPr>
              <w:t>.</w:t>
            </w:r>
          </w:p>
          <w:p w14:paraId="350ACE28" w14:textId="3D7FD35B" w:rsidR="00B44AFD" w:rsidRPr="00B44AFD" w:rsidRDefault="00B44AFD" w:rsidP="00E503E9">
            <w:pPr>
              <w:pStyle w:val="Default"/>
              <w:keepNext/>
              <w:spacing w:after="240"/>
              <w:rPr>
                <w:rFonts w:ascii="Franklin Gothic Book" w:hAnsi="Franklin Gothic Book"/>
                <w:iCs/>
                <w:color w:val="auto"/>
                <w:sz w:val="22"/>
                <w:szCs w:val="22"/>
              </w:rPr>
            </w:pPr>
            <w:r w:rsidRPr="00B44AFD">
              <w:rPr>
                <w:rFonts w:ascii="Franklin Gothic Book" w:hAnsi="Franklin Gothic Book"/>
                <w:iCs/>
                <w:color w:val="auto"/>
                <w:sz w:val="22"/>
                <w:szCs w:val="22"/>
              </w:rPr>
              <w:t>The leadless pacemaker</w:t>
            </w:r>
            <w:r w:rsidR="000C3111">
              <w:rPr>
                <w:rFonts w:ascii="Franklin Gothic Book" w:hAnsi="Franklin Gothic Book"/>
                <w:iCs/>
                <w:color w:val="auto"/>
                <w:sz w:val="22"/>
                <w:szCs w:val="22"/>
              </w:rPr>
              <w:t xml:space="preserve"> (LPM)</w:t>
            </w:r>
            <w:r w:rsidRPr="00B44AFD">
              <w:rPr>
                <w:rFonts w:ascii="Franklin Gothic Book" w:hAnsi="Franklin Gothic Book"/>
                <w:iCs/>
                <w:color w:val="auto"/>
                <w:sz w:val="22"/>
                <w:szCs w:val="22"/>
              </w:rPr>
              <w:t xml:space="preserve"> is inserted through the femoral vein in the leg and implanted directly into the </w:t>
            </w:r>
            <w:r w:rsidR="003C1647" w:rsidRPr="00B44AFD">
              <w:rPr>
                <w:rFonts w:ascii="Franklin Gothic Book" w:hAnsi="Franklin Gothic Book"/>
                <w:iCs/>
                <w:color w:val="auto"/>
                <w:sz w:val="22"/>
                <w:szCs w:val="22"/>
              </w:rPr>
              <w:t>heart</w:t>
            </w:r>
            <w:r w:rsidR="003C1647">
              <w:rPr>
                <w:rFonts w:ascii="Franklin Gothic Book" w:hAnsi="Franklin Gothic Book"/>
                <w:iCs/>
                <w:color w:val="auto"/>
                <w:sz w:val="22"/>
                <w:szCs w:val="22"/>
              </w:rPr>
              <w:t xml:space="preserve"> muscle</w:t>
            </w:r>
            <w:r w:rsidR="003C1647" w:rsidRPr="00B44AFD">
              <w:rPr>
                <w:rFonts w:ascii="Franklin Gothic Book" w:hAnsi="Franklin Gothic Book"/>
                <w:iCs/>
                <w:color w:val="auto"/>
                <w:sz w:val="22"/>
                <w:szCs w:val="22"/>
              </w:rPr>
              <w:t xml:space="preserve"> </w:t>
            </w:r>
            <w:r w:rsidR="003C1647">
              <w:rPr>
                <w:rFonts w:ascii="Franklin Gothic Book" w:hAnsi="Franklin Gothic Book"/>
                <w:iCs/>
                <w:color w:val="auto"/>
                <w:sz w:val="22"/>
                <w:szCs w:val="22"/>
              </w:rPr>
              <w:t xml:space="preserve">of the </w:t>
            </w:r>
            <w:r w:rsidRPr="00B44AFD">
              <w:rPr>
                <w:rFonts w:ascii="Franklin Gothic Book" w:hAnsi="Franklin Gothic Book"/>
                <w:iCs/>
                <w:color w:val="auto"/>
                <w:sz w:val="22"/>
                <w:szCs w:val="22"/>
              </w:rPr>
              <w:t>right ventricl</w:t>
            </w:r>
            <w:r w:rsidR="003C1647">
              <w:rPr>
                <w:rFonts w:ascii="Franklin Gothic Book" w:hAnsi="Franklin Gothic Book"/>
                <w:iCs/>
                <w:color w:val="auto"/>
                <w:sz w:val="22"/>
                <w:szCs w:val="22"/>
              </w:rPr>
              <w:t>e</w:t>
            </w:r>
            <w:r w:rsidRPr="00B44AFD">
              <w:rPr>
                <w:rFonts w:ascii="Franklin Gothic Book" w:hAnsi="Franklin Gothic Book"/>
                <w:iCs/>
                <w:color w:val="auto"/>
                <w:sz w:val="22"/>
                <w:szCs w:val="22"/>
              </w:rPr>
              <w:t xml:space="preserve">, so no leads are needed. Because there are no leads, the procedure to insert it is less complicated than the procedure needed for a pacemaker with leads. There </w:t>
            </w:r>
            <w:r w:rsidR="003237C9">
              <w:rPr>
                <w:rFonts w:ascii="Franklin Gothic Book" w:hAnsi="Franklin Gothic Book"/>
                <w:iCs/>
                <w:color w:val="auto"/>
                <w:sz w:val="22"/>
                <w:szCs w:val="22"/>
              </w:rPr>
              <w:t>is</w:t>
            </w:r>
            <w:r w:rsidRPr="00B44AFD">
              <w:rPr>
                <w:rFonts w:ascii="Franklin Gothic Book" w:hAnsi="Franklin Gothic Book"/>
                <w:iCs/>
                <w:color w:val="auto"/>
                <w:sz w:val="22"/>
                <w:szCs w:val="22"/>
              </w:rPr>
              <w:t xml:space="preserve"> also </w:t>
            </w:r>
            <w:r w:rsidR="003237C9">
              <w:rPr>
                <w:rFonts w:ascii="Franklin Gothic Book" w:hAnsi="Franklin Gothic Book"/>
                <w:iCs/>
                <w:color w:val="auto"/>
                <w:sz w:val="22"/>
                <w:szCs w:val="22"/>
              </w:rPr>
              <w:t xml:space="preserve">a reduced risk of infection and </w:t>
            </w:r>
            <w:r w:rsidRPr="00B44AFD">
              <w:rPr>
                <w:rFonts w:ascii="Franklin Gothic Book" w:hAnsi="Franklin Gothic Book"/>
                <w:iCs/>
                <w:color w:val="auto"/>
                <w:sz w:val="22"/>
                <w:szCs w:val="22"/>
              </w:rPr>
              <w:t>no</w:t>
            </w:r>
            <w:r w:rsidR="003237C9">
              <w:rPr>
                <w:rFonts w:ascii="Franklin Gothic Book" w:hAnsi="Franklin Gothic Book"/>
                <w:iCs/>
                <w:color w:val="auto"/>
                <w:sz w:val="22"/>
                <w:szCs w:val="22"/>
              </w:rPr>
              <w:t xml:space="preserve"> chest</w:t>
            </w:r>
            <w:r w:rsidRPr="00B44AFD">
              <w:rPr>
                <w:rFonts w:ascii="Franklin Gothic Book" w:hAnsi="Franklin Gothic Book"/>
                <w:iCs/>
                <w:color w:val="auto"/>
                <w:sz w:val="22"/>
                <w:szCs w:val="22"/>
              </w:rPr>
              <w:t xml:space="preserve"> scar</w:t>
            </w:r>
            <w:r w:rsidR="003237C9">
              <w:rPr>
                <w:rFonts w:ascii="Franklin Gothic Book" w:hAnsi="Franklin Gothic Book"/>
                <w:iCs/>
                <w:color w:val="auto"/>
                <w:sz w:val="22"/>
                <w:szCs w:val="22"/>
              </w:rPr>
              <w:t xml:space="preserve"> when inserting a leadless pacemaker</w:t>
            </w:r>
            <w:r w:rsidRPr="00B44AFD">
              <w:rPr>
                <w:rFonts w:ascii="Franklin Gothic Book" w:hAnsi="Franklin Gothic Book"/>
                <w:iCs/>
                <w:color w:val="auto"/>
                <w:sz w:val="22"/>
                <w:szCs w:val="22"/>
              </w:rPr>
              <w:t>.</w:t>
            </w:r>
            <w:r w:rsidR="00FA099F">
              <w:rPr>
                <w:rFonts w:ascii="Franklin Gothic Book" w:hAnsi="Franklin Gothic Book"/>
                <w:iCs/>
                <w:color w:val="auto"/>
                <w:sz w:val="22"/>
                <w:szCs w:val="22"/>
              </w:rPr>
              <w:t xml:space="preserve"> In addition, the generator, which is usually located in a person’s chest and causes the skin to bulge is absent. This is because the</w:t>
            </w:r>
            <w:r w:rsidR="00B575CF">
              <w:rPr>
                <w:rFonts w:ascii="Franklin Gothic Book" w:hAnsi="Franklin Gothic Book"/>
                <w:iCs/>
                <w:color w:val="auto"/>
                <w:sz w:val="22"/>
                <w:szCs w:val="22"/>
              </w:rPr>
              <w:t xml:space="preserve"> </w:t>
            </w:r>
            <w:r w:rsidR="00FA099F">
              <w:rPr>
                <w:rFonts w:ascii="Franklin Gothic Book" w:hAnsi="Franklin Gothic Book"/>
                <w:iCs/>
                <w:color w:val="auto"/>
                <w:sz w:val="22"/>
                <w:szCs w:val="22"/>
              </w:rPr>
              <w:t>generator is contained within the unit of the LPM itself.</w:t>
            </w:r>
          </w:p>
          <w:p w14:paraId="073E0E73" w14:textId="4136E36E" w:rsidR="00445DC1" w:rsidRDefault="00865828" w:rsidP="00E503E9">
            <w:pPr>
              <w:pStyle w:val="Default"/>
              <w:keepNext/>
              <w:spacing w:after="240"/>
              <w:rPr>
                <w:rFonts w:ascii="Franklin Gothic Book" w:hAnsi="Franklin Gothic Book"/>
                <w:iCs/>
                <w:color w:val="auto"/>
                <w:sz w:val="22"/>
                <w:szCs w:val="22"/>
              </w:rPr>
            </w:pPr>
            <w:r>
              <w:rPr>
                <w:rFonts w:ascii="Franklin Gothic Book" w:hAnsi="Franklin Gothic Book"/>
                <w:iCs/>
                <w:color w:val="auto"/>
                <w:sz w:val="22"/>
                <w:szCs w:val="22"/>
              </w:rPr>
              <w:t>MSAC considered that there will be some patients in whom a transvenous pacemaker cannot be inserted and that the</w:t>
            </w:r>
            <w:r w:rsidR="00AC7787">
              <w:rPr>
                <w:rFonts w:ascii="Franklin Gothic Book" w:hAnsi="Franklin Gothic Book"/>
                <w:iCs/>
                <w:color w:val="auto"/>
                <w:sz w:val="22"/>
                <w:szCs w:val="22"/>
              </w:rPr>
              <w:t xml:space="preserve">se would be the </w:t>
            </w:r>
            <w:r w:rsidR="009F7B82">
              <w:rPr>
                <w:rFonts w:ascii="Franklin Gothic Book" w:hAnsi="Franklin Gothic Book"/>
                <w:iCs/>
                <w:color w:val="auto"/>
                <w:sz w:val="22"/>
                <w:szCs w:val="22"/>
              </w:rPr>
              <w:t>patients in whom an</w:t>
            </w:r>
            <w:r w:rsidR="00AC7787">
              <w:rPr>
                <w:rFonts w:ascii="Franklin Gothic Book" w:hAnsi="Franklin Gothic Book"/>
                <w:iCs/>
                <w:color w:val="auto"/>
                <w:sz w:val="22"/>
                <w:szCs w:val="22"/>
              </w:rPr>
              <w:t xml:space="preserve"> LPM</w:t>
            </w:r>
            <w:r w:rsidR="009F7B82">
              <w:rPr>
                <w:rFonts w:ascii="Franklin Gothic Book" w:hAnsi="Franklin Gothic Book"/>
                <w:iCs/>
                <w:color w:val="auto"/>
                <w:sz w:val="22"/>
                <w:szCs w:val="22"/>
              </w:rPr>
              <w:t xml:space="preserve"> could be </w:t>
            </w:r>
            <w:r w:rsidR="00AC7787">
              <w:rPr>
                <w:rFonts w:ascii="Franklin Gothic Book" w:hAnsi="Franklin Gothic Book"/>
                <w:iCs/>
                <w:color w:val="auto"/>
                <w:sz w:val="22"/>
                <w:szCs w:val="22"/>
              </w:rPr>
              <w:t>inserted instead</w:t>
            </w:r>
            <w:r w:rsidR="00B575CF">
              <w:rPr>
                <w:rFonts w:ascii="Franklin Gothic Book" w:hAnsi="Franklin Gothic Book"/>
                <w:iCs/>
                <w:color w:val="auto"/>
                <w:sz w:val="22"/>
                <w:szCs w:val="22"/>
              </w:rPr>
              <w:t xml:space="preserve">. </w:t>
            </w:r>
            <w:r w:rsidR="00B575CF" w:rsidRPr="00B575CF">
              <w:rPr>
                <w:rFonts w:ascii="Franklin Gothic Book" w:hAnsi="Franklin Gothic Book"/>
                <w:iCs/>
                <w:color w:val="auto"/>
                <w:sz w:val="22"/>
                <w:szCs w:val="22"/>
              </w:rPr>
              <w:t xml:space="preserve">MSAC </w:t>
            </w:r>
            <w:r w:rsidR="00046BE6">
              <w:rPr>
                <w:rFonts w:ascii="Franklin Gothic Book" w:hAnsi="Franklin Gothic Book"/>
                <w:iCs/>
                <w:color w:val="auto"/>
                <w:sz w:val="22"/>
                <w:szCs w:val="22"/>
              </w:rPr>
              <w:t>advised</w:t>
            </w:r>
            <w:r w:rsidR="00B575CF" w:rsidRPr="00B575CF">
              <w:rPr>
                <w:rFonts w:ascii="Franklin Gothic Book" w:hAnsi="Franklin Gothic Book"/>
                <w:iCs/>
                <w:color w:val="auto"/>
                <w:sz w:val="22"/>
                <w:szCs w:val="22"/>
              </w:rPr>
              <w:t xml:space="preserve"> that the Department </w:t>
            </w:r>
            <w:r w:rsidR="007D1005">
              <w:rPr>
                <w:rFonts w:ascii="Franklin Gothic Book" w:hAnsi="Franklin Gothic Book"/>
                <w:iCs/>
                <w:color w:val="auto"/>
                <w:sz w:val="22"/>
                <w:szCs w:val="22"/>
              </w:rPr>
              <w:t>sh</w:t>
            </w:r>
            <w:r w:rsidR="00B575CF" w:rsidRPr="00B575CF">
              <w:rPr>
                <w:rFonts w:ascii="Franklin Gothic Book" w:hAnsi="Franklin Gothic Book"/>
                <w:iCs/>
                <w:color w:val="auto"/>
                <w:sz w:val="22"/>
                <w:szCs w:val="22"/>
              </w:rPr>
              <w:t xml:space="preserve">ould consult with the Cardiac Society of Australia and New Zealand (CSANZ) to </w:t>
            </w:r>
            <w:r w:rsidR="00E658B3">
              <w:rPr>
                <w:rFonts w:ascii="Franklin Gothic Book" w:hAnsi="Franklin Gothic Book"/>
                <w:iCs/>
                <w:color w:val="auto"/>
                <w:sz w:val="22"/>
                <w:szCs w:val="22"/>
              </w:rPr>
              <w:t xml:space="preserve">further </w:t>
            </w:r>
            <w:r w:rsidR="00B575CF">
              <w:rPr>
                <w:rFonts w:ascii="Franklin Gothic Book" w:hAnsi="Franklin Gothic Book"/>
                <w:iCs/>
                <w:color w:val="auto"/>
                <w:sz w:val="22"/>
                <w:szCs w:val="22"/>
              </w:rPr>
              <w:t>define th</w:t>
            </w:r>
            <w:r w:rsidR="00E658B3">
              <w:rPr>
                <w:rFonts w:ascii="Franklin Gothic Book" w:hAnsi="Franklin Gothic Book"/>
                <w:iCs/>
                <w:color w:val="auto"/>
                <w:sz w:val="22"/>
                <w:szCs w:val="22"/>
              </w:rPr>
              <w:t>is group of patients.</w:t>
            </w:r>
          </w:p>
          <w:p w14:paraId="7A93A573" w14:textId="34C94DFA" w:rsidR="00B44AFD" w:rsidRPr="00B44AFD" w:rsidRDefault="00B44AFD" w:rsidP="00E503E9">
            <w:pPr>
              <w:pStyle w:val="Default"/>
              <w:keepNext/>
              <w:spacing w:after="240"/>
              <w:rPr>
                <w:rFonts w:ascii="Franklin Gothic Book" w:hAnsi="Franklin Gothic Book"/>
                <w:iCs/>
                <w:color w:val="auto"/>
                <w:sz w:val="22"/>
                <w:szCs w:val="22"/>
              </w:rPr>
            </w:pPr>
            <w:r w:rsidRPr="00B44AFD">
              <w:rPr>
                <w:rFonts w:ascii="Franklin Gothic Book" w:hAnsi="Franklin Gothic Book"/>
                <w:iCs/>
                <w:color w:val="auto"/>
                <w:sz w:val="22"/>
                <w:szCs w:val="22"/>
              </w:rPr>
              <w:t xml:space="preserve">MSAC </w:t>
            </w:r>
            <w:r w:rsidR="00D90EEE">
              <w:rPr>
                <w:rFonts w:ascii="Franklin Gothic Book" w:hAnsi="Franklin Gothic Book"/>
                <w:iCs/>
                <w:color w:val="auto"/>
                <w:sz w:val="22"/>
                <w:szCs w:val="22"/>
              </w:rPr>
              <w:t>considered</w:t>
            </w:r>
            <w:r w:rsidR="00D90EEE" w:rsidRPr="00B44AFD">
              <w:rPr>
                <w:rFonts w:ascii="Franklin Gothic Book" w:hAnsi="Franklin Gothic Book"/>
                <w:iCs/>
                <w:color w:val="auto"/>
                <w:sz w:val="22"/>
                <w:szCs w:val="22"/>
              </w:rPr>
              <w:t xml:space="preserve"> </w:t>
            </w:r>
            <w:r w:rsidRPr="00B44AFD">
              <w:rPr>
                <w:rFonts w:ascii="Franklin Gothic Book" w:hAnsi="Franklin Gothic Book"/>
                <w:iCs/>
                <w:color w:val="auto"/>
                <w:sz w:val="22"/>
                <w:szCs w:val="22"/>
              </w:rPr>
              <w:t xml:space="preserve">that the evidence presented showed that the use of a leadless pacemaker is </w:t>
            </w:r>
            <w:r w:rsidR="00354811">
              <w:rPr>
                <w:rFonts w:ascii="Franklin Gothic Book" w:hAnsi="Franklin Gothic Book"/>
                <w:iCs/>
                <w:color w:val="auto"/>
                <w:sz w:val="22"/>
                <w:szCs w:val="22"/>
              </w:rPr>
              <w:t xml:space="preserve">comparatively </w:t>
            </w:r>
            <w:r w:rsidRPr="00B44AFD">
              <w:rPr>
                <w:rFonts w:ascii="Franklin Gothic Book" w:hAnsi="Franklin Gothic Book"/>
                <w:iCs/>
                <w:color w:val="auto"/>
                <w:sz w:val="22"/>
                <w:szCs w:val="22"/>
              </w:rPr>
              <w:t xml:space="preserve">safe and </w:t>
            </w:r>
            <w:r w:rsidRPr="003D6F56">
              <w:rPr>
                <w:rFonts w:ascii="Franklin Gothic Book" w:hAnsi="Franklin Gothic Book"/>
                <w:iCs/>
                <w:color w:val="auto"/>
                <w:sz w:val="22"/>
                <w:szCs w:val="22"/>
              </w:rPr>
              <w:t>effective. However,</w:t>
            </w:r>
            <w:r w:rsidR="00D90EEE" w:rsidRPr="003D6F56">
              <w:rPr>
                <w:rFonts w:ascii="Franklin Gothic Book" w:hAnsi="Franklin Gothic Book"/>
                <w:iCs/>
                <w:color w:val="auto"/>
                <w:sz w:val="22"/>
                <w:szCs w:val="22"/>
              </w:rPr>
              <w:t xml:space="preserve"> MSAC advised that the price of the LPM device would need to be lowered to make it </w:t>
            </w:r>
            <w:r w:rsidR="00B72A07" w:rsidRPr="00A22F23">
              <w:rPr>
                <w:rFonts w:ascii="Franklin Gothic Book" w:hAnsi="Franklin Gothic Book"/>
                <w:iCs/>
                <w:color w:val="auto"/>
                <w:sz w:val="22"/>
                <w:szCs w:val="22"/>
              </w:rPr>
              <w:t>acceptably cost-effective</w:t>
            </w:r>
            <w:r w:rsidRPr="00A22F23">
              <w:rPr>
                <w:rFonts w:ascii="Franklin Gothic Book" w:hAnsi="Franklin Gothic Book"/>
                <w:iCs/>
                <w:color w:val="auto"/>
                <w:sz w:val="22"/>
                <w:szCs w:val="22"/>
              </w:rPr>
              <w:t>.</w:t>
            </w:r>
          </w:p>
          <w:p w14:paraId="4CAA5F8D" w14:textId="1427BD2D" w:rsidR="00B44AFD" w:rsidRPr="00B44AFD" w:rsidRDefault="00B44AFD" w:rsidP="00E503E9">
            <w:pPr>
              <w:pStyle w:val="Default"/>
              <w:keepNext/>
              <w:spacing w:after="240"/>
              <w:rPr>
                <w:rFonts w:ascii="Franklin Gothic Book" w:hAnsi="Franklin Gothic Book"/>
                <w:b/>
                <w:bCs/>
                <w:iCs/>
                <w:color w:val="auto"/>
                <w:sz w:val="22"/>
                <w:szCs w:val="22"/>
              </w:rPr>
            </w:pPr>
            <w:r w:rsidRPr="00B44AFD">
              <w:rPr>
                <w:rFonts w:ascii="Franklin Gothic Book" w:hAnsi="Franklin Gothic Book"/>
                <w:b/>
                <w:bCs/>
                <w:iCs/>
                <w:color w:val="auto"/>
                <w:sz w:val="22"/>
                <w:szCs w:val="22"/>
              </w:rPr>
              <w:t xml:space="preserve">MSAC’s advice to the </w:t>
            </w:r>
            <w:proofErr w:type="gramStart"/>
            <w:r w:rsidRPr="00B44AFD">
              <w:rPr>
                <w:rFonts w:ascii="Franklin Gothic Book" w:hAnsi="Franklin Gothic Book"/>
                <w:b/>
                <w:bCs/>
                <w:iCs/>
                <w:color w:val="auto"/>
                <w:sz w:val="22"/>
                <w:szCs w:val="22"/>
              </w:rPr>
              <w:t>Commonwealth Minister</w:t>
            </w:r>
            <w:proofErr w:type="gramEnd"/>
            <w:r w:rsidRPr="00B44AFD">
              <w:rPr>
                <w:rFonts w:ascii="Franklin Gothic Book" w:hAnsi="Franklin Gothic Book"/>
                <w:b/>
                <w:bCs/>
                <w:iCs/>
                <w:color w:val="auto"/>
                <w:sz w:val="22"/>
                <w:szCs w:val="22"/>
              </w:rPr>
              <w:t xml:space="preserve"> for Health</w:t>
            </w:r>
            <w:r w:rsidR="00C746E9">
              <w:rPr>
                <w:rFonts w:ascii="Franklin Gothic Book" w:hAnsi="Franklin Gothic Book"/>
                <w:b/>
                <w:bCs/>
                <w:iCs/>
                <w:color w:val="auto"/>
                <w:sz w:val="22"/>
                <w:szCs w:val="22"/>
              </w:rPr>
              <w:t xml:space="preserve"> and Aged Care</w:t>
            </w:r>
          </w:p>
          <w:p w14:paraId="729F2586" w14:textId="28C089D3" w:rsidR="000E355B" w:rsidRDefault="00B44AFD" w:rsidP="000D7B8C">
            <w:r w:rsidRPr="00812236">
              <w:t xml:space="preserve">MSAC supported the </w:t>
            </w:r>
            <w:r w:rsidR="00445DC1" w:rsidRPr="00812236">
              <w:t xml:space="preserve">MBS </w:t>
            </w:r>
            <w:r w:rsidRPr="00A10543">
              <w:t>listing of the insertion or removal of a permanent leadless pacemaker for the treatment of bradyarrhythmia that requires single-chamber ventricular pacing. MSAC considered</w:t>
            </w:r>
            <w:r w:rsidR="00445DC1" w:rsidRPr="00A10543">
              <w:t xml:space="preserve"> there was an unmet need for </w:t>
            </w:r>
            <w:r w:rsidR="00445DC1" w:rsidRPr="0052190F">
              <w:t>patients</w:t>
            </w:r>
            <w:r w:rsidR="000C3111">
              <w:rPr>
                <w:iCs/>
              </w:rPr>
              <w:t xml:space="preserve"> who would not usually be able to have a transvenous pacemaker</w:t>
            </w:r>
            <w:r w:rsidR="00445DC1">
              <w:rPr>
                <w:iCs/>
              </w:rPr>
              <w:t>.</w:t>
            </w:r>
            <w:r w:rsidR="00445DC1" w:rsidRPr="00812236">
              <w:t xml:space="preserve"> MSAC noted some limitations in the evidence but considered</w:t>
            </w:r>
            <w:r w:rsidRPr="00812236">
              <w:t xml:space="preserve"> the technology to be </w:t>
            </w:r>
            <w:r w:rsidR="00354811">
              <w:t xml:space="preserve">comparatively </w:t>
            </w:r>
            <w:r w:rsidR="00B72A07" w:rsidRPr="00A10543">
              <w:t>safe and effectiv</w:t>
            </w:r>
            <w:r w:rsidR="00B72A07" w:rsidRPr="003D6F56">
              <w:t>e.</w:t>
            </w:r>
            <w:r w:rsidR="003D6F56" w:rsidRPr="00F25AB7">
              <w:rPr>
                <w:iCs/>
              </w:rPr>
              <w:t xml:space="preserve"> However, MSAC advised that the price of the LPM device would need to be lowered to make it</w:t>
            </w:r>
            <w:r w:rsidR="003D6F56" w:rsidRPr="003D6F56">
              <w:rPr>
                <w:iCs/>
              </w:rPr>
              <w:t xml:space="preserve"> acceptable value for money.</w:t>
            </w:r>
          </w:p>
          <w:p w14:paraId="16AFF9EE" w14:textId="776FC630" w:rsidR="00B54396" w:rsidRPr="000E355B" w:rsidRDefault="00B54396" w:rsidP="000E355B"/>
        </w:tc>
      </w:tr>
    </w:tbl>
    <w:p w14:paraId="2F3368F6" w14:textId="14774AC6" w:rsidR="00B54396" w:rsidRPr="000E355B" w:rsidRDefault="00B54396" w:rsidP="00B54396">
      <w:pPr>
        <w:pStyle w:val="Heading2execsummary"/>
        <w:spacing w:before="360"/>
        <w:rPr>
          <w:color w:val="auto"/>
        </w:rPr>
      </w:pPr>
      <w:r w:rsidRPr="000E355B">
        <w:rPr>
          <w:color w:val="auto"/>
        </w:rPr>
        <w:t>Summary of consideration and rationale for MSAC’s advice</w:t>
      </w:r>
    </w:p>
    <w:p w14:paraId="7F04DD93" w14:textId="3D3186A0" w:rsidR="00B44AFD" w:rsidRPr="009445DF" w:rsidRDefault="00B44AFD" w:rsidP="00B44AFD">
      <w:pPr>
        <w:rPr>
          <w:strike/>
        </w:rPr>
      </w:pPr>
      <w:r>
        <w:t xml:space="preserve">MSAC noted that this applicant-developed assessment report (ADAR) is from </w:t>
      </w:r>
      <w:r>
        <w:rPr>
          <w:rStyle w:val="normaltextrun"/>
          <w:color w:val="000000"/>
          <w:bdr w:val="none" w:sz="0" w:space="0" w:color="auto" w:frame="1"/>
        </w:rPr>
        <w:t xml:space="preserve">Medtronic Australasia Pty Ltd </w:t>
      </w:r>
      <w:r w:rsidR="00964EA1">
        <w:rPr>
          <w:rStyle w:val="normaltextrun"/>
          <w:color w:val="000000"/>
          <w:bdr w:val="none" w:sz="0" w:space="0" w:color="auto" w:frame="1"/>
        </w:rPr>
        <w:t xml:space="preserve">requesting procedural MBS items </w:t>
      </w:r>
      <w:r>
        <w:t xml:space="preserve">for the insertion or removal of a permanent LPM </w:t>
      </w:r>
      <w:r>
        <w:rPr>
          <w:rStyle w:val="normaltextrun"/>
          <w:color w:val="000000"/>
          <w:shd w:val="clear" w:color="auto" w:fill="FFFFFF"/>
        </w:rPr>
        <w:t>for the treatment of brady</w:t>
      </w:r>
      <w:r>
        <w:t>arrhythmia</w:t>
      </w:r>
      <w:r>
        <w:rPr>
          <w:rStyle w:val="normaltextrun"/>
          <w:color w:val="000000"/>
          <w:shd w:val="clear" w:color="auto" w:fill="FFFFFF"/>
        </w:rPr>
        <w:t xml:space="preserve"> that requires single-chamber ventricular pacing.</w:t>
      </w:r>
      <w:r w:rsidR="00964EA1">
        <w:t xml:space="preserve"> </w:t>
      </w:r>
      <w:r w:rsidR="00964EA1" w:rsidRPr="009445DF">
        <w:t xml:space="preserve">MSAC noted that the applicant intends to </w:t>
      </w:r>
      <w:r w:rsidR="009560ED" w:rsidRPr="009445DF">
        <w:t xml:space="preserve">apply for </w:t>
      </w:r>
      <w:r w:rsidR="00964EA1" w:rsidRPr="009445DF">
        <w:t xml:space="preserve">listing of the Micra VR TPS device on the </w:t>
      </w:r>
      <w:r w:rsidR="00E27EF7" w:rsidRPr="009445DF">
        <w:t>PL</w:t>
      </w:r>
      <w:r w:rsidR="00964EA1" w:rsidRPr="009445DF">
        <w:t xml:space="preserve"> </w:t>
      </w:r>
      <w:r w:rsidR="00443AF1" w:rsidRPr="00CA3498">
        <w:rPr>
          <w:color w:val="000000"/>
          <w:spacing w:val="27"/>
          <w:w w:val="48"/>
          <w:shd w:val="solid" w:color="000000" w:fill="000000"/>
          <w:fitText w:val="452" w:id="-1429520128"/>
          <w14:textFill>
            <w14:solidFill>
              <w14:srgbClr w14:val="000000">
                <w14:alpha w14:val="100000"/>
              </w14:srgbClr>
            </w14:solidFill>
          </w14:textFill>
        </w:rPr>
        <w:t>|||||</w:t>
      </w:r>
      <w:r w:rsidR="00443AF1" w:rsidRPr="00CA3498">
        <w:rPr>
          <w:color w:val="000000"/>
          <w:spacing w:val="1"/>
          <w:w w:val="48"/>
          <w:shd w:val="solid" w:color="000000" w:fill="000000"/>
          <w:fitText w:val="452" w:id="-1429520128"/>
          <w14:textFill>
            <w14:solidFill>
              <w14:srgbClr w14:val="000000">
                <w14:alpha w14:val="100000"/>
              </w14:srgbClr>
            </w14:solidFill>
          </w14:textFill>
        </w:rPr>
        <w:t>|</w:t>
      </w:r>
      <w:r w:rsidR="00964EA1" w:rsidRPr="009445DF">
        <w:t xml:space="preserve"> </w:t>
      </w:r>
      <w:r w:rsidR="00443AF1" w:rsidRPr="00CA3498">
        <w:rPr>
          <w:color w:val="000000"/>
          <w:spacing w:val="24"/>
          <w:w w:val="47"/>
          <w:shd w:val="solid" w:color="000000" w:fill="000000"/>
          <w:fitText w:val="435" w:id="-1429520127"/>
          <w14:textFill>
            <w14:solidFill>
              <w14:srgbClr w14:val="000000">
                <w14:alpha w14:val="100000"/>
              </w14:srgbClr>
            </w14:solidFill>
          </w14:textFill>
        </w:rPr>
        <w:t>|||||</w:t>
      </w:r>
      <w:r w:rsidR="00443AF1" w:rsidRPr="00CA3498">
        <w:rPr>
          <w:color w:val="000000"/>
          <w:spacing w:val="5"/>
          <w:w w:val="47"/>
          <w:shd w:val="solid" w:color="000000" w:fill="000000"/>
          <w:fitText w:val="435" w:id="-1429520127"/>
          <w14:textFill>
            <w14:solidFill>
              <w14:srgbClr w14:val="000000">
                <w14:alpha w14:val="100000"/>
              </w14:srgbClr>
            </w14:solidFill>
          </w14:textFill>
        </w:rPr>
        <w:t>|</w:t>
      </w:r>
      <w:r w:rsidR="00E27EF7" w:rsidRPr="009445DF">
        <w:t>.</w:t>
      </w:r>
    </w:p>
    <w:p w14:paraId="0C2AE388" w14:textId="77777777" w:rsidR="00605335" w:rsidRDefault="00B44AFD" w:rsidP="00B44AFD">
      <w:r>
        <w:t xml:space="preserve">MSAC noted that the Micra Transcatheter Pacing System (Micra </w:t>
      </w:r>
      <w:r w:rsidR="00A16618">
        <w:t xml:space="preserve">VR </w:t>
      </w:r>
      <w:r>
        <w:t xml:space="preserve">TPS) is a single-chamber implantable transcatheter LPM inserted via the femoral vein and implanted directly into the right ventricular myocardium, negating the need for transvenous wires. It is the only LPM currently available in Australia. Due to the absence of leads and absence of necessity of a subcutaneous </w:t>
      </w:r>
      <w:r>
        <w:lastRenderedPageBreak/>
        <w:t>pocket, the advantages of leadless pacing compared to conventional single-chamber pacing are based on eliminating lead and pocket complications, therefore presenting advantages from a safety perspective. Other possible advantages include patient satisfaction due the absence of a scar and absence of a subcutaneous device location.</w:t>
      </w:r>
    </w:p>
    <w:p w14:paraId="0D8A15F4" w14:textId="3EDEE140" w:rsidR="00605335" w:rsidRDefault="00605335" w:rsidP="00B44AFD">
      <w:r>
        <w:t xml:space="preserve">MSAC </w:t>
      </w:r>
      <w:r w:rsidRPr="00F90BD9">
        <w:t>noted that</w:t>
      </w:r>
      <w:r>
        <w:t xml:space="preserve"> the proposed population</w:t>
      </w:r>
      <w:r w:rsidRPr="00F90BD9">
        <w:t xml:space="preserve"> </w:t>
      </w:r>
      <w:r>
        <w:t>include</w:t>
      </w:r>
      <w:r w:rsidR="0062026E">
        <w:t>d</w:t>
      </w:r>
      <w:r w:rsidRPr="00F90BD9">
        <w:t xml:space="preserve"> a </w:t>
      </w:r>
      <w:r w:rsidR="0062026E">
        <w:t>sub</w:t>
      </w:r>
      <w:r w:rsidRPr="00F90BD9">
        <w:t xml:space="preserve">group of patients </w:t>
      </w:r>
      <w:r w:rsidR="0062026E">
        <w:t>who it was</w:t>
      </w:r>
      <w:r w:rsidR="000648C3">
        <w:t xml:space="preserve"> challenging</w:t>
      </w:r>
      <w:r w:rsidR="004D233F">
        <w:t xml:space="preserve"> </w:t>
      </w:r>
      <w:r w:rsidRPr="00F90BD9">
        <w:t>to treat</w:t>
      </w:r>
      <w:r w:rsidR="0062026E">
        <w:t xml:space="preserve"> with a TVPM</w:t>
      </w:r>
      <w:r w:rsidRPr="00F90BD9">
        <w:t xml:space="preserve"> because of </w:t>
      </w:r>
      <w:r>
        <w:t xml:space="preserve">difficult venous access or </w:t>
      </w:r>
      <w:r w:rsidRPr="00F90BD9">
        <w:t>complications (e.g., </w:t>
      </w:r>
      <w:r>
        <w:t xml:space="preserve">high risk of </w:t>
      </w:r>
      <w:r w:rsidRPr="00F90BD9">
        <w:t>infection)</w:t>
      </w:r>
      <w:r>
        <w:t xml:space="preserve">. MSAC accepted in these patients </w:t>
      </w:r>
      <w:r w:rsidR="00A10543">
        <w:t>there was a clinical need for LPM</w:t>
      </w:r>
      <w:r w:rsidR="00245F56">
        <w:t>.</w:t>
      </w:r>
    </w:p>
    <w:p w14:paraId="78B53B52" w14:textId="0E318468" w:rsidR="00B44AFD" w:rsidRDefault="00605335" w:rsidP="00B44AFD">
      <w:r>
        <w:t xml:space="preserve">MSAC noted the comparator was TVPM which was appropriate for most patients. In those contraindicated or not indicated for TVPM, MSAC considered that the comparator would be </w:t>
      </w:r>
      <w:r w:rsidR="00500426" w:rsidRPr="00D12904">
        <w:t xml:space="preserve">a </w:t>
      </w:r>
      <w:r w:rsidRPr="00D12904">
        <w:t>surgical</w:t>
      </w:r>
      <w:r w:rsidR="00865828" w:rsidRPr="00D12904">
        <w:t>ly implanted</w:t>
      </w:r>
      <w:r w:rsidRPr="00D12904">
        <w:t xml:space="preserve"> </w:t>
      </w:r>
      <w:r w:rsidR="00865828" w:rsidRPr="00D12904">
        <w:t xml:space="preserve">(epicardial) </w:t>
      </w:r>
      <w:r w:rsidR="00500426" w:rsidRPr="00D12904">
        <w:t xml:space="preserve">single chamber </w:t>
      </w:r>
      <w:r w:rsidRPr="00D12904">
        <w:t>pacemaker.</w:t>
      </w:r>
    </w:p>
    <w:p w14:paraId="213E56A5" w14:textId="6BDC1A01" w:rsidR="00B44AFD" w:rsidRDefault="00B44AFD" w:rsidP="00D12904">
      <w:r>
        <w:t>MSAC agreed with ESC’s suggested changes to the item descriptor</w:t>
      </w:r>
      <w:r w:rsidR="0077503B">
        <w:t xml:space="preserve">. </w:t>
      </w:r>
      <w:r w:rsidR="0032403A">
        <w:t xml:space="preserve">In addition, </w:t>
      </w:r>
      <w:r w:rsidR="0077503B">
        <w:t xml:space="preserve">MSAC </w:t>
      </w:r>
      <w:r w:rsidR="00B20396">
        <w:t xml:space="preserve">considered that </w:t>
      </w:r>
      <w:r w:rsidR="00B20396" w:rsidRPr="00B44AFD">
        <w:rPr>
          <w:iCs/>
        </w:rPr>
        <w:t>those patients</w:t>
      </w:r>
      <w:r w:rsidR="00B20396">
        <w:rPr>
          <w:iCs/>
        </w:rPr>
        <w:t xml:space="preserve"> for</w:t>
      </w:r>
      <w:r w:rsidR="00B20396" w:rsidRPr="00B44AFD">
        <w:rPr>
          <w:iCs/>
        </w:rPr>
        <w:t xml:space="preserve"> whom </w:t>
      </w:r>
      <w:r w:rsidR="00B20396">
        <w:rPr>
          <w:iCs/>
        </w:rPr>
        <w:t xml:space="preserve">a </w:t>
      </w:r>
      <w:r w:rsidR="00B20396" w:rsidRPr="00B44AFD">
        <w:rPr>
          <w:iCs/>
        </w:rPr>
        <w:t xml:space="preserve">TVPM is inappropriate </w:t>
      </w:r>
      <w:r w:rsidR="005339FF" w:rsidRPr="00B44AFD">
        <w:rPr>
          <w:iCs/>
        </w:rPr>
        <w:t>needed to be defined in the item descriptor</w:t>
      </w:r>
      <w:r w:rsidR="005339FF">
        <w:rPr>
          <w:iCs/>
        </w:rPr>
        <w:t xml:space="preserve">. These patients </w:t>
      </w:r>
      <w:r w:rsidR="009A54FB">
        <w:rPr>
          <w:iCs/>
        </w:rPr>
        <w:t xml:space="preserve">include </w:t>
      </w:r>
      <w:r w:rsidR="005339FF">
        <w:rPr>
          <w:iCs/>
        </w:rPr>
        <w:t>those with an</w:t>
      </w:r>
      <w:r w:rsidR="00B20396" w:rsidRPr="00B44AFD">
        <w:rPr>
          <w:iCs/>
        </w:rPr>
        <w:t xml:space="preserve"> inaccessible </w:t>
      </w:r>
      <w:r w:rsidR="00046BE6" w:rsidRPr="00046BE6">
        <w:rPr>
          <w:iCs/>
        </w:rPr>
        <w:t xml:space="preserve">upper extremity </w:t>
      </w:r>
      <w:r w:rsidR="00B20396" w:rsidRPr="00B44AFD">
        <w:rPr>
          <w:iCs/>
        </w:rPr>
        <w:t xml:space="preserve">venous system, </w:t>
      </w:r>
      <w:r w:rsidR="00A05202">
        <w:rPr>
          <w:iCs/>
        </w:rPr>
        <w:t xml:space="preserve">increased </w:t>
      </w:r>
      <w:r w:rsidR="00B20396" w:rsidRPr="00B44AFD">
        <w:rPr>
          <w:iCs/>
        </w:rPr>
        <w:t xml:space="preserve">risk of infection or history of </w:t>
      </w:r>
      <w:r w:rsidR="00A05202">
        <w:rPr>
          <w:iCs/>
        </w:rPr>
        <w:t xml:space="preserve">venous </w:t>
      </w:r>
      <w:r w:rsidR="00B20396" w:rsidRPr="00B44AFD">
        <w:rPr>
          <w:iCs/>
        </w:rPr>
        <w:t>thrombosis</w:t>
      </w:r>
      <w:r w:rsidR="005339FF">
        <w:rPr>
          <w:iCs/>
        </w:rPr>
        <w:t>.</w:t>
      </w:r>
      <w:r w:rsidR="00AC50B9">
        <w:rPr>
          <w:iCs/>
        </w:rPr>
        <w:t xml:space="preserve"> MSAC </w:t>
      </w:r>
      <w:r w:rsidR="00046BE6">
        <w:rPr>
          <w:iCs/>
        </w:rPr>
        <w:t xml:space="preserve">advised </w:t>
      </w:r>
      <w:r w:rsidR="00AC50B9">
        <w:rPr>
          <w:iCs/>
        </w:rPr>
        <w:t xml:space="preserve">that the Department </w:t>
      </w:r>
      <w:r w:rsidR="007D1005">
        <w:rPr>
          <w:iCs/>
        </w:rPr>
        <w:t>sh</w:t>
      </w:r>
      <w:r w:rsidR="00AC50B9">
        <w:rPr>
          <w:iCs/>
        </w:rPr>
        <w:t xml:space="preserve">ould consult with the CSANZ to further define </w:t>
      </w:r>
      <w:r w:rsidR="00575232">
        <w:rPr>
          <w:iCs/>
        </w:rPr>
        <w:t>the contraindications that would preclude a TVPM.</w:t>
      </w:r>
      <w:r w:rsidR="005017B2">
        <w:rPr>
          <w:iCs/>
        </w:rPr>
        <w:t xml:space="preserve"> MSAC considered that the </w:t>
      </w:r>
      <w:r w:rsidR="003F73A2">
        <w:rPr>
          <w:iCs/>
        </w:rPr>
        <w:t>criteria</w:t>
      </w:r>
      <w:r w:rsidR="005017B2">
        <w:rPr>
          <w:iCs/>
        </w:rPr>
        <w:t xml:space="preserve"> for removal should also be defined.</w:t>
      </w:r>
      <w:r w:rsidR="007D1005">
        <w:rPr>
          <w:iCs/>
        </w:rPr>
        <w:t xml:space="preserve"> MSAC noted an explanatory note could provide further guidance</w:t>
      </w:r>
      <w:r w:rsidR="00046BE6">
        <w:rPr>
          <w:iCs/>
        </w:rPr>
        <w:t xml:space="preserve"> for the included indications</w:t>
      </w:r>
      <w:r w:rsidR="00A05202">
        <w:rPr>
          <w:iCs/>
        </w:rPr>
        <w:t xml:space="preserve">, for </w:t>
      </w:r>
      <w:r w:rsidR="00A05202" w:rsidRPr="00A05202">
        <w:rPr>
          <w:iCs/>
        </w:rPr>
        <w:t xml:space="preserve">example "increased risk of infection could include prior cardiac electronic device related infection, requirement for frequent vascular access such as haemodialysis or </w:t>
      </w:r>
      <w:proofErr w:type="spellStart"/>
      <w:r w:rsidR="00A05202" w:rsidRPr="00A05202">
        <w:rPr>
          <w:iCs/>
        </w:rPr>
        <w:t>portacath</w:t>
      </w:r>
      <w:proofErr w:type="spellEnd"/>
      <w:r w:rsidR="00A05202">
        <w:rPr>
          <w:iCs/>
        </w:rPr>
        <w:t>.”</w:t>
      </w:r>
    </w:p>
    <w:p w14:paraId="54CBED40" w14:textId="19904648" w:rsidR="00B44AFD" w:rsidRDefault="00B44AFD" w:rsidP="00B44AFD">
      <w:r>
        <w:t>MSAC noted that the pivotal evidence included a large cohort study (the CED study) that included 16,431 patients inserted with a LPM or a transvenous pacemaker (TVPM) based on US claims data with 24 months of follow up available to date. To account for important patient and encounter characteristics, propensity score overlap weights were used to construct a weighted cohort of patients who differed with respect to pacemaker type (LPM vs TVPM) but were similar with respect to other observed characteristics.</w:t>
      </w:r>
      <w:r w:rsidR="00B20396" w:rsidRPr="00B20396">
        <w:t xml:space="preserve"> </w:t>
      </w:r>
      <w:r w:rsidR="00B20396">
        <w:t>MSAC agreed with ESC and considered this was</w:t>
      </w:r>
      <w:r w:rsidR="00B20396" w:rsidRPr="004917B5">
        <w:t xml:space="preserve"> appropriate given the study design</w:t>
      </w:r>
      <w:r w:rsidR="00B20396">
        <w:t xml:space="preserve"> however may not adjust for all group differences if there are unobserved confounders</w:t>
      </w:r>
      <w:r>
        <w:t xml:space="preserve">. MSAC </w:t>
      </w:r>
      <w:r w:rsidR="00B20396">
        <w:t xml:space="preserve">considered </w:t>
      </w:r>
      <w:r>
        <w:t>that the large sample size of the study and propensity weighting helps overcome some of the potential limitations of observational studies. Thus, the CED data represent the largest and highest-level evidence to inform the comparison of LPM vs</w:t>
      </w:r>
      <w:r w:rsidR="00B20396">
        <w:t>.</w:t>
      </w:r>
      <w:r>
        <w:t xml:space="preserve"> TVPM to date.</w:t>
      </w:r>
      <w:r w:rsidR="00346348">
        <w:t xml:space="preserve"> MSAC noted the other study data included in the ADAR was very poor</w:t>
      </w:r>
      <w:r w:rsidR="00500426">
        <w:t>-</w:t>
      </w:r>
      <w:r w:rsidR="00346348">
        <w:t>quality evidence.</w:t>
      </w:r>
    </w:p>
    <w:p w14:paraId="7919348E" w14:textId="7678F10A" w:rsidR="00D37155" w:rsidRDefault="00D37155" w:rsidP="00B44AFD">
      <w:r>
        <w:t xml:space="preserve">MSAC noted that despite </w:t>
      </w:r>
      <w:r>
        <w:rPr>
          <w:lang w:val="en-US"/>
        </w:rPr>
        <w:t xml:space="preserve">significant baseline differences between treatment groups in the CED study (LPM group were less healthy), that the </w:t>
      </w:r>
      <w:r>
        <w:t xml:space="preserve">unadjusted rates </w:t>
      </w:r>
      <w:r>
        <w:rPr>
          <w:lang w:val="en-US"/>
        </w:rPr>
        <w:t>of overall complications at 30 days’ follow-up (8.4% for the Micra VR TPS and 7.3% for the TVPM)</w:t>
      </w:r>
      <w:r w:rsidRPr="007461D6">
        <w:rPr>
          <w:lang w:val="en-US"/>
        </w:rPr>
        <w:t xml:space="preserve"> </w:t>
      </w:r>
      <w:r>
        <w:rPr>
          <w:lang w:val="en-US"/>
        </w:rPr>
        <w:t>were not substantially different between the treatment groups.</w:t>
      </w:r>
      <w:r w:rsidR="00AC50B9">
        <w:rPr>
          <w:lang w:val="en-US"/>
        </w:rPr>
        <w:t xml:space="preserve"> LPM was associated with more events at the puncture site because </w:t>
      </w:r>
      <w:r w:rsidR="00E55571">
        <w:rPr>
          <w:lang w:val="en-US"/>
        </w:rPr>
        <w:t xml:space="preserve">of </w:t>
      </w:r>
      <w:r w:rsidR="00AC50B9">
        <w:rPr>
          <w:lang w:val="en-US"/>
        </w:rPr>
        <w:t xml:space="preserve">the </w:t>
      </w:r>
      <w:r w:rsidR="00975347">
        <w:rPr>
          <w:lang w:val="en-US"/>
        </w:rPr>
        <w:t>percutaneous</w:t>
      </w:r>
      <w:r w:rsidR="00474137">
        <w:rPr>
          <w:lang w:val="en-US"/>
        </w:rPr>
        <w:t xml:space="preserve"> </w:t>
      </w:r>
      <w:r w:rsidR="00AC50B9">
        <w:rPr>
          <w:lang w:val="en-US"/>
        </w:rPr>
        <w:t>approach</w:t>
      </w:r>
      <w:r w:rsidR="00474137">
        <w:rPr>
          <w:lang w:val="en-US"/>
        </w:rPr>
        <w:t xml:space="preserve"> </w:t>
      </w:r>
      <w:r w:rsidR="00AC50B9">
        <w:rPr>
          <w:lang w:val="en-US"/>
        </w:rPr>
        <w:t>used</w:t>
      </w:r>
      <w:r w:rsidR="00474137">
        <w:rPr>
          <w:lang w:val="en-US"/>
        </w:rPr>
        <w:t xml:space="preserve"> (inserted via the femoral vein) </w:t>
      </w:r>
      <w:r w:rsidR="00AC50B9">
        <w:rPr>
          <w:lang w:val="en-US"/>
        </w:rPr>
        <w:t>compared with TVPM.</w:t>
      </w:r>
      <w:r w:rsidR="00346348">
        <w:rPr>
          <w:lang w:val="en-US"/>
        </w:rPr>
        <w:t xml:space="preserve"> At 2 years after device implantation, </w:t>
      </w:r>
      <w:r w:rsidR="00346348">
        <w:t>t</w:t>
      </w:r>
      <w:r w:rsidR="00346348" w:rsidRPr="00F90BD9">
        <w:t xml:space="preserve">here were significantly more complications in the TVPM group compared to the Micra VR TPS </w:t>
      </w:r>
      <w:r w:rsidR="00640F8C">
        <w:t xml:space="preserve">group </w:t>
      </w:r>
      <w:r w:rsidR="00346348" w:rsidRPr="00F90BD9">
        <w:t>with adjusted rates of 6.5% and 4.6%, respectively (hazard ratio 0.69, 95% CI 0.60 to 0.81, p&lt;0.0001).</w:t>
      </w:r>
      <w:r w:rsidR="00346348">
        <w:t xml:space="preserve"> MSAC noted that when the data was adjusted the difference in the overall complication rates between the </w:t>
      </w:r>
      <w:r w:rsidR="00346348">
        <w:rPr>
          <w:lang w:val="en-US"/>
        </w:rPr>
        <w:t xml:space="preserve">Micra VR TPS </w:t>
      </w:r>
      <w:r w:rsidR="00346348">
        <w:t>and the TVPM groups was small.</w:t>
      </w:r>
    </w:p>
    <w:p w14:paraId="78CE3BBD" w14:textId="7FCF4589" w:rsidR="00B20396" w:rsidRDefault="00B20396" w:rsidP="00B44AFD">
      <w:r>
        <w:t xml:space="preserve">In terms of </w:t>
      </w:r>
      <w:r w:rsidR="00D37155">
        <w:t xml:space="preserve">comparative </w:t>
      </w:r>
      <w:r>
        <w:t xml:space="preserve">effectiveness, </w:t>
      </w:r>
      <w:r w:rsidR="00D37155">
        <w:t xml:space="preserve">MSAC </w:t>
      </w:r>
      <w:r w:rsidR="00346348">
        <w:t xml:space="preserve">noted </w:t>
      </w:r>
      <w:r w:rsidR="00346348" w:rsidRPr="00F90BD9">
        <w:t>tha</w:t>
      </w:r>
      <w:r w:rsidR="00346348">
        <w:t>t low to very low-quality evidence (GRADE)</w:t>
      </w:r>
      <w:r w:rsidR="00346348" w:rsidRPr="00332E31">
        <w:t xml:space="preserve"> show</w:t>
      </w:r>
      <w:r w:rsidR="00346348">
        <w:t>ed</w:t>
      </w:r>
      <w:r w:rsidR="00346348" w:rsidRPr="00332E31">
        <w:t xml:space="preserve"> consistent findings of noninferiority with regards to mortality</w:t>
      </w:r>
      <w:r w:rsidR="00346348">
        <w:t xml:space="preserve"> and</w:t>
      </w:r>
      <w:r w:rsidR="00346348" w:rsidRPr="00332E31">
        <w:t xml:space="preserve"> improvement in quality of life (mental and physical domains), but </w:t>
      </w:r>
      <w:r w:rsidR="00346348">
        <w:t xml:space="preserve">it was unknown if the </w:t>
      </w:r>
      <w:proofErr w:type="gramStart"/>
      <w:r w:rsidR="00346348">
        <w:t>quality</w:t>
      </w:r>
      <w:r w:rsidR="00D60DA6">
        <w:t xml:space="preserve"> </w:t>
      </w:r>
      <w:r w:rsidR="00346348">
        <w:t>of</w:t>
      </w:r>
      <w:r w:rsidR="00D60DA6">
        <w:t xml:space="preserve"> </w:t>
      </w:r>
      <w:r w:rsidR="00346348">
        <w:t>life</w:t>
      </w:r>
      <w:proofErr w:type="gramEnd"/>
      <w:r w:rsidR="00346348">
        <w:t xml:space="preserve"> scores (using 36-Item Short Form Survey [SF-36]) were clinically significant as no minimally clinical important difference (MCID) was provided in the ADAR.</w:t>
      </w:r>
    </w:p>
    <w:p w14:paraId="199C8A71" w14:textId="43FAA44F" w:rsidR="00346348" w:rsidRDefault="00346348" w:rsidP="00B44AFD">
      <w:pPr>
        <w:rPr>
          <w:iCs/>
        </w:rPr>
      </w:pPr>
      <w:r w:rsidRPr="00B44AFD">
        <w:rPr>
          <w:iCs/>
        </w:rPr>
        <w:lastRenderedPageBreak/>
        <w:t>MSAC noted the limitations in the clinical evidence, but accepted that LPM was noninferior for short-term safety, superior for long-term safety and noninferior for effectiveness compared with TVPM.</w:t>
      </w:r>
    </w:p>
    <w:p w14:paraId="017E56C0" w14:textId="12F1CBBD" w:rsidR="00575232" w:rsidRDefault="00575232" w:rsidP="00B44AFD">
      <w:r>
        <w:t xml:space="preserve">MSAC </w:t>
      </w:r>
      <w:r w:rsidRPr="00F90BD9">
        <w:t>noted that the economic modelling was a cost-utility analysis with most evidence from the CED study.</w:t>
      </w:r>
      <w:r>
        <w:t xml:space="preserve"> MSAC agreed with the ESC advice that the simple Markov model using alive and dead states</w:t>
      </w:r>
      <w:r w:rsidRPr="00F90BD9">
        <w:t xml:space="preserve"> was reasonable</w:t>
      </w:r>
      <w:r>
        <w:t>.</w:t>
      </w:r>
      <w:r w:rsidR="00015A8E">
        <w:t xml:space="preserve"> MSAC noted that the cost of the device is the main component of the intervention.</w:t>
      </w:r>
    </w:p>
    <w:p w14:paraId="1FA05A39" w14:textId="66473803" w:rsidR="00575232" w:rsidRDefault="00575232" w:rsidP="00B44AFD">
      <w:r>
        <w:t>MSAC noted that the tim</w:t>
      </w:r>
      <w:r w:rsidDel="00031178">
        <w:t>e</w:t>
      </w:r>
      <w:r>
        <w:t xml:space="preserve"> horizon (assumed based on 12-year battery life) is a major driver of the model. MSAC noted ESC’s concern that the model should have considered a lifetime analysis but accepted </w:t>
      </w:r>
      <w:r w:rsidR="009509F8">
        <w:t>the pre-MSAC response that both arms of the model may require a second device at a similar rate</w:t>
      </w:r>
      <w:r w:rsidR="00B449A2">
        <w:t xml:space="preserve"> (and then may not have a substantial impact on the </w:t>
      </w:r>
      <w:r w:rsidR="00971665" w:rsidRPr="00B44AFD">
        <w:rPr>
          <w:iCs/>
        </w:rPr>
        <w:t xml:space="preserve">incremental cost-effectiveness ratio </w:t>
      </w:r>
      <w:r w:rsidR="00971665">
        <w:rPr>
          <w:iCs/>
        </w:rPr>
        <w:t>(</w:t>
      </w:r>
      <w:r w:rsidR="00B449A2">
        <w:t>ICER)</w:t>
      </w:r>
      <w:r w:rsidR="009509F8">
        <w:t>. MSAC also noted ESC’s concern</w:t>
      </w:r>
      <w:r w:rsidR="009A1A07">
        <w:t xml:space="preserve"> that</w:t>
      </w:r>
      <w:r w:rsidR="009509F8">
        <w:t xml:space="preserve"> </w:t>
      </w:r>
      <w:r w:rsidR="009A1A07">
        <w:t xml:space="preserve">the absence of a lead and chest pocket for LPMs was included as a utility improvement over TVPMs, which was not based on any specific evidence and a key driver of the model; MSAC noted that the pre-MSAC response reasoned that this was only a modest assumption </w:t>
      </w:r>
      <w:r w:rsidR="009A1A07" w:rsidRPr="009A1A07">
        <w:t xml:space="preserve">that the </w:t>
      </w:r>
      <w:r w:rsidR="009A1A07">
        <w:t>quality of life</w:t>
      </w:r>
      <w:r w:rsidR="009A1A07" w:rsidRPr="009A1A07">
        <w:t xml:space="preserve"> of patients living with LPMs vs TVPMs is better on average by a utility score of only 0.005 each year</w:t>
      </w:r>
      <w:r w:rsidR="009A1A07">
        <w:t>.</w:t>
      </w:r>
    </w:p>
    <w:p w14:paraId="27B33BB4" w14:textId="18C40425" w:rsidR="009A1A07" w:rsidRDefault="009A1A07" w:rsidP="00B44AFD">
      <w:r>
        <w:t xml:space="preserve">MSAC </w:t>
      </w:r>
      <w:r w:rsidR="0015603D">
        <w:t xml:space="preserve">noted that given the high and uncertain ICER, ESC </w:t>
      </w:r>
      <w:r w:rsidR="00677DA8">
        <w:t xml:space="preserve">had </w:t>
      </w:r>
      <w:r w:rsidR="0015603D">
        <w:t xml:space="preserve">queried </w:t>
      </w:r>
      <w:r>
        <w:t xml:space="preserve">whether there may be a subpopulation with greater need </w:t>
      </w:r>
      <w:r w:rsidR="003D3A30">
        <w:t>that</w:t>
      </w:r>
      <w:r>
        <w:t xml:space="preserve"> may benefit more with an LPM, and potentially with more favourable cost-effectiveness. MSAC </w:t>
      </w:r>
      <w:r w:rsidR="00625819">
        <w:t>noted</w:t>
      </w:r>
      <w:r w:rsidR="006075A2">
        <w:t xml:space="preserve"> that in those </w:t>
      </w:r>
      <w:r w:rsidR="00677DA8">
        <w:t xml:space="preserve">people </w:t>
      </w:r>
      <w:r w:rsidR="006075A2">
        <w:t xml:space="preserve">contraindicated or unsuitable for TVPM, the comparator would be a </w:t>
      </w:r>
      <w:r w:rsidR="006075A2" w:rsidRPr="00625819">
        <w:t>surgical</w:t>
      </w:r>
      <w:r w:rsidR="00500426" w:rsidRPr="00E503E9">
        <w:t>ly implanted</w:t>
      </w:r>
      <w:r w:rsidR="006075A2" w:rsidRPr="00625819">
        <w:t xml:space="preserve"> pacemaker.</w:t>
      </w:r>
      <w:r w:rsidR="006075A2">
        <w:t xml:space="preserve"> MSAC considered that because </w:t>
      </w:r>
      <w:r w:rsidR="00625819">
        <w:t>inserting a pacemaker surgically</w:t>
      </w:r>
      <w:r w:rsidR="006075A2">
        <w:t xml:space="preserve"> would be associated with a higher post-operative disutility, that LPM would likely have more favourable cost-effectiveness in this </w:t>
      </w:r>
      <w:r w:rsidR="00625819">
        <w:t>sub</w:t>
      </w:r>
      <w:r w:rsidR="006075A2">
        <w:t>population.</w:t>
      </w:r>
    </w:p>
    <w:p w14:paraId="01C6D15A" w14:textId="688AB2D5" w:rsidR="00F25AB7" w:rsidRPr="009445DF" w:rsidRDefault="00F25AB7" w:rsidP="00B44AFD">
      <w:pPr>
        <w:rPr>
          <w:strike/>
        </w:rPr>
      </w:pPr>
      <w:r>
        <w:t xml:space="preserve">Overall, MSAC supported MBS listing of </w:t>
      </w:r>
      <w:r w:rsidRPr="00A10543">
        <w:t>the insertion or removal of a permanent leadless pacemaker for the treatment of bradyarrhythmia that requires single-chamber ventricular pacing</w:t>
      </w:r>
      <w:r>
        <w:t xml:space="preserve"> subject to the applicant agreeing to a reduction in the proposed price of the </w:t>
      </w:r>
      <w:r w:rsidRPr="00A46F07">
        <w:t xml:space="preserve">device to be </w:t>
      </w:r>
      <w:r w:rsidRPr="009445DF">
        <w:t xml:space="preserve">approximately </w:t>
      </w:r>
      <w:r w:rsidR="00C817A8" w:rsidRPr="009445DF">
        <w:t>$</w:t>
      </w:r>
      <w:r w:rsidR="00443AF1" w:rsidRPr="00CA3498">
        <w:rPr>
          <w:color w:val="000000"/>
          <w:spacing w:val="27"/>
          <w:w w:val="48"/>
          <w:shd w:val="solid" w:color="000000" w:fill="000000"/>
          <w:fitText w:val="452" w:id="-1429520126"/>
          <w14:textFill>
            <w14:solidFill>
              <w14:srgbClr w14:val="000000">
                <w14:alpha w14:val="100000"/>
              </w14:srgbClr>
            </w14:solidFill>
          </w14:textFill>
        </w:rPr>
        <w:t>|||||</w:t>
      </w:r>
      <w:r w:rsidR="00443AF1" w:rsidRPr="00CA3498">
        <w:rPr>
          <w:color w:val="000000"/>
          <w:spacing w:val="1"/>
          <w:w w:val="48"/>
          <w:shd w:val="solid" w:color="000000" w:fill="000000"/>
          <w:fitText w:val="452" w:id="-1429520126"/>
          <w14:textFill>
            <w14:solidFill>
              <w14:srgbClr w14:val="000000">
                <w14:alpha w14:val="100000"/>
              </w14:srgbClr>
            </w14:solidFill>
          </w14:textFill>
        </w:rPr>
        <w:t>|</w:t>
      </w:r>
      <w:r w:rsidRPr="009445DF">
        <w:t xml:space="preserve"> (a reduction from </w:t>
      </w:r>
      <w:r w:rsidR="00C817A8" w:rsidRPr="009445DF">
        <w:t>$</w:t>
      </w:r>
      <w:r w:rsidR="00443AF1" w:rsidRPr="00CA3498">
        <w:rPr>
          <w:color w:val="000000"/>
          <w:spacing w:val="27"/>
          <w:w w:val="48"/>
          <w:shd w:val="solid" w:color="000000" w:fill="000000"/>
          <w:fitText w:val="452" w:id="-1429520125"/>
          <w14:textFill>
            <w14:solidFill>
              <w14:srgbClr w14:val="000000">
                <w14:alpha w14:val="100000"/>
              </w14:srgbClr>
            </w14:solidFill>
          </w14:textFill>
        </w:rPr>
        <w:t>|||||</w:t>
      </w:r>
      <w:r w:rsidR="00443AF1" w:rsidRPr="00CA3498">
        <w:rPr>
          <w:color w:val="000000"/>
          <w:spacing w:val="1"/>
          <w:w w:val="48"/>
          <w:shd w:val="solid" w:color="000000" w:fill="000000"/>
          <w:fitText w:val="452" w:id="-1429520125"/>
          <w14:textFill>
            <w14:solidFill>
              <w14:srgbClr w14:val="000000">
                <w14:alpha w14:val="100000"/>
              </w14:srgbClr>
            </w14:solidFill>
          </w14:textFill>
        </w:rPr>
        <w:t>|</w:t>
      </w:r>
      <w:r w:rsidRPr="009445DF">
        <w:t>. This</w:t>
      </w:r>
      <w:r>
        <w:t xml:space="preserve"> </w:t>
      </w:r>
      <w:r w:rsidRPr="00A46F07">
        <w:t>would be required for the cost-effectiveness of LPM to be considered acceptable at an ICER of approximately $50,000 per quality-adjusted-life year which is an acceptable ICER for this population and level of uncertainty around the clinical evidence and utilisation</w:t>
      </w:r>
      <w:r>
        <w:t xml:space="preserve">. </w:t>
      </w:r>
      <w:r w:rsidRPr="009445DF">
        <w:t>MSAC noted that this P</w:t>
      </w:r>
      <w:r w:rsidR="00677DA8" w:rsidRPr="009445DF">
        <w:t xml:space="preserve">ublic </w:t>
      </w:r>
      <w:r w:rsidRPr="009445DF">
        <w:t>S</w:t>
      </w:r>
      <w:r w:rsidR="00677DA8" w:rsidRPr="009445DF">
        <w:t xml:space="preserve">ummary </w:t>
      </w:r>
      <w:r w:rsidRPr="009445DF">
        <w:t>D</w:t>
      </w:r>
      <w:r w:rsidR="00677DA8" w:rsidRPr="009445DF">
        <w:t>ocument (PSD)</w:t>
      </w:r>
      <w:r w:rsidRPr="009445DF">
        <w:t xml:space="preserve"> forms its advice in relation to comparative safety, effectiveness, and cost-effectiveness for any application to list the LPM on the PL.</w:t>
      </w:r>
    </w:p>
    <w:p w14:paraId="0A32DD26" w14:textId="7902E5AF" w:rsidR="00B44AFD" w:rsidRPr="009445DF" w:rsidRDefault="00B44AFD" w:rsidP="00B44AFD">
      <w:r w:rsidRPr="009445DF">
        <w:t xml:space="preserve">MSAC noted that the major financial and budgetary impact will be the </w:t>
      </w:r>
      <w:r w:rsidR="000B3928" w:rsidRPr="009445DF">
        <w:t xml:space="preserve">prostheses </w:t>
      </w:r>
      <w:r w:rsidRPr="009445DF">
        <w:t xml:space="preserve">costs to private health insurers. Using the MSAC cost-effective price of LPM of </w:t>
      </w:r>
      <w:r w:rsidR="00C817A8" w:rsidRPr="009445DF">
        <w:t>$</w:t>
      </w:r>
      <w:r w:rsidR="00443AF1" w:rsidRPr="00CA3498">
        <w:rPr>
          <w:color w:val="000000"/>
          <w:spacing w:val="24"/>
          <w:w w:val="47"/>
          <w:shd w:val="solid" w:color="000000" w:fill="000000"/>
          <w:fitText w:val="435" w:id="-1429520124"/>
          <w14:textFill>
            <w14:solidFill>
              <w14:srgbClr w14:val="000000">
                <w14:alpha w14:val="100000"/>
              </w14:srgbClr>
            </w14:solidFill>
          </w14:textFill>
        </w:rPr>
        <w:t>|||||</w:t>
      </w:r>
      <w:r w:rsidR="00443AF1" w:rsidRPr="00CA3498">
        <w:rPr>
          <w:color w:val="000000"/>
          <w:spacing w:val="5"/>
          <w:w w:val="47"/>
          <w:shd w:val="solid" w:color="000000" w:fill="000000"/>
          <w:fitText w:val="435" w:id="-1429520124"/>
          <w14:textFill>
            <w14:solidFill>
              <w14:srgbClr w14:val="000000">
                <w14:alpha w14:val="100000"/>
              </w14:srgbClr>
            </w14:solidFill>
          </w14:textFill>
        </w:rPr>
        <w:t>|</w:t>
      </w:r>
      <w:r w:rsidRPr="009445DF">
        <w:t xml:space="preserve">, the aggregate national </w:t>
      </w:r>
      <w:r w:rsidR="001821D3" w:rsidRPr="009445DF">
        <w:t xml:space="preserve">prostheses </w:t>
      </w:r>
      <w:r w:rsidRPr="009445DF">
        <w:t xml:space="preserve">costs to health insurers are forecast to increase by </w:t>
      </w:r>
      <w:r w:rsidR="00C817A8" w:rsidRPr="009445DF">
        <w:t>$</w:t>
      </w:r>
      <w:r w:rsidR="00443AF1" w:rsidRPr="00CA3498">
        <w:rPr>
          <w:color w:val="000000"/>
          <w:spacing w:val="24"/>
          <w:w w:val="47"/>
          <w:shd w:val="solid" w:color="000000" w:fill="000000"/>
          <w:fitText w:val="435" w:id="-1429520123"/>
          <w14:textFill>
            <w14:solidFill>
              <w14:srgbClr w14:val="000000">
                <w14:alpha w14:val="100000"/>
              </w14:srgbClr>
            </w14:solidFill>
          </w14:textFill>
        </w:rPr>
        <w:t>|||||</w:t>
      </w:r>
      <w:r w:rsidR="00443AF1" w:rsidRPr="00CA3498">
        <w:rPr>
          <w:color w:val="000000"/>
          <w:spacing w:val="5"/>
          <w:w w:val="47"/>
          <w:shd w:val="solid" w:color="000000" w:fill="000000"/>
          <w:fitText w:val="435" w:id="-1429520123"/>
          <w14:textFill>
            <w14:solidFill>
              <w14:srgbClr w14:val="000000">
                <w14:alpha w14:val="100000"/>
              </w14:srgbClr>
            </w14:solidFill>
          </w14:textFill>
        </w:rPr>
        <w:t>|</w:t>
      </w:r>
      <w:r w:rsidRPr="009445DF">
        <w:t xml:space="preserve"> in Year 1, rising to </w:t>
      </w:r>
      <w:r w:rsidR="00C817A8" w:rsidRPr="009445DF">
        <w:t>$</w:t>
      </w:r>
      <w:r w:rsidR="00443AF1" w:rsidRPr="00CA3498">
        <w:rPr>
          <w:color w:val="000000"/>
          <w:spacing w:val="24"/>
          <w:w w:val="47"/>
          <w:shd w:val="solid" w:color="000000" w:fill="000000"/>
          <w:fitText w:val="435" w:id="-1429520122"/>
          <w14:textFill>
            <w14:solidFill>
              <w14:srgbClr w14:val="000000">
                <w14:alpha w14:val="100000"/>
              </w14:srgbClr>
            </w14:solidFill>
          </w14:textFill>
        </w:rPr>
        <w:t>|||||</w:t>
      </w:r>
      <w:r w:rsidR="00443AF1" w:rsidRPr="00CA3498">
        <w:rPr>
          <w:color w:val="000000"/>
          <w:spacing w:val="5"/>
          <w:w w:val="47"/>
          <w:shd w:val="solid" w:color="000000" w:fill="000000"/>
          <w:fitText w:val="435" w:id="-1429520122"/>
          <w14:textFill>
            <w14:solidFill>
              <w14:srgbClr w14:val="000000">
                <w14:alpha w14:val="100000"/>
              </w14:srgbClr>
            </w14:solidFill>
          </w14:textFill>
        </w:rPr>
        <w:t>|</w:t>
      </w:r>
      <w:r w:rsidRPr="009445DF">
        <w:t xml:space="preserve"> in Year 6.</w:t>
      </w:r>
    </w:p>
    <w:p w14:paraId="5C5ABE63" w14:textId="13E6B723" w:rsidR="00B44AFD" w:rsidRDefault="00B44AFD" w:rsidP="00B44AFD">
      <w:r>
        <w:t xml:space="preserve">MSAC noted that younger people </w:t>
      </w:r>
      <w:r w:rsidR="00F70AE5">
        <w:t xml:space="preserve">may </w:t>
      </w:r>
      <w:r>
        <w:t>find th</w:t>
      </w:r>
      <w:r w:rsidR="003237C9">
        <w:t>e</w:t>
      </w:r>
      <w:r>
        <w:t xml:space="preserve"> </w:t>
      </w:r>
      <w:r w:rsidR="00CF4101">
        <w:t>LPM’s</w:t>
      </w:r>
      <w:r>
        <w:t xml:space="preserve"> cosmetic </w:t>
      </w:r>
      <w:r w:rsidR="003237C9">
        <w:t>appearance</w:t>
      </w:r>
      <w:r>
        <w:t xml:space="preserve"> </w:t>
      </w:r>
      <w:r w:rsidR="00CF4101">
        <w:t>and suitability for an active lifestyle</w:t>
      </w:r>
      <w:r w:rsidR="00471D6F">
        <w:t xml:space="preserve"> </w:t>
      </w:r>
      <w:r w:rsidR="00F70AE5">
        <w:t>advantageous</w:t>
      </w:r>
      <w:r>
        <w:t>. However, it was noted that because the average life of the device</w:t>
      </w:r>
      <w:r w:rsidR="00F70AE5">
        <w:t xml:space="preserve"> battery</w:t>
      </w:r>
      <w:r>
        <w:t xml:space="preserve"> is 12 years, there is a higher risk that younger people will need additional devices </w:t>
      </w:r>
      <w:r w:rsidR="00F70AE5">
        <w:t xml:space="preserve">to be implanted </w:t>
      </w:r>
      <w:r>
        <w:t>over time.</w:t>
      </w:r>
    </w:p>
    <w:p w14:paraId="48CF71A0" w14:textId="150C70DD" w:rsidR="0015603D" w:rsidRDefault="0015603D" w:rsidP="00B44AFD">
      <w:r>
        <w:t>MSAC queried whether there should be a maximum number of LPM devices implanted per lifetime, particularly relevant for younger patients who could potentially end up with several deactivated devices in the</w:t>
      </w:r>
      <w:r w:rsidR="00CF4101">
        <w:t>ir</w:t>
      </w:r>
      <w:r>
        <w:t xml:space="preserve"> ventricle, as per the recommendation for deactivated devices to be left in situ following its useful life. MSAC noted that in its pre-MSAC response, the applicant agreed it may be appropriate that a maximum number of LPM devices be implanted per lifetime, and that could be informed by a CSANZ consensus document.</w:t>
      </w:r>
    </w:p>
    <w:p w14:paraId="40906FD0" w14:textId="73C03BB5" w:rsidR="00B44AFD" w:rsidRDefault="00B44AFD" w:rsidP="00B44AFD">
      <w:r>
        <w:t xml:space="preserve">MSAC noted that retrieval of the </w:t>
      </w:r>
      <w:r w:rsidR="00F70AE5">
        <w:t xml:space="preserve">LPM </w:t>
      </w:r>
      <w:r>
        <w:t xml:space="preserve">is straightforward in the first few </w:t>
      </w:r>
      <w:proofErr w:type="gramStart"/>
      <w:r>
        <w:t>months</w:t>
      </w:r>
      <w:proofErr w:type="gramEnd"/>
      <w:r>
        <w:t xml:space="preserve"> post-implantation </w:t>
      </w:r>
      <w:r w:rsidR="00F70AE5">
        <w:t xml:space="preserve">as it has a </w:t>
      </w:r>
      <w:r w:rsidR="009E1358">
        <w:t xml:space="preserve">dedicated </w:t>
      </w:r>
      <w:r w:rsidR="00F70AE5">
        <w:t xml:space="preserve">mechanism for retrieval and </w:t>
      </w:r>
      <w:r w:rsidR="009E1358">
        <w:t xml:space="preserve">the device </w:t>
      </w:r>
      <w:r w:rsidR="00F70AE5">
        <w:t>will have not become encapsulated</w:t>
      </w:r>
      <w:r>
        <w:t xml:space="preserve">. </w:t>
      </w:r>
      <w:r>
        <w:lastRenderedPageBreak/>
        <w:t xml:space="preserve">However, extraction </w:t>
      </w:r>
      <w:r w:rsidR="00F70AE5">
        <w:t>once encapsulated</w:t>
      </w:r>
      <w:r w:rsidR="0015603D">
        <w:t>,</w:t>
      </w:r>
      <w:r>
        <w:t xml:space="preserve"> requires an invasive approach and is difficult, so few clinicians would want to perform the procedure and instead would opt to leave the pacemaker in situ.</w:t>
      </w:r>
      <w:r w:rsidR="00E503E9">
        <w:t xml:space="preserve"> </w:t>
      </w:r>
      <w:r>
        <w:t xml:space="preserve">MSAC noted that the Department will seek the advice of CSANZ to provide clarity </w:t>
      </w:r>
      <w:r w:rsidR="00F70AE5">
        <w:t>on the approaches to</w:t>
      </w:r>
      <w:r>
        <w:t xml:space="preserve"> device retrieval and </w:t>
      </w:r>
      <w:r w:rsidR="00F70AE5">
        <w:t xml:space="preserve">surgical </w:t>
      </w:r>
      <w:r>
        <w:t>explantation.</w:t>
      </w:r>
    </w:p>
    <w:p w14:paraId="737471F5" w14:textId="52E4C93C" w:rsidR="00015A8E" w:rsidRPr="009445DF" w:rsidRDefault="00375997" w:rsidP="00B44AFD">
      <w:pPr>
        <w:rPr>
          <w:strike/>
        </w:rPr>
      </w:pPr>
      <w:r>
        <w:t>MSAC noted t</w:t>
      </w:r>
      <w:r w:rsidR="008D19C4">
        <w:t>he Department will progress implementation</w:t>
      </w:r>
      <w:r w:rsidR="00E655FB">
        <w:t xml:space="preserve"> of </w:t>
      </w:r>
      <w:r>
        <w:t xml:space="preserve">its </w:t>
      </w:r>
      <w:r w:rsidR="00E655FB">
        <w:t xml:space="preserve">advice </w:t>
      </w:r>
      <w:r w:rsidR="008D19C4">
        <w:t>following usua</w:t>
      </w:r>
      <w:r w:rsidR="00A63F3B">
        <w:t xml:space="preserve">l process for </w:t>
      </w:r>
      <w:r w:rsidR="00E655FB">
        <w:t>the procedural items</w:t>
      </w:r>
      <w:r w:rsidR="00E655FB" w:rsidRPr="00E655FB">
        <w:t xml:space="preserve"> </w:t>
      </w:r>
      <w:r w:rsidR="00E655FB">
        <w:t xml:space="preserve">for the insertion or removal of the LPM on the MBS </w:t>
      </w:r>
      <w:r w:rsidR="00E655FB" w:rsidRPr="009445DF">
        <w:t xml:space="preserve">which require the </w:t>
      </w:r>
      <w:r w:rsidR="00A63F3B" w:rsidRPr="009445DF">
        <w:t>listing of the device on the PL</w:t>
      </w:r>
      <w:r w:rsidR="00E655FB" w:rsidRPr="009445DF">
        <w:t>.</w:t>
      </w:r>
    </w:p>
    <w:p w14:paraId="033A9991" w14:textId="637711BA" w:rsidR="00DC02C4" w:rsidRDefault="00DC02C4" w:rsidP="00D27D2E">
      <w:pPr>
        <w:pStyle w:val="Heading2execsummary"/>
        <w:spacing w:before="360"/>
      </w:pPr>
      <w:r>
        <w:t>Background</w:t>
      </w:r>
    </w:p>
    <w:p w14:paraId="65339211" w14:textId="6AAF3513" w:rsidR="00AE3A42" w:rsidRDefault="00A04236" w:rsidP="00645477">
      <w:r w:rsidRPr="001411D5">
        <w:t>MSAC has not previously considered the insertion</w:t>
      </w:r>
      <w:r w:rsidR="00AE3A42">
        <w:t xml:space="preserve">, </w:t>
      </w:r>
      <w:r w:rsidRPr="001411D5">
        <w:t>removal</w:t>
      </w:r>
      <w:r w:rsidR="00AE3A42">
        <w:t xml:space="preserve"> or explantation</w:t>
      </w:r>
      <w:r w:rsidRPr="001411D5">
        <w:t xml:space="preserve"> of a</w:t>
      </w:r>
      <w:r>
        <w:t xml:space="preserve"> permanent</w:t>
      </w:r>
      <w:r w:rsidRPr="001411D5">
        <w:t xml:space="preserve"> </w:t>
      </w:r>
      <w:r>
        <w:t>LPM</w:t>
      </w:r>
      <w:r w:rsidRPr="001411D5">
        <w:t xml:space="preserve"> for the treatment of b</w:t>
      </w:r>
      <w:r>
        <w:t>radycardia</w:t>
      </w:r>
      <w:r w:rsidR="00061D63">
        <w:t>.</w:t>
      </w:r>
    </w:p>
    <w:p w14:paraId="1E840A67" w14:textId="539C4C6D" w:rsidR="00142D89" w:rsidRPr="00645477" w:rsidRDefault="00FB72AC" w:rsidP="00645477">
      <w:pPr>
        <w:rPr>
          <w:lang w:val="en-US"/>
        </w:rPr>
      </w:pPr>
      <w:r>
        <w:t>O</w:t>
      </w:r>
      <w:r w:rsidR="00271AC0">
        <w:t>n the July 2021 Prostheses List</w:t>
      </w:r>
      <w:r>
        <w:t>, various single-chamber pacemaker generators</w:t>
      </w:r>
      <w:r w:rsidR="001D7B8B">
        <w:t xml:space="preserve"> </w:t>
      </w:r>
      <w:r w:rsidR="001D7B8B" w:rsidRPr="006B5908">
        <w:t>(Grouping 08.04.03)</w:t>
      </w:r>
      <w:r w:rsidR="00BC53D9">
        <w:t xml:space="preserve"> and </w:t>
      </w:r>
      <w:r w:rsidR="007B686F">
        <w:t>right ventricular pacemaker leads</w:t>
      </w:r>
      <w:r>
        <w:t xml:space="preserve"> were available</w:t>
      </w:r>
      <w:r w:rsidR="00231B50">
        <w:t xml:space="preserve"> </w:t>
      </w:r>
      <w:r w:rsidR="00231B50" w:rsidRPr="006B5908">
        <w:t>(Groupings 08.08.08 and 08.08.09)</w:t>
      </w:r>
      <w:r w:rsidR="00BC53D9">
        <w:t xml:space="preserve">, </w:t>
      </w:r>
      <w:r w:rsidR="0023082E">
        <w:t xml:space="preserve">but </w:t>
      </w:r>
      <w:r w:rsidR="007B686F">
        <w:t>no</w:t>
      </w:r>
      <w:r w:rsidR="00844F2C">
        <w:t xml:space="preserve"> LPM w</w:t>
      </w:r>
      <w:r w:rsidR="000809D4">
        <w:t>as listed.</w:t>
      </w:r>
    </w:p>
    <w:p w14:paraId="67672DDB" w14:textId="28AF6635" w:rsidR="001030E5" w:rsidRDefault="001F7219" w:rsidP="00D27D2E">
      <w:pPr>
        <w:pStyle w:val="Heading2execsummary"/>
        <w:spacing w:before="360"/>
      </w:pPr>
      <w:r w:rsidRPr="001F7219">
        <w:t>Prerequisites to implementation of any funding advice</w:t>
      </w:r>
    </w:p>
    <w:p w14:paraId="3B449AC6" w14:textId="19529C23" w:rsidR="00692B6C" w:rsidRDefault="00692B6C" w:rsidP="00692B6C">
      <w:pPr>
        <w:jc w:val="both"/>
      </w:pPr>
      <w:r>
        <w:t xml:space="preserve">The Micra </w:t>
      </w:r>
      <w:r w:rsidR="00010015">
        <w:t xml:space="preserve">VR </w:t>
      </w:r>
      <w:r>
        <w:t xml:space="preserve">TPS </w:t>
      </w:r>
      <w:r w:rsidR="0023082E">
        <w:t>has been</w:t>
      </w:r>
      <w:r>
        <w:t xml:space="preserve"> included </w:t>
      </w:r>
      <w:r w:rsidR="00DB766C">
        <w:t xml:space="preserve">in </w:t>
      </w:r>
      <w:r>
        <w:t>the Australian Register of Therapeutic Goods (ARTG)</w:t>
      </w:r>
      <w:r w:rsidR="008F79E8">
        <w:t xml:space="preserve"> </w:t>
      </w:r>
      <w:r w:rsidR="00054D89">
        <w:t>since December 2016</w:t>
      </w:r>
      <w:r>
        <w:t xml:space="preserve">, together with an ‘introducer’ for </w:t>
      </w:r>
      <w:r w:rsidR="0023082E">
        <w:t xml:space="preserve">inserting </w:t>
      </w:r>
      <w:r>
        <w:t xml:space="preserve">the device. </w:t>
      </w:r>
      <w:r w:rsidR="00CF0BC7">
        <w:t xml:space="preserve">Table </w:t>
      </w:r>
      <w:r>
        <w:fldChar w:fldCharType="begin"/>
      </w:r>
      <w:r>
        <w:instrText>SEQ Table \* ARABIC</w:instrText>
      </w:r>
      <w:r>
        <w:fldChar w:fldCharType="separate"/>
      </w:r>
      <w:r w:rsidR="0084187F">
        <w:rPr>
          <w:noProof/>
        </w:rPr>
        <w:t>1</w:t>
      </w:r>
      <w:r>
        <w:fldChar w:fldCharType="end"/>
      </w:r>
      <w:r w:rsidR="00376D7F">
        <w:t xml:space="preserve"> </w:t>
      </w:r>
      <w:r>
        <w:t xml:space="preserve">provides </w:t>
      </w:r>
      <w:r w:rsidR="001757DB">
        <w:t xml:space="preserve">details of </w:t>
      </w:r>
      <w:r>
        <w:t xml:space="preserve">the Therapeutic Goods Administration (TGA) status from the ARTG </w:t>
      </w:r>
      <w:r w:rsidR="001757DB">
        <w:t xml:space="preserve">for </w:t>
      </w:r>
      <w:r>
        <w:t>the Micra</w:t>
      </w:r>
      <w:r w:rsidR="005E4BF6">
        <w:t xml:space="preserve"> VR</w:t>
      </w:r>
      <w:r>
        <w:t xml:space="preserve"> TPS</w:t>
      </w:r>
      <w:r w:rsidR="0014587D" w:rsidRPr="0014587D">
        <w:t xml:space="preserve"> </w:t>
      </w:r>
      <w:r w:rsidR="0014587D">
        <w:t>and its consumables</w:t>
      </w:r>
      <w:r>
        <w:t xml:space="preserve"> </w:t>
      </w:r>
      <w:r w:rsidR="00CB261E">
        <w:t>under number 283235</w:t>
      </w:r>
      <w:r>
        <w:t>.</w:t>
      </w:r>
    </w:p>
    <w:p w14:paraId="5B1BCB31" w14:textId="61B7FF7E" w:rsidR="004F67EE" w:rsidRDefault="004F67EE" w:rsidP="006B1B99">
      <w:pPr>
        <w:pStyle w:val="Caption"/>
      </w:pPr>
      <w:bookmarkStart w:id="2" w:name="_Ref98926594"/>
      <w:bookmarkStart w:id="3" w:name="_Ref98926586"/>
      <w:r>
        <w:t xml:space="preserve">Table </w:t>
      </w:r>
      <w:r>
        <w:fldChar w:fldCharType="begin"/>
      </w:r>
      <w:r>
        <w:instrText>SEQ Table \* ARABIC</w:instrText>
      </w:r>
      <w:r>
        <w:fldChar w:fldCharType="separate"/>
      </w:r>
      <w:r w:rsidR="0084187F">
        <w:rPr>
          <w:noProof/>
        </w:rPr>
        <w:t>2</w:t>
      </w:r>
      <w:r>
        <w:fldChar w:fldCharType="end"/>
      </w:r>
      <w:bookmarkEnd w:id="2"/>
      <w:r w:rsidR="00726112">
        <w:tab/>
        <w:t xml:space="preserve">Micra </w:t>
      </w:r>
      <w:r w:rsidR="00C5418E">
        <w:t xml:space="preserve">VR </w:t>
      </w:r>
      <w:r w:rsidR="00726112">
        <w:t xml:space="preserve">TPS and consumables </w:t>
      </w:r>
      <w:r w:rsidR="009560ED">
        <w:t>included in</w:t>
      </w:r>
      <w:r w:rsidR="00726112">
        <w:t xml:space="preserve"> the ARTG</w:t>
      </w:r>
      <w:bookmarkEnd w:id="3"/>
    </w:p>
    <w:tbl>
      <w:tblPr>
        <w:tblStyle w:val="TableGrid"/>
        <w:tblW w:w="5000" w:type="pct"/>
        <w:tblLook w:val="04A0" w:firstRow="1" w:lastRow="0" w:firstColumn="1" w:lastColumn="0" w:noHBand="0" w:noVBand="1"/>
        <w:tblCaption w:val="Regulatory information for leadless pacemakers in Australia"/>
        <w:tblDescription w:val="A summary of the regulatory information for all leadless pacemakers included on the ARTG. The Micra VR and an associated consumable are the only devices included on the ARTG. A functional description of these devices and the intended purpose is shown. "/>
      </w:tblPr>
      <w:tblGrid>
        <w:gridCol w:w="1334"/>
        <w:gridCol w:w="1922"/>
        <w:gridCol w:w="2880"/>
        <w:gridCol w:w="2880"/>
      </w:tblGrid>
      <w:tr w:rsidR="00692B6C" w:rsidRPr="00CA23C5" w14:paraId="0C965FFA" w14:textId="77777777" w:rsidTr="00EF27EC">
        <w:trPr>
          <w:tblHeader/>
        </w:trPr>
        <w:tc>
          <w:tcPr>
            <w:tcW w:w="740" w:type="pct"/>
          </w:tcPr>
          <w:p w14:paraId="5BCD2A8D" w14:textId="77777777" w:rsidR="00692B6C" w:rsidRPr="00AF13FE" w:rsidRDefault="00692B6C" w:rsidP="00EF27EC">
            <w:pPr>
              <w:pStyle w:val="TableHeading"/>
            </w:pPr>
            <w:r w:rsidRPr="00013197">
              <w:t>Product name &amp; Sponsor</w:t>
            </w:r>
          </w:p>
        </w:tc>
        <w:tc>
          <w:tcPr>
            <w:tcW w:w="1066" w:type="pct"/>
          </w:tcPr>
          <w:p w14:paraId="68E6441A" w14:textId="77777777" w:rsidR="00692B6C" w:rsidRPr="000061EE" w:rsidRDefault="00692B6C" w:rsidP="00EF27EC">
            <w:pPr>
              <w:pStyle w:val="TableHeading"/>
            </w:pPr>
            <w:r w:rsidRPr="000061EE">
              <w:t>ARTG summary</w:t>
            </w:r>
          </w:p>
        </w:tc>
        <w:tc>
          <w:tcPr>
            <w:tcW w:w="1597" w:type="pct"/>
          </w:tcPr>
          <w:p w14:paraId="64CF9453" w14:textId="77777777" w:rsidR="00692B6C" w:rsidRPr="00FF61FB" w:rsidRDefault="00692B6C" w:rsidP="00EF27EC">
            <w:pPr>
              <w:pStyle w:val="TableHeading"/>
            </w:pPr>
            <w:r w:rsidRPr="00FF61FB">
              <w:t>Functional description</w:t>
            </w:r>
          </w:p>
        </w:tc>
        <w:tc>
          <w:tcPr>
            <w:tcW w:w="1597" w:type="pct"/>
          </w:tcPr>
          <w:p w14:paraId="0A7A302A" w14:textId="77777777" w:rsidR="00692B6C" w:rsidRPr="006E22C7" w:rsidRDefault="00692B6C" w:rsidP="00EF27EC">
            <w:pPr>
              <w:pStyle w:val="TableHeading"/>
            </w:pPr>
            <w:r w:rsidRPr="006E22C7">
              <w:t>Intended purpose</w:t>
            </w:r>
          </w:p>
        </w:tc>
      </w:tr>
      <w:tr w:rsidR="00692B6C" w:rsidRPr="00CA23C5" w14:paraId="3841ACD1" w14:textId="77777777" w:rsidTr="00EF27EC">
        <w:tc>
          <w:tcPr>
            <w:tcW w:w="740" w:type="pct"/>
          </w:tcPr>
          <w:p w14:paraId="7FECAD71" w14:textId="77777777" w:rsidR="00692B6C" w:rsidRPr="00436BD3" w:rsidRDefault="00692B6C" w:rsidP="00436BD3">
            <w:pPr>
              <w:pStyle w:val="Tabletext"/>
              <w:contextualSpacing w:val="0"/>
              <w:rPr>
                <w:lang w:val="en-AU"/>
              </w:rPr>
            </w:pPr>
            <w:r w:rsidRPr="00436BD3">
              <w:rPr>
                <w:lang w:val="en-AU"/>
              </w:rPr>
              <w:t>Micra single-chamber transcatheter pacing system - Intracardiac pacemaker</w:t>
            </w:r>
          </w:p>
          <w:p w14:paraId="35C6CE06" w14:textId="77777777" w:rsidR="00692B6C" w:rsidRPr="00436BD3" w:rsidRDefault="00692B6C" w:rsidP="00436BD3">
            <w:pPr>
              <w:pStyle w:val="Tabletext"/>
              <w:contextualSpacing w:val="0"/>
              <w:rPr>
                <w:lang w:val="en-AU"/>
              </w:rPr>
            </w:pPr>
            <w:r w:rsidRPr="00436BD3">
              <w:rPr>
                <w:lang w:val="en-AU"/>
              </w:rPr>
              <w:t>Medtronic Australasia Pty Ltd</w:t>
            </w:r>
          </w:p>
        </w:tc>
        <w:tc>
          <w:tcPr>
            <w:tcW w:w="1066" w:type="pct"/>
          </w:tcPr>
          <w:p w14:paraId="26DA8D54" w14:textId="77777777" w:rsidR="00692B6C" w:rsidRPr="00436BD3" w:rsidRDefault="00692B6C" w:rsidP="00436BD3">
            <w:pPr>
              <w:pStyle w:val="Tabletext"/>
              <w:contextualSpacing w:val="0"/>
              <w:rPr>
                <w:lang w:val="en-AU"/>
              </w:rPr>
            </w:pPr>
            <w:r w:rsidRPr="00436BD3">
              <w:rPr>
                <w:b/>
                <w:bCs/>
                <w:lang w:val="en-AU"/>
              </w:rPr>
              <w:t>ARTG ID</w:t>
            </w:r>
            <w:r w:rsidRPr="00436BD3">
              <w:rPr>
                <w:lang w:val="en-AU"/>
              </w:rPr>
              <w:t>: 283235</w:t>
            </w:r>
          </w:p>
          <w:p w14:paraId="296C9E7E" w14:textId="77777777" w:rsidR="00692B6C" w:rsidRPr="00436BD3" w:rsidRDefault="00692B6C" w:rsidP="00436BD3">
            <w:pPr>
              <w:pStyle w:val="Tabletext"/>
              <w:contextualSpacing w:val="0"/>
              <w:rPr>
                <w:lang w:val="en-AU"/>
              </w:rPr>
            </w:pPr>
            <w:r w:rsidRPr="00436BD3">
              <w:rPr>
                <w:b/>
                <w:bCs/>
                <w:lang w:val="en-AU"/>
              </w:rPr>
              <w:t>Start date</w:t>
            </w:r>
            <w:r w:rsidRPr="00436BD3">
              <w:rPr>
                <w:lang w:val="en-AU"/>
              </w:rPr>
              <w:t>: 06/12/2016</w:t>
            </w:r>
          </w:p>
          <w:p w14:paraId="47090C7C" w14:textId="77777777" w:rsidR="00692B6C" w:rsidRPr="00436BD3" w:rsidRDefault="00692B6C" w:rsidP="00436BD3">
            <w:pPr>
              <w:pStyle w:val="Tabletext"/>
              <w:contextualSpacing w:val="0"/>
              <w:rPr>
                <w:lang w:val="en-AU"/>
              </w:rPr>
            </w:pPr>
            <w:r w:rsidRPr="00436BD3">
              <w:rPr>
                <w:b/>
                <w:bCs/>
                <w:lang w:val="en-AU"/>
              </w:rPr>
              <w:t>Category</w:t>
            </w:r>
            <w:r w:rsidRPr="00436BD3">
              <w:rPr>
                <w:lang w:val="en-AU"/>
              </w:rPr>
              <w:t>: AIMD</w:t>
            </w:r>
          </w:p>
          <w:p w14:paraId="4130BA2D" w14:textId="77777777" w:rsidR="00692B6C" w:rsidRPr="00436BD3" w:rsidRDefault="00692B6C" w:rsidP="00436BD3">
            <w:pPr>
              <w:pStyle w:val="Tabletext"/>
              <w:contextualSpacing w:val="0"/>
              <w:rPr>
                <w:lang w:val="en-AU"/>
              </w:rPr>
            </w:pPr>
            <w:r w:rsidRPr="00436BD3">
              <w:rPr>
                <w:b/>
                <w:bCs/>
                <w:lang w:val="en-AU"/>
              </w:rPr>
              <w:t>GMDN</w:t>
            </w:r>
            <w:r w:rsidRPr="00436BD3">
              <w:rPr>
                <w:lang w:val="en-AU"/>
              </w:rPr>
              <w:t>: 60789 Intracardiac pacemaker</w:t>
            </w:r>
          </w:p>
        </w:tc>
        <w:tc>
          <w:tcPr>
            <w:tcW w:w="1597" w:type="pct"/>
          </w:tcPr>
          <w:p w14:paraId="056334FB" w14:textId="29D87900" w:rsidR="00692B6C" w:rsidRPr="00436BD3" w:rsidRDefault="00692B6C" w:rsidP="00436BD3">
            <w:pPr>
              <w:pStyle w:val="Tabletext"/>
              <w:contextualSpacing w:val="0"/>
              <w:rPr>
                <w:lang w:val="en-AU"/>
              </w:rPr>
            </w:pPr>
            <w:r w:rsidRPr="00436BD3">
              <w:rPr>
                <w:lang w:val="en-AU"/>
              </w:rPr>
              <w:t xml:space="preserve">MR </w:t>
            </w:r>
            <w:r w:rsidR="00AB16AC" w:rsidRPr="00436BD3">
              <w:rPr>
                <w:lang w:val="en-AU"/>
              </w:rPr>
              <w:t xml:space="preserve">conditional </w:t>
            </w:r>
            <w:r w:rsidRPr="00436BD3">
              <w:rPr>
                <w:lang w:val="en-AU"/>
              </w:rPr>
              <w:t xml:space="preserve">single-chamber implantable transcatheter pacing system with </w:t>
            </w:r>
            <w:proofErr w:type="spellStart"/>
            <w:r w:rsidRPr="00436BD3">
              <w:rPr>
                <w:lang w:val="en-AU"/>
              </w:rPr>
              <w:t>SureScan</w:t>
            </w:r>
            <w:proofErr w:type="spellEnd"/>
            <w:r w:rsidRPr="00436BD3">
              <w:rPr>
                <w:lang w:val="en-AU"/>
              </w:rPr>
              <w:t xml:space="preserve"> technology is a programmable cardiac device that monitors and regulates the patient's heart rate by providing rate-responsive bradycardia pacing to the right ventricle.</w:t>
            </w:r>
            <w:r w:rsidR="00AB16AC" w:rsidRPr="00436BD3" w:rsidDel="00AB16AC">
              <w:rPr>
                <w:lang w:val="en-AU"/>
              </w:rPr>
              <w:t xml:space="preserve"> </w:t>
            </w:r>
            <w:r w:rsidRPr="00436BD3">
              <w:rPr>
                <w:lang w:val="en-AU"/>
              </w:rPr>
              <w:t>The device senses the electrical activity of the patient's heart using the sensing and pacing electrodes enclosed in the titanium capsule of the device.</w:t>
            </w:r>
          </w:p>
        </w:tc>
        <w:tc>
          <w:tcPr>
            <w:tcW w:w="1597" w:type="pct"/>
          </w:tcPr>
          <w:p w14:paraId="2A5DA108" w14:textId="09D8289D" w:rsidR="00C0669C" w:rsidRPr="00436BD3" w:rsidRDefault="00692B6C" w:rsidP="00436BD3">
            <w:pPr>
              <w:pStyle w:val="Tabletext"/>
              <w:contextualSpacing w:val="0"/>
              <w:rPr>
                <w:lang w:val="en-AU"/>
              </w:rPr>
            </w:pPr>
            <w:r w:rsidRPr="00436BD3">
              <w:rPr>
                <w:lang w:val="en-AU"/>
              </w:rPr>
              <w:t>Indicated for use in patients who have experienced one or more of the following conditions:</w:t>
            </w:r>
            <w:r w:rsidR="00C0669C" w:rsidRPr="00436BD3" w:rsidDel="00C0669C">
              <w:rPr>
                <w:lang w:val="en-AU"/>
              </w:rPr>
              <w:t xml:space="preserve"> </w:t>
            </w:r>
          </w:p>
          <w:p w14:paraId="2818C267" w14:textId="6548B41A" w:rsidR="00121429" w:rsidRPr="00436BD3" w:rsidRDefault="00692B6C" w:rsidP="00D27D2E">
            <w:pPr>
              <w:pStyle w:val="Tabletext"/>
              <w:numPr>
                <w:ilvl w:val="0"/>
                <w:numId w:val="8"/>
              </w:numPr>
              <w:ind w:left="357" w:hanging="357"/>
              <w:rPr>
                <w:lang w:val="en-AU"/>
              </w:rPr>
            </w:pPr>
            <w:r w:rsidRPr="00436BD3">
              <w:rPr>
                <w:lang w:val="en-AU"/>
              </w:rPr>
              <w:t>symptomatic paroxysmal or permanent high-grade AV block in the presence of AF</w:t>
            </w:r>
          </w:p>
          <w:p w14:paraId="55B45B8B" w14:textId="5274E532" w:rsidR="00121429" w:rsidRPr="00436BD3" w:rsidRDefault="00692B6C" w:rsidP="00D27D2E">
            <w:pPr>
              <w:pStyle w:val="Tabletext"/>
              <w:numPr>
                <w:ilvl w:val="0"/>
                <w:numId w:val="8"/>
              </w:numPr>
              <w:ind w:left="357" w:hanging="357"/>
              <w:rPr>
                <w:lang w:val="en-AU"/>
              </w:rPr>
            </w:pPr>
            <w:r w:rsidRPr="00436BD3">
              <w:rPr>
                <w:lang w:val="en-AU"/>
              </w:rPr>
              <w:t xml:space="preserve">symptomatic paroxysmal or permanent high-grade AV block in the absence of AF, as an alternative to </w:t>
            </w:r>
            <w:proofErr w:type="gramStart"/>
            <w:r w:rsidRPr="00436BD3">
              <w:rPr>
                <w:lang w:val="en-AU"/>
              </w:rPr>
              <w:t>dual-chamber</w:t>
            </w:r>
            <w:proofErr w:type="gramEnd"/>
            <w:r w:rsidRPr="00436BD3">
              <w:rPr>
                <w:lang w:val="en-AU"/>
              </w:rPr>
              <w:t xml:space="preserve"> pacing when atrial lead placement is considered difficult, high risk or not deemed necessary for effective therapy</w:t>
            </w:r>
          </w:p>
          <w:p w14:paraId="4D1C9E8A" w14:textId="2C9E629B" w:rsidR="00121429" w:rsidRPr="00436BD3" w:rsidRDefault="00692B6C" w:rsidP="00D27D2E">
            <w:pPr>
              <w:pStyle w:val="Tabletext"/>
              <w:numPr>
                <w:ilvl w:val="0"/>
                <w:numId w:val="8"/>
              </w:numPr>
              <w:ind w:left="357" w:hanging="357"/>
              <w:rPr>
                <w:lang w:val="en-AU"/>
              </w:rPr>
            </w:pPr>
            <w:r w:rsidRPr="00436BD3">
              <w:rPr>
                <w:lang w:val="en-AU"/>
              </w:rPr>
              <w:t>symptomatic bradycardia-tachycardia syndrome or sinus node dysfunction (sinus bradycardia or sinus pauses), as an alternative to atrial or dual-chamber pacing when atrial lead placement is considered difficult, high risk or not deemed necessary for effective therapy</w:t>
            </w:r>
          </w:p>
          <w:p w14:paraId="49F4327C" w14:textId="6A9F6EF4" w:rsidR="00692B6C" w:rsidRPr="00436BD3" w:rsidRDefault="001B5259" w:rsidP="00D27D2E">
            <w:pPr>
              <w:pStyle w:val="Tabletext"/>
              <w:numPr>
                <w:ilvl w:val="0"/>
                <w:numId w:val="8"/>
              </w:numPr>
              <w:ind w:left="357" w:hanging="357"/>
              <w:rPr>
                <w:lang w:val="en-AU"/>
              </w:rPr>
            </w:pPr>
            <w:r w:rsidRPr="00436BD3">
              <w:rPr>
                <w:lang w:val="en-AU"/>
              </w:rPr>
              <w:lastRenderedPageBreak/>
              <w:t>r</w:t>
            </w:r>
            <w:r w:rsidR="00692B6C" w:rsidRPr="00436BD3">
              <w:rPr>
                <w:lang w:val="en-AU"/>
              </w:rPr>
              <w:t>ate-responsive pacing is indicated to provide increased heart rate appropriate to increasing levels of activity</w:t>
            </w:r>
          </w:p>
        </w:tc>
      </w:tr>
      <w:tr w:rsidR="00692B6C" w:rsidRPr="00CA23C5" w14:paraId="225039FA" w14:textId="77777777" w:rsidTr="00EF27EC">
        <w:tc>
          <w:tcPr>
            <w:tcW w:w="740" w:type="pct"/>
          </w:tcPr>
          <w:p w14:paraId="4A8FABBC" w14:textId="77777777" w:rsidR="00692B6C" w:rsidRPr="00436BD3" w:rsidRDefault="00692B6C" w:rsidP="00EF27EC">
            <w:pPr>
              <w:pStyle w:val="Tabletext"/>
              <w:keepNext/>
              <w:rPr>
                <w:lang w:val="en-AU"/>
              </w:rPr>
            </w:pPr>
            <w:r w:rsidRPr="00436BD3">
              <w:rPr>
                <w:lang w:val="en-AU"/>
              </w:rPr>
              <w:lastRenderedPageBreak/>
              <w:t>Micra Introducer - Model MI2355A - Cardiovascular device introducer, non-steerable</w:t>
            </w:r>
          </w:p>
          <w:p w14:paraId="04BC3506" w14:textId="77777777" w:rsidR="00692B6C" w:rsidRPr="00436BD3" w:rsidRDefault="00692B6C" w:rsidP="00436BD3">
            <w:pPr>
              <w:pStyle w:val="Tabletext"/>
              <w:keepNext/>
              <w:contextualSpacing w:val="0"/>
              <w:rPr>
                <w:lang w:val="en-AU"/>
              </w:rPr>
            </w:pPr>
            <w:r w:rsidRPr="00436BD3">
              <w:rPr>
                <w:lang w:val="en-AU"/>
              </w:rPr>
              <w:t>Medtronic Australasia Pty Ltd</w:t>
            </w:r>
          </w:p>
        </w:tc>
        <w:tc>
          <w:tcPr>
            <w:tcW w:w="1066" w:type="pct"/>
          </w:tcPr>
          <w:p w14:paraId="434AE5F8" w14:textId="77777777" w:rsidR="00692B6C" w:rsidRPr="00436BD3" w:rsidRDefault="00692B6C" w:rsidP="00EF27EC">
            <w:pPr>
              <w:pStyle w:val="Tabletext"/>
              <w:keepNext/>
              <w:rPr>
                <w:lang w:val="en-AU"/>
              </w:rPr>
            </w:pPr>
            <w:r w:rsidRPr="00436BD3">
              <w:rPr>
                <w:b/>
                <w:bCs/>
                <w:lang w:val="en-AU"/>
              </w:rPr>
              <w:t>ARTG ID</w:t>
            </w:r>
            <w:r w:rsidRPr="00436BD3">
              <w:rPr>
                <w:lang w:val="en-AU"/>
              </w:rPr>
              <w:t>: 221570</w:t>
            </w:r>
          </w:p>
          <w:p w14:paraId="2B653D2D" w14:textId="77777777" w:rsidR="00692B6C" w:rsidRPr="00436BD3" w:rsidRDefault="00692B6C" w:rsidP="00EF27EC">
            <w:pPr>
              <w:pStyle w:val="Tabletext"/>
              <w:keepNext/>
              <w:rPr>
                <w:lang w:val="en-AU"/>
              </w:rPr>
            </w:pPr>
            <w:r w:rsidRPr="00436BD3">
              <w:rPr>
                <w:b/>
                <w:bCs/>
                <w:lang w:val="en-AU"/>
              </w:rPr>
              <w:t>Start date</w:t>
            </w:r>
            <w:r w:rsidRPr="00436BD3">
              <w:rPr>
                <w:lang w:val="en-AU"/>
              </w:rPr>
              <w:t>: 24/03/2014</w:t>
            </w:r>
          </w:p>
          <w:p w14:paraId="65E8B845" w14:textId="77777777" w:rsidR="00692B6C" w:rsidRPr="00436BD3" w:rsidRDefault="00692B6C" w:rsidP="00EF27EC">
            <w:pPr>
              <w:pStyle w:val="Tabletext"/>
              <w:keepNext/>
              <w:rPr>
                <w:lang w:val="en-AU"/>
              </w:rPr>
            </w:pPr>
            <w:r w:rsidRPr="00436BD3">
              <w:rPr>
                <w:b/>
                <w:bCs/>
                <w:lang w:val="en-AU"/>
              </w:rPr>
              <w:t>Category</w:t>
            </w:r>
            <w:r w:rsidRPr="00436BD3">
              <w:rPr>
                <w:lang w:val="en-AU"/>
              </w:rPr>
              <w:t>: Class III</w:t>
            </w:r>
          </w:p>
          <w:p w14:paraId="2BF20F80" w14:textId="77777777" w:rsidR="00692B6C" w:rsidRPr="00436BD3" w:rsidRDefault="00692B6C" w:rsidP="00EF27EC">
            <w:pPr>
              <w:pStyle w:val="Tabletext"/>
              <w:keepNext/>
              <w:rPr>
                <w:lang w:val="en-AU"/>
              </w:rPr>
            </w:pPr>
            <w:r w:rsidRPr="00436BD3">
              <w:rPr>
                <w:b/>
                <w:bCs/>
                <w:lang w:val="en-AU"/>
              </w:rPr>
              <w:t>GMDN</w:t>
            </w:r>
            <w:r w:rsidRPr="00436BD3">
              <w:rPr>
                <w:lang w:val="en-AU"/>
              </w:rPr>
              <w:t>: 57941 Cardiovascular device introducer, non-steerable</w:t>
            </w:r>
          </w:p>
        </w:tc>
        <w:tc>
          <w:tcPr>
            <w:tcW w:w="1597" w:type="pct"/>
          </w:tcPr>
          <w:p w14:paraId="00497294" w14:textId="69E58633" w:rsidR="00692B6C" w:rsidRPr="00436BD3" w:rsidRDefault="00692B6C" w:rsidP="00EF27EC">
            <w:pPr>
              <w:pStyle w:val="Tabletext"/>
              <w:keepNext/>
              <w:rPr>
                <w:lang w:val="en-AU"/>
              </w:rPr>
            </w:pPr>
            <w:r w:rsidRPr="00436BD3">
              <w:rPr>
                <w:lang w:val="en-AU"/>
              </w:rPr>
              <w:t xml:space="preserve">The Micra introducer is a single-use, disposable, </w:t>
            </w:r>
            <w:proofErr w:type="spellStart"/>
            <w:r w:rsidRPr="00436BD3">
              <w:rPr>
                <w:lang w:val="en-AU"/>
              </w:rPr>
              <w:t>hydrophilically</w:t>
            </w:r>
            <w:proofErr w:type="spellEnd"/>
            <w:r w:rsidRPr="00436BD3">
              <w:rPr>
                <w:lang w:val="en-AU"/>
              </w:rPr>
              <w:t xml:space="preserve"> coated sheath that provides a flexible and haemostatic conduit for the insertion of intravascular devices into the venous system to minimise blood loss. The system comprise</w:t>
            </w:r>
            <w:r w:rsidR="00DC2193">
              <w:rPr>
                <w:lang w:val="en-AU"/>
              </w:rPr>
              <w:t>s</w:t>
            </w:r>
            <w:r w:rsidRPr="00436BD3">
              <w:rPr>
                <w:lang w:val="en-AU"/>
              </w:rPr>
              <w:t xml:space="preserve"> two components: a dilator that accommodates a guidewire and an introducer.</w:t>
            </w:r>
          </w:p>
        </w:tc>
        <w:tc>
          <w:tcPr>
            <w:tcW w:w="1597" w:type="pct"/>
          </w:tcPr>
          <w:p w14:paraId="1CBD3969" w14:textId="77777777" w:rsidR="00692B6C" w:rsidRPr="00436BD3" w:rsidRDefault="00692B6C" w:rsidP="00EF27EC">
            <w:pPr>
              <w:pStyle w:val="Tabletext"/>
              <w:keepNext/>
              <w:rPr>
                <w:lang w:val="en-AU"/>
              </w:rPr>
            </w:pPr>
            <w:r w:rsidRPr="00436BD3">
              <w:rPr>
                <w:lang w:val="en-AU"/>
              </w:rPr>
              <w:t>The Micra introducer is intended to provide a conduit for the insertion of devices into the venous system and to minimise blood loss associated with such insertions.</w:t>
            </w:r>
          </w:p>
        </w:tc>
      </w:tr>
    </w:tbl>
    <w:p w14:paraId="7ACD02F5" w14:textId="0A7216C0" w:rsidR="00692B6C" w:rsidRDefault="00E17F27" w:rsidP="00692B6C">
      <w:pPr>
        <w:pStyle w:val="Tablenotes"/>
      </w:pPr>
      <w:r>
        <w:rPr>
          <w:lang w:val="en-GB" w:eastAsia="ja-JP"/>
        </w:rPr>
        <w:t xml:space="preserve">AF, atrial fibrillation; </w:t>
      </w:r>
      <w:r w:rsidR="00692B6C">
        <w:rPr>
          <w:lang w:val="en-GB" w:eastAsia="ja-JP"/>
        </w:rPr>
        <w:t xml:space="preserve">AV, </w:t>
      </w:r>
      <w:r w:rsidR="00692B6C" w:rsidRPr="000A7C37">
        <w:t>atrioventricular</w:t>
      </w:r>
      <w:r>
        <w:t xml:space="preserve">; MR, </w:t>
      </w:r>
      <w:r w:rsidR="00B75370">
        <w:t>magnetic resonance.</w:t>
      </w:r>
    </w:p>
    <w:p w14:paraId="25F77AB9" w14:textId="0FA25CCC" w:rsidR="00692B6C" w:rsidRDefault="00692B6C" w:rsidP="00692B6C">
      <w:pPr>
        <w:pStyle w:val="Tablenotes"/>
        <w:rPr>
          <w:lang w:val="en-GB" w:eastAsia="ja-JP"/>
        </w:rPr>
      </w:pPr>
      <w:r>
        <w:rPr>
          <w:lang w:val="en-GB" w:eastAsia="ja-JP"/>
        </w:rPr>
        <w:t>Source: Therapeutic Goods Administration, ARTG Public Summary, accessed 7 July 2021</w:t>
      </w:r>
      <w:r w:rsidR="00BA7C9B">
        <w:rPr>
          <w:lang w:val="en-GB" w:eastAsia="ja-JP"/>
        </w:rPr>
        <w:t>. V</w:t>
      </w:r>
      <w:r w:rsidR="0098402F">
        <w:rPr>
          <w:lang w:val="en-GB" w:eastAsia="ja-JP"/>
        </w:rPr>
        <w:t xml:space="preserve">erified by </w:t>
      </w:r>
      <w:r w:rsidR="00BA7C9B">
        <w:rPr>
          <w:lang w:val="en-GB" w:eastAsia="ja-JP"/>
        </w:rPr>
        <w:t xml:space="preserve">assessment group </w:t>
      </w:r>
      <w:r w:rsidR="0098402F">
        <w:rPr>
          <w:lang w:val="en-GB" w:eastAsia="ja-JP"/>
        </w:rPr>
        <w:t xml:space="preserve">on </w:t>
      </w:r>
      <w:r w:rsidR="00BA7C9B">
        <w:rPr>
          <w:lang w:val="en-GB" w:eastAsia="ja-JP"/>
        </w:rPr>
        <w:t xml:space="preserve">17 </w:t>
      </w:r>
      <w:r w:rsidR="001C67C2">
        <w:rPr>
          <w:lang w:val="en-GB" w:eastAsia="ja-JP"/>
        </w:rPr>
        <w:t>March 2022</w:t>
      </w:r>
      <w:r w:rsidR="00A7239A">
        <w:rPr>
          <w:lang w:val="en-GB" w:eastAsia="ja-JP"/>
        </w:rPr>
        <w:t>.</w:t>
      </w:r>
    </w:p>
    <w:p w14:paraId="671975A7" w14:textId="6AD163C8" w:rsidR="00CA7490" w:rsidRDefault="003733FB" w:rsidP="00D27D2E">
      <w:pPr>
        <w:spacing w:before="240"/>
        <w:jc w:val="both"/>
      </w:pPr>
      <w:r>
        <w:t xml:space="preserve">The applicant </w:t>
      </w:r>
      <w:r w:rsidR="00FF2C3D">
        <w:t>specified prere</w:t>
      </w:r>
      <w:r w:rsidR="00595A47">
        <w:t>quisites</w:t>
      </w:r>
      <w:r w:rsidR="00823584">
        <w:t xml:space="preserve"> for</w:t>
      </w:r>
      <w:r w:rsidR="00CF4101">
        <w:t xml:space="preserve"> clinicians prior to</w:t>
      </w:r>
      <w:r w:rsidR="00823584">
        <w:t xml:space="preserve"> </w:t>
      </w:r>
      <w:r w:rsidR="004F415D">
        <w:t xml:space="preserve">Micra </w:t>
      </w:r>
      <w:r w:rsidR="00C4496E">
        <w:t xml:space="preserve">VR </w:t>
      </w:r>
      <w:r w:rsidR="004F415D">
        <w:t>TPS use</w:t>
      </w:r>
      <w:r w:rsidR="00BA2004">
        <w:t xml:space="preserve">, </w:t>
      </w:r>
      <w:r w:rsidR="00CC7C11">
        <w:t xml:space="preserve">which include </w:t>
      </w:r>
      <w:r w:rsidR="00BA2004">
        <w:t xml:space="preserve">a </w:t>
      </w:r>
      <w:r w:rsidR="006F08D3">
        <w:t>proficiency in femoral venous access and large bore catheter manipulation</w:t>
      </w:r>
      <w:r w:rsidR="00090212">
        <w:t>,</w:t>
      </w:r>
      <w:r w:rsidR="001B008A">
        <w:t xml:space="preserve"> and </w:t>
      </w:r>
      <w:r w:rsidR="00244EC0">
        <w:t>the</w:t>
      </w:r>
      <w:r w:rsidR="006F08D3">
        <w:t xml:space="preserve"> complet</w:t>
      </w:r>
      <w:r w:rsidR="004464A6">
        <w:t xml:space="preserve">ion of </w:t>
      </w:r>
      <w:r w:rsidR="00774F0B">
        <w:t>a</w:t>
      </w:r>
      <w:r w:rsidR="004464A6">
        <w:t xml:space="preserve"> dedicated training</w:t>
      </w:r>
      <w:r w:rsidR="004236F3">
        <w:t xml:space="preserve"> </w:t>
      </w:r>
      <w:r w:rsidR="00D925B5">
        <w:t xml:space="preserve">course </w:t>
      </w:r>
      <w:r w:rsidR="004236F3">
        <w:t>(</w:t>
      </w:r>
      <w:r w:rsidR="00DF4096">
        <w:t>online modules and in-person</w:t>
      </w:r>
      <w:r w:rsidR="001B008A">
        <w:t>)</w:t>
      </w:r>
      <w:r w:rsidR="00BB34BC">
        <w:t>.</w:t>
      </w:r>
      <w:r w:rsidR="006F08D3">
        <w:t xml:space="preserve"> </w:t>
      </w:r>
      <w:r w:rsidR="00BD3309">
        <w:t>Th</w:t>
      </w:r>
      <w:r w:rsidR="008350DF">
        <w:t>e</w:t>
      </w:r>
      <w:r w:rsidR="00BD3309">
        <w:t xml:space="preserve"> in-person training includes didactic learning, observing Micra</w:t>
      </w:r>
      <w:r w:rsidR="00B26941">
        <w:t xml:space="preserve"> VR TPS</w:t>
      </w:r>
      <w:r w:rsidR="00BD3309">
        <w:t xml:space="preserve"> implant procedures and hands-on procedural training (e.g., implant simulator, cadaver and animal model, </w:t>
      </w:r>
      <w:proofErr w:type="gramStart"/>
      <w:r w:rsidR="00BD3309">
        <w:t>videos</w:t>
      </w:r>
      <w:proofErr w:type="gramEnd"/>
      <w:r w:rsidR="00BD3309">
        <w:t xml:space="preserve"> and demonstration models). The </w:t>
      </w:r>
      <w:r w:rsidR="001B008A">
        <w:t xml:space="preserve">applicant </w:t>
      </w:r>
      <w:r w:rsidR="00BD3309">
        <w:t>recommends that the first 10 implants</w:t>
      </w:r>
      <w:r w:rsidR="001B008A">
        <w:t>, at a minimum,</w:t>
      </w:r>
      <w:r w:rsidR="00BD3309">
        <w:t xml:space="preserve"> be supported by a Medtronic Micra Technical Expert. The application states that additional support beyond the first 10 </w:t>
      </w:r>
      <w:r w:rsidR="006B1E63">
        <w:t xml:space="preserve">implants </w:t>
      </w:r>
      <w:r w:rsidR="00BD3309">
        <w:t>will be made available.</w:t>
      </w:r>
    </w:p>
    <w:p w14:paraId="0E676920" w14:textId="392A3A9B" w:rsidR="003940BD" w:rsidRPr="006A0452" w:rsidRDefault="00370A43" w:rsidP="00645477">
      <w:pPr>
        <w:jc w:val="both"/>
        <w:rPr>
          <w:lang w:val="en-GB"/>
        </w:rPr>
      </w:pPr>
      <w:r>
        <w:t>T</w:t>
      </w:r>
      <w:r w:rsidR="006038C6">
        <w:t xml:space="preserve">he next generation </w:t>
      </w:r>
      <w:r w:rsidR="00EE6004">
        <w:t xml:space="preserve">Micra LPM device, Micra </w:t>
      </w:r>
      <w:r w:rsidR="008F3074">
        <w:t>A</w:t>
      </w:r>
      <w:r w:rsidR="008F3074" w:rsidRPr="000A7C37">
        <w:t>trioventricular</w:t>
      </w:r>
      <w:r w:rsidR="008F3074">
        <w:t xml:space="preserve"> (</w:t>
      </w:r>
      <w:r w:rsidR="00EE6004">
        <w:t>AV</w:t>
      </w:r>
      <w:r w:rsidR="008F3074">
        <w:t>)</w:t>
      </w:r>
      <w:r w:rsidR="00B96438">
        <w:t xml:space="preserve"> TPS</w:t>
      </w:r>
      <w:r w:rsidR="00F36C19">
        <w:t>,</w:t>
      </w:r>
      <w:r w:rsidR="00E1109F">
        <w:t xml:space="preserve"> </w:t>
      </w:r>
      <w:r w:rsidR="00F77CDD">
        <w:t xml:space="preserve">has been </w:t>
      </w:r>
      <w:r w:rsidR="00DB766C">
        <w:t>included in</w:t>
      </w:r>
      <w:r w:rsidR="00E1109F">
        <w:t xml:space="preserve"> the ARTG since</w:t>
      </w:r>
      <w:r w:rsidR="00D31503">
        <w:t xml:space="preserve"> October 2021</w:t>
      </w:r>
      <w:r w:rsidR="00065D93">
        <w:t xml:space="preserve"> (</w:t>
      </w:r>
      <w:r w:rsidR="00065D93" w:rsidRPr="00065D93">
        <w:t xml:space="preserve">ARTG </w:t>
      </w:r>
      <w:r w:rsidR="00F00B92" w:rsidRPr="00F00B92">
        <w:t>376750</w:t>
      </w:r>
      <w:r w:rsidR="00065D93">
        <w:t>).</w:t>
      </w:r>
      <w:r w:rsidR="004834A3">
        <w:t xml:space="preserve"> However</w:t>
      </w:r>
      <w:r w:rsidR="00DF2B84">
        <w:t>, th</w:t>
      </w:r>
      <w:r w:rsidR="005250DB">
        <w:t>e current</w:t>
      </w:r>
      <w:r w:rsidR="00DF2B84">
        <w:t xml:space="preserve"> application is limited to the Micra VR</w:t>
      </w:r>
      <w:r w:rsidR="00065D93">
        <w:t xml:space="preserve"> </w:t>
      </w:r>
      <w:r w:rsidR="009D521D">
        <w:t xml:space="preserve">TPS for pacing </w:t>
      </w:r>
      <w:r w:rsidR="00E46CC6">
        <w:t xml:space="preserve">of </w:t>
      </w:r>
      <w:r w:rsidR="008B0DC8" w:rsidRPr="00F2563B">
        <w:t>the right ventricle</w:t>
      </w:r>
      <w:r w:rsidR="008B0DC8">
        <w:t xml:space="preserve"> only</w:t>
      </w:r>
      <w:r w:rsidR="00E46CC6">
        <w:t>,</w:t>
      </w:r>
      <w:r w:rsidR="008B0DC8">
        <w:t xml:space="preserve"> without sensing in the atrium.</w:t>
      </w:r>
      <w:r w:rsidR="00FC1F4D">
        <w:t xml:space="preserve"> </w:t>
      </w:r>
      <w:r w:rsidR="00E46CC6">
        <w:t>T</w:t>
      </w:r>
      <w:r w:rsidR="002A2345">
        <w:t xml:space="preserve">here </w:t>
      </w:r>
      <w:r w:rsidR="00733086">
        <w:t>are</w:t>
      </w:r>
      <w:r w:rsidR="002A2345">
        <w:t xml:space="preserve"> </w:t>
      </w:r>
      <w:r>
        <w:t xml:space="preserve">currently </w:t>
      </w:r>
      <w:r w:rsidR="002A2345">
        <w:t>no other</w:t>
      </w:r>
      <w:r w:rsidR="006B5214">
        <w:t xml:space="preserve"> LPMs available </w:t>
      </w:r>
      <w:r w:rsidR="00E46CC6">
        <w:t xml:space="preserve">in </w:t>
      </w:r>
      <w:r w:rsidR="006B5214">
        <w:t xml:space="preserve">the </w:t>
      </w:r>
      <w:r w:rsidR="00776335">
        <w:t xml:space="preserve">Australian </w:t>
      </w:r>
      <w:r w:rsidR="006B5214">
        <w:t xml:space="preserve">market. </w:t>
      </w:r>
      <w:r w:rsidR="00CB7BEA">
        <w:t>T</w:t>
      </w:r>
      <w:r w:rsidR="003F3558">
        <w:t xml:space="preserve">he </w:t>
      </w:r>
      <w:proofErr w:type="spellStart"/>
      <w:r w:rsidR="003F3558">
        <w:t>Nanostim</w:t>
      </w:r>
      <w:proofErr w:type="spellEnd"/>
      <w:r w:rsidR="003F3558">
        <w:t xml:space="preserve"> </w:t>
      </w:r>
      <w:r w:rsidR="006B5214">
        <w:t>LPM</w:t>
      </w:r>
      <w:r w:rsidR="003F3558">
        <w:t xml:space="preserve"> from </w:t>
      </w:r>
      <w:r w:rsidR="003F3558" w:rsidRPr="002C064D">
        <w:t>St Jude</w:t>
      </w:r>
      <w:r w:rsidR="003F3558">
        <w:t xml:space="preserve"> Medical</w:t>
      </w:r>
      <w:r w:rsidR="003F3558" w:rsidRPr="002C064D">
        <w:t xml:space="preserve"> (now Abbott) was recalled by the TGA in 2016 due to </w:t>
      </w:r>
      <w:r w:rsidR="00FA566F">
        <w:t xml:space="preserve">a </w:t>
      </w:r>
      <w:r w:rsidR="003F3558" w:rsidRPr="002C064D">
        <w:t xml:space="preserve">battery malfunction specific to </w:t>
      </w:r>
      <w:r w:rsidR="00FA566F">
        <w:t>that</w:t>
      </w:r>
      <w:r w:rsidR="003F3558" w:rsidRPr="002C064D">
        <w:t xml:space="preserve"> device.</w:t>
      </w:r>
      <w:r w:rsidR="00065C14">
        <w:t xml:space="preserve"> </w:t>
      </w:r>
      <w:r w:rsidR="003F3558">
        <w:t>According to the applicant and literature search</w:t>
      </w:r>
      <w:r w:rsidR="00FA566F">
        <w:t>es conducted by the assessment group</w:t>
      </w:r>
      <w:r w:rsidR="003F3558">
        <w:t>, o</w:t>
      </w:r>
      <w:r w:rsidR="003F3558" w:rsidRPr="002C064D">
        <w:t xml:space="preserve">ther </w:t>
      </w:r>
      <w:r w:rsidR="00867F32">
        <w:t>LPMs</w:t>
      </w:r>
      <w:r w:rsidR="003F3558" w:rsidRPr="002C064D">
        <w:t xml:space="preserve"> are </w:t>
      </w:r>
      <w:r w:rsidR="00867F32">
        <w:t xml:space="preserve">still </w:t>
      </w:r>
      <w:r w:rsidR="003F3558" w:rsidRPr="002C064D">
        <w:t xml:space="preserve">in </w:t>
      </w:r>
      <w:r w:rsidR="00867F32">
        <w:t xml:space="preserve">the </w:t>
      </w:r>
      <w:r w:rsidR="00FA566F">
        <w:t>early</w:t>
      </w:r>
      <w:r w:rsidR="003F3558" w:rsidRPr="002C064D">
        <w:t xml:space="preserve"> stages of development and are expected to be several years away from</w:t>
      </w:r>
      <w:r w:rsidR="00825541">
        <w:t xml:space="preserve"> being ready</w:t>
      </w:r>
      <w:r w:rsidR="003F3558" w:rsidRPr="002C064D">
        <w:t xml:space="preserve"> for market entry.</w:t>
      </w:r>
    </w:p>
    <w:p w14:paraId="2B6617C1" w14:textId="3A2B6AA4" w:rsidR="00FA5DB9" w:rsidRDefault="00FA5DB9" w:rsidP="00D27D2E">
      <w:pPr>
        <w:pStyle w:val="Heading2execsummary"/>
        <w:spacing w:before="360"/>
      </w:pPr>
      <w:r w:rsidRPr="00FA5DB9">
        <w:t>Proposal for public funding</w:t>
      </w:r>
    </w:p>
    <w:p w14:paraId="5442F21F" w14:textId="5C5CAEEA" w:rsidR="00121ECF" w:rsidRDefault="00B83FD2" w:rsidP="001678C0">
      <w:pPr>
        <w:jc w:val="both"/>
      </w:pPr>
      <w:r w:rsidRPr="0008649C">
        <w:t xml:space="preserve">The proposed population requested for </w:t>
      </w:r>
      <w:r w:rsidR="00825541">
        <w:t xml:space="preserve">the </w:t>
      </w:r>
      <w:r w:rsidR="00D161D0">
        <w:t>Micra VR TPS</w:t>
      </w:r>
      <w:r>
        <w:t xml:space="preserve"> (mode VVI</w:t>
      </w:r>
      <w:r w:rsidR="005E4863">
        <w:t>R</w:t>
      </w:r>
      <w:r>
        <w:t>)</w:t>
      </w:r>
      <w:r w:rsidRPr="0008649C">
        <w:t xml:space="preserve"> </w:t>
      </w:r>
      <w:r w:rsidR="0045100D">
        <w:t>is</w:t>
      </w:r>
      <w:r w:rsidRPr="0008649C">
        <w:t xml:space="preserve"> patients </w:t>
      </w:r>
      <w:r w:rsidR="006B7255">
        <w:t xml:space="preserve">requiring </w:t>
      </w:r>
      <w:r w:rsidRPr="0008649C">
        <w:t>permanent pacing with a conventional single</w:t>
      </w:r>
      <w:r>
        <w:t>-</w:t>
      </w:r>
      <w:r w:rsidRPr="0008649C">
        <w:t>chamber TVPM</w:t>
      </w:r>
      <w:r w:rsidR="00091D0E">
        <w:t xml:space="preserve">. This includes </w:t>
      </w:r>
      <w:r w:rsidRPr="0008649C">
        <w:t xml:space="preserve">patients with </w:t>
      </w:r>
      <w:r w:rsidR="00F50AA8">
        <w:t>sinus node dysfunction</w:t>
      </w:r>
      <w:r w:rsidR="00D30A81">
        <w:t xml:space="preserve"> (SND)</w:t>
      </w:r>
      <w:r w:rsidR="00F50AA8" w:rsidRPr="0008649C">
        <w:t xml:space="preserve"> </w:t>
      </w:r>
      <w:r w:rsidRPr="0008649C">
        <w:t xml:space="preserve">or AV block </w:t>
      </w:r>
      <w:r w:rsidR="008F3074">
        <w:t xml:space="preserve">who </w:t>
      </w:r>
      <w:r w:rsidRPr="0008649C">
        <w:t xml:space="preserve">require </w:t>
      </w:r>
      <w:proofErr w:type="gramStart"/>
      <w:r w:rsidRPr="0008649C">
        <w:t>single</w:t>
      </w:r>
      <w:r>
        <w:t>-</w:t>
      </w:r>
      <w:r w:rsidRPr="0008649C">
        <w:t>chamber</w:t>
      </w:r>
      <w:proofErr w:type="gramEnd"/>
      <w:r w:rsidRPr="0008649C">
        <w:t xml:space="preserve"> pacing</w:t>
      </w:r>
      <w:r w:rsidR="008F3074">
        <w:t xml:space="preserve"> of</w:t>
      </w:r>
      <w:r w:rsidRPr="0008649C">
        <w:t xml:space="preserve"> their right ventricle</w:t>
      </w:r>
      <w:r w:rsidR="00121ECF">
        <w:t>. The</w:t>
      </w:r>
      <w:r w:rsidRPr="0008649C">
        <w:t xml:space="preserve"> </w:t>
      </w:r>
      <w:r w:rsidR="00A27A9B">
        <w:t>Micra VR TPS</w:t>
      </w:r>
      <w:r>
        <w:t xml:space="preserve"> also provide</w:t>
      </w:r>
      <w:r w:rsidR="00091D0E">
        <w:t>s</w:t>
      </w:r>
      <w:r>
        <w:t xml:space="preserve"> a treatment option for patients who are eligible for a TVPM but are deemed unsuitable </w:t>
      </w:r>
      <w:r w:rsidRPr="003074C7">
        <w:t xml:space="preserve">due to venous access issues or </w:t>
      </w:r>
      <w:r>
        <w:t>prior</w:t>
      </w:r>
      <w:r w:rsidRPr="003074C7">
        <w:t xml:space="preserve"> infection</w:t>
      </w:r>
      <w:r>
        <w:t>s</w:t>
      </w:r>
      <w:r w:rsidR="001678C0">
        <w:t>.</w:t>
      </w:r>
    </w:p>
    <w:p w14:paraId="1EE4A5F7" w14:textId="0D84005B" w:rsidR="001678C0" w:rsidRDefault="001678C0" w:rsidP="001678C0">
      <w:pPr>
        <w:jc w:val="both"/>
      </w:pPr>
      <w:r>
        <w:t>The Micra</w:t>
      </w:r>
      <w:r w:rsidR="00121ECF">
        <w:t xml:space="preserve"> </w:t>
      </w:r>
      <w:r>
        <w:t>VR TPS is a permanent single-chamber implantable transcatheter LPM</w:t>
      </w:r>
      <w:r w:rsidR="00192A0E">
        <w:t xml:space="preserve"> that is</w:t>
      </w:r>
      <w:r>
        <w:t xml:space="preserve"> inserted via the femoral vein and implanted directly into the right ventricular myocardium,</w:t>
      </w:r>
      <w:r w:rsidRPr="00F37F59">
        <w:t xml:space="preserve"> </w:t>
      </w:r>
      <w:r>
        <w:t xml:space="preserve">negating the need for transvenous leads. </w:t>
      </w:r>
      <w:r w:rsidR="00D90E05">
        <w:t>The</w:t>
      </w:r>
      <w:r>
        <w:t xml:space="preserve"> device is programmable</w:t>
      </w:r>
      <w:r w:rsidR="00D90E05">
        <w:t xml:space="preserve"> and</w:t>
      </w:r>
      <w:r>
        <w:t xml:space="preserve"> monitors and regulates the patient’s heart rate by providing rate-responsive bradycardia pacing to the right ventricle. </w:t>
      </w:r>
      <w:proofErr w:type="gramStart"/>
      <w:r w:rsidR="00091D0E">
        <w:t>Similar</w:t>
      </w:r>
      <w:r>
        <w:t xml:space="preserve"> to</w:t>
      </w:r>
      <w:proofErr w:type="gramEnd"/>
      <w:r>
        <w:t xml:space="preserve"> TVPMs, </w:t>
      </w:r>
      <w:r w:rsidR="00D90E05">
        <w:t xml:space="preserve">the </w:t>
      </w:r>
      <w:r w:rsidRPr="00091D0E">
        <w:t xml:space="preserve">Micra </w:t>
      </w:r>
      <w:r w:rsidR="008F2625" w:rsidRPr="00091D0E">
        <w:t xml:space="preserve">VR </w:t>
      </w:r>
      <w:r w:rsidRPr="00091D0E">
        <w:t>TPS</w:t>
      </w:r>
      <w:r>
        <w:t xml:space="preserve"> has traditional remote monitoring capabilities (via a physical monitor). However, due to its small size (</w:t>
      </w:r>
      <w:r w:rsidRPr="00EE243C">
        <w:t>25.9 mm long, 2.8 mm</w:t>
      </w:r>
      <w:r w:rsidR="006E37A7">
        <w:t xml:space="preserve"> in</w:t>
      </w:r>
      <w:r w:rsidRPr="00EE243C">
        <w:t xml:space="preserve"> diameter</w:t>
      </w:r>
      <w:r>
        <w:t xml:space="preserve"> and </w:t>
      </w:r>
      <w:r w:rsidR="00E5305A">
        <w:t>weigh</w:t>
      </w:r>
      <w:r w:rsidR="00AB67CF">
        <w:t>ing</w:t>
      </w:r>
      <w:r w:rsidR="00E5305A">
        <w:t xml:space="preserve"> </w:t>
      </w:r>
      <w:r w:rsidRPr="00EE243C">
        <w:t>1.75 g</w:t>
      </w:r>
      <w:r>
        <w:t xml:space="preserve">rams) it is not capable </w:t>
      </w:r>
      <w:r>
        <w:lastRenderedPageBreak/>
        <w:t>of Bluetooth</w:t>
      </w:r>
      <w:r w:rsidR="00E5305A" w:rsidRPr="00637A3D">
        <w:rPr>
          <w:vertAlign w:val="superscript"/>
        </w:rPr>
        <w:t>®</w:t>
      </w:r>
      <w:r>
        <w:t xml:space="preserve"> monitoring (via a mobile app). </w:t>
      </w:r>
      <w:r w:rsidR="002228AE">
        <w:t>The r</w:t>
      </w:r>
      <w:r w:rsidR="002228AE" w:rsidRPr="00EE243C">
        <w:t>ate</w:t>
      </w:r>
      <w:r w:rsidR="002228AE">
        <w:t xml:space="preserve"> </w:t>
      </w:r>
      <w:r w:rsidRPr="00EE243C">
        <w:t>response is controlled through an activity</w:t>
      </w:r>
      <w:r>
        <w:t>-</w:t>
      </w:r>
      <w:r w:rsidRPr="00EE243C">
        <w:t>based sensor.</w:t>
      </w:r>
    </w:p>
    <w:p w14:paraId="75B4DE26" w14:textId="6A2303FB" w:rsidR="0044743A" w:rsidRDefault="001678C0" w:rsidP="00645477">
      <w:pPr>
        <w:jc w:val="both"/>
      </w:pPr>
      <w:r>
        <w:t>T</w:t>
      </w:r>
      <w:r w:rsidR="001B2885">
        <w:t>he</w:t>
      </w:r>
      <w:r w:rsidR="00AF18BA">
        <w:t xml:space="preserve"> applicant proposed four</w:t>
      </w:r>
      <w:r w:rsidR="00DD2CEC">
        <w:t xml:space="preserve"> MBS items</w:t>
      </w:r>
      <w:r w:rsidR="00EC7090">
        <w:t>: one item</w:t>
      </w:r>
      <w:r w:rsidR="00B7685C">
        <w:t xml:space="preserve"> for the insertion, </w:t>
      </w:r>
      <w:r w:rsidR="00EC7090">
        <w:t>one item for</w:t>
      </w:r>
      <w:r w:rsidR="00B7685C">
        <w:t xml:space="preserve"> re</w:t>
      </w:r>
      <w:r w:rsidR="00EC7090">
        <w:t>trieval</w:t>
      </w:r>
      <w:r w:rsidR="00B7685C">
        <w:t xml:space="preserve"> </w:t>
      </w:r>
      <w:r w:rsidR="00FA4DA7">
        <w:t xml:space="preserve">and </w:t>
      </w:r>
      <w:r w:rsidR="00EC7090">
        <w:t>replacement, one item for retrieval</w:t>
      </w:r>
      <w:r w:rsidR="00B7685C">
        <w:t xml:space="preserve"> </w:t>
      </w:r>
      <w:r w:rsidR="00FA4DA7">
        <w:t>and</w:t>
      </w:r>
      <w:r w:rsidR="00EC7090">
        <w:t xml:space="preserve"> one for</w:t>
      </w:r>
      <w:r w:rsidR="00FA4DA7">
        <w:t xml:space="preserve"> </w:t>
      </w:r>
      <w:r w:rsidR="00B7685C">
        <w:t xml:space="preserve">explantation of </w:t>
      </w:r>
      <w:r w:rsidR="000B6227">
        <w:t>an LPM</w:t>
      </w:r>
      <w:r w:rsidR="00CF7F3C">
        <w:t xml:space="preserve"> (see </w:t>
      </w:r>
      <w:r w:rsidR="00CF7F3C">
        <w:fldChar w:fldCharType="begin"/>
      </w:r>
      <w:r w:rsidR="00CF7F3C">
        <w:instrText xml:space="preserve"> REF _Ref98936257 \h </w:instrText>
      </w:r>
      <w:r w:rsidR="00CF7F3C">
        <w:fldChar w:fldCharType="separate"/>
      </w:r>
      <w:r w:rsidR="0084187F">
        <w:t xml:space="preserve">Table </w:t>
      </w:r>
      <w:r w:rsidR="0084187F">
        <w:rPr>
          <w:noProof/>
        </w:rPr>
        <w:t>3</w:t>
      </w:r>
      <w:r w:rsidR="00CF7F3C">
        <w:fldChar w:fldCharType="end"/>
      </w:r>
      <w:r w:rsidR="00CF7F3C">
        <w:t>)</w:t>
      </w:r>
      <w:r w:rsidR="00B7685C">
        <w:t>.</w:t>
      </w:r>
    </w:p>
    <w:p w14:paraId="78EFE0D8" w14:textId="38910785" w:rsidR="002A3541" w:rsidRPr="00D150CE" w:rsidRDefault="00F40B23" w:rsidP="00F40B23">
      <w:pPr>
        <w:pStyle w:val="Caption"/>
      </w:pPr>
      <w:bookmarkStart w:id="4" w:name="_Ref98936257"/>
      <w:r>
        <w:t xml:space="preserve">Table </w:t>
      </w:r>
      <w:r>
        <w:fldChar w:fldCharType="begin"/>
      </w:r>
      <w:r>
        <w:instrText>SEQ Table \* ARABIC</w:instrText>
      </w:r>
      <w:r>
        <w:fldChar w:fldCharType="separate"/>
      </w:r>
      <w:r w:rsidR="0084187F">
        <w:rPr>
          <w:noProof/>
        </w:rPr>
        <w:t>3</w:t>
      </w:r>
      <w:r>
        <w:fldChar w:fldCharType="end"/>
      </w:r>
      <w:bookmarkEnd w:id="4"/>
      <w:r>
        <w:tab/>
      </w:r>
      <w:r w:rsidR="0013340E">
        <w:t>P</w:t>
      </w:r>
      <w:r w:rsidR="002A3541" w:rsidRPr="002A3541">
        <w:t>roposed MBS item</w:t>
      </w:r>
      <w:r w:rsidR="006334F6">
        <w:t>s</w:t>
      </w:r>
      <w:r w:rsidR="00073E0F">
        <w:t xml:space="preserve">. </w:t>
      </w:r>
      <w:r w:rsidR="00073E0F" w:rsidRPr="00794AA8">
        <w:rPr>
          <w:i/>
          <w:iCs w:val="0"/>
        </w:rPr>
        <w:t>ESC amendments in markup</w:t>
      </w:r>
      <w:r w:rsidR="00351969">
        <w:rPr>
          <w:i/>
          <w:iCs w:val="0"/>
        </w:rPr>
        <w:t xml:space="preserve"> (italics and strikethrough)</w:t>
      </w:r>
      <w:r w:rsidR="00073E0F">
        <w:rPr>
          <w:i/>
          <w:iCs w:val="0"/>
        </w:rPr>
        <w:t>.</w:t>
      </w:r>
    </w:p>
    <w:tbl>
      <w:tblPr>
        <w:tblStyle w:val="TableGrid"/>
        <w:tblW w:w="5000" w:type="pct"/>
        <w:tblLook w:val="04A0" w:firstRow="1" w:lastRow="0" w:firstColumn="1" w:lastColumn="0" w:noHBand="0" w:noVBand="1"/>
      </w:tblPr>
      <w:tblGrid>
        <w:gridCol w:w="9016"/>
      </w:tblGrid>
      <w:tr w:rsidR="002A3541" w14:paraId="688181EF" w14:textId="77777777" w:rsidTr="00B203FB">
        <w:tc>
          <w:tcPr>
            <w:tcW w:w="5000" w:type="pct"/>
          </w:tcPr>
          <w:p w14:paraId="5FFF8440" w14:textId="5379CB35" w:rsidR="002A3541" w:rsidRDefault="00B64C2D" w:rsidP="00F40B23">
            <w:pPr>
              <w:pStyle w:val="Tabletext"/>
            </w:pPr>
            <w:r w:rsidRPr="00B64C2D">
              <w:t xml:space="preserve">Category </w:t>
            </w:r>
            <w:r w:rsidR="00BA3ED9">
              <w:t>3</w:t>
            </w:r>
            <w:r w:rsidR="00BA3ED9" w:rsidRPr="00D2670B">
              <w:t xml:space="preserve"> – </w:t>
            </w:r>
            <w:r w:rsidR="00BA3ED9">
              <w:rPr>
                <w:szCs w:val="20"/>
              </w:rPr>
              <w:t>THERAPEUTIC PROCEDURES</w:t>
            </w:r>
            <w:r w:rsidR="00A704AE">
              <w:rPr>
                <w:szCs w:val="20"/>
              </w:rPr>
              <w:t xml:space="preserve">        T8 Surgical Operations           Subgroup 6 - Cardiothoracic</w:t>
            </w:r>
          </w:p>
        </w:tc>
      </w:tr>
      <w:tr w:rsidR="002A3541" w14:paraId="221D26D7" w14:textId="77777777" w:rsidTr="00B203FB">
        <w:tc>
          <w:tcPr>
            <w:tcW w:w="5000" w:type="pct"/>
          </w:tcPr>
          <w:p w14:paraId="2F2FDC18" w14:textId="7E4A9DA9" w:rsidR="00245F3F" w:rsidRDefault="00245F3F" w:rsidP="00F40B23">
            <w:pPr>
              <w:pStyle w:val="Tabletext"/>
            </w:pPr>
            <w:r>
              <w:t xml:space="preserve">MBS item </w:t>
            </w:r>
            <w:r w:rsidR="002F772E">
              <w:t>WWWWW</w:t>
            </w:r>
          </w:p>
          <w:p w14:paraId="28B1FE92" w14:textId="7D5576B2" w:rsidR="00610DEC" w:rsidRDefault="00610DEC" w:rsidP="00610DEC">
            <w:pPr>
              <w:spacing w:after="120"/>
              <w:rPr>
                <w:rFonts w:ascii="Arial Narrow" w:hAnsi="Arial Narrow"/>
                <w:sz w:val="20"/>
                <w:szCs w:val="20"/>
              </w:rPr>
            </w:pPr>
            <w:r>
              <w:rPr>
                <w:rFonts w:ascii="Arial Narrow" w:hAnsi="Arial Narrow"/>
                <w:sz w:val="20"/>
                <w:szCs w:val="20"/>
              </w:rPr>
              <w:t xml:space="preserve">LEADLESS PERMANENT CARDIAC PACEMAKER, SINGLE-CHAMBER VENTRICULAR, percutaneous insertion </w:t>
            </w:r>
            <w:r w:rsidRPr="00013468">
              <w:rPr>
                <w:rFonts w:ascii="Arial Narrow" w:hAnsi="Arial Narrow"/>
                <w:sz w:val="20"/>
                <w:szCs w:val="20"/>
              </w:rPr>
              <w:t>of</w:t>
            </w:r>
            <w:r w:rsidR="00073E0F">
              <w:rPr>
                <w:rFonts w:ascii="Arial Narrow" w:hAnsi="Arial Narrow"/>
                <w:sz w:val="20"/>
                <w:szCs w:val="20"/>
              </w:rPr>
              <w:t>,</w:t>
            </w:r>
            <w:r w:rsidR="00073E0F" w:rsidRPr="00CB0603">
              <w:rPr>
                <w:rFonts w:ascii="Arial Narrow" w:hAnsi="Arial Narrow"/>
                <w:i/>
                <w:iCs/>
                <w:sz w:val="20"/>
                <w:szCs w:val="20"/>
              </w:rPr>
              <w:t xml:space="preserve"> for the treatment of </w:t>
            </w:r>
            <w:r w:rsidR="00CB0603" w:rsidRPr="00CB0603">
              <w:rPr>
                <w:rFonts w:ascii="Arial Narrow" w:hAnsi="Arial Narrow"/>
                <w:i/>
                <w:iCs/>
                <w:sz w:val="20"/>
                <w:szCs w:val="20"/>
              </w:rPr>
              <w:t>bradycardia</w:t>
            </w:r>
            <w:r w:rsidR="00CB0603" w:rsidRPr="00073E0F">
              <w:rPr>
                <w:rFonts w:ascii="Arial Narrow" w:hAnsi="Arial Narrow"/>
                <w:sz w:val="20"/>
                <w:szCs w:val="20"/>
              </w:rPr>
              <w:t xml:space="preserve">, </w:t>
            </w:r>
            <w:r>
              <w:rPr>
                <w:rFonts w:ascii="Arial Narrow" w:hAnsi="Arial Narrow"/>
                <w:sz w:val="20"/>
                <w:szCs w:val="20"/>
              </w:rPr>
              <w:t>including cardiac electrophysiological services</w:t>
            </w:r>
          </w:p>
          <w:p w14:paraId="4B62A33D" w14:textId="167906FA" w:rsidR="007112AD" w:rsidRPr="007112AD" w:rsidRDefault="007112AD" w:rsidP="00794AA8">
            <w:pPr>
              <w:pStyle w:val="Tabletext"/>
              <w:rPr>
                <w:szCs w:val="20"/>
              </w:rPr>
            </w:pPr>
            <w:r>
              <w:rPr>
                <w:szCs w:val="20"/>
              </w:rPr>
              <w:t>(</w:t>
            </w:r>
            <w:proofErr w:type="spellStart"/>
            <w:r>
              <w:rPr>
                <w:szCs w:val="20"/>
              </w:rPr>
              <w:t>Anaes</w:t>
            </w:r>
            <w:proofErr w:type="spellEnd"/>
            <w:r>
              <w:rPr>
                <w:szCs w:val="20"/>
              </w:rPr>
              <w:t>.)</w:t>
            </w:r>
            <w:r w:rsidR="00A704AE">
              <w:rPr>
                <w:szCs w:val="20"/>
              </w:rPr>
              <w:t xml:space="preserve"> </w:t>
            </w:r>
            <w:r w:rsidR="00A704AE" w:rsidRPr="00794AA8">
              <w:rPr>
                <w:i/>
                <w:iCs/>
                <w:szCs w:val="20"/>
                <w:lang w:val="en-AU"/>
              </w:rPr>
              <w:t>Benefit 75%</w:t>
            </w:r>
            <w:r w:rsidR="00A704AE">
              <w:rPr>
                <w:szCs w:val="20"/>
              </w:rPr>
              <w:t xml:space="preserve"> </w:t>
            </w:r>
          </w:p>
        </w:tc>
      </w:tr>
      <w:tr w:rsidR="002A3541" w14:paraId="4FE7FC8A" w14:textId="77777777" w:rsidTr="00B203FB">
        <w:tc>
          <w:tcPr>
            <w:tcW w:w="5000" w:type="pct"/>
            <w:tcBorders>
              <w:bottom w:val="single" w:sz="4" w:space="0" w:color="auto"/>
            </w:tcBorders>
          </w:tcPr>
          <w:p w14:paraId="5367CB1D" w14:textId="1E040EB5" w:rsidR="002A3541" w:rsidRPr="00794AA8" w:rsidRDefault="00F40B23" w:rsidP="00F40B23">
            <w:pPr>
              <w:pStyle w:val="Tabletext"/>
              <w:rPr>
                <w:i/>
                <w:iCs/>
              </w:rPr>
            </w:pPr>
            <w:r w:rsidRPr="00F40B23">
              <w:t xml:space="preserve">Fee: </w:t>
            </w:r>
            <w:r w:rsidR="00BD376F">
              <w:t>$797.45</w:t>
            </w:r>
          </w:p>
        </w:tc>
      </w:tr>
      <w:tr w:rsidR="006761D1" w14:paraId="7528FF10" w14:textId="77777777" w:rsidTr="00B203FB">
        <w:tc>
          <w:tcPr>
            <w:tcW w:w="5000" w:type="pct"/>
            <w:tcBorders>
              <w:top w:val="single" w:sz="4" w:space="0" w:color="auto"/>
            </w:tcBorders>
          </w:tcPr>
          <w:p w14:paraId="23B9EDB1" w14:textId="4A7BEB06" w:rsidR="008B1745" w:rsidRPr="00DE762F" w:rsidRDefault="008B1745" w:rsidP="008B1745">
            <w:pPr>
              <w:spacing w:after="120"/>
              <w:rPr>
                <w:rFonts w:ascii="Arial Narrow" w:hAnsi="Arial Narrow"/>
                <w:sz w:val="20"/>
                <w:szCs w:val="20"/>
              </w:rPr>
            </w:pPr>
            <w:r w:rsidRPr="00DE762F">
              <w:rPr>
                <w:rFonts w:ascii="Arial Narrow" w:hAnsi="Arial Narrow"/>
                <w:sz w:val="20"/>
                <w:szCs w:val="20"/>
              </w:rPr>
              <w:t xml:space="preserve">MBS item </w:t>
            </w:r>
            <w:r w:rsidR="002F772E">
              <w:rPr>
                <w:rFonts w:ascii="Arial Narrow" w:hAnsi="Arial Narrow"/>
                <w:sz w:val="20"/>
                <w:szCs w:val="20"/>
              </w:rPr>
              <w:t>XXXXX</w:t>
            </w:r>
          </w:p>
          <w:p w14:paraId="2EE05613" w14:textId="7469B45C" w:rsidR="008B1745" w:rsidRDefault="008B1745" w:rsidP="008B1745">
            <w:pPr>
              <w:spacing w:after="120"/>
              <w:rPr>
                <w:rFonts w:ascii="Arial Narrow" w:hAnsi="Arial Narrow"/>
                <w:sz w:val="20"/>
                <w:szCs w:val="20"/>
              </w:rPr>
            </w:pPr>
            <w:r>
              <w:rPr>
                <w:rFonts w:ascii="Arial Narrow" w:hAnsi="Arial Narrow"/>
                <w:sz w:val="20"/>
                <w:szCs w:val="20"/>
              </w:rPr>
              <w:t xml:space="preserve">LEADLESS PERMANENT CARDIAC PACEMAKER, SINGLE-CHAMBER VENTRICULAR, percutaneous </w:t>
            </w:r>
            <w:proofErr w:type="gramStart"/>
            <w:r>
              <w:rPr>
                <w:rFonts w:ascii="Arial Narrow" w:hAnsi="Arial Narrow"/>
                <w:sz w:val="20"/>
                <w:szCs w:val="20"/>
              </w:rPr>
              <w:t>retrieval</w:t>
            </w:r>
            <w:proofErr w:type="gramEnd"/>
            <w:r>
              <w:rPr>
                <w:rFonts w:ascii="Arial Narrow" w:hAnsi="Arial Narrow"/>
                <w:sz w:val="20"/>
                <w:szCs w:val="20"/>
              </w:rPr>
              <w:t xml:space="preserve"> and replacement of, including cardiac electrophysiological services</w:t>
            </w:r>
            <w:r w:rsidR="005B6148">
              <w:rPr>
                <w:rFonts w:ascii="Arial Narrow" w:hAnsi="Arial Narrow"/>
                <w:sz w:val="20"/>
                <w:szCs w:val="20"/>
              </w:rPr>
              <w:t xml:space="preserve">, during the </w:t>
            </w:r>
            <w:r w:rsidR="003626C1">
              <w:rPr>
                <w:rFonts w:ascii="Arial Narrow" w:hAnsi="Arial Narrow"/>
                <w:sz w:val="20"/>
                <w:szCs w:val="20"/>
              </w:rPr>
              <w:t>same percutaneous procedure.</w:t>
            </w:r>
          </w:p>
          <w:p w14:paraId="1BB4763F" w14:textId="21970430" w:rsidR="006761D1" w:rsidRPr="00C83E75" w:rsidRDefault="008B1745" w:rsidP="00C83E75">
            <w:pPr>
              <w:spacing w:after="120"/>
              <w:rPr>
                <w:rFonts w:ascii="Arial Narrow" w:hAnsi="Arial Narrow"/>
                <w:sz w:val="20"/>
                <w:szCs w:val="20"/>
              </w:rPr>
            </w:pPr>
            <w:r>
              <w:rPr>
                <w:rFonts w:ascii="Arial Narrow" w:hAnsi="Arial Narrow"/>
                <w:sz w:val="20"/>
                <w:szCs w:val="20"/>
              </w:rPr>
              <w:t>(</w:t>
            </w:r>
            <w:proofErr w:type="spellStart"/>
            <w:r>
              <w:rPr>
                <w:rFonts w:ascii="Arial Narrow" w:hAnsi="Arial Narrow"/>
                <w:sz w:val="20"/>
                <w:szCs w:val="20"/>
              </w:rPr>
              <w:t>Anaes</w:t>
            </w:r>
            <w:proofErr w:type="spellEnd"/>
            <w:r>
              <w:rPr>
                <w:rFonts w:ascii="Arial Narrow" w:hAnsi="Arial Narrow"/>
                <w:sz w:val="20"/>
                <w:szCs w:val="20"/>
              </w:rPr>
              <w:t>.)</w:t>
            </w:r>
            <w:r w:rsidR="00A704AE">
              <w:rPr>
                <w:rFonts w:ascii="Arial Narrow" w:hAnsi="Arial Narrow"/>
                <w:sz w:val="20"/>
                <w:szCs w:val="20"/>
              </w:rPr>
              <w:t xml:space="preserve"> </w:t>
            </w:r>
            <w:r w:rsidR="00A704AE" w:rsidRPr="00794AA8">
              <w:rPr>
                <w:rFonts w:ascii="Arial Narrow" w:hAnsi="Arial Narrow"/>
                <w:i/>
                <w:iCs/>
                <w:sz w:val="20"/>
                <w:szCs w:val="20"/>
              </w:rPr>
              <w:t>Benefit 75%</w:t>
            </w:r>
          </w:p>
        </w:tc>
      </w:tr>
      <w:tr w:rsidR="006761D1" w14:paraId="6761E63C" w14:textId="77777777" w:rsidTr="00B203FB">
        <w:tc>
          <w:tcPr>
            <w:tcW w:w="5000" w:type="pct"/>
            <w:tcBorders>
              <w:bottom w:val="single" w:sz="4" w:space="0" w:color="auto"/>
            </w:tcBorders>
          </w:tcPr>
          <w:p w14:paraId="3A0EDDDB" w14:textId="6B99EC50" w:rsidR="006761D1" w:rsidRPr="00F40B23" w:rsidRDefault="008B1745" w:rsidP="00F40B23">
            <w:pPr>
              <w:pStyle w:val="Tabletext"/>
            </w:pPr>
            <w:r w:rsidRPr="00F40B23">
              <w:t>Fee:</w:t>
            </w:r>
            <w:r w:rsidR="002A3255">
              <w:t xml:space="preserve"> $797.45</w:t>
            </w:r>
          </w:p>
        </w:tc>
      </w:tr>
      <w:tr w:rsidR="006761D1" w14:paraId="2AC17B45" w14:textId="77777777" w:rsidTr="00B203FB">
        <w:tc>
          <w:tcPr>
            <w:tcW w:w="5000" w:type="pct"/>
            <w:tcBorders>
              <w:top w:val="single" w:sz="4" w:space="0" w:color="auto"/>
            </w:tcBorders>
          </w:tcPr>
          <w:p w14:paraId="2D61B753" w14:textId="77777777" w:rsidR="00552887" w:rsidRPr="00DE762F" w:rsidRDefault="00552887" w:rsidP="00B75370">
            <w:pPr>
              <w:spacing w:after="120"/>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YYYYY</w:t>
            </w:r>
          </w:p>
          <w:p w14:paraId="18C2BC01" w14:textId="163918F2" w:rsidR="00552887" w:rsidRDefault="00552887" w:rsidP="000061EE">
            <w:pPr>
              <w:spacing w:after="120"/>
              <w:rPr>
                <w:rFonts w:ascii="Arial Narrow" w:hAnsi="Arial Narrow"/>
                <w:sz w:val="20"/>
                <w:szCs w:val="20"/>
              </w:rPr>
            </w:pPr>
            <w:r>
              <w:rPr>
                <w:rFonts w:ascii="Arial Narrow" w:hAnsi="Arial Narrow"/>
                <w:sz w:val="20"/>
                <w:szCs w:val="20"/>
              </w:rPr>
              <w:t>LEADLESS PERMANENT CARDIAC PACEMAKER, SINGLE-CHAMBER VENTRICULAR, percutaneous retrieval of</w:t>
            </w:r>
          </w:p>
          <w:p w14:paraId="3F4A91A0" w14:textId="1F1D2E41" w:rsidR="006761D1" w:rsidRPr="00F40B23" w:rsidRDefault="00552887" w:rsidP="004C07A8">
            <w:pPr>
              <w:pStyle w:val="Tabletext"/>
            </w:pPr>
            <w:r>
              <w:rPr>
                <w:szCs w:val="20"/>
              </w:rPr>
              <w:t>(</w:t>
            </w:r>
            <w:proofErr w:type="spellStart"/>
            <w:r>
              <w:rPr>
                <w:szCs w:val="20"/>
              </w:rPr>
              <w:t>Anaes</w:t>
            </w:r>
            <w:proofErr w:type="spellEnd"/>
            <w:r>
              <w:rPr>
                <w:szCs w:val="20"/>
              </w:rPr>
              <w:t>.)</w:t>
            </w:r>
            <w:r w:rsidR="00A704AE">
              <w:rPr>
                <w:szCs w:val="20"/>
              </w:rPr>
              <w:t xml:space="preserve"> </w:t>
            </w:r>
            <w:r w:rsidR="00A704AE" w:rsidRPr="009117E4">
              <w:rPr>
                <w:i/>
                <w:iCs/>
                <w:szCs w:val="20"/>
                <w:lang w:val="en-AU"/>
              </w:rPr>
              <w:t>Benefit 75%</w:t>
            </w:r>
          </w:p>
        </w:tc>
      </w:tr>
      <w:tr w:rsidR="006761D1" w14:paraId="3DA2E904" w14:textId="77777777" w:rsidTr="00B203FB">
        <w:tc>
          <w:tcPr>
            <w:tcW w:w="5000" w:type="pct"/>
            <w:tcBorders>
              <w:bottom w:val="single" w:sz="4" w:space="0" w:color="auto"/>
            </w:tcBorders>
          </w:tcPr>
          <w:p w14:paraId="125ABA1F" w14:textId="5ED2D4F4" w:rsidR="006761D1" w:rsidRPr="00F40B23" w:rsidRDefault="00552887" w:rsidP="00C83E75">
            <w:pPr>
              <w:pStyle w:val="Tabletext"/>
              <w:tabs>
                <w:tab w:val="left" w:pos="1080"/>
              </w:tabs>
            </w:pPr>
            <w:r w:rsidRPr="00F40B23">
              <w:t>Fee:</w:t>
            </w:r>
            <w:r w:rsidR="007E024D">
              <w:t xml:space="preserve"> </w:t>
            </w:r>
            <w:r w:rsidR="007E024D" w:rsidRPr="00D14DBC">
              <w:t>$</w:t>
            </w:r>
            <w:r w:rsidR="007E024D">
              <w:t>797.45</w:t>
            </w:r>
          </w:p>
        </w:tc>
      </w:tr>
      <w:tr w:rsidR="006761D1" w14:paraId="5BAB44A0" w14:textId="77777777" w:rsidTr="00B203FB">
        <w:tc>
          <w:tcPr>
            <w:tcW w:w="5000" w:type="pct"/>
            <w:tcBorders>
              <w:top w:val="single" w:sz="4" w:space="0" w:color="auto"/>
            </w:tcBorders>
          </w:tcPr>
          <w:p w14:paraId="29A07794" w14:textId="77777777" w:rsidR="00CB6B2D" w:rsidRDefault="00CB6B2D" w:rsidP="00CB6B2D">
            <w:pPr>
              <w:keepNext/>
              <w:spacing w:after="120"/>
              <w:rPr>
                <w:rFonts w:ascii="Arial Narrow" w:hAnsi="Arial Narrow"/>
                <w:sz w:val="20"/>
                <w:szCs w:val="20"/>
              </w:rPr>
            </w:pPr>
            <w:r>
              <w:rPr>
                <w:rFonts w:ascii="Arial Narrow" w:hAnsi="Arial Narrow"/>
                <w:sz w:val="20"/>
                <w:szCs w:val="20"/>
              </w:rPr>
              <w:t>MBS item ZZZZZ</w:t>
            </w:r>
          </w:p>
          <w:p w14:paraId="0C18266F" w14:textId="277EC891" w:rsidR="00CB6B2D" w:rsidRDefault="00CB6B2D" w:rsidP="00CB6B2D">
            <w:pPr>
              <w:spacing w:after="120"/>
              <w:rPr>
                <w:rFonts w:ascii="Arial Narrow" w:hAnsi="Arial Narrow"/>
                <w:sz w:val="20"/>
                <w:szCs w:val="20"/>
              </w:rPr>
            </w:pPr>
            <w:r>
              <w:rPr>
                <w:rFonts w:ascii="Arial Narrow" w:hAnsi="Arial Narrow"/>
                <w:sz w:val="20"/>
                <w:szCs w:val="20"/>
              </w:rPr>
              <w:t>LEADLESS PERMANENT CARDIAC PACEMAKER, SINGLE-CHAMBER VENTRICULAR,</w:t>
            </w:r>
            <w:r w:rsidRPr="00CB0603">
              <w:rPr>
                <w:rFonts w:ascii="Arial Narrow" w:hAnsi="Arial Narrow"/>
                <w:strike/>
                <w:sz w:val="20"/>
              </w:rPr>
              <w:t xml:space="preserve"> surgical</w:t>
            </w:r>
            <w:r w:rsidRPr="00FC478E">
              <w:rPr>
                <w:rFonts w:ascii="Arial Narrow" w:hAnsi="Arial Narrow"/>
                <w:sz w:val="20"/>
                <w:szCs w:val="20"/>
              </w:rPr>
              <w:t xml:space="preserve"> </w:t>
            </w:r>
            <w:r>
              <w:rPr>
                <w:rFonts w:ascii="Arial Narrow" w:hAnsi="Arial Narrow"/>
                <w:sz w:val="20"/>
                <w:szCs w:val="20"/>
              </w:rPr>
              <w:t>explantation of</w:t>
            </w:r>
          </w:p>
          <w:p w14:paraId="6DBBE0C8" w14:textId="16EA0338" w:rsidR="006761D1" w:rsidRPr="00F40B23" w:rsidRDefault="00CB6B2D" w:rsidP="00CB6B2D">
            <w:pPr>
              <w:pStyle w:val="Tabletext"/>
            </w:pPr>
            <w:r>
              <w:rPr>
                <w:szCs w:val="20"/>
              </w:rPr>
              <w:t>(</w:t>
            </w:r>
            <w:proofErr w:type="spellStart"/>
            <w:r>
              <w:rPr>
                <w:szCs w:val="20"/>
              </w:rPr>
              <w:t>Anaes</w:t>
            </w:r>
            <w:proofErr w:type="spellEnd"/>
            <w:r>
              <w:rPr>
                <w:szCs w:val="20"/>
              </w:rPr>
              <w:t>.) (Assist)</w:t>
            </w:r>
            <w:r w:rsidR="00A704AE">
              <w:rPr>
                <w:szCs w:val="20"/>
              </w:rPr>
              <w:t xml:space="preserve"> </w:t>
            </w:r>
            <w:r w:rsidR="00A704AE" w:rsidRPr="009117E4">
              <w:rPr>
                <w:i/>
                <w:iCs/>
                <w:szCs w:val="20"/>
                <w:lang w:val="en-AU"/>
              </w:rPr>
              <w:t>Benefit 75%</w:t>
            </w:r>
          </w:p>
        </w:tc>
      </w:tr>
      <w:tr w:rsidR="006761D1" w14:paraId="7F0FAB0A" w14:textId="77777777" w:rsidTr="00B203FB">
        <w:tc>
          <w:tcPr>
            <w:tcW w:w="5000" w:type="pct"/>
            <w:tcBorders>
              <w:bottom w:val="single" w:sz="4" w:space="0" w:color="auto"/>
            </w:tcBorders>
          </w:tcPr>
          <w:p w14:paraId="19DAEF01" w14:textId="6CED16BF" w:rsidR="006761D1" w:rsidRPr="00F40B23" w:rsidRDefault="00552887" w:rsidP="0085092A">
            <w:pPr>
              <w:pStyle w:val="Tabletext"/>
              <w:tabs>
                <w:tab w:val="left" w:pos="1425"/>
              </w:tabs>
            </w:pPr>
            <w:r w:rsidRPr="00F40B23">
              <w:t>Fee:</w:t>
            </w:r>
            <w:r w:rsidR="003A510B">
              <w:t xml:space="preserve"> $2984.25</w:t>
            </w:r>
          </w:p>
        </w:tc>
      </w:tr>
      <w:tr w:rsidR="000C6902" w14:paraId="39FAD8CF" w14:textId="77777777" w:rsidTr="00B203FB">
        <w:tc>
          <w:tcPr>
            <w:tcW w:w="5000" w:type="pct"/>
            <w:tcBorders>
              <w:top w:val="single" w:sz="4" w:space="0" w:color="auto"/>
              <w:left w:val="nil"/>
              <w:bottom w:val="nil"/>
              <w:right w:val="nil"/>
            </w:tcBorders>
          </w:tcPr>
          <w:p w14:paraId="4C7EDD41" w14:textId="03FAB6F2" w:rsidR="000C6902" w:rsidRPr="00B203FB" w:rsidRDefault="000C6902" w:rsidP="00496741">
            <w:pPr>
              <w:rPr>
                <w:vertAlign w:val="superscript"/>
              </w:rPr>
            </w:pPr>
          </w:p>
        </w:tc>
      </w:tr>
    </w:tbl>
    <w:p w14:paraId="0E31BDB8" w14:textId="4063E5F5" w:rsidR="000C6A10" w:rsidRDefault="000C6A10" w:rsidP="000C6A10">
      <w:pPr>
        <w:jc w:val="both"/>
      </w:pPr>
      <w:r>
        <w:t>The fees for the proposed items have been</w:t>
      </w:r>
      <w:r w:rsidDel="000C6A10">
        <w:t xml:space="preserve"> </w:t>
      </w:r>
      <w:r>
        <w:t xml:space="preserve">informed by the following existing MBS items </w:t>
      </w:r>
      <w:r w:rsidRPr="001B6D6C">
        <w:t>that are used to claim the</w:t>
      </w:r>
      <w:r>
        <w:t xml:space="preserve"> </w:t>
      </w:r>
      <w:r w:rsidRPr="001B6D6C">
        <w:t>single-chamber TVPM procedure</w:t>
      </w:r>
      <w:r>
        <w:t xml:space="preserve"> (</w:t>
      </w:r>
      <w:r w:rsidR="00422791">
        <w:t xml:space="preserve">the </w:t>
      </w:r>
      <w:r>
        <w:t>nominated comparator for the application):</w:t>
      </w:r>
    </w:p>
    <w:p w14:paraId="2547F16B" w14:textId="0EC876BF" w:rsidR="000C6A10" w:rsidRDefault="000C6A10" w:rsidP="00D27D2E">
      <w:pPr>
        <w:pStyle w:val="ListParagraph"/>
        <w:numPr>
          <w:ilvl w:val="0"/>
          <w:numId w:val="5"/>
        </w:numPr>
        <w:ind w:left="709"/>
        <w:jc w:val="both"/>
      </w:pPr>
      <w:r w:rsidRPr="007733F7">
        <w:t xml:space="preserve">MBS item 38350 </w:t>
      </w:r>
      <w:r>
        <w:t xml:space="preserve">for </w:t>
      </w:r>
      <w:r w:rsidRPr="007733F7">
        <w:t xml:space="preserve">insertion, </w:t>
      </w:r>
      <w:proofErr w:type="gramStart"/>
      <w:r w:rsidRPr="007733F7">
        <w:t>removal</w:t>
      </w:r>
      <w:proofErr w:type="gramEnd"/>
      <w:r w:rsidRPr="007733F7">
        <w:t xml:space="preserve"> or replacement of single</w:t>
      </w:r>
      <w:r>
        <w:t>-</w:t>
      </w:r>
      <w:r w:rsidRPr="007733F7">
        <w:t>chamber permanent transvenous electrode.</w:t>
      </w:r>
      <w:r>
        <w:t xml:space="preserve"> </w:t>
      </w:r>
      <w:r w:rsidRPr="00ED086B">
        <w:t xml:space="preserve">Given that all single-chamber </w:t>
      </w:r>
      <w:r>
        <w:t>TV</w:t>
      </w:r>
      <w:r w:rsidRPr="00ED086B">
        <w:t xml:space="preserve">PM devices provided through the MBS require </w:t>
      </w:r>
      <w:r w:rsidR="00EB359C">
        <w:t>a</w:t>
      </w:r>
      <w:r w:rsidRPr="00ED086B">
        <w:t xml:space="preserve"> lead, the usage data for MBS item 38350 is a reasonable representation of the number of implant procedures as well. However, some of the services provided under MBS item 38350 relate to lead complications</w:t>
      </w:r>
      <w:r w:rsidR="001C2FC7">
        <w:t>,</w:t>
      </w:r>
      <w:r w:rsidRPr="00ED086B">
        <w:t xml:space="preserve"> including revisions.</w:t>
      </w:r>
    </w:p>
    <w:p w14:paraId="54056AD7" w14:textId="047A84D8" w:rsidR="000C6A10" w:rsidRDefault="000C6A10" w:rsidP="00D27D2E">
      <w:pPr>
        <w:pStyle w:val="ListParagraph"/>
        <w:numPr>
          <w:ilvl w:val="0"/>
          <w:numId w:val="4"/>
        </w:numPr>
        <w:jc w:val="both"/>
      </w:pPr>
      <w:r w:rsidRPr="00ED086B">
        <w:t>MBS item is 38353</w:t>
      </w:r>
      <w:r>
        <w:t xml:space="preserve">, for </w:t>
      </w:r>
      <w:r w:rsidRPr="00ED086B">
        <w:t xml:space="preserve">insertion, </w:t>
      </w:r>
      <w:proofErr w:type="gramStart"/>
      <w:r w:rsidRPr="00ED086B">
        <w:t>removal</w:t>
      </w:r>
      <w:proofErr w:type="gramEnd"/>
      <w:r w:rsidRPr="00ED086B">
        <w:t xml:space="preserve"> or replacement of the </w:t>
      </w:r>
      <w:r>
        <w:t>TV</w:t>
      </w:r>
      <w:r w:rsidRPr="00ED086B">
        <w:t>PM device</w:t>
      </w:r>
      <w:r>
        <w:t>. This</w:t>
      </w:r>
      <w:r w:rsidRPr="00ED086B">
        <w:t xml:space="preserve"> </w:t>
      </w:r>
      <w:r>
        <w:t xml:space="preserve">MBS item can be claimed </w:t>
      </w:r>
      <w:r w:rsidRPr="001B6D6C">
        <w:t>for the insertion of either a dual</w:t>
      </w:r>
      <w:r>
        <w:t>-</w:t>
      </w:r>
      <w:r w:rsidRPr="001B6D6C">
        <w:t xml:space="preserve"> or single-chamber </w:t>
      </w:r>
      <w:r>
        <w:t>pacemaker. According to the survey in Mond 2019</w:t>
      </w:r>
      <w:r w:rsidR="00E64D5F">
        <w:t>,</w:t>
      </w:r>
      <w:r>
        <w:rPr>
          <w:rStyle w:val="FootnoteReference"/>
        </w:rPr>
        <w:footnoteReference w:id="2"/>
      </w:r>
      <w:r>
        <w:t xml:space="preserve"> single-chamber TVPM</w:t>
      </w:r>
      <w:r w:rsidR="00E35660">
        <w:t>s</w:t>
      </w:r>
      <w:r>
        <w:t xml:space="preserve"> </w:t>
      </w:r>
      <w:r w:rsidR="00E35660">
        <w:t>constituted</w:t>
      </w:r>
      <w:r>
        <w:t xml:space="preserve"> 21% of all pacemaker services for 2021.</w:t>
      </w:r>
    </w:p>
    <w:p w14:paraId="6EE09331" w14:textId="6B471108" w:rsidR="000C6A10" w:rsidRDefault="000C6A10" w:rsidP="00D27D2E">
      <w:pPr>
        <w:pStyle w:val="ListParagraph"/>
        <w:numPr>
          <w:ilvl w:val="0"/>
          <w:numId w:val="4"/>
        </w:numPr>
        <w:jc w:val="both"/>
      </w:pPr>
      <w:r>
        <w:t>MBS item 61109 for fluoroscopy is claimed in conjunction with the two previous MBS items</w:t>
      </w:r>
      <w:r w:rsidR="00E35660">
        <w:t xml:space="preserve"> (</w:t>
      </w:r>
      <w:r>
        <w:t>38350 and 38353</w:t>
      </w:r>
      <w:r w:rsidR="00E35660">
        <w:t>)</w:t>
      </w:r>
      <w:r>
        <w:t>.</w:t>
      </w:r>
    </w:p>
    <w:p w14:paraId="387BBDE1" w14:textId="77777777" w:rsidR="000C6A10" w:rsidRDefault="000C6A10" w:rsidP="00D27D2E">
      <w:pPr>
        <w:pStyle w:val="ListParagraph"/>
        <w:numPr>
          <w:ilvl w:val="0"/>
          <w:numId w:val="4"/>
        </w:numPr>
        <w:jc w:val="both"/>
      </w:pPr>
      <w:r>
        <w:t>MBS item 38358</w:t>
      </w:r>
      <w:r w:rsidRPr="000E7663">
        <w:t xml:space="preserve"> </w:t>
      </w:r>
      <w:r w:rsidRPr="00B02540">
        <w:t>for percutaneous extraction of chronically implanted transvenous leads</w:t>
      </w:r>
      <w:r>
        <w:t>.</w:t>
      </w:r>
    </w:p>
    <w:p w14:paraId="7E303CF9" w14:textId="20655373" w:rsidR="000C6A10" w:rsidRDefault="000C6A10" w:rsidP="00D27D2E">
      <w:pPr>
        <w:pStyle w:val="ListParagraph"/>
        <w:numPr>
          <w:ilvl w:val="0"/>
          <w:numId w:val="4"/>
        </w:numPr>
        <w:jc w:val="both"/>
      </w:pPr>
      <w:r>
        <w:lastRenderedPageBreak/>
        <w:t>MBS item 90300, claimed with MBS item 38358, for c</w:t>
      </w:r>
      <w:r w:rsidRPr="00805A84">
        <w:t xml:space="preserve">ardiothoracic </w:t>
      </w:r>
      <w:r>
        <w:t>s</w:t>
      </w:r>
      <w:r w:rsidRPr="00805A84">
        <w:t xml:space="preserve">urgeon </w:t>
      </w:r>
      <w:r>
        <w:t>attendance for l</w:t>
      </w:r>
      <w:r w:rsidRPr="00805A84">
        <w:t xml:space="preserve">ead </w:t>
      </w:r>
      <w:r w:rsidR="00E35660">
        <w:t>e</w:t>
      </w:r>
      <w:r w:rsidR="00E35660" w:rsidRPr="00805A84">
        <w:t>xtraction</w:t>
      </w:r>
      <w:r>
        <w:t xml:space="preserve">. </w:t>
      </w:r>
    </w:p>
    <w:p w14:paraId="3C63EE03" w14:textId="34A43B4E" w:rsidR="009F2813" w:rsidRDefault="009F2813" w:rsidP="00422791">
      <w:r>
        <w:t>T</w:t>
      </w:r>
      <w:r w:rsidRPr="00512E06">
        <w:t>h</w:t>
      </w:r>
      <w:r>
        <w:t>e</w:t>
      </w:r>
      <w:r w:rsidRPr="00512E06">
        <w:t xml:space="preserve"> fee</w:t>
      </w:r>
      <w:r>
        <w:t xml:space="preserve"> for </w:t>
      </w:r>
      <w:r w:rsidR="00422791">
        <w:t xml:space="preserve">proposed </w:t>
      </w:r>
      <w:r>
        <w:t>MBS item</w:t>
      </w:r>
      <w:r w:rsidRPr="00512E06">
        <w:t xml:space="preserve"> </w:t>
      </w:r>
      <w:r w:rsidR="00280A03">
        <w:t xml:space="preserve">WWWWW </w:t>
      </w:r>
      <w:r>
        <w:t>(</w:t>
      </w:r>
      <w:r w:rsidRPr="002504A7">
        <w:t xml:space="preserve">percutaneous insertion of </w:t>
      </w:r>
      <w:r w:rsidR="000B6227">
        <w:t>an LPM</w:t>
      </w:r>
      <w:r w:rsidRPr="002504A7">
        <w:t>, including cardiac electrophysiological services</w:t>
      </w:r>
      <w:r>
        <w:t xml:space="preserve">) </w:t>
      </w:r>
      <w:r w:rsidRPr="00512E06">
        <w:t xml:space="preserve">is </w:t>
      </w:r>
      <w:r w:rsidR="00A97677">
        <w:t>the same as</w:t>
      </w:r>
      <w:r w:rsidRPr="00512E06">
        <w:t xml:space="preserve"> the combined fee for MBS items 38350 and 38353 (taking the multiple operation rule into account)</w:t>
      </w:r>
      <w:r>
        <w:t xml:space="preserve">. This also applies to MBS items </w:t>
      </w:r>
      <w:r w:rsidR="002F772E">
        <w:t xml:space="preserve">XXXXX </w:t>
      </w:r>
      <w:r>
        <w:t>(</w:t>
      </w:r>
      <w:r w:rsidRPr="006D7EF7">
        <w:t xml:space="preserve">percutaneous retrieval and replacement of </w:t>
      </w:r>
      <w:r w:rsidR="000B6227">
        <w:t>an LPM</w:t>
      </w:r>
      <w:r w:rsidRPr="006D7EF7">
        <w:t>, including cardiac electrophysiological services, during the same percutaneous procedure</w:t>
      </w:r>
      <w:r>
        <w:t>) and YYYYY (</w:t>
      </w:r>
      <w:r w:rsidRPr="005339CF">
        <w:t>percutaneous retrieval of an LPM</w:t>
      </w:r>
      <w:r>
        <w:t>).</w:t>
      </w:r>
      <w:r w:rsidR="00B56267">
        <w:t xml:space="preserve"> </w:t>
      </w:r>
    </w:p>
    <w:p w14:paraId="63D9B8ED" w14:textId="33A39B08" w:rsidR="003B53D9" w:rsidRDefault="00BE5DB3" w:rsidP="00645477">
      <w:r>
        <w:t>In Australia, p</w:t>
      </w:r>
      <w:r w:rsidRPr="00183AB5">
        <w:t xml:space="preserve">atients </w:t>
      </w:r>
      <w:r>
        <w:t xml:space="preserve">with symptomatic bradycardia </w:t>
      </w:r>
      <w:r w:rsidR="003C4B0B">
        <w:t>first seek treatment</w:t>
      </w:r>
      <w:r w:rsidRPr="00183AB5">
        <w:t xml:space="preserve"> </w:t>
      </w:r>
      <w:r w:rsidR="000F4AC6">
        <w:t>from</w:t>
      </w:r>
      <w:r w:rsidRPr="00183AB5">
        <w:t xml:space="preserve"> </w:t>
      </w:r>
      <w:r w:rsidR="006F2FF7">
        <w:t>a</w:t>
      </w:r>
      <w:r w:rsidR="006F2FF7" w:rsidRPr="00183AB5">
        <w:t xml:space="preserve"> </w:t>
      </w:r>
      <w:r w:rsidRPr="00183AB5">
        <w:t xml:space="preserve">hospital </w:t>
      </w:r>
      <w:r w:rsidR="004E3226" w:rsidRPr="00883DD7">
        <w:t xml:space="preserve">or </w:t>
      </w:r>
      <w:r w:rsidR="006F2FF7">
        <w:t>general</w:t>
      </w:r>
      <w:r w:rsidR="006F2FF7" w:rsidRPr="00883DD7">
        <w:t xml:space="preserve"> </w:t>
      </w:r>
      <w:r w:rsidR="004E3226" w:rsidRPr="00883DD7">
        <w:t>practitioner before being referred</w:t>
      </w:r>
      <w:r w:rsidR="004E3226">
        <w:t xml:space="preserve"> </w:t>
      </w:r>
      <w:r w:rsidR="004E3226" w:rsidRPr="00183AB5">
        <w:t>to</w:t>
      </w:r>
      <w:r w:rsidRPr="00183AB5">
        <w:t xml:space="preserve"> a specialist cardiologist. </w:t>
      </w:r>
      <w:r w:rsidR="003B53D9" w:rsidRPr="003B53D9">
        <w:t>The patient's history</w:t>
      </w:r>
      <w:r w:rsidR="0093054C">
        <w:t>,</w:t>
      </w:r>
      <w:r w:rsidR="003B53D9" w:rsidRPr="003B53D9">
        <w:t xml:space="preserve"> physical examination</w:t>
      </w:r>
      <w:r w:rsidR="0093054C">
        <w:t xml:space="preserve"> results and </w:t>
      </w:r>
      <w:r w:rsidR="003B53D9" w:rsidRPr="003B53D9">
        <w:t xml:space="preserve">resting </w:t>
      </w:r>
      <w:r w:rsidR="0093054C" w:rsidRPr="003B53D9">
        <w:t>electrocardiogra</w:t>
      </w:r>
      <w:r w:rsidR="0093054C">
        <w:t>m</w:t>
      </w:r>
      <w:r w:rsidR="0093054C" w:rsidRPr="003B53D9">
        <w:t xml:space="preserve"> </w:t>
      </w:r>
      <w:r w:rsidR="003B53D9" w:rsidRPr="003B53D9">
        <w:t xml:space="preserve">(ECG) are all important components of the medical evaluation </w:t>
      </w:r>
      <w:r w:rsidR="00697FB4">
        <w:t xml:space="preserve">required </w:t>
      </w:r>
      <w:r w:rsidR="003B53D9" w:rsidRPr="003B53D9">
        <w:t xml:space="preserve">before being considered eligible for single-chamber ventricular pacing </w:t>
      </w:r>
      <w:r>
        <w:t>(</w:t>
      </w:r>
      <w:proofErr w:type="spellStart"/>
      <w:r>
        <w:t>Kusumoto</w:t>
      </w:r>
      <w:proofErr w:type="spellEnd"/>
      <w:r>
        <w:t xml:space="preserve"> 2019)</w:t>
      </w:r>
      <w:bookmarkStart w:id="5" w:name="_Ref99543058"/>
      <w:r w:rsidR="002C6394">
        <w:rPr>
          <w:rStyle w:val="FootnoteReference"/>
        </w:rPr>
        <w:footnoteReference w:id="3"/>
      </w:r>
      <w:bookmarkEnd w:id="5"/>
      <w:r w:rsidR="00EB12DB">
        <w:t xml:space="preserve">. Further non-invasive </w:t>
      </w:r>
      <w:r w:rsidR="006670D9">
        <w:t xml:space="preserve">assessments </w:t>
      </w:r>
      <w:r w:rsidR="00EB12DB">
        <w:t xml:space="preserve">may include </w:t>
      </w:r>
      <w:r w:rsidR="00784DA8">
        <w:t xml:space="preserve">an </w:t>
      </w:r>
      <w:r w:rsidR="00EB12DB">
        <w:t xml:space="preserve">exercise ECG, </w:t>
      </w:r>
      <w:r w:rsidR="006670D9">
        <w:t xml:space="preserve">an </w:t>
      </w:r>
      <w:r w:rsidR="00EB12DB">
        <w:t xml:space="preserve">ambulatory ECG, imaging, laboratory testing, genetic </w:t>
      </w:r>
      <w:proofErr w:type="gramStart"/>
      <w:r w:rsidR="00EB12DB">
        <w:t>testing</w:t>
      </w:r>
      <w:proofErr w:type="gramEnd"/>
      <w:r w:rsidR="00EB12DB">
        <w:t xml:space="preserve"> and sleep apnoea testing. </w:t>
      </w:r>
      <w:r w:rsidR="00EB12DB" w:rsidRPr="002F641C">
        <w:t xml:space="preserve">When non-invasive examinations are </w:t>
      </w:r>
      <w:r w:rsidR="000A5653">
        <w:t xml:space="preserve">not </w:t>
      </w:r>
      <w:r w:rsidR="00EB12DB" w:rsidRPr="002F641C">
        <w:t>diagnostic, invasive testing (</w:t>
      </w:r>
      <w:r w:rsidR="000A5653">
        <w:t>e.g.,</w:t>
      </w:r>
      <w:r w:rsidR="00EB12DB" w:rsidRPr="002F641C">
        <w:t xml:space="preserve"> implantable cardiac monitors and electrophysiology studies) may be required</w:t>
      </w:r>
      <w:r w:rsidR="00584E91">
        <w:t xml:space="preserve"> </w:t>
      </w:r>
      <w:r w:rsidR="00584E91" w:rsidRPr="002F641C">
        <w:t>(</w:t>
      </w:r>
      <w:proofErr w:type="spellStart"/>
      <w:r w:rsidR="00584E91" w:rsidRPr="002F641C">
        <w:t>Kusumoto</w:t>
      </w:r>
      <w:proofErr w:type="spellEnd"/>
      <w:r w:rsidR="00584E91" w:rsidRPr="002F641C">
        <w:t xml:space="preserve"> 2019).</w:t>
      </w:r>
    </w:p>
    <w:p w14:paraId="5A7117D0" w14:textId="7EAD59DE" w:rsidR="002D68AA" w:rsidRDefault="00922D35" w:rsidP="002D68AA">
      <w:pPr>
        <w:jc w:val="both"/>
      </w:pPr>
      <w:r w:rsidRPr="00922D35">
        <w:t xml:space="preserve">The healthcare resources </w:t>
      </w:r>
      <w:r w:rsidR="00B17C01">
        <w:t>required</w:t>
      </w:r>
      <w:r w:rsidRPr="00922D35">
        <w:t xml:space="preserve"> for the insertion of </w:t>
      </w:r>
      <w:r w:rsidR="00B17C01">
        <w:t>a</w:t>
      </w:r>
      <w:r w:rsidR="00B17C01" w:rsidRPr="00922D35">
        <w:t xml:space="preserve"> </w:t>
      </w:r>
      <w:r w:rsidRPr="00922D35">
        <w:t>standard single-chamber TVPM</w:t>
      </w:r>
      <w:r w:rsidR="007E42A0">
        <w:t>, which</w:t>
      </w:r>
      <w:r w:rsidR="007E42A0" w:rsidRPr="00922D35">
        <w:t xml:space="preserve"> include anaesthesia, fluoroscopy, the professional service itself and hospitalisation</w:t>
      </w:r>
      <w:r w:rsidR="00007379">
        <w:t>,</w:t>
      </w:r>
      <w:r w:rsidRPr="00922D35">
        <w:t xml:space="preserve"> are </w:t>
      </w:r>
      <w:proofErr w:type="gramStart"/>
      <w:r w:rsidRPr="00922D35">
        <w:t>similar to</w:t>
      </w:r>
      <w:proofErr w:type="gramEnd"/>
      <w:r w:rsidRPr="00922D35">
        <w:t xml:space="preserve"> </w:t>
      </w:r>
      <w:r w:rsidR="00B17C01">
        <w:t>those</w:t>
      </w:r>
      <w:r w:rsidRPr="00922D35">
        <w:t xml:space="preserve"> needed for the insertion of a</w:t>
      </w:r>
      <w:r w:rsidR="00B90612">
        <w:t>n</w:t>
      </w:r>
      <w:r w:rsidRPr="00922D35">
        <w:t xml:space="preserve"> LPM. The duration of stay is the same for both procedures, with patients generally </w:t>
      </w:r>
      <w:r w:rsidR="00EB4B9E">
        <w:t xml:space="preserve">being </w:t>
      </w:r>
      <w:r w:rsidRPr="00922D35">
        <w:t>admitted overnight.</w:t>
      </w:r>
      <w:r w:rsidR="002D68AA" w:rsidRPr="001B6D6C">
        <w:t xml:space="preserve"> </w:t>
      </w:r>
      <w:r w:rsidR="006C3482">
        <w:t>According to an Australian study (</w:t>
      </w:r>
      <w:r w:rsidR="006C3482" w:rsidRPr="001B6D6C">
        <w:t xml:space="preserve">Denman </w:t>
      </w:r>
      <w:r w:rsidR="006C3482">
        <w:t xml:space="preserve">et al. </w:t>
      </w:r>
      <w:r w:rsidR="006C3482" w:rsidRPr="001B6D6C">
        <w:t>2019</w:t>
      </w:r>
      <w:r w:rsidR="006C3482">
        <w:t>)</w:t>
      </w:r>
      <w:r w:rsidR="007F6A7D">
        <w:rPr>
          <w:rStyle w:val="FootnoteReference"/>
        </w:rPr>
        <w:footnoteReference w:id="4"/>
      </w:r>
      <w:r w:rsidR="006C3482">
        <w:t>, t</w:t>
      </w:r>
      <w:r w:rsidR="006C3482" w:rsidRPr="001B6D6C">
        <w:t xml:space="preserve">he </w:t>
      </w:r>
      <w:r w:rsidR="00AF07EB">
        <w:t xml:space="preserve">length of time required to insert </w:t>
      </w:r>
      <w:r w:rsidR="008970D3">
        <w:t>a</w:t>
      </w:r>
      <w:r w:rsidR="00B90612">
        <w:t>n</w:t>
      </w:r>
      <w:r w:rsidR="006C3482" w:rsidRPr="001B6D6C">
        <w:t xml:space="preserve"> LPM </w:t>
      </w:r>
      <w:r w:rsidR="00AF07EB">
        <w:t>or</w:t>
      </w:r>
      <w:r w:rsidR="006C3482" w:rsidRPr="001B6D6C">
        <w:t xml:space="preserve"> TVPM is similar (around 30 minutes</w:t>
      </w:r>
      <w:r w:rsidR="006C3482">
        <w:t>).</w:t>
      </w:r>
    </w:p>
    <w:p w14:paraId="08CDA2E2" w14:textId="6E1E327F" w:rsidR="00384CF3" w:rsidRPr="005B52E1" w:rsidRDefault="008839D6" w:rsidP="003A7E9B">
      <w:r>
        <w:t>No key issues</w:t>
      </w:r>
      <w:r w:rsidR="00292E58">
        <w:t xml:space="preserve"> with the proposed descriptor</w:t>
      </w:r>
      <w:r w:rsidR="003B0FF3">
        <w:t>s</w:t>
      </w:r>
      <w:r w:rsidR="00292E58">
        <w:t xml:space="preserve"> have been raised.</w:t>
      </w:r>
      <w:r w:rsidR="00444C5B">
        <w:t xml:space="preserve"> </w:t>
      </w:r>
      <w:r w:rsidR="005B52E1">
        <w:t>However,</w:t>
      </w:r>
      <w:r w:rsidR="00370603">
        <w:t xml:space="preserve"> guidelines</w:t>
      </w:r>
      <w:r w:rsidR="000A5ADF">
        <w:t xml:space="preserve"> from the American College of Cardiology (ACC</w:t>
      </w:r>
      <w:r w:rsidR="00E17FA6">
        <w:t>)/American Heart Association (AHA)/</w:t>
      </w:r>
      <w:r w:rsidR="00EC623D">
        <w:t>Heart Rhythm Society (HRS)</w:t>
      </w:r>
      <w:r w:rsidR="008A720E">
        <w:fldChar w:fldCharType="begin"/>
      </w:r>
      <w:r w:rsidR="008A720E">
        <w:instrText xml:space="preserve"> NOTEREF _Ref99543058 \f \h </w:instrText>
      </w:r>
      <w:r w:rsidR="008A720E">
        <w:fldChar w:fldCharType="separate"/>
      </w:r>
      <w:r w:rsidR="0084187F" w:rsidRPr="0084187F">
        <w:rPr>
          <w:rStyle w:val="FootnoteReference"/>
        </w:rPr>
        <w:t>2</w:t>
      </w:r>
      <w:r w:rsidR="008A720E">
        <w:fldChar w:fldCharType="end"/>
      </w:r>
      <w:r w:rsidR="00370603">
        <w:rPr>
          <w:vertAlign w:val="superscript"/>
        </w:rPr>
        <w:t xml:space="preserve"> </w:t>
      </w:r>
      <w:r w:rsidR="00370603" w:rsidRPr="005B52E1">
        <w:t>and</w:t>
      </w:r>
      <w:r w:rsidR="00370603">
        <w:t xml:space="preserve"> </w:t>
      </w:r>
      <w:r w:rsidR="000A5ADF">
        <w:t xml:space="preserve">the </w:t>
      </w:r>
      <w:r w:rsidR="00370603" w:rsidRPr="007B6FAE">
        <w:t>European Society of Cardiology (ESC)</w:t>
      </w:r>
      <w:r w:rsidR="0072560F">
        <w:rPr>
          <w:rStyle w:val="FootnoteReference"/>
        </w:rPr>
        <w:footnoteReference w:id="5"/>
      </w:r>
      <w:r w:rsidR="005B52E1">
        <w:rPr>
          <w:vertAlign w:val="superscript"/>
        </w:rPr>
        <w:t xml:space="preserve"> </w:t>
      </w:r>
      <w:r w:rsidR="003B0FF3">
        <w:t>note the following</w:t>
      </w:r>
      <w:r w:rsidR="002C5E73">
        <w:t xml:space="preserve"> </w:t>
      </w:r>
      <w:r w:rsidR="00DD0C9C">
        <w:t>regarding</w:t>
      </w:r>
      <w:r w:rsidR="00156AEB">
        <w:t xml:space="preserve"> </w:t>
      </w:r>
      <w:r w:rsidR="00DD0C9C">
        <w:t>key</w:t>
      </w:r>
      <w:r w:rsidR="00156AEB">
        <w:t xml:space="preserve"> sub</w:t>
      </w:r>
      <w:r w:rsidR="00DD0C9C">
        <w:t>populations who may be more suitable for LPM</w:t>
      </w:r>
      <w:r w:rsidR="008C4B5A">
        <w:t>s</w:t>
      </w:r>
      <w:r w:rsidR="00156AEB">
        <w:t>:</w:t>
      </w:r>
    </w:p>
    <w:p w14:paraId="674ED0C2" w14:textId="69441902" w:rsidR="00EA3D47" w:rsidRDefault="00A71559" w:rsidP="00D27D2E">
      <w:pPr>
        <w:pStyle w:val="ListParagraph"/>
        <w:numPr>
          <w:ilvl w:val="0"/>
          <w:numId w:val="7"/>
        </w:numPr>
      </w:pPr>
      <w:r>
        <w:t>The</w:t>
      </w:r>
      <w:r w:rsidR="000A194B">
        <w:t xml:space="preserve"> </w:t>
      </w:r>
      <w:r w:rsidR="000A194B" w:rsidRPr="000A194B">
        <w:t>2018 ACC/AHA/HRS guideline</w:t>
      </w:r>
      <w:r w:rsidR="004D231D">
        <w:t>s</w:t>
      </w:r>
      <w:r w:rsidR="00370603">
        <w:rPr>
          <w:vertAlign w:val="superscript"/>
        </w:rPr>
        <w:t xml:space="preserve"> </w:t>
      </w:r>
      <w:r w:rsidR="00156AEB">
        <w:t>note that</w:t>
      </w:r>
      <w:r w:rsidR="00B926FB">
        <w:t xml:space="preserve"> identifying patient populations that will benefit the most from emerging pacing technologies</w:t>
      </w:r>
      <w:r w:rsidR="00CE037D">
        <w:t>,</w:t>
      </w:r>
      <w:r w:rsidR="00EC1E6C">
        <w:t xml:space="preserve"> </w:t>
      </w:r>
      <w:r w:rsidR="00CE037D">
        <w:t>such as LPMs,</w:t>
      </w:r>
      <w:r w:rsidR="00B13BF5">
        <w:t xml:space="preserve"> will require further investigation as these modalities are incorporated into clinical practice</w:t>
      </w:r>
      <w:r w:rsidR="004D231D">
        <w:t>.</w:t>
      </w:r>
      <w:r w:rsidR="00BC0C3B">
        <w:t xml:space="preserve"> </w:t>
      </w:r>
      <w:r w:rsidR="00943B32">
        <w:t xml:space="preserve">Moreover, </w:t>
      </w:r>
      <w:r w:rsidR="00B12348">
        <w:t>the guidelines warned that the</w:t>
      </w:r>
      <w:r w:rsidR="00BC0C3B">
        <w:t xml:space="preserve"> role of these new devices in real-world practice, and their potential interaction with other cardiac devices, is </w:t>
      </w:r>
      <w:r w:rsidR="00B12348">
        <w:t>still</w:t>
      </w:r>
      <w:r w:rsidR="00BC0C3B">
        <w:t xml:space="preserve"> </w:t>
      </w:r>
      <w:r w:rsidR="00B12348">
        <w:t>un</w:t>
      </w:r>
      <w:r w:rsidR="00BC0C3B">
        <w:t>clear</w:t>
      </w:r>
      <w:r w:rsidR="00B12348">
        <w:t>.</w:t>
      </w:r>
      <w:r w:rsidR="001B1A01">
        <w:t xml:space="preserve"> </w:t>
      </w:r>
    </w:p>
    <w:p w14:paraId="11915946" w14:textId="5EBA63DC" w:rsidR="00A31C31" w:rsidRDefault="00294CDF" w:rsidP="00D27D2E">
      <w:pPr>
        <w:pStyle w:val="ListParagraph"/>
        <w:numPr>
          <w:ilvl w:val="0"/>
          <w:numId w:val="7"/>
        </w:numPr>
      </w:pPr>
      <w:r>
        <w:t>T</w:t>
      </w:r>
      <w:r w:rsidRPr="007B6FAE">
        <w:t xml:space="preserve">he </w:t>
      </w:r>
      <w:r>
        <w:t xml:space="preserve">2021 </w:t>
      </w:r>
      <w:r w:rsidRPr="007B6FAE">
        <w:t>ESC guidelines on cardiac pacing</w:t>
      </w:r>
      <w:r w:rsidRPr="007B6FAE" w:rsidDel="002A3438">
        <w:t xml:space="preserve"> </w:t>
      </w:r>
      <w:r w:rsidR="00E61E8F">
        <w:t xml:space="preserve">made </w:t>
      </w:r>
      <w:r w:rsidR="00267536">
        <w:t>specific recommendations for LPM</w:t>
      </w:r>
      <w:r w:rsidR="00293043">
        <w:t xml:space="preserve"> as follows:</w:t>
      </w:r>
    </w:p>
    <w:p w14:paraId="4F7F2647" w14:textId="32CF2248" w:rsidR="00952A11" w:rsidRDefault="00EA3D47" w:rsidP="00D27D2E">
      <w:pPr>
        <w:pStyle w:val="ListParagraph"/>
        <w:numPr>
          <w:ilvl w:val="0"/>
          <w:numId w:val="9"/>
        </w:numPr>
      </w:pPr>
      <w:r>
        <w:t>LPM</w:t>
      </w:r>
      <w:r w:rsidR="00293E94">
        <w:t xml:space="preserve">s should be considered as an alternative to </w:t>
      </w:r>
      <w:r>
        <w:t>TVPMs</w:t>
      </w:r>
      <w:r w:rsidR="00293E94">
        <w:t xml:space="preserve"> when no upper extremity venous access exists or when risk of device pocket infection is particularly high, such as </w:t>
      </w:r>
      <w:r>
        <w:t xml:space="preserve">patients with a </w:t>
      </w:r>
      <w:r w:rsidR="00293E94">
        <w:t xml:space="preserve">previous infection </w:t>
      </w:r>
      <w:r w:rsidR="005B14D1">
        <w:t>or those</w:t>
      </w:r>
      <w:r w:rsidR="00293E94">
        <w:t xml:space="preserve"> on haemodialysis</w:t>
      </w:r>
      <w:r w:rsidR="00952A11">
        <w:t>;</w:t>
      </w:r>
      <w:r w:rsidR="00293E94">
        <w:t xml:space="preserve"> </w:t>
      </w:r>
      <w:r w:rsidR="003050D0">
        <w:t xml:space="preserve">and </w:t>
      </w:r>
    </w:p>
    <w:p w14:paraId="44539736" w14:textId="27B38B9C" w:rsidR="00CC103A" w:rsidRDefault="005B14D1" w:rsidP="00D27D2E">
      <w:pPr>
        <w:pStyle w:val="ListParagraph"/>
        <w:numPr>
          <w:ilvl w:val="0"/>
          <w:numId w:val="9"/>
        </w:numPr>
      </w:pPr>
      <w:r>
        <w:t>LPMs</w:t>
      </w:r>
      <w:r w:rsidR="00293E94">
        <w:t xml:space="preserve"> may be considered as an alternative to standard single</w:t>
      </w:r>
      <w:r>
        <w:t>-</w:t>
      </w:r>
      <w:r w:rsidR="00293E94">
        <w:t>lead ventricular pacing, taking into consideration life expectancy and using shared decision-making</w:t>
      </w:r>
      <w:r w:rsidR="00952A11">
        <w:t>.</w:t>
      </w:r>
    </w:p>
    <w:p w14:paraId="3A851A95" w14:textId="64D14434" w:rsidR="00236F30" w:rsidRDefault="00C45EEC" w:rsidP="00D27D2E">
      <w:pPr>
        <w:pStyle w:val="Heading2execsummary"/>
        <w:spacing w:before="360"/>
      </w:pPr>
      <w:r w:rsidRPr="00C45EEC">
        <w:lastRenderedPageBreak/>
        <w:t>Population</w:t>
      </w:r>
    </w:p>
    <w:p w14:paraId="71FB78E6" w14:textId="141DF7C8" w:rsidR="001A682A" w:rsidRPr="00C6284E" w:rsidRDefault="008F1791" w:rsidP="00645477">
      <w:pPr>
        <w:rPr>
          <w:lang w:val="en-US"/>
        </w:rPr>
      </w:pPr>
      <w:r>
        <w:rPr>
          <w:lang w:val="en-US"/>
        </w:rPr>
        <w:t>O</w:t>
      </w:r>
      <w:r w:rsidR="001A682A">
        <w:rPr>
          <w:lang w:val="en-US"/>
        </w:rPr>
        <w:t xml:space="preserve">ne </w:t>
      </w:r>
      <w:r w:rsidR="001A682A" w:rsidRPr="00CE28E3">
        <w:t>Population, I</w:t>
      </w:r>
      <w:r w:rsidR="001A682A">
        <w:t>ntervention</w:t>
      </w:r>
      <w:r w:rsidR="001A682A" w:rsidRPr="00CE28E3">
        <w:t>, Comparator and Outcomes (PICO)</w:t>
      </w:r>
      <w:r w:rsidR="001A682A">
        <w:t xml:space="preserve"> set was defined for the proposed technology,</w:t>
      </w:r>
      <w:r w:rsidR="00C656B7">
        <w:t xml:space="preserve"> </w:t>
      </w:r>
      <w:r w:rsidR="004C74A8">
        <w:t xml:space="preserve">the </w:t>
      </w:r>
      <w:r w:rsidR="00E329B7">
        <w:t>Micra VR</w:t>
      </w:r>
      <w:r w:rsidR="001A682A">
        <w:t xml:space="preserve"> </w:t>
      </w:r>
      <w:r w:rsidR="004C74A8">
        <w:t>TPS</w:t>
      </w:r>
      <w:r w:rsidR="001A682A">
        <w:t>, in place of the s</w:t>
      </w:r>
      <w:r w:rsidR="001A682A" w:rsidRPr="00217A0C">
        <w:t xml:space="preserve">tandard </w:t>
      </w:r>
      <w:proofErr w:type="gramStart"/>
      <w:r w:rsidR="00DA6140" w:rsidRPr="00217A0C">
        <w:t>single</w:t>
      </w:r>
      <w:r w:rsidR="004C74A8">
        <w:t>-</w:t>
      </w:r>
      <w:r w:rsidR="00DA6140" w:rsidRPr="00217A0C">
        <w:t>chamber</w:t>
      </w:r>
      <w:proofErr w:type="gramEnd"/>
      <w:r w:rsidR="001A682A" w:rsidRPr="00217A0C">
        <w:t xml:space="preserve"> (TVPM)</w:t>
      </w:r>
      <w:r w:rsidR="00800F52">
        <w:t xml:space="preserve"> (see Table </w:t>
      </w:r>
      <w:r w:rsidR="001B6B76">
        <w:t>4</w:t>
      </w:r>
      <w:r w:rsidR="00800F52">
        <w:t>)</w:t>
      </w:r>
      <w:r w:rsidR="001A682A">
        <w:t xml:space="preserve">. </w:t>
      </w:r>
      <w:r w:rsidR="00170AAD">
        <w:t>I</w:t>
      </w:r>
      <w:r w:rsidR="00170AAD" w:rsidRPr="005558B0">
        <w:t xml:space="preserve">n Australian public hospitals </w:t>
      </w:r>
      <w:r w:rsidR="001A682A" w:rsidRPr="005558B0">
        <w:t xml:space="preserve">the insertion of </w:t>
      </w:r>
      <w:r w:rsidR="00016160">
        <w:t>the</w:t>
      </w:r>
      <w:r w:rsidR="001A682A" w:rsidRPr="005558B0">
        <w:t xml:space="preserve"> using </w:t>
      </w:r>
      <w:r w:rsidR="001A682A">
        <w:t>Micra</w:t>
      </w:r>
      <w:r w:rsidR="00DC1491">
        <w:t xml:space="preserve"> VR</w:t>
      </w:r>
      <w:r w:rsidR="001A682A">
        <w:t xml:space="preserve"> TPS </w:t>
      </w:r>
      <w:r w:rsidR="001A682A" w:rsidRPr="005558B0">
        <w:t>has been performed for several years (first implant 20</w:t>
      </w:r>
      <w:r w:rsidR="001A682A">
        <w:t>1</w:t>
      </w:r>
      <w:r w:rsidR="001A682A" w:rsidRPr="005558B0">
        <w:t>6) in the proposed patient population.</w:t>
      </w:r>
    </w:p>
    <w:p w14:paraId="3C898528" w14:textId="3935486D" w:rsidR="005D4978" w:rsidRDefault="005D4978" w:rsidP="005D4978">
      <w:pPr>
        <w:pStyle w:val="Caption"/>
      </w:pPr>
      <w:bookmarkStart w:id="6" w:name="_Ref102549112"/>
      <w:r>
        <w:t xml:space="preserve">Table </w:t>
      </w:r>
      <w:r>
        <w:fldChar w:fldCharType="begin"/>
      </w:r>
      <w:r>
        <w:instrText>SEQ Table \* ARABIC</w:instrText>
      </w:r>
      <w:r>
        <w:fldChar w:fldCharType="separate"/>
      </w:r>
      <w:r w:rsidR="0084187F">
        <w:rPr>
          <w:noProof/>
        </w:rPr>
        <w:t>4</w:t>
      </w:r>
      <w:r>
        <w:fldChar w:fldCharType="end"/>
      </w:r>
      <w:bookmarkEnd w:id="6"/>
      <w:r>
        <w:tab/>
      </w:r>
      <w:bookmarkStart w:id="7" w:name="_Ref102549106"/>
      <w:r w:rsidRPr="005D4978">
        <w:t xml:space="preserve">PICO criteria for assessing </w:t>
      </w:r>
      <w:r w:rsidR="00E743D5">
        <w:t xml:space="preserve">the </w:t>
      </w:r>
      <w:r w:rsidRPr="005D4978">
        <w:t>transcatheter</w:t>
      </w:r>
      <w:r w:rsidR="00E743D5">
        <w:t xml:space="preserve"> LPM </w:t>
      </w:r>
      <w:r w:rsidRPr="005D4978">
        <w:t>for the treatment of bradycardia</w:t>
      </w:r>
      <w:bookmarkEnd w:id="7"/>
    </w:p>
    <w:tbl>
      <w:tblPr>
        <w:tblStyle w:val="TableGrid"/>
        <w:tblW w:w="0" w:type="auto"/>
        <w:tblLayout w:type="fixed"/>
        <w:tblLook w:val="06A0" w:firstRow="1" w:lastRow="0" w:firstColumn="1" w:lastColumn="0" w:noHBand="1" w:noVBand="1"/>
      </w:tblPr>
      <w:tblGrid>
        <w:gridCol w:w="1275"/>
        <w:gridCol w:w="7740"/>
      </w:tblGrid>
      <w:tr w:rsidR="7095D9C3" w:rsidRPr="00CB5603" w14:paraId="7A7C0271" w14:textId="77777777" w:rsidTr="7095D9C3">
        <w:trPr>
          <w:trHeight w:val="15"/>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82359" w14:textId="3E5DB4E3" w:rsidR="7095D9C3" w:rsidRPr="00637A3D" w:rsidRDefault="7095D9C3" w:rsidP="00637A3D">
            <w:pPr>
              <w:spacing w:before="40" w:after="40"/>
              <w:rPr>
                <w:rFonts w:ascii="Arial Narrow" w:hAnsi="Arial Narrow"/>
                <w:sz w:val="20"/>
                <w:szCs w:val="20"/>
              </w:rPr>
            </w:pPr>
            <w:r w:rsidRPr="00AF13FE">
              <w:rPr>
                <w:rFonts w:ascii="Arial Narrow" w:eastAsia="Arial Narrow" w:hAnsi="Arial Narrow" w:cs="Arial Narrow"/>
                <w:b/>
                <w:bCs/>
                <w:color w:val="000000" w:themeColor="text1"/>
                <w:sz w:val="20"/>
                <w:szCs w:val="20"/>
              </w:rPr>
              <w:t>Component</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AFE08" w14:textId="53D99DA6" w:rsidR="7095D9C3" w:rsidRPr="00637A3D" w:rsidRDefault="7095D9C3" w:rsidP="00637A3D">
            <w:pPr>
              <w:spacing w:before="40" w:after="40"/>
              <w:rPr>
                <w:rFonts w:ascii="Arial Narrow" w:hAnsi="Arial Narrow"/>
                <w:sz w:val="20"/>
                <w:szCs w:val="20"/>
              </w:rPr>
            </w:pPr>
            <w:r w:rsidRPr="00AF13FE">
              <w:rPr>
                <w:rFonts w:ascii="Arial Narrow" w:eastAsia="Arial Narrow" w:hAnsi="Arial Narrow" w:cs="Arial Narrow"/>
                <w:b/>
                <w:bCs/>
                <w:color w:val="000000" w:themeColor="text1"/>
                <w:sz w:val="20"/>
                <w:szCs w:val="20"/>
              </w:rPr>
              <w:t>Description</w:t>
            </w:r>
          </w:p>
        </w:tc>
      </w:tr>
      <w:tr w:rsidR="7095D9C3" w:rsidRPr="00CB5603" w14:paraId="0208C638" w14:textId="77777777" w:rsidTr="7095D9C3">
        <w:trPr>
          <w:trHeight w:val="15"/>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A3175" w14:textId="58125097" w:rsidR="7095D9C3" w:rsidRPr="00637A3D" w:rsidRDefault="7095D9C3" w:rsidP="00637A3D">
            <w:pPr>
              <w:spacing w:before="40" w:after="40"/>
              <w:ind w:left="27" w:hanging="27"/>
              <w:rPr>
                <w:rFonts w:ascii="Arial Narrow" w:hAnsi="Arial Narrow"/>
                <w:sz w:val="20"/>
                <w:szCs w:val="20"/>
              </w:rPr>
            </w:pPr>
            <w:r w:rsidRPr="00AF13FE">
              <w:rPr>
                <w:rFonts w:ascii="Arial Narrow" w:eastAsia="Arial Narrow" w:hAnsi="Arial Narrow" w:cs="Arial Narrow"/>
                <w:color w:val="000000" w:themeColor="text1"/>
                <w:sz w:val="20"/>
                <w:szCs w:val="20"/>
              </w:rPr>
              <w:t>Population</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9F5F1" w14:textId="3324ED18" w:rsidR="7095D9C3" w:rsidRPr="00637A3D" w:rsidRDefault="7095D9C3" w:rsidP="00637A3D">
            <w:pPr>
              <w:spacing w:before="40" w:after="40"/>
              <w:ind w:left="27" w:hanging="27"/>
              <w:rPr>
                <w:rFonts w:ascii="Arial Narrow" w:hAnsi="Arial Narrow"/>
                <w:sz w:val="20"/>
                <w:szCs w:val="20"/>
              </w:rPr>
            </w:pPr>
            <w:proofErr w:type="spellStart"/>
            <w:r w:rsidRPr="00AF13FE">
              <w:rPr>
                <w:rFonts w:ascii="Arial Narrow" w:eastAsia="Arial Narrow" w:hAnsi="Arial Narrow" w:cs="Arial Narrow"/>
                <w:color w:val="000000" w:themeColor="text1"/>
                <w:sz w:val="20"/>
                <w:szCs w:val="20"/>
              </w:rPr>
              <w:t>Patients</w:t>
            </w:r>
            <w:r w:rsidRPr="00AF13FE">
              <w:rPr>
                <w:rFonts w:ascii="Arial Narrow" w:eastAsia="Arial Narrow" w:hAnsi="Arial Narrow" w:cs="Arial Narrow"/>
                <w:color w:val="000000" w:themeColor="text1"/>
                <w:sz w:val="20"/>
                <w:szCs w:val="20"/>
                <w:vertAlign w:val="superscript"/>
              </w:rPr>
              <w:t>a</w:t>
            </w:r>
            <w:proofErr w:type="spellEnd"/>
            <w:r w:rsidRPr="001C3338">
              <w:rPr>
                <w:rFonts w:ascii="Arial Narrow" w:eastAsia="Arial Narrow" w:hAnsi="Arial Narrow" w:cs="Arial Narrow"/>
                <w:color w:val="000000" w:themeColor="text1"/>
                <w:sz w:val="20"/>
                <w:szCs w:val="20"/>
              </w:rPr>
              <w:t xml:space="preserve"> in whom single-chamber ventricular pacing (mode VVIR) is indicated due to one or more of the following conditions:</w:t>
            </w:r>
          </w:p>
          <w:p w14:paraId="27BDD478" w14:textId="6AE03E49" w:rsidR="7095D9C3" w:rsidRPr="00637A3D" w:rsidRDefault="7095D9C3" w:rsidP="00637A3D">
            <w:pPr>
              <w:spacing w:before="40" w:after="40"/>
              <w:ind w:left="296"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 xml:space="preserve">symptomatic paroxysmal or permanent high-grade </w:t>
            </w:r>
            <w:r w:rsidRPr="00CB5603">
              <w:rPr>
                <w:rFonts w:ascii="Arial Narrow" w:eastAsia="Arial Narrow" w:hAnsi="Arial Narrow" w:cs="Arial Narrow"/>
                <w:color w:val="000000" w:themeColor="text1"/>
                <w:sz w:val="20"/>
                <w:szCs w:val="20"/>
              </w:rPr>
              <w:t>AV block in the presence of</w:t>
            </w:r>
            <w:r w:rsidR="00CB5603" w:rsidRPr="00CB5603">
              <w:rPr>
                <w:rFonts w:ascii="Arial Narrow" w:eastAsia="Arial Narrow" w:hAnsi="Arial Narrow" w:cs="Arial Narrow"/>
                <w:color w:val="000000" w:themeColor="text1"/>
                <w:sz w:val="20"/>
                <w:szCs w:val="20"/>
              </w:rPr>
              <w:t xml:space="preserve"> </w:t>
            </w:r>
            <w:r w:rsidRPr="00CB5603">
              <w:rPr>
                <w:rFonts w:ascii="Arial Narrow" w:eastAsia="Arial Narrow" w:hAnsi="Arial Narrow" w:cs="Arial Narrow"/>
                <w:color w:val="000000" w:themeColor="text1"/>
                <w:sz w:val="20"/>
                <w:szCs w:val="20"/>
              </w:rPr>
              <w:t>AF</w:t>
            </w:r>
          </w:p>
          <w:p w14:paraId="5207169F" w14:textId="37C26AA9" w:rsidR="7095D9C3" w:rsidRPr="00637A3D" w:rsidRDefault="7095D9C3" w:rsidP="00637A3D">
            <w:pPr>
              <w:spacing w:before="40" w:after="40"/>
              <w:ind w:left="296"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 xml:space="preserve">symptomatic paroxysmal or permanent high-grade AV block in the absence of AF, as an alternative to </w:t>
            </w:r>
            <w:proofErr w:type="gramStart"/>
            <w:r w:rsidRPr="00AF13FE">
              <w:rPr>
                <w:rFonts w:ascii="Arial Narrow" w:eastAsia="Arial Narrow" w:hAnsi="Arial Narrow" w:cs="Arial Narrow"/>
                <w:color w:val="000000" w:themeColor="text1"/>
                <w:sz w:val="20"/>
                <w:szCs w:val="20"/>
              </w:rPr>
              <w:t>dual-chamber</w:t>
            </w:r>
            <w:proofErr w:type="gramEnd"/>
            <w:r w:rsidRPr="00AF13FE">
              <w:rPr>
                <w:rFonts w:ascii="Arial Narrow" w:eastAsia="Arial Narrow" w:hAnsi="Arial Narrow" w:cs="Arial Narrow"/>
                <w:color w:val="000000" w:themeColor="text1"/>
                <w:sz w:val="20"/>
                <w:szCs w:val="20"/>
              </w:rPr>
              <w:t xml:space="preserve"> pacing</w:t>
            </w:r>
            <w:r w:rsidRPr="00CB5603">
              <w:rPr>
                <w:rFonts w:ascii="Arial Narrow" w:eastAsia="Arial Narrow" w:hAnsi="Arial Narrow" w:cs="Arial Narrow"/>
                <w:color w:val="000000" w:themeColor="text1"/>
                <w:sz w:val="20"/>
                <w:szCs w:val="20"/>
              </w:rPr>
              <w:t xml:space="preserve"> when atrial lead placement is considered difficult, high risk or not deemed necessary for effective therapy</w:t>
            </w:r>
          </w:p>
          <w:p w14:paraId="367C8080" w14:textId="7B435512" w:rsidR="7095D9C3" w:rsidRPr="00637A3D" w:rsidRDefault="7095D9C3" w:rsidP="00637A3D">
            <w:pPr>
              <w:spacing w:before="40" w:after="40"/>
              <w:ind w:left="296"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 xml:space="preserve">symptomatic </w:t>
            </w:r>
            <w:r w:rsidRPr="00CB5603">
              <w:rPr>
                <w:rFonts w:ascii="Arial Narrow" w:eastAsia="Arial Narrow" w:hAnsi="Arial Narrow" w:cs="Arial Narrow"/>
                <w:color w:val="000000" w:themeColor="text1"/>
                <w:sz w:val="20"/>
                <w:szCs w:val="20"/>
              </w:rPr>
              <w:t xml:space="preserve">SND, as an alternative to atrial or </w:t>
            </w:r>
            <w:proofErr w:type="gramStart"/>
            <w:r w:rsidRPr="00CB5603">
              <w:rPr>
                <w:rFonts w:ascii="Arial Narrow" w:eastAsia="Arial Narrow" w:hAnsi="Arial Narrow" w:cs="Arial Narrow"/>
                <w:color w:val="000000" w:themeColor="text1"/>
                <w:sz w:val="20"/>
                <w:szCs w:val="20"/>
              </w:rPr>
              <w:t>dual-chamber</w:t>
            </w:r>
            <w:proofErr w:type="gramEnd"/>
            <w:r w:rsidRPr="00CB5603">
              <w:rPr>
                <w:rFonts w:ascii="Arial Narrow" w:eastAsia="Arial Narrow" w:hAnsi="Arial Narrow" w:cs="Arial Narrow"/>
                <w:color w:val="000000" w:themeColor="text1"/>
                <w:sz w:val="20"/>
                <w:szCs w:val="20"/>
              </w:rPr>
              <w:t xml:space="preserve"> pacing when atrial lead placement is considered difficult, high risk or not deemed necessary for effective therapy.</w:t>
            </w:r>
          </w:p>
        </w:tc>
      </w:tr>
      <w:tr w:rsidR="7095D9C3" w:rsidRPr="00CB5603" w14:paraId="355EB99A" w14:textId="77777777" w:rsidTr="7095D9C3">
        <w:trPr>
          <w:trHeight w:val="15"/>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26BED" w14:textId="4A9A67B8" w:rsidR="7095D9C3" w:rsidRPr="00637A3D" w:rsidRDefault="7095D9C3" w:rsidP="00637A3D">
            <w:pPr>
              <w:spacing w:before="40" w:after="40"/>
              <w:ind w:left="27" w:hanging="27"/>
              <w:rPr>
                <w:rFonts w:ascii="Arial Narrow" w:hAnsi="Arial Narrow"/>
                <w:sz w:val="20"/>
                <w:szCs w:val="20"/>
              </w:rPr>
            </w:pPr>
            <w:r w:rsidRPr="00AF13FE">
              <w:rPr>
                <w:rFonts w:ascii="Arial Narrow" w:eastAsia="Arial Narrow" w:hAnsi="Arial Narrow" w:cs="Arial Narrow"/>
                <w:color w:val="000000" w:themeColor="text1"/>
                <w:sz w:val="20"/>
                <w:szCs w:val="20"/>
              </w:rPr>
              <w:t>Intervention</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42335" w14:textId="048D1AEA" w:rsidR="7095D9C3" w:rsidRPr="00637A3D" w:rsidRDefault="7095D9C3" w:rsidP="00637A3D">
            <w:pPr>
              <w:spacing w:before="40" w:after="40"/>
              <w:ind w:left="27" w:hanging="27"/>
              <w:rPr>
                <w:rFonts w:ascii="Arial Narrow" w:hAnsi="Arial Narrow"/>
                <w:sz w:val="20"/>
                <w:szCs w:val="20"/>
              </w:rPr>
            </w:pPr>
            <w:r w:rsidRPr="00AF13FE">
              <w:rPr>
                <w:rFonts w:ascii="Arial Narrow" w:eastAsia="Arial Narrow" w:hAnsi="Arial Narrow" w:cs="Arial Narrow"/>
                <w:color w:val="000000" w:themeColor="text1"/>
                <w:sz w:val="20"/>
                <w:szCs w:val="20"/>
              </w:rPr>
              <w:t>Percutaneous transcatheter insertion</w:t>
            </w:r>
            <w:r w:rsidRPr="00CB5603">
              <w:rPr>
                <w:rFonts w:ascii="Arial Narrow" w:eastAsia="Arial Narrow" w:hAnsi="Arial Narrow" w:cs="Arial Narrow"/>
                <w:color w:val="000000" w:themeColor="text1"/>
                <w:sz w:val="20"/>
                <w:szCs w:val="20"/>
              </w:rPr>
              <w:t xml:space="preserve"> or retrieval</w:t>
            </w:r>
            <w:r w:rsidR="00AA7CD5" w:rsidRPr="00CB5603">
              <w:rPr>
                <w:rFonts w:ascii="Arial Narrow" w:eastAsia="Arial Narrow" w:hAnsi="Arial Narrow" w:cs="Arial Narrow"/>
                <w:color w:val="000000" w:themeColor="text1"/>
                <w:sz w:val="20"/>
                <w:szCs w:val="20"/>
              </w:rPr>
              <w:t>,</w:t>
            </w:r>
            <w:r w:rsidRPr="00CB5603">
              <w:rPr>
                <w:rFonts w:ascii="Arial Narrow" w:eastAsia="Arial Narrow" w:hAnsi="Arial Narrow" w:cs="Arial Narrow"/>
                <w:color w:val="000000" w:themeColor="text1"/>
                <w:sz w:val="20"/>
                <w:szCs w:val="20"/>
              </w:rPr>
              <w:t xml:space="preserve"> with or without replacement, and surgical explantation, of a (LPM for single-chamber ventricular pacing:</w:t>
            </w:r>
          </w:p>
          <w:p w14:paraId="5C7ACE74" w14:textId="1E623C25" w:rsidR="7095D9C3" w:rsidRPr="00637A3D" w:rsidRDefault="7095D9C3" w:rsidP="00637A3D">
            <w:pPr>
              <w:spacing w:before="40" w:after="40"/>
              <w:ind w:left="296"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 xml:space="preserve">Micra </w:t>
            </w:r>
            <w:r w:rsidR="007549B7">
              <w:rPr>
                <w:rFonts w:ascii="Arial Narrow" w:eastAsia="Arial Narrow" w:hAnsi="Arial Narrow" w:cs="Arial Narrow"/>
                <w:color w:val="000000" w:themeColor="text1"/>
                <w:sz w:val="20"/>
                <w:szCs w:val="20"/>
              </w:rPr>
              <w:t xml:space="preserve">VR </w:t>
            </w:r>
            <w:r w:rsidRPr="00AF13FE">
              <w:rPr>
                <w:rFonts w:ascii="Arial Narrow" w:eastAsia="Arial Narrow" w:hAnsi="Arial Narrow" w:cs="Arial Narrow"/>
                <w:color w:val="000000" w:themeColor="text1"/>
                <w:sz w:val="20"/>
                <w:szCs w:val="20"/>
              </w:rPr>
              <w:t>Transcatheter Pacing System (Medtronic)</w:t>
            </w:r>
          </w:p>
        </w:tc>
      </w:tr>
      <w:tr w:rsidR="7095D9C3" w:rsidRPr="00CB5603" w14:paraId="141C8947" w14:textId="77777777" w:rsidTr="7095D9C3">
        <w:trPr>
          <w:trHeight w:val="15"/>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F338D" w14:textId="2322A44E" w:rsidR="7095D9C3" w:rsidRPr="00637A3D" w:rsidRDefault="7095D9C3" w:rsidP="00637A3D">
            <w:pPr>
              <w:spacing w:before="40" w:after="40"/>
              <w:ind w:left="27" w:hanging="27"/>
              <w:rPr>
                <w:rFonts w:ascii="Arial Narrow" w:hAnsi="Arial Narrow"/>
                <w:sz w:val="20"/>
                <w:szCs w:val="20"/>
              </w:rPr>
            </w:pPr>
            <w:r w:rsidRPr="00AF13FE">
              <w:rPr>
                <w:rFonts w:ascii="Arial Narrow" w:eastAsia="Arial Narrow" w:hAnsi="Arial Narrow" w:cs="Arial Narrow"/>
                <w:color w:val="000000" w:themeColor="text1"/>
                <w:sz w:val="20"/>
                <w:szCs w:val="20"/>
              </w:rPr>
              <w:t>Comparator</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2BBEC" w14:textId="35F4D715" w:rsidR="7095D9C3" w:rsidRPr="00637A3D" w:rsidRDefault="7095D9C3" w:rsidP="00637A3D">
            <w:pPr>
              <w:spacing w:before="40" w:after="40"/>
              <w:ind w:left="27" w:hanging="27"/>
              <w:rPr>
                <w:rFonts w:ascii="Arial Narrow" w:hAnsi="Arial Narrow"/>
                <w:sz w:val="20"/>
                <w:szCs w:val="20"/>
              </w:rPr>
            </w:pPr>
            <w:r w:rsidRPr="00AF13FE">
              <w:rPr>
                <w:rFonts w:ascii="Arial Narrow" w:eastAsia="Arial Narrow" w:hAnsi="Arial Narrow" w:cs="Arial Narrow"/>
                <w:color w:val="000000" w:themeColor="text1"/>
                <w:sz w:val="20"/>
                <w:szCs w:val="20"/>
              </w:rPr>
              <w:t xml:space="preserve">Standard single-chamber </w:t>
            </w:r>
            <w:r w:rsidRPr="00CB5603">
              <w:rPr>
                <w:rFonts w:ascii="Arial Narrow" w:eastAsia="Arial Narrow" w:hAnsi="Arial Narrow" w:cs="Arial Narrow"/>
                <w:color w:val="000000" w:themeColor="text1"/>
                <w:sz w:val="20"/>
                <w:szCs w:val="20"/>
              </w:rPr>
              <w:t>TVPM</w:t>
            </w:r>
          </w:p>
        </w:tc>
      </w:tr>
      <w:tr w:rsidR="7095D9C3" w:rsidRPr="00CB5603" w14:paraId="460B43CF" w14:textId="77777777" w:rsidTr="7095D9C3">
        <w:trPr>
          <w:trHeight w:val="15"/>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6162B" w14:textId="2A820FF2" w:rsidR="7095D9C3" w:rsidRPr="003E1E85" w:rsidRDefault="7095D9C3" w:rsidP="00637A3D">
            <w:pPr>
              <w:spacing w:before="40" w:after="40"/>
              <w:ind w:left="296" w:hanging="296"/>
              <w:rPr>
                <w:rFonts w:ascii="Arial Narrow" w:hAnsi="Arial Narrow"/>
                <w:b/>
                <w:sz w:val="20"/>
                <w:szCs w:val="20"/>
                <w:vertAlign w:val="superscript"/>
              </w:rPr>
            </w:pPr>
            <w:proofErr w:type="spellStart"/>
            <w:r w:rsidRPr="00AF13FE">
              <w:rPr>
                <w:rFonts w:ascii="Arial Narrow" w:eastAsia="Arial Narrow" w:hAnsi="Arial Narrow" w:cs="Arial Narrow"/>
                <w:color w:val="000000" w:themeColor="text1"/>
                <w:sz w:val="20"/>
                <w:szCs w:val="20"/>
              </w:rPr>
              <w:t>Outcomes</w:t>
            </w:r>
            <w:r w:rsidR="00B6434C">
              <w:rPr>
                <w:rFonts w:ascii="Arial Narrow" w:eastAsia="Arial Narrow" w:hAnsi="Arial Narrow" w:cs="Arial Narrow"/>
                <w:b/>
                <w:color w:val="000000" w:themeColor="text1"/>
                <w:sz w:val="20"/>
                <w:szCs w:val="20"/>
                <w:vertAlign w:val="superscript"/>
              </w:rPr>
              <w:t>b</w:t>
            </w:r>
            <w:proofErr w:type="spellEnd"/>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D106F" w14:textId="7F824449" w:rsidR="7095D9C3" w:rsidRPr="00637A3D" w:rsidRDefault="7095D9C3" w:rsidP="00637A3D">
            <w:pPr>
              <w:spacing w:before="40" w:after="40"/>
              <w:ind w:left="296" w:hanging="296"/>
              <w:rPr>
                <w:rFonts w:ascii="Arial Narrow" w:hAnsi="Arial Narrow"/>
                <w:sz w:val="20"/>
                <w:szCs w:val="20"/>
              </w:rPr>
            </w:pPr>
            <w:r w:rsidRPr="00AF13FE">
              <w:rPr>
                <w:rFonts w:ascii="Arial Narrow" w:eastAsia="Arial Narrow" w:hAnsi="Arial Narrow" w:cs="Arial Narrow"/>
                <w:color w:val="000000" w:themeColor="text1"/>
                <w:sz w:val="20"/>
                <w:szCs w:val="20"/>
              </w:rPr>
              <w:t>Technical performance</w:t>
            </w:r>
          </w:p>
          <w:p w14:paraId="56B61CB9" w14:textId="4506EA06"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pacing performance (sensing, impedance, pacing threshold)</w:t>
            </w:r>
          </w:p>
          <w:p w14:paraId="12604078" w14:textId="2436B17C"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battery life</w:t>
            </w:r>
          </w:p>
          <w:p w14:paraId="7A4B1D67" w14:textId="26A745DC"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adaptability (rate response)</w:t>
            </w:r>
          </w:p>
          <w:p w14:paraId="212AED95" w14:textId="33866FB7" w:rsidR="7095D9C3" w:rsidRPr="00637A3D" w:rsidRDefault="7095D9C3" w:rsidP="00637A3D">
            <w:pPr>
              <w:spacing w:before="40" w:after="40"/>
              <w:ind w:left="296" w:hanging="296"/>
              <w:rPr>
                <w:rFonts w:ascii="Arial Narrow" w:hAnsi="Arial Narrow"/>
                <w:sz w:val="20"/>
                <w:szCs w:val="20"/>
              </w:rPr>
            </w:pPr>
            <w:r w:rsidRPr="00AF13FE">
              <w:rPr>
                <w:rFonts w:ascii="Arial Narrow" w:eastAsia="Arial Narrow" w:hAnsi="Arial Narrow" w:cs="Arial Narrow"/>
                <w:color w:val="000000" w:themeColor="text1"/>
                <w:sz w:val="20"/>
                <w:szCs w:val="20"/>
              </w:rPr>
              <w:t>Patient-relevant effectiveness outcomes</w:t>
            </w:r>
          </w:p>
          <w:p w14:paraId="0440DF92" w14:textId="61DABCD0"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mortality (all-cause and cardiovascular)</w:t>
            </w:r>
          </w:p>
          <w:p w14:paraId="231E2563" w14:textId="3A795B8D"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exercise capacity</w:t>
            </w:r>
          </w:p>
          <w:p w14:paraId="151DDC31" w14:textId="44A01081"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change of medication</w:t>
            </w:r>
          </w:p>
          <w:p w14:paraId="76090CE9" w14:textId="39A646CE"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progression or recurrence of cardiac arrhythmias</w:t>
            </w:r>
          </w:p>
          <w:p w14:paraId="3EE2D9E1" w14:textId="4929E549"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switch to an alternative device (a different pacemaker or defibrillator)</w:t>
            </w:r>
          </w:p>
          <w:p w14:paraId="49EAEB8F" w14:textId="1B79205D"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symptoms of cardiac arrhythmias (pre-syncope or syncope)</w:t>
            </w:r>
          </w:p>
          <w:p w14:paraId="7A3CB9C2" w14:textId="48951E49"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health-related quality of life</w:t>
            </w:r>
          </w:p>
          <w:p w14:paraId="1CF09DD9" w14:textId="24347FF8"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patient satisfaction</w:t>
            </w:r>
          </w:p>
          <w:p w14:paraId="50172C37" w14:textId="2C432093" w:rsidR="7095D9C3" w:rsidRPr="00637A3D" w:rsidRDefault="7095D9C3" w:rsidP="00637A3D">
            <w:pPr>
              <w:spacing w:before="40" w:after="40"/>
              <w:ind w:left="296" w:hanging="296"/>
              <w:rPr>
                <w:rFonts w:ascii="Arial Narrow" w:hAnsi="Arial Narrow"/>
                <w:sz w:val="20"/>
                <w:szCs w:val="20"/>
              </w:rPr>
            </w:pPr>
            <w:r w:rsidRPr="00AF13FE">
              <w:rPr>
                <w:rFonts w:ascii="Arial Narrow" w:eastAsia="Arial Narrow" w:hAnsi="Arial Narrow" w:cs="Arial Narrow"/>
                <w:color w:val="000000" w:themeColor="text1"/>
                <w:sz w:val="20"/>
                <w:szCs w:val="20"/>
              </w:rPr>
              <w:t>Safety outcomes</w:t>
            </w:r>
          </w:p>
          <w:p w14:paraId="6EC3F722" w14:textId="298FF85D"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major procedure-related complications (infection, pericardial effusion, cardiac tamponade/perforation, thromboembolism, vascular complications [bleeding, arteriovenous/atrioventricular fistula, pseudoaneurysm, haematoma])</w:t>
            </w:r>
          </w:p>
          <w:p w14:paraId="14542E06" w14:textId="0CEC23C3"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0080543B">
              <w:rPr>
                <w:rFonts w:ascii="Arial Narrow" w:eastAsia="Arial Narrow" w:hAnsi="Arial Narrow" w:cs="Arial Narrow"/>
                <w:color w:val="000000" w:themeColor="text1"/>
                <w:sz w:val="20"/>
                <w:szCs w:val="20"/>
              </w:rPr>
              <w:t>r</w:t>
            </w:r>
            <w:r w:rsidR="0080543B" w:rsidRPr="00AF13FE">
              <w:rPr>
                <w:rFonts w:ascii="Arial Narrow" w:eastAsia="Arial Narrow" w:hAnsi="Arial Narrow" w:cs="Arial Narrow"/>
                <w:color w:val="000000" w:themeColor="text1"/>
                <w:sz w:val="20"/>
                <w:szCs w:val="20"/>
              </w:rPr>
              <w:t xml:space="preserve">ight </w:t>
            </w:r>
            <w:r w:rsidRPr="00AF13FE">
              <w:rPr>
                <w:rFonts w:ascii="Arial Narrow" w:eastAsia="Arial Narrow" w:hAnsi="Arial Narrow" w:cs="Arial Narrow"/>
                <w:color w:val="000000" w:themeColor="text1"/>
                <w:sz w:val="20"/>
                <w:szCs w:val="20"/>
              </w:rPr>
              <w:t>ventricular dysfunction</w:t>
            </w:r>
          </w:p>
          <w:p w14:paraId="696E7A3F" w14:textId="15565917"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0080543B">
              <w:rPr>
                <w:rFonts w:ascii="Arial Narrow" w:eastAsia="Arial Narrow" w:hAnsi="Arial Narrow" w:cs="Arial Narrow"/>
                <w:color w:val="000000" w:themeColor="text1"/>
                <w:sz w:val="20"/>
                <w:szCs w:val="20"/>
              </w:rPr>
              <w:t>a</w:t>
            </w:r>
            <w:r w:rsidR="0080543B" w:rsidRPr="00AF13FE">
              <w:rPr>
                <w:rFonts w:ascii="Arial Narrow" w:eastAsia="Arial Narrow" w:hAnsi="Arial Narrow" w:cs="Arial Narrow"/>
                <w:color w:val="000000" w:themeColor="text1"/>
                <w:sz w:val="20"/>
                <w:szCs w:val="20"/>
              </w:rPr>
              <w:t xml:space="preserve">trioventricular </w:t>
            </w:r>
            <w:r w:rsidRPr="00AF13FE">
              <w:rPr>
                <w:rFonts w:ascii="Arial Narrow" w:eastAsia="Arial Narrow" w:hAnsi="Arial Narrow" w:cs="Arial Narrow"/>
                <w:color w:val="000000" w:themeColor="text1"/>
                <w:sz w:val="20"/>
                <w:szCs w:val="20"/>
              </w:rPr>
              <w:t>(</w:t>
            </w:r>
            <w:r w:rsidRPr="00CB5603">
              <w:rPr>
                <w:rFonts w:ascii="Arial Narrow" w:eastAsia="Arial Narrow" w:hAnsi="Arial Narrow" w:cs="Arial Narrow"/>
                <w:color w:val="000000" w:themeColor="text1"/>
                <w:sz w:val="20"/>
                <w:szCs w:val="20"/>
              </w:rPr>
              <w:t xml:space="preserve">tricuspid </w:t>
            </w:r>
            <w:r w:rsidR="0080543B">
              <w:rPr>
                <w:rFonts w:ascii="Arial Narrow" w:eastAsia="Arial Narrow" w:hAnsi="Arial Narrow" w:cs="Arial Narrow"/>
                <w:color w:val="000000" w:themeColor="text1"/>
                <w:sz w:val="20"/>
                <w:szCs w:val="20"/>
              </w:rPr>
              <w:t>and</w:t>
            </w:r>
            <w:r w:rsidR="0080543B" w:rsidRPr="00AF13FE">
              <w:rPr>
                <w:rFonts w:ascii="Arial Narrow" w:eastAsia="Arial Narrow" w:hAnsi="Arial Narrow" w:cs="Arial Narrow"/>
                <w:color w:val="000000" w:themeColor="text1"/>
                <w:sz w:val="20"/>
                <w:szCs w:val="20"/>
              </w:rPr>
              <w:t xml:space="preserve"> </w:t>
            </w:r>
            <w:r w:rsidRPr="00AF13FE">
              <w:rPr>
                <w:rFonts w:ascii="Arial Narrow" w:eastAsia="Arial Narrow" w:hAnsi="Arial Narrow" w:cs="Arial Narrow"/>
                <w:color w:val="000000" w:themeColor="text1"/>
                <w:sz w:val="20"/>
                <w:szCs w:val="20"/>
              </w:rPr>
              <w:t>mitral) valve regurgitation</w:t>
            </w:r>
          </w:p>
          <w:p w14:paraId="5359F9A9" w14:textId="2CA4846C"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00B16BD1">
              <w:rPr>
                <w:rFonts w:ascii="Arial Narrow" w:eastAsia="Arial Narrow" w:hAnsi="Arial Narrow" w:cs="Arial Narrow"/>
                <w:color w:val="000000" w:themeColor="text1"/>
                <w:sz w:val="20"/>
                <w:szCs w:val="20"/>
              </w:rPr>
              <w:t>p</w:t>
            </w:r>
            <w:r w:rsidR="00B16BD1" w:rsidRPr="00AF13FE">
              <w:rPr>
                <w:rFonts w:ascii="Arial Narrow" w:eastAsia="Arial Narrow" w:hAnsi="Arial Narrow" w:cs="Arial Narrow"/>
                <w:color w:val="000000" w:themeColor="text1"/>
                <w:sz w:val="20"/>
                <w:szCs w:val="20"/>
              </w:rPr>
              <w:t xml:space="preserve">acemaker </w:t>
            </w:r>
            <w:r w:rsidRPr="00AF13FE">
              <w:rPr>
                <w:rFonts w:ascii="Arial Narrow" w:eastAsia="Arial Narrow" w:hAnsi="Arial Narrow" w:cs="Arial Narrow"/>
                <w:color w:val="000000" w:themeColor="text1"/>
                <w:sz w:val="20"/>
                <w:szCs w:val="20"/>
              </w:rPr>
              <w:t>syndrome</w:t>
            </w:r>
          </w:p>
          <w:p w14:paraId="13987EA5" w14:textId="46811C6D"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major device-related complications (device dislodgement, device malfunction, battery failure, device infection, pacemaker-induced arrhythmia)</w:t>
            </w:r>
          </w:p>
          <w:p w14:paraId="1E635FCF" w14:textId="02B80D09"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device revision, retrieval, replacement, explantation</w:t>
            </w:r>
          </w:p>
          <w:p w14:paraId="518B66BC" w14:textId="3A80F610"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any serious adverse event</w:t>
            </w:r>
          </w:p>
          <w:p w14:paraId="1D5D9808" w14:textId="6D1085E8" w:rsidR="7095D9C3" w:rsidRPr="00637A3D" w:rsidRDefault="7095D9C3" w:rsidP="00637A3D">
            <w:pPr>
              <w:spacing w:before="40" w:after="40"/>
              <w:ind w:left="296" w:hanging="296"/>
              <w:rPr>
                <w:rFonts w:ascii="Arial Narrow" w:hAnsi="Arial Narrow"/>
                <w:sz w:val="20"/>
                <w:szCs w:val="20"/>
              </w:rPr>
            </w:pPr>
            <w:r w:rsidRPr="00AF13FE">
              <w:rPr>
                <w:rFonts w:ascii="Arial Narrow" w:eastAsia="Arial Narrow" w:hAnsi="Arial Narrow" w:cs="Arial Narrow"/>
                <w:color w:val="000000" w:themeColor="text1"/>
                <w:sz w:val="20"/>
                <w:szCs w:val="20"/>
              </w:rPr>
              <w:t>Health care resources</w:t>
            </w:r>
          </w:p>
          <w:p w14:paraId="6B39B1E0" w14:textId="16A40F5D"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procedure duration</w:t>
            </w:r>
          </w:p>
          <w:p w14:paraId="1795655E" w14:textId="633162CB"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implant success rate</w:t>
            </w:r>
          </w:p>
          <w:p w14:paraId="073C9349" w14:textId="6A1E430F"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time to hospital discharge</w:t>
            </w:r>
          </w:p>
          <w:p w14:paraId="6D1A471A" w14:textId="2289F1B2"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lastRenderedPageBreak/>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procedure-related and follow</w:t>
            </w:r>
            <w:r w:rsidR="00B16BD1">
              <w:rPr>
                <w:rFonts w:ascii="Arial Narrow" w:eastAsia="Arial Narrow" w:hAnsi="Arial Narrow" w:cs="Arial Narrow"/>
                <w:color w:val="000000" w:themeColor="text1"/>
                <w:sz w:val="20"/>
                <w:szCs w:val="20"/>
              </w:rPr>
              <w:t>-</w:t>
            </w:r>
            <w:r w:rsidRPr="00CB5603">
              <w:rPr>
                <w:rFonts w:ascii="Arial Narrow" w:eastAsia="Arial Narrow" w:hAnsi="Arial Narrow" w:cs="Arial Narrow"/>
                <w:color w:val="000000" w:themeColor="text1"/>
                <w:sz w:val="20"/>
                <w:szCs w:val="20"/>
              </w:rPr>
              <w:t>up costs (including downstream hospitalisations and device monitoring)</w:t>
            </w:r>
          </w:p>
          <w:p w14:paraId="1DEA8FC6" w14:textId="0782A1AB"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cost of device and consumables</w:t>
            </w:r>
          </w:p>
          <w:p w14:paraId="5F244F87" w14:textId="2109F589" w:rsidR="7095D9C3" w:rsidRPr="00637A3D" w:rsidRDefault="7095D9C3" w:rsidP="00637A3D">
            <w:pPr>
              <w:spacing w:before="40" w:after="40"/>
              <w:ind w:left="296" w:hanging="296"/>
              <w:rPr>
                <w:rFonts w:ascii="Arial Narrow" w:hAnsi="Arial Narrow"/>
                <w:sz w:val="20"/>
                <w:szCs w:val="20"/>
              </w:rPr>
            </w:pPr>
            <w:r w:rsidRPr="00AF13FE">
              <w:rPr>
                <w:rFonts w:ascii="Arial Narrow" w:eastAsia="Arial Narrow" w:hAnsi="Arial Narrow" w:cs="Arial Narrow"/>
                <w:color w:val="000000" w:themeColor="text1"/>
                <w:sz w:val="20"/>
                <w:szCs w:val="20"/>
              </w:rPr>
              <w:t>Total Australian Government health</w:t>
            </w:r>
            <w:r w:rsidRPr="00CB5603">
              <w:rPr>
                <w:rFonts w:ascii="Arial Narrow" w:eastAsia="Arial Narrow" w:hAnsi="Arial Narrow" w:cs="Arial Narrow"/>
                <w:color w:val="000000" w:themeColor="text1"/>
                <w:sz w:val="20"/>
                <w:szCs w:val="20"/>
              </w:rPr>
              <w:t>care costs</w:t>
            </w:r>
          </w:p>
          <w:p w14:paraId="20B1A929" w14:textId="161D4145"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total cost to the Medicare Benefits Schedule</w:t>
            </w:r>
          </w:p>
          <w:p w14:paraId="3DDE513A" w14:textId="7B5DA5E4" w:rsidR="7095D9C3" w:rsidRPr="00637A3D" w:rsidRDefault="7095D9C3" w:rsidP="00637A3D">
            <w:pPr>
              <w:spacing w:before="40" w:after="40"/>
              <w:ind w:left="592" w:hanging="296"/>
              <w:rPr>
                <w:rFonts w:ascii="Arial Narrow" w:hAnsi="Arial Narrow"/>
                <w:sz w:val="20"/>
                <w:szCs w:val="20"/>
              </w:rPr>
            </w:pPr>
            <w:r w:rsidRPr="00AF13FE">
              <w:rPr>
                <w:rFonts w:ascii="Arial Narrow" w:eastAsia="Arial Narrow" w:hAnsi="Arial Narrow" w:cs="Arial Narrow"/>
                <w:color w:val="000000" w:themeColor="text1"/>
                <w:sz w:val="20"/>
                <w:szCs w:val="20"/>
              </w:rPr>
              <w:t>•</w:t>
            </w:r>
            <w:r w:rsidRPr="00637A3D">
              <w:rPr>
                <w:rFonts w:ascii="Arial Narrow" w:hAnsi="Arial Narrow"/>
                <w:sz w:val="20"/>
                <w:szCs w:val="20"/>
              </w:rPr>
              <w:tab/>
            </w:r>
            <w:r w:rsidRPr="00AF13FE">
              <w:rPr>
                <w:rFonts w:ascii="Arial Narrow" w:eastAsia="Arial Narrow" w:hAnsi="Arial Narrow" w:cs="Arial Narrow"/>
                <w:color w:val="000000" w:themeColor="text1"/>
                <w:sz w:val="20"/>
                <w:szCs w:val="20"/>
              </w:rPr>
              <w:t>total cost to other health</w:t>
            </w:r>
            <w:r w:rsidRPr="00CB5603">
              <w:rPr>
                <w:rFonts w:ascii="Arial Narrow" w:eastAsia="Arial Narrow" w:hAnsi="Arial Narrow" w:cs="Arial Narrow"/>
                <w:color w:val="000000" w:themeColor="text1"/>
                <w:sz w:val="20"/>
                <w:szCs w:val="20"/>
              </w:rPr>
              <w:t>care budgets</w:t>
            </w:r>
          </w:p>
        </w:tc>
      </w:tr>
      <w:tr w:rsidR="7095D9C3" w:rsidRPr="00CB5603" w14:paraId="1492A18D" w14:textId="77777777" w:rsidTr="7095D9C3">
        <w:trPr>
          <w:trHeight w:val="15"/>
        </w:trPr>
        <w:tc>
          <w:tcPr>
            <w:tcW w:w="9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56E84" w14:textId="6BA99C67" w:rsidR="7095D9C3" w:rsidRPr="00637A3D" w:rsidRDefault="7095D9C3" w:rsidP="00637A3D">
            <w:pPr>
              <w:spacing w:before="40" w:after="40"/>
              <w:rPr>
                <w:rFonts w:ascii="Arial Narrow" w:hAnsi="Arial Narrow"/>
                <w:sz w:val="20"/>
                <w:szCs w:val="20"/>
              </w:rPr>
            </w:pPr>
            <w:r w:rsidRPr="00AF13FE">
              <w:rPr>
                <w:rFonts w:ascii="Arial Narrow" w:eastAsia="Arial Narrow" w:hAnsi="Arial Narrow" w:cs="Arial Narrow"/>
                <w:b/>
                <w:bCs/>
                <w:color w:val="000000" w:themeColor="text1"/>
                <w:sz w:val="20"/>
                <w:szCs w:val="20"/>
              </w:rPr>
              <w:lastRenderedPageBreak/>
              <w:t>Systematic review questions:</w:t>
            </w:r>
          </w:p>
          <w:p w14:paraId="4283E6F7" w14:textId="4CCA64BF" w:rsidR="7095D9C3" w:rsidRPr="00637A3D" w:rsidRDefault="7095D9C3" w:rsidP="00637A3D">
            <w:pPr>
              <w:spacing w:before="40" w:after="40"/>
              <w:ind w:left="27" w:hanging="27"/>
              <w:rPr>
                <w:rFonts w:ascii="Arial Narrow" w:hAnsi="Arial Narrow"/>
                <w:sz w:val="20"/>
                <w:szCs w:val="20"/>
              </w:rPr>
            </w:pPr>
            <w:r w:rsidRPr="00AF13FE">
              <w:rPr>
                <w:rFonts w:ascii="Arial Narrow" w:eastAsia="Arial Narrow" w:hAnsi="Arial Narrow" w:cs="Arial Narrow"/>
                <w:color w:val="000000" w:themeColor="text1"/>
                <w:sz w:val="20"/>
                <w:szCs w:val="20"/>
              </w:rPr>
              <w:t xml:space="preserve">What is the safety, </w:t>
            </w:r>
            <w:proofErr w:type="gramStart"/>
            <w:r w:rsidRPr="00AF13FE">
              <w:rPr>
                <w:rFonts w:ascii="Arial Narrow" w:eastAsia="Arial Narrow" w:hAnsi="Arial Narrow" w:cs="Arial Narrow"/>
                <w:color w:val="000000" w:themeColor="text1"/>
                <w:sz w:val="20"/>
                <w:szCs w:val="20"/>
              </w:rPr>
              <w:t>effectiveness</w:t>
            </w:r>
            <w:proofErr w:type="gramEnd"/>
            <w:r w:rsidRPr="00AF13FE">
              <w:rPr>
                <w:rFonts w:ascii="Arial Narrow" w:eastAsia="Arial Narrow" w:hAnsi="Arial Narrow" w:cs="Arial Narrow"/>
                <w:color w:val="000000" w:themeColor="text1"/>
                <w:sz w:val="20"/>
                <w:szCs w:val="20"/>
              </w:rPr>
              <w:t xml:space="preserve"> and cost</w:t>
            </w:r>
            <w:r w:rsidR="00B47CB2">
              <w:rPr>
                <w:rFonts w:ascii="Arial Narrow" w:eastAsia="Arial Narrow" w:hAnsi="Arial Narrow" w:cs="Arial Narrow"/>
                <w:color w:val="000000" w:themeColor="text1"/>
                <w:sz w:val="20"/>
                <w:szCs w:val="20"/>
              </w:rPr>
              <w:t xml:space="preserve"> </w:t>
            </w:r>
            <w:r w:rsidRPr="00AF13FE">
              <w:rPr>
                <w:rFonts w:ascii="Arial Narrow" w:eastAsia="Arial Narrow" w:hAnsi="Arial Narrow" w:cs="Arial Narrow"/>
                <w:color w:val="000000" w:themeColor="text1"/>
                <w:sz w:val="20"/>
                <w:szCs w:val="20"/>
              </w:rPr>
              <w:t xml:space="preserve">effectiveness of fully implantable </w:t>
            </w:r>
            <w:r w:rsidRPr="00CB5603">
              <w:rPr>
                <w:rFonts w:ascii="Arial Narrow" w:eastAsia="Arial Narrow" w:hAnsi="Arial Narrow" w:cs="Arial Narrow"/>
                <w:color w:val="000000" w:themeColor="text1"/>
                <w:sz w:val="20"/>
                <w:szCs w:val="20"/>
              </w:rPr>
              <w:t xml:space="preserve">LPMs versus single-chamber TVPMs for patients with bradyarrhythmia in whom single-chamber ventricular pacing is indicated? </w:t>
            </w:r>
          </w:p>
        </w:tc>
      </w:tr>
    </w:tbl>
    <w:p w14:paraId="214DC1C5" w14:textId="3F7E4D7C" w:rsidR="00C251F5" w:rsidRPr="00637A3D" w:rsidRDefault="00C251F5" w:rsidP="00637A3D">
      <w:pPr>
        <w:pStyle w:val="Notes-TableFigure"/>
        <w:spacing w:before="40" w:after="40"/>
        <w:contextualSpacing w:val="0"/>
        <w:rPr>
          <w:sz w:val="20"/>
          <w:szCs w:val="20"/>
        </w:rPr>
      </w:pPr>
      <w:r w:rsidRPr="00637A3D">
        <w:rPr>
          <w:sz w:val="20"/>
          <w:szCs w:val="20"/>
        </w:rPr>
        <w:t>Abbreviations</w:t>
      </w:r>
      <w:r w:rsidR="002745CD" w:rsidRPr="00637A3D">
        <w:rPr>
          <w:sz w:val="20"/>
          <w:szCs w:val="20"/>
        </w:rPr>
        <w:t>:</w:t>
      </w:r>
      <w:r w:rsidR="00667CA8" w:rsidRPr="00637A3D">
        <w:rPr>
          <w:sz w:val="20"/>
          <w:szCs w:val="20"/>
        </w:rPr>
        <w:t xml:space="preserve"> AF</w:t>
      </w:r>
      <w:r w:rsidR="00477D79" w:rsidRPr="00EC623D">
        <w:rPr>
          <w:sz w:val="20"/>
          <w:szCs w:val="20"/>
        </w:rPr>
        <w:t>,</w:t>
      </w:r>
      <w:r w:rsidR="003B7A3B" w:rsidRPr="00637A3D">
        <w:rPr>
          <w:sz w:val="20"/>
          <w:szCs w:val="20"/>
        </w:rPr>
        <w:t xml:space="preserve"> atrial fibrillation</w:t>
      </w:r>
      <w:r w:rsidR="00667CA8" w:rsidRPr="00637A3D">
        <w:rPr>
          <w:sz w:val="20"/>
          <w:szCs w:val="20"/>
        </w:rPr>
        <w:t>; AV</w:t>
      </w:r>
      <w:r w:rsidR="00CB5603" w:rsidRPr="00EC623D">
        <w:rPr>
          <w:sz w:val="20"/>
          <w:szCs w:val="20"/>
        </w:rPr>
        <w:t>,</w:t>
      </w:r>
      <w:r w:rsidR="00667CA8" w:rsidRPr="00637A3D">
        <w:rPr>
          <w:sz w:val="20"/>
          <w:szCs w:val="20"/>
        </w:rPr>
        <w:t xml:space="preserve"> </w:t>
      </w:r>
      <w:r w:rsidR="003B7A3B" w:rsidRPr="00637A3D">
        <w:rPr>
          <w:sz w:val="20"/>
          <w:szCs w:val="20"/>
        </w:rPr>
        <w:t>atrioventricular</w:t>
      </w:r>
      <w:r w:rsidR="00667CA8" w:rsidRPr="00637A3D">
        <w:rPr>
          <w:sz w:val="20"/>
          <w:szCs w:val="20"/>
        </w:rPr>
        <w:t>;</w:t>
      </w:r>
      <w:r w:rsidR="002745CD" w:rsidRPr="00637A3D">
        <w:rPr>
          <w:sz w:val="20"/>
          <w:szCs w:val="20"/>
        </w:rPr>
        <w:t xml:space="preserve"> LPM</w:t>
      </w:r>
      <w:r w:rsidR="00CB5603" w:rsidRPr="00EC623D">
        <w:rPr>
          <w:sz w:val="20"/>
          <w:szCs w:val="20"/>
        </w:rPr>
        <w:t>,</w:t>
      </w:r>
      <w:r w:rsidR="002745CD" w:rsidRPr="00637A3D">
        <w:rPr>
          <w:sz w:val="20"/>
          <w:szCs w:val="20"/>
        </w:rPr>
        <w:t xml:space="preserve"> leadless pacemaker;</w:t>
      </w:r>
      <w:r w:rsidR="0017179E" w:rsidRPr="00637A3D">
        <w:rPr>
          <w:sz w:val="20"/>
          <w:szCs w:val="20"/>
        </w:rPr>
        <w:t xml:space="preserve"> </w:t>
      </w:r>
      <w:r w:rsidR="00DB2B8C" w:rsidRPr="00637A3D">
        <w:rPr>
          <w:sz w:val="20"/>
          <w:szCs w:val="20"/>
        </w:rPr>
        <w:t>SND</w:t>
      </w:r>
      <w:r w:rsidR="00CB5603" w:rsidRPr="00EC623D">
        <w:rPr>
          <w:sz w:val="20"/>
          <w:szCs w:val="20"/>
        </w:rPr>
        <w:t>,</w:t>
      </w:r>
      <w:r w:rsidR="0017179E" w:rsidRPr="00637A3D">
        <w:rPr>
          <w:sz w:val="20"/>
          <w:szCs w:val="20"/>
        </w:rPr>
        <w:t xml:space="preserve"> </w:t>
      </w:r>
      <w:r w:rsidR="003646ED" w:rsidRPr="00637A3D">
        <w:rPr>
          <w:sz w:val="20"/>
          <w:szCs w:val="20"/>
        </w:rPr>
        <w:t>sinus node dysfunction</w:t>
      </w:r>
      <w:r w:rsidR="0017179E" w:rsidRPr="00637A3D">
        <w:rPr>
          <w:sz w:val="20"/>
          <w:szCs w:val="20"/>
        </w:rPr>
        <w:t>;</w:t>
      </w:r>
      <w:r w:rsidR="002745CD" w:rsidRPr="00637A3D">
        <w:rPr>
          <w:sz w:val="20"/>
          <w:szCs w:val="20"/>
        </w:rPr>
        <w:t xml:space="preserve"> TVPM</w:t>
      </w:r>
      <w:r w:rsidR="00CB5603" w:rsidRPr="00EC623D">
        <w:rPr>
          <w:sz w:val="20"/>
          <w:szCs w:val="20"/>
        </w:rPr>
        <w:t>,</w:t>
      </w:r>
      <w:r w:rsidR="002745CD" w:rsidRPr="00637A3D">
        <w:rPr>
          <w:sz w:val="20"/>
          <w:szCs w:val="20"/>
        </w:rPr>
        <w:t xml:space="preserve"> transvenous pacemaker</w:t>
      </w:r>
      <w:r w:rsidR="003646ED" w:rsidRPr="00637A3D">
        <w:rPr>
          <w:sz w:val="20"/>
          <w:szCs w:val="20"/>
        </w:rPr>
        <w:t xml:space="preserve">; </w:t>
      </w:r>
      <w:r w:rsidR="007549B7" w:rsidRPr="00EC623D">
        <w:rPr>
          <w:sz w:val="20"/>
          <w:szCs w:val="20"/>
        </w:rPr>
        <w:t xml:space="preserve">VR, </w:t>
      </w:r>
      <w:r w:rsidR="007549B7" w:rsidRPr="000061EE">
        <w:rPr>
          <w:sz w:val="20"/>
          <w:szCs w:val="20"/>
        </w:rPr>
        <w:t>ventricular</w:t>
      </w:r>
      <w:r w:rsidR="001C3338" w:rsidRPr="000061EE">
        <w:rPr>
          <w:sz w:val="20"/>
          <w:szCs w:val="20"/>
        </w:rPr>
        <w:t xml:space="preserve">; </w:t>
      </w:r>
      <w:r w:rsidR="003646ED" w:rsidRPr="00637A3D">
        <w:rPr>
          <w:sz w:val="20"/>
          <w:szCs w:val="20"/>
        </w:rPr>
        <w:t>VVIR</w:t>
      </w:r>
      <w:r w:rsidR="001C3338" w:rsidRPr="00EC623D">
        <w:rPr>
          <w:sz w:val="20"/>
          <w:szCs w:val="20"/>
        </w:rPr>
        <w:t>,</w:t>
      </w:r>
      <w:r w:rsidR="00BE184C" w:rsidRPr="00637A3D">
        <w:rPr>
          <w:sz w:val="20"/>
          <w:szCs w:val="20"/>
        </w:rPr>
        <w:t xml:space="preserve"> </w:t>
      </w:r>
      <w:r w:rsidR="001C3338" w:rsidRPr="00EC623D">
        <w:rPr>
          <w:sz w:val="20"/>
          <w:szCs w:val="20"/>
        </w:rPr>
        <w:t>v</w:t>
      </w:r>
      <w:r w:rsidR="001C3338" w:rsidRPr="00637A3D">
        <w:rPr>
          <w:sz w:val="20"/>
          <w:szCs w:val="20"/>
        </w:rPr>
        <w:t>entricular</w:t>
      </w:r>
      <w:r w:rsidR="001C3338" w:rsidRPr="00EC623D">
        <w:rPr>
          <w:sz w:val="20"/>
          <w:szCs w:val="20"/>
        </w:rPr>
        <w:t xml:space="preserve"> </w:t>
      </w:r>
      <w:r w:rsidR="001C3338" w:rsidRPr="000061EE">
        <w:rPr>
          <w:sz w:val="20"/>
          <w:szCs w:val="20"/>
        </w:rPr>
        <w:t>demand</w:t>
      </w:r>
      <w:r w:rsidR="00BE184C" w:rsidRPr="00637A3D">
        <w:rPr>
          <w:sz w:val="20"/>
          <w:szCs w:val="20"/>
        </w:rPr>
        <w:t xml:space="preserve"> </w:t>
      </w:r>
      <w:r w:rsidR="001C3338" w:rsidRPr="00EC623D">
        <w:rPr>
          <w:sz w:val="20"/>
          <w:szCs w:val="20"/>
        </w:rPr>
        <w:t>p</w:t>
      </w:r>
      <w:r w:rsidR="001C3338" w:rsidRPr="00637A3D">
        <w:rPr>
          <w:sz w:val="20"/>
          <w:szCs w:val="20"/>
        </w:rPr>
        <w:t>acing</w:t>
      </w:r>
    </w:p>
    <w:p w14:paraId="345CF9AE" w14:textId="21911469" w:rsidR="00DB78A1" w:rsidRDefault="007F3D9A" w:rsidP="00637A3D">
      <w:pPr>
        <w:pStyle w:val="Notes-TableFigure"/>
        <w:spacing w:before="40" w:after="120"/>
        <w:contextualSpacing w:val="0"/>
        <w:rPr>
          <w:sz w:val="20"/>
          <w:szCs w:val="20"/>
        </w:rPr>
      </w:pPr>
      <w:r w:rsidRPr="00637A3D">
        <w:rPr>
          <w:sz w:val="20"/>
          <w:szCs w:val="20"/>
        </w:rPr>
        <w:t>Notes</w:t>
      </w:r>
      <w:r w:rsidR="002745CD" w:rsidRPr="00637A3D">
        <w:rPr>
          <w:sz w:val="20"/>
          <w:szCs w:val="20"/>
        </w:rPr>
        <w:t>:</w:t>
      </w:r>
      <w:r w:rsidR="00C251F5" w:rsidRPr="00637A3D">
        <w:rPr>
          <w:sz w:val="20"/>
          <w:szCs w:val="20"/>
        </w:rPr>
        <w:t xml:space="preserve"> </w:t>
      </w:r>
      <w:proofErr w:type="gramStart"/>
      <w:r w:rsidR="7095D9C3" w:rsidRPr="00637A3D">
        <w:rPr>
          <w:sz w:val="20"/>
          <w:szCs w:val="20"/>
          <w:vertAlign w:val="superscript"/>
        </w:rPr>
        <w:t>a</w:t>
      </w:r>
      <w:proofErr w:type="gramEnd"/>
      <w:r w:rsidR="7095D9C3" w:rsidRPr="00637A3D">
        <w:rPr>
          <w:sz w:val="20"/>
          <w:szCs w:val="20"/>
        </w:rPr>
        <w:t xml:space="preserve"> Patients with anatomy that can tolerate a 23 French sheath at the vascular insertion site.</w:t>
      </w:r>
    </w:p>
    <w:p w14:paraId="23CD2B63" w14:textId="0E57102B" w:rsidR="00B6434C" w:rsidRPr="00FF5090" w:rsidRDefault="00B6434C" w:rsidP="00637A3D">
      <w:pPr>
        <w:pStyle w:val="Notes-TableFigure"/>
        <w:spacing w:before="40" w:after="120"/>
        <w:contextualSpacing w:val="0"/>
        <w:rPr>
          <w:bCs/>
          <w:sz w:val="20"/>
          <w:szCs w:val="20"/>
        </w:rPr>
      </w:pPr>
      <w:r w:rsidRPr="003E1E85">
        <w:rPr>
          <w:bCs/>
          <w:sz w:val="20"/>
          <w:szCs w:val="20"/>
          <w:vertAlign w:val="superscript"/>
        </w:rPr>
        <w:t>b</w:t>
      </w:r>
      <w:r w:rsidRPr="003E1E85">
        <w:rPr>
          <w:bCs/>
          <w:sz w:val="20"/>
          <w:szCs w:val="20"/>
        </w:rPr>
        <w:t xml:space="preserve"> </w:t>
      </w:r>
      <w:proofErr w:type="gramStart"/>
      <w:r w:rsidR="00FF5090" w:rsidRPr="003E1E85">
        <w:rPr>
          <w:bCs/>
          <w:sz w:val="20"/>
          <w:szCs w:val="20"/>
        </w:rPr>
        <w:t>The</w:t>
      </w:r>
      <w:proofErr w:type="gramEnd"/>
      <w:r w:rsidR="00FF5090" w:rsidRPr="003E1E85">
        <w:rPr>
          <w:bCs/>
          <w:sz w:val="20"/>
          <w:szCs w:val="20"/>
        </w:rPr>
        <w:t xml:space="preserve"> following outcomes were not addressed in the ADAR as no evidence were retrieved from the studies: adaptability (rate response), exercise capacity, change of medication, progression or recurrence of cardiac arrhythmias, symptoms of cardiac arrhythmia (syncope or pre-syncope), and right ventricular dysfunction. However, battery life was reported in a couple of case series </w:t>
      </w:r>
      <w:proofErr w:type="gramStart"/>
      <w:r w:rsidR="00FF5090" w:rsidRPr="003E1E85">
        <w:rPr>
          <w:bCs/>
          <w:sz w:val="20"/>
          <w:szCs w:val="20"/>
        </w:rPr>
        <w:t>studies</w:t>
      </w:r>
      <w:proofErr w:type="gramEnd"/>
      <w:r w:rsidR="00FF5090" w:rsidRPr="003E1E85">
        <w:rPr>
          <w:bCs/>
          <w:sz w:val="20"/>
          <w:szCs w:val="20"/>
        </w:rPr>
        <w:t xml:space="preserve"> but</w:t>
      </w:r>
      <w:r w:rsidR="008A6F77">
        <w:rPr>
          <w:bCs/>
          <w:sz w:val="20"/>
          <w:szCs w:val="20"/>
        </w:rPr>
        <w:t xml:space="preserve"> this was</w:t>
      </w:r>
      <w:r w:rsidR="00FF5090" w:rsidRPr="003E1E85">
        <w:rPr>
          <w:bCs/>
          <w:sz w:val="20"/>
          <w:szCs w:val="20"/>
        </w:rPr>
        <w:t xml:space="preserve"> not mentioned in the application.</w:t>
      </w:r>
    </w:p>
    <w:p w14:paraId="0755C9C8" w14:textId="4E032804" w:rsidR="005B21DE" w:rsidRDefault="00A018A5" w:rsidP="00D27D2E">
      <w:pPr>
        <w:spacing w:before="240"/>
      </w:pPr>
      <w:r>
        <w:t xml:space="preserve">The </w:t>
      </w:r>
      <w:r w:rsidR="00427AAB">
        <w:t>Micra VR TPS</w:t>
      </w:r>
      <w:r>
        <w:t xml:space="preserve"> is proposed as an alternative or replacement of the current standard of care. </w:t>
      </w:r>
      <w:r w:rsidR="007B7225">
        <w:t xml:space="preserve">According to the applicant, </w:t>
      </w:r>
      <w:r w:rsidR="00A47F81">
        <w:t>use</w:t>
      </w:r>
      <w:r w:rsidR="004C2B51">
        <w:t xml:space="preserve"> of the Micra </w:t>
      </w:r>
      <w:r w:rsidR="00427AAB">
        <w:t xml:space="preserve">VR </w:t>
      </w:r>
      <w:r w:rsidR="004C2B51">
        <w:t>TPS w</w:t>
      </w:r>
      <w:r w:rsidR="00264979">
        <w:t>ill no</w:t>
      </w:r>
      <w:r w:rsidR="004C2B51">
        <w:t xml:space="preserve">t change the </w:t>
      </w:r>
      <w:r>
        <w:t xml:space="preserve">clinical pathway for </w:t>
      </w:r>
      <w:r w:rsidR="003E124F">
        <w:t xml:space="preserve">diagnosis of bradycardia or the work-up prior to pacemaker </w:t>
      </w:r>
      <w:r w:rsidR="009E0BCD">
        <w:t>insertion</w:t>
      </w:r>
      <w:r w:rsidR="003E124F">
        <w:t xml:space="preserve">. </w:t>
      </w:r>
      <w:r w:rsidR="009E0BCD">
        <w:t>S</w:t>
      </w:r>
      <w:r w:rsidR="003E124F">
        <w:t xml:space="preserve">imilarly, </w:t>
      </w:r>
      <w:r w:rsidR="009E0BCD">
        <w:t xml:space="preserve">the applicant states </w:t>
      </w:r>
      <w:r w:rsidR="003E124F">
        <w:t xml:space="preserve">there will be </w:t>
      </w:r>
      <w:r w:rsidR="00BD7D63">
        <w:t xml:space="preserve">no </w:t>
      </w:r>
      <w:r w:rsidR="009E0BCD">
        <w:t xml:space="preserve">changes to required </w:t>
      </w:r>
      <w:r w:rsidR="00BD7D63" w:rsidRPr="00C6284E">
        <w:rPr>
          <w:lang w:val="en-US"/>
        </w:rPr>
        <w:t xml:space="preserve">medical services </w:t>
      </w:r>
      <w:r w:rsidR="009E0BCD">
        <w:rPr>
          <w:lang w:val="en-US"/>
        </w:rPr>
        <w:t xml:space="preserve">associated with use of the intervention </w:t>
      </w:r>
      <w:r w:rsidR="00BD7D63" w:rsidRPr="00C6284E">
        <w:rPr>
          <w:lang w:val="en-US"/>
        </w:rPr>
        <w:t xml:space="preserve">following </w:t>
      </w:r>
      <w:r w:rsidR="00426244">
        <w:rPr>
          <w:lang w:val="en-US"/>
        </w:rPr>
        <w:t xml:space="preserve">its </w:t>
      </w:r>
      <w:r w:rsidR="009E0BCD">
        <w:rPr>
          <w:lang w:val="en-US"/>
        </w:rPr>
        <w:t>insertion</w:t>
      </w:r>
      <w:r w:rsidR="0019667C">
        <w:rPr>
          <w:lang w:val="en-US"/>
        </w:rPr>
        <w:t>.</w:t>
      </w:r>
    </w:p>
    <w:p w14:paraId="2E96D2D6" w14:textId="4BD67EE9" w:rsidR="001518A2" w:rsidRDefault="001518A2" w:rsidP="00645477">
      <w:r>
        <w:t>The</w:t>
      </w:r>
      <w:r w:rsidR="00B86D47">
        <w:t xml:space="preserve"> adapted</w:t>
      </w:r>
      <w:r>
        <w:t xml:space="preserve"> clinical management </w:t>
      </w:r>
      <w:r w:rsidR="002C4688">
        <w:t xml:space="preserve">described by the applicant </w:t>
      </w:r>
      <w:r>
        <w:t>is based on</w:t>
      </w:r>
      <w:r w:rsidR="00DD5567">
        <w:t xml:space="preserve"> feedback from</w:t>
      </w:r>
      <w:r>
        <w:t xml:space="preserve"> </w:t>
      </w:r>
      <w:r w:rsidR="002C4688">
        <w:t>local expert</w:t>
      </w:r>
      <w:r w:rsidR="009D1592">
        <w:t>s</w:t>
      </w:r>
      <w:r w:rsidR="00655188">
        <w:t xml:space="preserve"> who refer</w:t>
      </w:r>
      <w:r w:rsidR="008F49F3">
        <w:t xml:space="preserve"> </w:t>
      </w:r>
      <w:r w:rsidR="008F49F3" w:rsidRPr="007B6FAE">
        <w:t>to the 2018 ACC/AHA/HRS guideline on the management of patient</w:t>
      </w:r>
      <w:r w:rsidR="00DD5567">
        <w:t>s</w:t>
      </w:r>
      <w:r w:rsidR="008F49F3" w:rsidRPr="007B6FAE">
        <w:t xml:space="preserve"> with bradycardia (</w:t>
      </w:r>
      <w:proofErr w:type="spellStart"/>
      <w:r w:rsidR="008F49F3" w:rsidRPr="007B6FAE">
        <w:t>Kusomoto</w:t>
      </w:r>
      <w:proofErr w:type="spellEnd"/>
      <w:r w:rsidR="008F49F3" w:rsidRPr="007B6FAE">
        <w:t xml:space="preserve"> 2019).</w:t>
      </w:r>
      <w:r w:rsidR="00514441">
        <w:rPr>
          <w:rStyle w:val="FootnoteReference"/>
        </w:rPr>
        <w:footnoteReference w:id="6"/>
      </w:r>
      <w:r w:rsidR="004259F1">
        <w:t xml:space="preserve"> </w:t>
      </w:r>
    </w:p>
    <w:p w14:paraId="691F918E" w14:textId="723AA3DF" w:rsidR="00C75DD8" w:rsidRPr="00F2563B" w:rsidRDefault="00574C01" w:rsidP="00C75DD8">
      <w:pPr>
        <w:jc w:val="both"/>
      </w:pPr>
      <w:r>
        <w:t xml:space="preserve">The </w:t>
      </w:r>
      <w:r w:rsidR="00C75DD8">
        <w:t>Micra</w:t>
      </w:r>
      <w:r w:rsidR="00DF79F0">
        <w:t xml:space="preserve"> VR</w:t>
      </w:r>
      <w:r w:rsidR="00C75DD8">
        <w:t xml:space="preserve"> TPS</w:t>
      </w:r>
      <w:r w:rsidR="00C75DD8" w:rsidRPr="00F2563B">
        <w:t xml:space="preserve"> is indicated for patients who have experienced one or more of the following conditions</w:t>
      </w:r>
      <w:r w:rsidR="00CA2A67">
        <w:t xml:space="preserve"> </w:t>
      </w:r>
      <w:r w:rsidR="00CA2A67" w:rsidRPr="00F2563B">
        <w:t>(</w:t>
      </w:r>
      <w:r w:rsidR="00437A0B">
        <w:t>see Table 1</w:t>
      </w:r>
      <w:r w:rsidR="00CA2A67" w:rsidRPr="00F2563B">
        <w:t>)</w:t>
      </w:r>
      <w:r w:rsidR="00C75DD8" w:rsidRPr="00F2563B">
        <w:t>:</w:t>
      </w:r>
    </w:p>
    <w:p w14:paraId="7B1FE473" w14:textId="7E39EAA8" w:rsidR="00C75DD8" w:rsidRPr="00FE016F" w:rsidRDefault="00C75DD8" w:rsidP="00D27D2E">
      <w:pPr>
        <w:pStyle w:val="ListParagraph"/>
        <w:numPr>
          <w:ilvl w:val="0"/>
          <w:numId w:val="6"/>
        </w:numPr>
        <w:spacing w:after="120" w:line="240" w:lineRule="auto"/>
        <w:jc w:val="both"/>
        <w:rPr>
          <w:rFonts w:cstheme="minorHAnsi"/>
        </w:rPr>
      </w:pPr>
      <w:r w:rsidRPr="00FE016F">
        <w:rPr>
          <w:rFonts w:cstheme="minorHAnsi"/>
        </w:rPr>
        <w:t>symptomatic paroxysmal or permanent high-grade AV block in the presence of AF</w:t>
      </w:r>
      <w:r w:rsidR="002604A6">
        <w:rPr>
          <w:rFonts w:cstheme="minorHAnsi"/>
        </w:rPr>
        <w:t>.</w:t>
      </w:r>
    </w:p>
    <w:p w14:paraId="118C1740" w14:textId="75D32E1F" w:rsidR="00C75DD8" w:rsidRPr="00FE016F" w:rsidRDefault="00C75DD8" w:rsidP="00D27D2E">
      <w:pPr>
        <w:pStyle w:val="ListParagraph"/>
        <w:numPr>
          <w:ilvl w:val="0"/>
          <w:numId w:val="6"/>
        </w:numPr>
        <w:spacing w:after="120" w:line="240" w:lineRule="auto"/>
        <w:jc w:val="both"/>
        <w:rPr>
          <w:rFonts w:cstheme="minorHAnsi"/>
        </w:rPr>
      </w:pPr>
      <w:r w:rsidRPr="00FE016F">
        <w:rPr>
          <w:rFonts w:cstheme="minorHAnsi"/>
        </w:rPr>
        <w:t xml:space="preserve">symptomatic paroxysmal or permanent high-grade AV block in the absence of AF, as an alternative to </w:t>
      </w:r>
      <w:proofErr w:type="gramStart"/>
      <w:r w:rsidRPr="00FE016F">
        <w:rPr>
          <w:rFonts w:cstheme="minorHAnsi"/>
        </w:rPr>
        <w:t>dual</w:t>
      </w:r>
      <w:r>
        <w:rPr>
          <w:rFonts w:cstheme="minorHAnsi"/>
        </w:rPr>
        <w:t>-</w:t>
      </w:r>
      <w:r w:rsidRPr="00FE016F">
        <w:rPr>
          <w:rFonts w:cstheme="minorHAnsi"/>
        </w:rPr>
        <w:t>chamber</w:t>
      </w:r>
      <w:proofErr w:type="gramEnd"/>
      <w:r w:rsidRPr="00FE016F">
        <w:rPr>
          <w:rFonts w:cstheme="minorHAnsi"/>
        </w:rPr>
        <w:t xml:space="preserve"> pacing when atrial lead placement is considered difficult, high risk or not deemed necessary for effective therapy</w:t>
      </w:r>
      <w:r w:rsidR="002604A6">
        <w:rPr>
          <w:rFonts w:cstheme="minorHAnsi"/>
        </w:rPr>
        <w:t>.</w:t>
      </w:r>
    </w:p>
    <w:p w14:paraId="4664B550" w14:textId="4BC521AC" w:rsidR="00C75DD8" w:rsidRDefault="00C75DD8" w:rsidP="00D27D2E">
      <w:pPr>
        <w:pStyle w:val="ListParagraph"/>
        <w:numPr>
          <w:ilvl w:val="0"/>
          <w:numId w:val="6"/>
        </w:numPr>
        <w:spacing w:after="120" w:line="240" w:lineRule="auto"/>
        <w:jc w:val="both"/>
        <w:rPr>
          <w:rFonts w:cstheme="minorHAnsi"/>
        </w:rPr>
      </w:pPr>
      <w:r w:rsidRPr="00D051DC">
        <w:rPr>
          <w:rFonts w:cstheme="minorHAnsi"/>
        </w:rPr>
        <w:t xml:space="preserve">symptomatic bradycardia-tachycardia syndrome or </w:t>
      </w:r>
      <w:r w:rsidR="00B432ED">
        <w:rPr>
          <w:rFonts w:cstheme="minorHAnsi"/>
        </w:rPr>
        <w:t>SND</w:t>
      </w:r>
      <w:r w:rsidRPr="00D051DC">
        <w:rPr>
          <w:rFonts w:cstheme="minorHAnsi"/>
        </w:rPr>
        <w:t xml:space="preserve"> (sinus bradycardia or sinus pauses), as an alternative to atrial or dual</w:t>
      </w:r>
      <w:r>
        <w:rPr>
          <w:rFonts w:cstheme="minorHAnsi"/>
        </w:rPr>
        <w:t>-</w:t>
      </w:r>
      <w:r w:rsidRPr="00D051DC">
        <w:rPr>
          <w:rFonts w:cstheme="minorHAnsi"/>
        </w:rPr>
        <w:t>chamber pacing when atrial lead placement is considered difficult, high risk, or not deemed necessary for effective therapy.</w:t>
      </w:r>
    </w:p>
    <w:p w14:paraId="135F2CDD" w14:textId="45CDB073" w:rsidR="00A17D2E" w:rsidRDefault="00731B72" w:rsidP="00645477">
      <w:r>
        <w:rPr>
          <w:rFonts w:eastAsia="Calibri"/>
        </w:rPr>
        <w:t>The</w:t>
      </w:r>
      <w:r w:rsidR="00EE0B8E">
        <w:rPr>
          <w:rFonts w:eastAsia="Calibri"/>
        </w:rPr>
        <w:t xml:space="preserve"> </w:t>
      </w:r>
      <w:r w:rsidR="002604A6">
        <w:rPr>
          <w:rFonts w:eastAsia="Calibri"/>
        </w:rPr>
        <w:t xml:space="preserve">applicant’s </w:t>
      </w:r>
      <w:r>
        <w:rPr>
          <w:rFonts w:eastAsia="Calibri"/>
        </w:rPr>
        <w:t>expert</w:t>
      </w:r>
      <w:r w:rsidR="00583080">
        <w:rPr>
          <w:rFonts w:eastAsia="Calibri"/>
        </w:rPr>
        <w:t>s</w:t>
      </w:r>
      <w:r>
        <w:rPr>
          <w:rFonts w:eastAsia="Calibri"/>
        </w:rPr>
        <w:t xml:space="preserve"> also </w:t>
      </w:r>
      <w:r w:rsidR="00EB3007">
        <w:rPr>
          <w:rFonts w:eastAsia="Calibri"/>
        </w:rPr>
        <w:t xml:space="preserve">specified that </w:t>
      </w:r>
      <w:r w:rsidR="002604A6">
        <w:rPr>
          <w:rFonts w:eastAsia="Calibri"/>
        </w:rPr>
        <w:t xml:space="preserve">the </w:t>
      </w:r>
      <w:r w:rsidR="00B00191">
        <w:t>Micra VR TPS</w:t>
      </w:r>
      <w:r w:rsidR="00221E5E" w:rsidRPr="007C1F43">
        <w:t xml:space="preserve"> would be</w:t>
      </w:r>
      <w:r w:rsidR="00A82E8E">
        <w:t xml:space="preserve"> mainly indicated in</w:t>
      </w:r>
      <w:r w:rsidR="00221E5E" w:rsidRPr="007C1F43">
        <w:t xml:space="preserve"> patients with AV block</w:t>
      </w:r>
      <w:r w:rsidR="00745C32">
        <w:t xml:space="preserve">. </w:t>
      </w:r>
      <w:r w:rsidR="00A17D2E">
        <w:t xml:space="preserve">The </w:t>
      </w:r>
      <w:r w:rsidR="00A17D2E" w:rsidRPr="007A04A8">
        <w:t>presence or absence of symptoms</w:t>
      </w:r>
      <w:r w:rsidR="00A17D2E">
        <w:t xml:space="preserve"> is a key factor </w:t>
      </w:r>
      <w:r w:rsidR="00624580">
        <w:t>in determining whether</w:t>
      </w:r>
      <w:r w:rsidR="00A17D2E">
        <w:t xml:space="preserve"> permanent pacing is required in patients with bradycardia associated with AV block. T</w:t>
      </w:r>
      <w:r w:rsidR="00A17D2E" w:rsidRPr="007A04A8">
        <w:t xml:space="preserve">hree additional clinical </w:t>
      </w:r>
      <w:r w:rsidR="00A17D2E">
        <w:t xml:space="preserve">issues must also be considered: </w:t>
      </w:r>
      <w:r w:rsidR="00A17D2E" w:rsidRPr="007A04A8">
        <w:t>1) the site of</w:t>
      </w:r>
      <w:r w:rsidR="00A17D2E">
        <w:t xml:space="preserve"> the</w:t>
      </w:r>
      <w:r w:rsidR="00A17D2E" w:rsidRPr="007A04A8">
        <w:t xml:space="preserve"> AV block</w:t>
      </w:r>
      <w:r w:rsidR="00A17D2E">
        <w:t>, especially for patients with infra</w:t>
      </w:r>
      <w:r w:rsidR="006564F8">
        <w:t>-</w:t>
      </w:r>
      <w:r w:rsidR="00A17D2E">
        <w:t xml:space="preserve">nodal disease who </w:t>
      </w:r>
      <w:r w:rsidR="00F34463">
        <w:t xml:space="preserve">are likely to </w:t>
      </w:r>
      <w:r w:rsidR="00A17D2E">
        <w:t>develop complete heart block</w:t>
      </w:r>
      <w:r w:rsidR="00624580">
        <w:t>;</w:t>
      </w:r>
      <w:r w:rsidR="00624580" w:rsidRPr="007A04A8">
        <w:t xml:space="preserve"> </w:t>
      </w:r>
      <w:r w:rsidR="00A17D2E" w:rsidRPr="007A04A8">
        <w:t>2) significant amounts of right ventricular pacing</w:t>
      </w:r>
      <w:r w:rsidR="00A17D2E">
        <w:t xml:space="preserve"> that</w:t>
      </w:r>
      <w:r w:rsidR="00A17D2E" w:rsidRPr="007A04A8">
        <w:t xml:space="preserve"> are potentially deleterious</w:t>
      </w:r>
      <w:r w:rsidR="00624580">
        <w:t>;</w:t>
      </w:r>
      <w:r w:rsidR="00A17D2E" w:rsidRPr="007A04A8">
        <w:t xml:space="preserve"> and 3) co-existing, associated systemic disease </w:t>
      </w:r>
      <w:r w:rsidR="00A17D2E">
        <w:t xml:space="preserve">that </w:t>
      </w:r>
      <w:r w:rsidR="00A17D2E" w:rsidRPr="007A04A8">
        <w:t xml:space="preserve">may lead to progressive AV block or </w:t>
      </w:r>
      <w:r w:rsidR="00253561">
        <w:t xml:space="preserve">increased </w:t>
      </w:r>
      <w:r w:rsidR="00A17D2E" w:rsidRPr="007A04A8">
        <w:t>risk for ventricular arrhythmias (</w:t>
      </w:r>
      <w:proofErr w:type="spellStart"/>
      <w:r w:rsidR="00A17D2E" w:rsidRPr="007A04A8">
        <w:t>Kusomoto</w:t>
      </w:r>
      <w:proofErr w:type="spellEnd"/>
      <w:r w:rsidR="00A17D2E" w:rsidRPr="007A04A8">
        <w:t xml:space="preserve"> 2019)</w:t>
      </w:r>
      <w:r w:rsidR="00253561" w:rsidRPr="00637A3D">
        <w:rPr>
          <w:vertAlign w:val="superscript"/>
        </w:rPr>
        <w:t>5</w:t>
      </w:r>
      <w:r w:rsidR="00A17D2E" w:rsidRPr="007A04A8">
        <w:t>.</w:t>
      </w:r>
    </w:p>
    <w:p w14:paraId="5EEC4A12" w14:textId="78757B2B" w:rsidR="002C49DE" w:rsidRDefault="00350A5D" w:rsidP="00645477">
      <w:r>
        <w:t>O</w:t>
      </w:r>
      <w:r w:rsidR="00221E5E" w:rsidRPr="007C1F43">
        <w:t xml:space="preserve">nly a minority of </w:t>
      </w:r>
      <w:r w:rsidR="00A82E8E">
        <w:t xml:space="preserve">patients with </w:t>
      </w:r>
      <w:r w:rsidR="00221E5E" w:rsidRPr="007C1F43">
        <w:t xml:space="preserve">SND </w:t>
      </w:r>
      <w:r w:rsidR="00A82E8E">
        <w:t xml:space="preserve">would be </w:t>
      </w:r>
      <w:r w:rsidR="00221E5E" w:rsidRPr="007C1F43">
        <w:t xml:space="preserve">considered suitable </w:t>
      </w:r>
      <w:r w:rsidR="00CD2E13">
        <w:t xml:space="preserve">to receive the </w:t>
      </w:r>
      <w:r w:rsidR="00155CB1">
        <w:t>Micra VR TPS</w:t>
      </w:r>
      <w:r w:rsidR="00AF09CF">
        <w:t xml:space="preserve"> </w:t>
      </w:r>
      <w:r w:rsidR="00CC109C">
        <w:t>(</w:t>
      </w:r>
      <w:r w:rsidR="00AF09CF">
        <w:t xml:space="preserve">to alleviate the symptoms of cerebral hypoperfusion </w:t>
      </w:r>
      <w:r w:rsidR="00FD04E8">
        <w:t xml:space="preserve">attributed </w:t>
      </w:r>
      <w:r w:rsidR="00AF09CF">
        <w:t xml:space="preserve">to bradycardia when other potential treatable or reversible </w:t>
      </w:r>
      <w:r w:rsidR="00CC109C">
        <w:t>aetiologies</w:t>
      </w:r>
      <w:r w:rsidR="00AF09CF">
        <w:t xml:space="preserve"> have been excluded</w:t>
      </w:r>
      <w:r w:rsidR="00CC109C">
        <w:t>)</w:t>
      </w:r>
      <w:r w:rsidR="004E4201">
        <w:t>.</w:t>
      </w:r>
      <w:r w:rsidR="00581695">
        <w:t xml:space="preserve"> </w:t>
      </w:r>
      <w:r w:rsidR="00F43E75">
        <w:t>Moreover,</w:t>
      </w:r>
      <w:r w:rsidR="007A569D">
        <w:t xml:space="preserve"> </w:t>
      </w:r>
      <w:r w:rsidR="00581695">
        <w:t>a subset of</w:t>
      </w:r>
      <w:r w:rsidR="00623904">
        <w:t xml:space="preserve"> patients</w:t>
      </w:r>
      <w:r w:rsidR="007A569D">
        <w:t xml:space="preserve"> with SND</w:t>
      </w:r>
      <w:r w:rsidR="00973E3B">
        <w:t xml:space="preserve"> </w:t>
      </w:r>
      <w:r w:rsidR="00C05629">
        <w:lastRenderedPageBreak/>
        <w:t xml:space="preserve">may </w:t>
      </w:r>
      <w:r w:rsidR="00407A9C">
        <w:t>require</w:t>
      </w:r>
      <w:r w:rsidR="00973E3B">
        <w:t xml:space="preserve"> a</w:t>
      </w:r>
      <w:r w:rsidR="00C05629">
        <w:t>trial pacing at a later point</w:t>
      </w:r>
      <w:r w:rsidR="00EF20F0">
        <w:t xml:space="preserve"> in time</w:t>
      </w:r>
      <w:r w:rsidR="00335B23">
        <w:t>. This would require insertion of a TVPM because atrial pacing</w:t>
      </w:r>
      <w:r w:rsidR="001100B6">
        <w:t xml:space="preserve"> is not a function of the</w:t>
      </w:r>
      <w:r w:rsidR="00F211F3">
        <w:t xml:space="preserve"> Micra-VR TPS</w:t>
      </w:r>
      <w:r w:rsidR="00DF1ED8">
        <w:t>.</w:t>
      </w:r>
    </w:p>
    <w:p w14:paraId="407B5EF2" w14:textId="6CEFD4FF" w:rsidR="00C6284E" w:rsidRPr="00C6284E" w:rsidRDefault="00C6284E" w:rsidP="00D27D2E">
      <w:pPr>
        <w:pStyle w:val="Heading2execsummary"/>
        <w:spacing w:before="360"/>
      </w:pPr>
      <w:r w:rsidRPr="00C6284E">
        <w:t>Comparator</w:t>
      </w:r>
    </w:p>
    <w:p w14:paraId="45B55C93" w14:textId="755FD4D9" w:rsidR="00D93C90" w:rsidRDefault="005824E0" w:rsidP="00645477">
      <w:pPr>
        <w:rPr>
          <w:lang w:val="en-US"/>
        </w:rPr>
      </w:pPr>
      <w:r>
        <w:rPr>
          <w:lang w:val="en-US"/>
        </w:rPr>
        <w:t>S</w:t>
      </w:r>
      <w:r w:rsidR="00D77FF7">
        <w:rPr>
          <w:lang w:val="en-US"/>
        </w:rPr>
        <w:t xml:space="preserve">tandard single-chamber TVPM is </w:t>
      </w:r>
      <w:r>
        <w:rPr>
          <w:lang w:val="en-US"/>
        </w:rPr>
        <w:t xml:space="preserve">the nominated comparator </w:t>
      </w:r>
      <w:r w:rsidR="00A31F56">
        <w:rPr>
          <w:lang w:val="en-US"/>
        </w:rPr>
        <w:t>for</w:t>
      </w:r>
      <w:r w:rsidR="00E719C6">
        <w:rPr>
          <w:lang w:val="en-US"/>
        </w:rPr>
        <w:t xml:space="preserve"> </w:t>
      </w:r>
      <w:r w:rsidR="00D93C90">
        <w:rPr>
          <w:lang w:val="en-US"/>
        </w:rPr>
        <w:t xml:space="preserve">the </w:t>
      </w:r>
      <w:r w:rsidR="00F1388B">
        <w:rPr>
          <w:lang w:val="en-US"/>
        </w:rPr>
        <w:t>assessment,</w:t>
      </w:r>
      <w:r w:rsidR="00D93C90">
        <w:rPr>
          <w:lang w:val="en-US"/>
        </w:rPr>
        <w:t xml:space="preserve"> and this is </w:t>
      </w:r>
      <w:r w:rsidR="00A17D2E">
        <w:rPr>
          <w:lang w:val="en-US"/>
        </w:rPr>
        <w:t xml:space="preserve">considered the </w:t>
      </w:r>
      <w:r w:rsidR="00D93C90">
        <w:rPr>
          <w:lang w:val="en-US"/>
        </w:rPr>
        <w:t>appropriate</w:t>
      </w:r>
      <w:r w:rsidR="00A17D2E">
        <w:rPr>
          <w:lang w:val="en-US"/>
        </w:rPr>
        <w:t xml:space="preserve"> cho</w:t>
      </w:r>
      <w:r w:rsidR="00AB100D">
        <w:rPr>
          <w:lang w:val="en-US"/>
        </w:rPr>
        <w:t>i</w:t>
      </w:r>
      <w:r w:rsidR="00A17D2E">
        <w:rPr>
          <w:lang w:val="en-US"/>
        </w:rPr>
        <w:t>ce of comparator</w:t>
      </w:r>
      <w:r w:rsidR="00871E48">
        <w:rPr>
          <w:lang w:val="en-US"/>
        </w:rPr>
        <w:t>.</w:t>
      </w:r>
    </w:p>
    <w:p w14:paraId="19BF346B" w14:textId="3A68CE7B" w:rsidR="00706600" w:rsidRDefault="00A31F56" w:rsidP="00645477">
      <w:r>
        <w:t>TVPM</w:t>
      </w:r>
      <w:r w:rsidR="00706600">
        <w:t xml:space="preserve"> </w:t>
      </w:r>
      <w:r w:rsidR="00706600" w:rsidRPr="00BD5B13">
        <w:t>consist</w:t>
      </w:r>
      <w:r w:rsidR="00706600">
        <w:t>s</w:t>
      </w:r>
      <w:r w:rsidR="00706600" w:rsidRPr="00BD5B13">
        <w:t xml:space="preserve"> of a pulse generator (containing the battery and the machinery for sensing and timing </w:t>
      </w:r>
      <w:r w:rsidR="007626E3">
        <w:t>the</w:t>
      </w:r>
      <w:r w:rsidR="007626E3" w:rsidRPr="00BD5B13">
        <w:t xml:space="preserve"> </w:t>
      </w:r>
      <w:r w:rsidR="00706600" w:rsidRPr="00BD5B13">
        <w:t xml:space="preserve">electrical impulses) and </w:t>
      </w:r>
      <w:r w:rsidR="00706600">
        <w:t xml:space="preserve">a </w:t>
      </w:r>
      <w:r w:rsidR="00706600" w:rsidRPr="00BD5B13">
        <w:t>lead (</w:t>
      </w:r>
      <w:r w:rsidR="00706600">
        <w:t xml:space="preserve">an </w:t>
      </w:r>
      <w:r w:rsidR="00706600" w:rsidRPr="00BD5B13">
        <w:t>insulated wire that deliver</w:t>
      </w:r>
      <w:r w:rsidR="00706600">
        <w:t>s</w:t>
      </w:r>
      <w:r w:rsidR="00706600" w:rsidRPr="00BD5B13">
        <w:t xml:space="preserve"> electrical impulses from the pulse generator to the heart</w:t>
      </w:r>
      <w:r w:rsidR="006C7A1E">
        <w:t>)</w:t>
      </w:r>
      <w:r w:rsidR="00765CE7">
        <w:t>.</w:t>
      </w:r>
      <w:r w:rsidR="00765CE7" w:rsidRPr="00765CE7">
        <w:t xml:space="preserve"> </w:t>
      </w:r>
      <w:r w:rsidR="00765CE7" w:rsidRPr="00DB01FA">
        <w:t xml:space="preserve">The pulse generator must be inserted through a surgical incision in the chest to create a subcutaneous pocket. A single lead is placed percutaneously into the right ventricle via the subclavian, </w:t>
      </w:r>
      <w:proofErr w:type="gramStart"/>
      <w:r w:rsidR="00765CE7" w:rsidRPr="00DB01FA">
        <w:t>cephalic</w:t>
      </w:r>
      <w:proofErr w:type="gramEnd"/>
      <w:r w:rsidR="00765CE7" w:rsidRPr="00DB01FA">
        <w:t xml:space="preserve"> or axillary veins and guided </w:t>
      </w:r>
      <w:proofErr w:type="spellStart"/>
      <w:r w:rsidR="00765CE7" w:rsidRPr="00DB01FA">
        <w:t>transvenously</w:t>
      </w:r>
      <w:proofErr w:type="spellEnd"/>
      <w:r w:rsidR="00765CE7" w:rsidRPr="00DB01FA">
        <w:t xml:space="preserve"> through the tricuspid valve.</w:t>
      </w:r>
      <w:r w:rsidR="00765CE7">
        <w:t xml:space="preserve"> </w:t>
      </w:r>
      <w:r w:rsidR="00706600" w:rsidRPr="00BD5B13">
        <w:t>The position of the wire is checked using fluoroscopy. The lead can either be attached passively with tines (spikes at the end of the wire), which become fixed via granulation tissue formation, or be actively fixed to the myocardium using a screw.</w:t>
      </w:r>
    </w:p>
    <w:p w14:paraId="0A8E6A36" w14:textId="0656814E" w:rsidR="009F51DA" w:rsidRDefault="009F51DA" w:rsidP="00645477">
      <w:r>
        <w:t>T</w:t>
      </w:r>
      <w:r w:rsidR="00A404FE">
        <w:t xml:space="preserve">VPM is currently funded through </w:t>
      </w:r>
      <w:r w:rsidR="00AB100D">
        <w:t>the</w:t>
      </w:r>
      <w:r w:rsidR="00A404FE">
        <w:t xml:space="preserve"> MBS items</w:t>
      </w:r>
      <w:r w:rsidR="00AB100D">
        <w:t xml:space="preserve"> outlined in </w:t>
      </w:r>
      <w:r w:rsidR="00AB100D">
        <w:fldChar w:fldCharType="begin"/>
      </w:r>
      <w:r w:rsidR="00AB100D">
        <w:instrText xml:space="preserve"> REF _Ref99561610 \h </w:instrText>
      </w:r>
      <w:r w:rsidR="00AB100D">
        <w:fldChar w:fldCharType="separate"/>
      </w:r>
      <w:r w:rsidR="0084187F">
        <w:t xml:space="preserve">Table </w:t>
      </w:r>
      <w:r w:rsidR="0084187F">
        <w:rPr>
          <w:noProof/>
        </w:rPr>
        <w:t>5</w:t>
      </w:r>
      <w:r w:rsidR="00AB100D">
        <w:fldChar w:fldCharType="end"/>
      </w:r>
      <w:r w:rsidR="00A35B89">
        <w:t>:</w:t>
      </w:r>
    </w:p>
    <w:p w14:paraId="5BFF05CE" w14:textId="39985EE2" w:rsidR="003036CA" w:rsidRDefault="003036CA" w:rsidP="0097394D">
      <w:pPr>
        <w:pStyle w:val="Caption"/>
      </w:pPr>
      <w:bookmarkStart w:id="8" w:name="_Ref99561610"/>
      <w:r>
        <w:t xml:space="preserve">Table </w:t>
      </w:r>
      <w:r>
        <w:fldChar w:fldCharType="begin"/>
      </w:r>
      <w:r>
        <w:instrText>SEQ Table \* ARABIC</w:instrText>
      </w:r>
      <w:r>
        <w:fldChar w:fldCharType="separate"/>
      </w:r>
      <w:r w:rsidR="0084187F">
        <w:rPr>
          <w:noProof/>
        </w:rPr>
        <w:t>5</w:t>
      </w:r>
      <w:r>
        <w:fldChar w:fldCharType="end"/>
      </w:r>
      <w:bookmarkEnd w:id="8"/>
      <w:r w:rsidR="0097394D">
        <w:tab/>
        <w:t>MBS item descriptors related to single-chamber TVPMs</w:t>
      </w:r>
    </w:p>
    <w:tbl>
      <w:tblPr>
        <w:tblStyle w:val="TableGrid"/>
        <w:tblW w:w="5000" w:type="pct"/>
        <w:tblLook w:val="04A0" w:firstRow="1" w:lastRow="0" w:firstColumn="1" w:lastColumn="0" w:noHBand="0" w:noVBand="1"/>
        <w:tblCaption w:val="Item Descriptor Table for the comparators"/>
        <w:tblDescription w:val="Exisitng items for TV-PM insertion are MBS Category 3 - therapeutic procedures. The relevant items are MBS item 38350 and 38353. The full descriptors and fees are shown, together with Explanatory Note TN.8.60 at 7 July 2021."/>
      </w:tblPr>
      <w:tblGrid>
        <w:gridCol w:w="9016"/>
      </w:tblGrid>
      <w:tr w:rsidR="003036CA" w:rsidRPr="006B5908" w14:paraId="2953BA2F" w14:textId="77777777" w:rsidTr="00EF27EC">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07E2F814" w14:textId="77777777" w:rsidR="003036CA" w:rsidRPr="00DE762F" w:rsidRDefault="003036CA" w:rsidP="00EF27EC">
            <w:pPr>
              <w:spacing w:before="60" w:after="60"/>
              <w:rPr>
                <w:rFonts w:ascii="Arial Narrow" w:hAnsi="Arial Narrow"/>
                <w:sz w:val="20"/>
                <w:szCs w:val="20"/>
              </w:rPr>
            </w:pPr>
            <w:r w:rsidRPr="00DE762F">
              <w:rPr>
                <w:rFonts w:ascii="Arial Narrow" w:hAnsi="Arial Narrow"/>
                <w:sz w:val="20"/>
                <w:szCs w:val="20"/>
              </w:rPr>
              <w:t xml:space="preserve">Category </w:t>
            </w:r>
            <w:r w:rsidRPr="006B5908">
              <w:rPr>
                <w:rFonts w:ascii="Arial Narrow" w:hAnsi="Arial Narrow"/>
                <w:sz w:val="20"/>
                <w:szCs w:val="20"/>
              </w:rPr>
              <w:t xml:space="preserve">3 – </w:t>
            </w:r>
            <w:r>
              <w:rPr>
                <w:rFonts w:ascii="Arial Narrow" w:hAnsi="Arial Narrow"/>
                <w:sz w:val="20"/>
                <w:szCs w:val="20"/>
              </w:rPr>
              <w:t>THERAPEUTIC PROCEDURES</w:t>
            </w:r>
          </w:p>
        </w:tc>
      </w:tr>
      <w:tr w:rsidR="003036CA" w:rsidRPr="006B5908" w14:paraId="1D247931" w14:textId="77777777" w:rsidTr="00EF27EC">
        <w:trPr>
          <w:cantSplit/>
        </w:trPr>
        <w:tc>
          <w:tcPr>
            <w:tcW w:w="5000" w:type="pct"/>
            <w:tcBorders>
              <w:top w:val="single" w:sz="4" w:space="0" w:color="auto"/>
              <w:left w:val="single" w:sz="4" w:space="0" w:color="auto"/>
              <w:bottom w:val="single" w:sz="4" w:space="0" w:color="auto"/>
              <w:right w:val="single" w:sz="4" w:space="0" w:color="auto"/>
            </w:tcBorders>
          </w:tcPr>
          <w:p w14:paraId="0C1A6948" w14:textId="698C52D6" w:rsidR="003036CA" w:rsidRPr="00DE762F" w:rsidRDefault="003036CA" w:rsidP="00EF27EC">
            <w:pPr>
              <w:spacing w:before="60" w:after="60"/>
              <w:rPr>
                <w:rFonts w:ascii="Arial Narrow" w:hAnsi="Arial Narrow"/>
                <w:sz w:val="20"/>
                <w:szCs w:val="20"/>
              </w:rPr>
            </w:pPr>
            <w:r>
              <w:rPr>
                <w:rFonts w:ascii="Arial Narrow" w:hAnsi="Arial Narrow"/>
                <w:sz w:val="20"/>
                <w:szCs w:val="20"/>
              </w:rPr>
              <w:t>38350</w:t>
            </w:r>
            <w:r w:rsidR="00DE6F17">
              <w:rPr>
                <w:rFonts w:ascii="Arial Narrow" w:hAnsi="Arial Narrow"/>
                <w:sz w:val="20"/>
                <w:szCs w:val="20"/>
              </w:rPr>
              <w:t xml:space="preserve"> (listing date: 01</w:t>
            </w:r>
            <w:r w:rsidR="00FD52F1">
              <w:rPr>
                <w:rFonts w:ascii="Arial Narrow" w:hAnsi="Arial Narrow"/>
                <w:sz w:val="20"/>
                <w:szCs w:val="20"/>
              </w:rPr>
              <w:t>/11/2005</w:t>
            </w:r>
            <w:r w:rsidR="00C75A82">
              <w:rPr>
                <w:rFonts w:ascii="Arial Narrow" w:hAnsi="Arial Narrow"/>
                <w:sz w:val="20"/>
                <w:szCs w:val="20"/>
              </w:rPr>
              <w:t>)</w:t>
            </w:r>
          </w:p>
          <w:p w14:paraId="6C459837" w14:textId="77777777" w:rsidR="003036CA" w:rsidRDefault="003036CA" w:rsidP="00EF27EC">
            <w:pPr>
              <w:spacing w:before="60" w:after="60"/>
              <w:rPr>
                <w:rFonts w:ascii="Arial Narrow" w:hAnsi="Arial Narrow"/>
                <w:sz w:val="20"/>
                <w:szCs w:val="20"/>
              </w:rPr>
            </w:pPr>
            <w:r w:rsidRPr="001B6D6C">
              <w:rPr>
                <w:rFonts w:ascii="Arial Narrow" w:hAnsi="Arial Narrow"/>
                <w:sz w:val="20"/>
                <w:szCs w:val="20"/>
              </w:rPr>
              <w:t xml:space="preserve">SINGLE CHAMBER PERMANENT TRANSVENOUS ELECTRODE, insertion, removal or replacement of, including cardiac electrophysiological services </w:t>
            </w:r>
            <w:proofErr w:type="gramStart"/>
            <w:r w:rsidRPr="001B6D6C">
              <w:rPr>
                <w:rFonts w:ascii="Arial Narrow" w:hAnsi="Arial Narrow"/>
                <w:sz w:val="20"/>
                <w:szCs w:val="20"/>
              </w:rPr>
              <w:t>where</w:t>
            </w:r>
            <w:proofErr w:type="gramEnd"/>
            <w:r w:rsidRPr="001B6D6C">
              <w:rPr>
                <w:rFonts w:ascii="Arial Narrow" w:hAnsi="Arial Narrow"/>
                <w:sz w:val="20"/>
                <w:szCs w:val="20"/>
              </w:rPr>
              <w:t xml:space="preserve"> used for pacemaker implantation</w:t>
            </w:r>
          </w:p>
          <w:p w14:paraId="44ED6480" w14:textId="77777777" w:rsidR="003036CA" w:rsidRDefault="003036CA" w:rsidP="00EF27EC">
            <w:pPr>
              <w:spacing w:before="60" w:after="60"/>
              <w:rPr>
                <w:rFonts w:ascii="Arial Narrow" w:hAnsi="Arial Narrow"/>
                <w:sz w:val="20"/>
                <w:szCs w:val="20"/>
              </w:rPr>
            </w:pPr>
            <w:r>
              <w:rPr>
                <w:rFonts w:ascii="Arial Narrow" w:hAnsi="Arial Narrow"/>
                <w:sz w:val="20"/>
                <w:szCs w:val="20"/>
              </w:rPr>
              <w:t>Multiple Operation Rule</w:t>
            </w:r>
          </w:p>
          <w:p w14:paraId="62355957" w14:textId="77777777" w:rsidR="003036CA" w:rsidRDefault="003036CA" w:rsidP="00EF27EC">
            <w:pPr>
              <w:spacing w:before="60" w:after="60"/>
              <w:rPr>
                <w:rFonts w:ascii="Arial Narrow" w:hAnsi="Arial Narrow"/>
                <w:sz w:val="20"/>
                <w:szCs w:val="20"/>
              </w:rPr>
            </w:pPr>
            <w:r>
              <w:rPr>
                <w:rFonts w:ascii="Arial Narrow" w:hAnsi="Arial Narrow"/>
                <w:sz w:val="20"/>
                <w:szCs w:val="20"/>
              </w:rPr>
              <w:t>(</w:t>
            </w:r>
            <w:proofErr w:type="spellStart"/>
            <w:r>
              <w:rPr>
                <w:rFonts w:ascii="Arial Narrow" w:hAnsi="Arial Narrow"/>
                <w:sz w:val="20"/>
                <w:szCs w:val="20"/>
              </w:rPr>
              <w:t>Anaes</w:t>
            </w:r>
            <w:proofErr w:type="spellEnd"/>
            <w:r>
              <w:rPr>
                <w:rFonts w:ascii="Arial Narrow" w:hAnsi="Arial Narrow"/>
                <w:sz w:val="20"/>
                <w:szCs w:val="20"/>
              </w:rPr>
              <w:t>.)</w:t>
            </w:r>
          </w:p>
          <w:p w14:paraId="33B14C74" w14:textId="77777777" w:rsidR="003036CA" w:rsidRDefault="003036CA" w:rsidP="00EF27EC">
            <w:pPr>
              <w:spacing w:before="60" w:after="60"/>
              <w:rPr>
                <w:rFonts w:ascii="Arial Narrow" w:hAnsi="Arial Narrow"/>
                <w:sz w:val="20"/>
                <w:szCs w:val="20"/>
              </w:rPr>
            </w:pPr>
            <w:r w:rsidRPr="00DE762F">
              <w:rPr>
                <w:rFonts w:ascii="Arial Narrow" w:hAnsi="Arial Narrow"/>
                <w:sz w:val="20"/>
                <w:szCs w:val="20"/>
              </w:rPr>
              <w:t xml:space="preserve">Fee: </w:t>
            </w:r>
            <w:r>
              <w:rPr>
                <w:rFonts w:ascii="Arial Narrow" w:hAnsi="Arial Narrow"/>
                <w:sz w:val="20"/>
                <w:szCs w:val="20"/>
              </w:rPr>
              <w:t>$664.55 Benefit: 75% = $498.45</w:t>
            </w:r>
          </w:p>
          <w:p w14:paraId="33CEBC8F" w14:textId="77777777" w:rsidR="003036CA" w:rsidRPr="00DE762F" w:rsidRDefault="003036CA" w:rsidP="00EF27EC">
            <w:pPr>
              <w:spacing w:before="60" w:after="60"/>
              <w:rPr>
                <w:rFonts w:ascii="Arial Narrow" w:hAnsi="Arial Narrow"/>
                <w:sz w:val="20"/>
                <w:szCs w:val="20"/>
              </w:rPr>
            </w:pPr>
            <w:r w:rsidRPr="001B6D6C">
              <w:rPr>
                <w:rFonts w:ascii="Arial Narrow" w:hAnsi="Arial Narrow"/>
                <w:sz w:val="20"/>
                <w:szCs w:val="20"/>
              </w:rPr>
              <w:t xml:space="preserve">(See </w:t>
            </w:r>
            <w:proofErr w:type="gramStart"/>
            <w:r w:rsidRPr="001B6D6C">
              <w:rPr>
                <w:rFonts w:ascii="Arial Narrow" w:hAnsi="Arial Narrow"/>
                <w:sz w:val="20"/>
                <w:szCs w:val="20"/>
              </w:rPr>
              <w:t>para TN.</w:t>
            </w:r>
            <w:proofErr w:type="gramEnd"/>
            <w:r w:rsidRPr="001B6D6C">
              <w:rPr>
                <w:rFonts w:ascii="Arial Narrow" w:hAnsi="Arial Narrow"/>
                <w:sz w:val="20"/>
                <w:szCs w:val="20"/>
              </w:rPr>
              <w:t>8.60 of explanatory notes to this Category)</w:t>
            </w:r>
          </w:p>
        </w:tc>
      </w:tr>
      <w:tr w:rsidR="003036CA" w:rsidRPr="006B5908" w14:paraId="6E3FD3B5" w14:textId="77777777" w:rsidTr="00EF27EC">
        <w:tc>
          <w:tcPr>
            <w:tcW w:w="5000" w:type="pct"/>
          </w:tcPr>
          <w:p w14:paraId="1B4A0BF8" w14:textId="15C32A81" w:rsidR="003036CA" w:rsidRPr="00DE762F" w:rsidRDefault="003036CA" w:rsidP="00EF27EC">
            <w:pPr>
              <w:spacing w:before="60" w:after="60"/>
              <w:rPr>
                <w:rFonts w:ascii="Arial Narrow" w:hAnsi="Arial Narrow"/>
                <w:sz w:val="20"/>
                <w:szCs w:val="20"/>
              </w:rPr>
            </w:pPr>
            <w:r>
              <w:rPr>
                <w:rFonts w:ascii="Arial Narrow" w:hAnsi="Arial Narrow"/>
                <w:sz w:val="20"/>
                <w:szCs w:val="20"/>
              </w:rPr>
              <w:t>38353</w:t>
            </w:r>
            <w:r w:rsidR="00C75A82">
              <w:rPr>
                <w:rFonts w:ascii="Arial Narrow" w:hAnsi="Arial Narrow"/>
                <w:sz w:val="20"/>
                <w:szCs w:val="20"/>
              </w:rPr>
              <w:t xml:space="preserve"> (listing date: 01/11/2005)</w:t>
            </w:r>
          </w:p>
          <w:p w14:paraId="02B9E14B" w14:textId="77777777" w:rsidR="003036CA" w:rsidRDefault="003036CA" w:rsidP="00EF27EC">
            <w:pPr>
              <w:spacing w:before="60" w:after="60"/>
              <w:rPr>
                <w:rFonts w:ascii="Arial Narrow" w:hAnsi="Arial Narrow"/>
                <w:sz w:val="20"/>
                <w:szCs w:val="20"/>
              </w:rPr>
            </w:pPr>
            <w:r w:rsidRPr="001B6D6C">
              <w:rPr>
                <w:rFonts w:ascii="Arial Narrow" w:hAnsi="Arial Narrow"/>
                <w:sz w:val="20"/>
                <w:szCs w:val="20"/>
              </w:rPr>
              <w:t xml:space="preserve">PERMANENT CARDIAC PACEMAKER, insertion, removal or replacement of, not for cardiac resynchronisation therapy, including cardiac electrophysiological services </w:t>
            </w:r>
            <w:proofErr w:type="gramStart"/>
            <w:r w:rsidRPr="001B6D6C">
              <w:rPr>
                <w:rFonts w:ascii="Arial Narrow" w:hAnsi="Arial Narrow"/>
                <w:sz w:val="20"/>
                <w:szCs w:val="20"/>
              </w:rPr>
              <w:t>where</w:t>
            </w:r>
            <w:proofErr w:type="gramEnd"/>
            <w:r w:rsidRPr="001B6D6C">
              <w:rPr>
                <w:rFonts w:ascii="Arial Narrow" w:hAnsi="Arial Narrow"/>
                <w:sz w:val="20"/>
                <w:szCs w:val="20"/>
              </w:rPr>
              <w:t xml:space="preserve"> used for pacemaker implantation</w:t>
            </w:r>
          </w:p>
          <w:p w14:paraId="3004B691" w14:textId="77777777" w:rsidR="003036CA" w:rsidRDefault="003036CA" w:rsidP="00EF27EC">
            <w:pPr>
              <w:spacing w:before="60" w:after="60"/>
              <w:rPr>
                <w:rFonts w:ascii="Arial Narrow" w:hAnsi="Arial Narrow"/>
                <w:sz w:val="20"/>
                <w:szCs w:val="20"/>
              </w:rPr>
            </w:pPr>
            <w:r>
              <w:rPr>
                <w:rFonts w:ascii="Arial Narrow" w:hAnsi="Arial Narrow"/>
                <w:sz w:val="20"/>
                <w:szCs w:val="20"/>
              </w:rPr>
              <w:t>Multiple Operation Rule</w:t>
            </w:r>
          </w:p>
          <w:p w14:paraId="3FDC949F" w14:textId="77777777" w:rsidR="003036CA" w:rsidRDefault="003036CA" w:rsidP="00EF27EC">
            <w:pPr>
              <w:spacing w:before="60" w:after="60"/>
              <w:rPr>
                <w:rFonts w:ascii="Arial Narrow" w:hAnsi="Arial Narrow"/>
                <w:sz w:val="20"/>
                <w:szCs w:val="20"/>
              </w:rPr>
            </w:pPr>
            <w:r>
              <w:rPr>
                <w:rFonts w:ascii="Arial Narrow" w:hAnsi="Arial Narrow"/>
                <w:sz w:val="20"/>
                <w:szCs w:val="20"/>
              </w:rPr>
              <w:t>(</w:t>
            </w:r>
            <w:proofErr w:type="spellStart"/>
            <w:r>
              <w:rPr>
                <w:rFonts w:ascii="Arial Narrow" w:hAnsi="Arial Narrow"/>
                <w:sz w:val="20"/>
                <w:szCs w:val="20"/>
              </w:rPr>
              <w:t>Anaes</w:t>
            </w:r>
            <w:proofErr w:type="spellEnd"/>
            <w:r>
              <w:rPr>
                <w:rFonts w:ascii="Arial Narrow" w:hAnsi="Arial Narrow"/>
                <w:sz w:val="20"/>
                <w:szCs w:val="20"/>
              </w:rPr>
              <w:t>.)</w:t>
            </w:r>
          </w:p>
          <w:p w14:paraId="0C3E6E3C" w14:textId="77777777" w:rsidR="003036CA" w:rsidRDefault="003036CA" w:rsidP="00EF27EC">
            <w:pPr>
              <w:spacing w:before="60" w:after="60"/>
              <w:rPr>
                <w:rFonts w:ascii="Arial Narrow" w:hAnsi="Arial Narrow"/>
                <w:sz w:val="20"/>
                <w:szCs w:val="20"/>
              </w:rPr>
            </w:pPr>
            <w:r w:rsidRPr="001B6D6C">
              <w:rPr>
                <w:rFonts w:ascii="Arial Narrow" w:hAnsi="Arial Narrow"/>
                <w:sz w:val="20"/>
                <w:szCs w:val="20"/>
              </w:rPr>
              <w:t>Fee: $</w:t>
            </w:r>
            <w:r>
              <w:rPr>
                <w:rFonts w:ascii="Arial Narrow" w:hAnsi="Arial Narrow"/>
                <w:sz w:val="20"/>
                <w:szCs w:val="20"/>
              </w:rPr>
              <w:t>265.80</w:t>
            </w:r>
            <w:r w:rsidRPr="001B6D6C">
              <w:rPr>
                <w:rFonts w:ascii="Arial Narrow" w:hAnsi="Arial Narrow"/>
                <w:sz w:val="20"/>
                <w:szCs w:val="20"/>
              </w:rPr>
              <w:t xml:space="preserve"> Benefit: 75% = $19</w:t>
            </w:r>
            <w:r>
              <w:rPr>
                <w:rFonts w:ascii="Arial Narrow" w:hAnsi="Arial Narrow"/>
                <w:sz w:val="20"/>
                <w:szCs w:val="20"/>
              </w:rPr>
              <w:t>9</w:t>
            </w:r>
            <w:r w:rsidRPr="001B6D6C">
              <w:rPr>
                <w:rFonts w:ascii="Arial Narrow" w:hAnsi="Arial Narrow"/>
                <w:sz w:val="20"/>
                <w:szCs w:val="20"/>
              </w:rPr>
              <w:t>.</w:t>
            </w:r>
            <w:r>
              <w:rPr>
                <w:rFonts w:ascii="Arial Narrow" w:hAnsi="Arial Narrow"/>
                <w:sz w:val="20"/>
                <w:szCs w:val="20"/>
              </w:rPr>
              <w:t>35</w:t>
            </w:r>
          </w:p>
          <w:p w14:paraId="52179870" w14:textId="77777777" w:rsidR="003036CA" w:rsidRPr="001B6D6C" w:rsidRDefault="003036CA" w:rsidP="00EF27EC">
            <w:pPr>
              <w:spacing w:before="60" w:after="60"/>
              <w:rPr>
                <w:rFonts w:ascii="Arial Narrow" w:hAnsi="Arial Narrow"/>
                <w:sz w:val="20"/>
                <w:szCs w:val="20"/>
              </w:rPr>
            </w:pPr>
            <w:r w:rsidRPr="001B6D6C">
              <w:rPr>
                <w:rFonts w:ascii="Arial Narrow" w:hAnsi="Arial Narrow"/>
                <w:sz w:val="20"/>
                <w:szCs w:val="20"/>
              </w:rPr>
              <w:t xml:space="preserve">(See </w:t>
            </w:r>
            <w:proofErr w:type="gramStart"/>
            <w:r w:rsidRPr="001B6D6C">
              <w:rPr>
                <w:rFonts w:ascii="Arial Narrow" w:hAnsi="Arial Narrow"/>
                <w:sz w:val="20"/>
                <w:szCs w:val="20"/>
              </w:rPr>
              <w:t>para TN.</w:t>
            </w:r>
            <w:proofErr w:type="gramEnd"/>
            <w:r w:rsidRPr="001B6D6C">
              <w:rPr>
                <w:rFonts w:ascii="Arial Narrow" w:hAnsi="Arial Narrow"/>
                <w:sz w:val="20"/>
                <w:szCs w:val="20"/>
              </w:rPr>
              <w:t>8.60 of explanatory notes to this Category)</w:t>
            </w:r>
          </w:p>
        </w:tc>
      </w:tr>
      <w:tr w:rsidR="003036CA" w:rsidRPr="006B5908" w14:paraId="254D55A8" w14:textId="77777777" w:rsidTr="00EF27EC">
        <w:tc>
          <w:tcPr>
            <w:tcW w:w="5000" w:type="pct"/>
          </w:tcPr>
          <w:p w14:paraId="21A9AA7C" w14:textId="77777777" w:rsidR="003036CA" w:rsidRDefault="003036CA" w:rsidP="00EF27EC">
            <w:pPr>
              <w:spacing w:before="60" w:after="60"/>
              <w:rPr>
                <w:rFonts w:ascii="Arial Narrow" w:hAnsi="Arial Narrow"/>
                <w:sz w:val="20"/>
                <w:szCs w:val="20"/>
              </w:rPr>
            </w:pPr>
            <w:r>
              <w:rPr>
                <w:rFonts w:ascii="Arial Narrow" w:hAnsi="Arial Narrow"/>
                <w:sz w:val="20"/>
                <w:szCs w:val="20"/>
              </w:rPr>
              <w:t>TN.8.60</w:t>
            </w:r>
          </w:p>
          <w:p w14:paraId="04FE27E6" w14:textId="77777777" w:rsidR="003036CA" w:rsidRDefault="003036CA" w:rsidP="00EF27EC">
            <w:pPr>
              <w:spacing w:before="60" w:after="60"/>
              <w:rPr>
                <w:rFonts w:ascii="Arial Narrow" w:hAnsi="Arial Narrow"/>
                <w:sz w:val="20"/>
                <w:szCs w:val="20"/>
              </w:rPr>
            </w:pPr>
            <w:r w:rsidRPr="00E7117F">
              <w:rPr>
                <w:rFonts w:ascii="Arial Narrow" w:hAnsi="Arial Narrow"/>
                <w:sz w:val="20"/>
                <w:szCs w:val="20"/>
              </w:rPr>
              <w:t>The fees for the insertion of a pacemaker (Items 38350, 38353 and 38356) cover the testing of cardiac conduction or conduction threshold, etc related to the pacemaker and pacemaker function.</w:t>
            </w:r>
            <w:r>
              <w:rPr>
                <w:rFonts w:ascii="Arial Narrow" w:hAnsi="Arial Narrow"/>
                <w:sz w:val="20"/>
                <w:szCs w:val="20"/>
              </w:rPr>
              <w:t xml:space="preserve"> </w:t>
            </w:r>
            <w:r w:rsidRPr="00E7117F">
              <w:rPr>
                <w:rFonts w:ascii="Arial Narrow" w:hAnsi="Arial Narrow"/>
                <w:sz w:val="20"/>
                <w:szCs w:val="20"/>
              </w:rPr>
              <w:t xml:space="preserve">Accordingly, additional benefits are not payable for such routine testing under </w:t>
            </w:r>
            <w:r>
              <w:rPr>
                <w:rFonts w:ascii="Arial Narrow" w:hAnsi="Arial Narrow"/>
                <w:sz w:val="20"/>
                <w:szCs w:val="20"/>
              </w:rPr>
              <w:t>i</w:t>
            </w:r>
            <w:r w:rsidRPr="00E7117F">
              <w:rPr>
                <w:rFonts w:ascii="Arial Narrow" w:hAnsi="Arial Narrow"/>
                <w:sz w:val="20"/>
                <w:szCs w:val="20"/>
              </w:rPr>
              <w:t>tem 38209 or 38212 (Cardiac electrophysiological studies).</w:t>
            </w:r>
          </w:p>
        </w:tc>
      </w:tr>
      <w:tr w:rsidR="003036CA" w:rsidRPr="006B5908" w14:paraId="50C71D83" w14:textId="77777777" w:rsidTr="00EF27EC">
        <w:trPr>
          <w:cantSplit/>
        </w:trPr>
        <w:tc>
          <w:tcPr>
            <w:tcW w:w="5000" w:type="pct"/>
            <w:tcBorders>
              <w:top w:val="single" w:sz="4" w:space="0" w:color="auto"/>
              <w:left w:val="single" w:sz="4" w:space="0" w:color="auto"/>
              <w:bottom w:val="single" w:sz="4" w:space="0" w:color="auto"/>
              <w:right w:val="single" w:sz="4" w:space="0" w:color="auto"/>
            </w:tcBorders>
          </w:tcPr>
          <w:p w14:paraId="22DBE33A" w14:textId="199AAFC8" w:rsidR="003036CA" w:rsidRPr="00DE762F" w:rsidRDefault="003036CA" w:rsidP="00EF27EC">
            <w:pPr>
              <w:spacing w:before="60" w:after="60"/>
              <w:rPr>
                <w:rFonts w:ascii="Arial Narrow" w:hAnsi="Arial Narrow"/>
                <w:sz w:val="20"/>
                <w:szCs w:val="20"/>
              </w:rPr>
            </w:pPr>
            <w:r>
              <w:rPr>
                <w:rFonts w:ascii="Arial Narrow" w:hAnsi="Arial Narrow"/>
                <w:sz w:val="20"/>
                <w:szCs w:val="20"/>
              </w:rPr>
              <w:lastRenderedPageBreak/>
              <w:t>38358</w:t>
            </w:r>
            <w:r w:rsidR="005B7DD6">
              <w:rPr>
                <w:rFonts w:ascii="Arial Narrow" w:hAnsi="Arial Narrow"/>
                <w:sz w:val="20"/>
                <w:szCs w:val="20"/>
              </w:rPr>
              <w:t xml:space="preserve"> (listing date: 01/11/2005)</w:t>
            </w:r>
          </w:p>
          <w:p w14:paraId="68A8EFB3" w14:textId="77777777" w:rsidR="003036CA" w:rsidRPr="00B14E86" w:rsidRDefault="003036CA" w:rsidP="00EF27EC">
            <w:pPr>
              <w:spacing w:before="60" w:after="60"/>
              <w:rPr>
                <w:rFonts w:ascii="Arial Narrow" w:hAnsi="Arial Narrow"/>
                <w:sz w:val="20"/>
                <w:szCs w:val="20"/>
              </w:rPr>
            </w:pPr>
            <w:r w:rsidRPr="00B14E86">
              <w:rPr>
                <w:rFonts w:ascii="Arial Narrow" w:hAnsi="Arial Narrow"/>
                <w:sz w:val="20"/>
                <w:szCs w:val="20"/>
              </w:rPr>
              <w:t>Extraction of one or more chronically implanted transvenous pacing or defibrillator leads, by percutaneous method, with locking stylets and snares, with extraction sheaths (if any), if:</w:t>
            </w:r>
          </w:p>
          <w:p w14:paraId="340098BE" w14:textId="77777777" w:rsidR="003036CA" w:rsidRPr="00B14E86" w:rsidRDefault="003036CA" w:rsidP="00EF27EC">
            <w:pPr>
              <w:spacing w:before="60" w:after="60"/>
              <w:rPr>
                <w:rFonts w:ascii="Arial Narrow" w:hAnsi="Arial Narrow"/>
                <w:sz w:val="20"/>
                <w:szCs w:val="20"/>
              </w:rPr>
            </w:pPr>
            <w:r w:rsidRPr="00B14E86">
              <w:rPr>
                <w:rFonts w:ascii="Arial Narrow" w:hAnsi="Arial Narrow"/>
                <w:sz w:val="20"/>
                <w:szCs w:val="20"/>
              </w:rPr>
              <w:t>(a) the leads have been in place for more than 6 months and require removal; and</w:t>
            </w:r>
          </w:p>
          <w:p w14:paraId="15F08E63" w14:textId="77777777" w:rsidR="003036CA" w:rsidRPr="00B14E86" w:rsidRDefault="003036CA" w:rsidP="00EF27EC">
            <w:pPr>
              <w:spacing w:before="60" w:after="60"/>
              <w:rPr>
                <w:rFonts w:ascii="Arial Narrow" w:hAnsi="Arial Narrow"/>
                <w:sz w:val="20"/>
                <w:szCs w:val="20"/>
              </w:rPr>
            </w:pPr>
            <w:r w:rsidRPr="00B14E86">
              <w:rPr>
                <w:rFonts w:ascii="Arial Narrow" w:hAnsi="Arial Narrow"/>
                <w:sz w:val="20"/>
                <w:szCs w:val="20"/>
              </w:rPr>
              <w:t>(b) the service is performed:</w:t>
            </w:r>
          </w:p>
          <w:p w14:paraId="48932BE1" w14:textId="77777777" w:rsidR="003036CA" w:rsidRPr="00B14E86" w:rsidRDefault="003036CA" w:rsidP="00EF27EC">
            <w:pPr>
              <w:spacing w:before="60" w:after="60"/>
              <w:rPr>
                <w:rFonts w:ascii="Arial Narrow" w:hAnsi="Arial Narrow"/>
                <w:sz w:val="20"/>
                <w:szCs w:val="20"/>
              </w:rPr>
            </w:pPr>
            <w:r w:rsidRPr="00B14E86">
              <w:rPr>
                <w:rFonts w:ascii="Arial Narrow" w:hAnsi="Arial Narrow"/>
                <w:sz w:val="20"/>
                <w:szCs w:val="20"/>
              </w:rPr>
              <w:t>(</w:t>
            </w:r>
            <w:proofErr w:type="spellStart"/>
            <w:r w:rsidRPr="00B14E86">
              <w:rPr>
                <w:rFonts w:ascii="Arial Narrow" w:hAnsi="Arial Narrow"/>
                <w:sz w:val="20"/>
                <w:szCs w:val="20"/>
              </w:rPr>
              <w:t>i</w:t>
            </w:r>
            <w:proofErr w:type="spellEnd"/>
            <w:r w:rsidRPr="00B14E86">
              <w:rPr>
                <w:rFonts w:ascii="Arial Narrow" w:hAnsi="Arial Narrow"/>
                <w:sz w:val="20"/>
                <w:szCs w:val="20"/>
              </w:rPr>
              <w:t>) in association with a service to which item 61109 or 60509 applies; and</w:t>
            </w:r>
          </w:p>
          <w:p w14:paraId="51072E41" w14:textId="77777777" w:rsidR="003036CA" w:rsidRPr="00B14E86" w:rsidRDefault="003036CA" w:rsidP="00EF27EC">
            <w:pPr>
              <w:spacing w:before="60" w:after="60"/>
              <w:rPr>
                <w:rFonts w:ascii="Arial Narrow" w:hAnsi="Arial Narrow"/>
                <w:sz w:val="20"/>
                <w:szCs w:val="20"/>
              </w:rPr>
            </w:pPr>
            <w:r w:rsidRPr="00B14E86">
              <w:rPr>
                <w:rFonts w:ascii="Arial Narrow" w:hAnsi="Arial Narrow"/>
                <w:sz w:val="20"/>
                <w:szCs w:val="20"/>
              </w:rPr>
              <w:t>(ii) by a specialist or consultant physician who has undertaken the training to perform the service; and</w:t>
            </w:r>
          </w:p>
          <w:p w14:paraId="1B865373" w14:textId="77777777" w:rsidR="003036CA" w:rsidRPr="00B14E86" w:rsidRDefault="003036CA" w:rsidP="00EF27EC">
            <w:pPr>
              <w:spacing w:before="60" w:after="60"/>
              <w:rPr>
                <w:rFonts w:ascii="Arial Narrow" w:hAnsi="Arial Narrow"/>
                <w:sz w:val="20"/>
                <w:szCs w:val="20"/>
              </w:rPr>
            </w:pPr>
            <w:r w:rsidRPr="00B14E86">
              <w:rPr>
                <w:rFonts w:ascii="Arial Narrow" w:hAnsi="Arial Narrow"/>
                <w:sz w:val="20"/>
                <w:szCs w:val="20"/>
              </w:rPr>
              <w:t xml:space="preserve">(iii) in a facility where cardiothoracic surgery is </w:t>
            </w:r>
            <w:proofErr w:type="gramStart"/>
            <w:r w:rsidRPr="00B14E86">
              <w:rPr>
                <w:rFonts w:ascii="Arial Narrow" w:hAnsi="Arial Narrow"/>
                <w:sz w:val="20"/>
                <w:szCs w:val="20"/>
              </w:rPr>
              <w:t>available</w:t>
            </w:r>
            <w:proofErr w:type="gramEnd"/>
            <w:r w:rsidRPr="00B14E86">
              <w:rPr>
                <w:rFonts w:ascii="Arial Narrow" w:hAnsi="Arial Narrow"/>
                <w:sz w:val="20"/>
                <w:szCs w:val="20"/>
              </w:rPr>
              <w:t xml:space="preserve"> and a thoracotomy can be performed immediately and without transfer; and</w:t>
            </w:r>
          </w:p>
          <w:p w14:paraId="0B3C2278" w14:textId="77777777" w:rsidR="003036CA" w:rsidRPr="00B14E86" w:rsidRDefault="003036CA" w:rsidP="00EF27EC">
            <w:pPr>
              <w:spacing w:before="60" w:after="60"/>
              <w:rPr>
                <w:rFonts w:ascii="Arial Narrow" w:hAnsi="Arial Narrow"/>
                <w:sz w:val="20"/>
                <w:szCs w:val="20"/>
              </w:rPr>
            </w:pPr>
            <w:r w:rsidRPr="00B14E86">
              <w:rPr>
                <w:rFonts w:ascii="Arial Narrow" w:hAnsi="Arial Narrow"/>
                <w:sz w:val="20"/>
                <w:szCs w:val="20"/>
              </w:rPr>
              <w:t>(c) if the service is performed by an interventional cardiologist—a cardiothoracic surgeon is in attendance during the service</w:t>
            </w:r>
          </w:p>
          <w:p w14:paraId="1D031835" w14:textId="77777777" w:rsidR="003036CA" w:rsidRPr="00B14E86" w:rsidRDefault="003036CA" w:rsidP="00EF27EC">
            <w:pPr>
              <w:spacing w:before="60" w:after="60"/>
              <w:rPr>
                <w:rFonts w:ascii="Arial Narrow" w:hAnsi="Arial Narrow"/>
                <w:sz w:val="20"/>
                <w:szCs w:val="20"/>
              </w:rPr>
            </w:pPr>
            <w:r w:rsidRPr="00B14E86">
              <w:rPr>
                <w:rFonts w:ascii="Arial Narrow" w:hAnsi="Arial Narrow"/>
                <w:sz w:val="20"/>
                <w:szCs w:val="20"/>
              </w:rPr>
              <w:t>(H)</w:t>
            </w:r>
          </w:p>
          <w:p w14:paraId="1AC46F17" w14:textId="77777777" w:rsidR="003036CA" w:rsidRDefault="003036CA" w:rsidP="00EF27EC">
            <w:pPr>
              <w:spacing w:before="60" w:after="60"/>
              <w:rPr>
                <w:rFonts w:ascii="Arial Narrow" w:hAnsi="Arial Narrow"/>
                <w:sz w:val="20"/>
                <w:szCs w:val="20"/>
              </w:rPr>
            </w:pPr>
            <w:r>
              <w:rPr>
                <w:rFonts w:ascii="Arial Narrow" w:hAnsi="Arial Narrow"/>
                <w:sz w:val="20"/>
                <w:szCs w:val="20"/>
              </w:rPr>
              <w:t>Multiple Operation Rule</w:t>
            </w:r>
          </w:p>
          <w:p w14:paraId="7CE683EB" w14:textId="77777777" w:rsidR="003036CA" w:rsidRDefault="003036CA" w:rsidP="00EF27EC">
            <w:pPr>
              <w:spacing w:before="60" w:after="60"/>
              <w:rPr>
                <w:rFonts w:ascii="Arial Narrow" w:hAnsi="Arial Narrow"/>
                <w:sz w:val="20"/>
                <w:szCs w:val="20"/>
              </w:rPr>
            </w:pPr>
            <w:r>
              <w:rPr>
                <w:rFonts w:ascii="Arial Narrow" w:hAnsi="Arial Narrow"/>
                <w:sz w:val="20"/>
                <w:szCs w:val="20"/>
              </w:rPr>
              <w:t>(</w:t>
            </w:r>
            <w:proofErr w:type="spellStart"/>
            <w:r>
              <w:rPr>
                <w:rFonts w:ascii="Arial Narrow" w:hAnsi="Arial Narrow"/>
                <w:sz w:val="20"/>
                <w:szCs w:val="20"/>
              </w:rPr>
              <w:t>Anaes</w:t>
            </w:r>
            <w:proofErr w:type="spellEnd"/>
            <w:r>
              <w:rPr>
                <w:rFonts w:ascii="Arial Narrow" w:hAnsi="Arial Narrow"/>
                <w:sz w:val="20"/>
                <w:szCs w:val="20"/>
              </w:rPr>
              <w:t>.) (Assist)</w:t>
            </w:r>
          </w:p>
          <w:p w14:paraId="325FC1E9" w14:textId="77777777" w:rsidR="003036CA" w:rsidRPr="00B14E86" w:rsidRDefault="003036CA" w:rsidP="00EF27EC">
            <w:pPr>
              <w:spacing w:before="60" w:after="60"/>
              <w:rPr>
                <w:rFonts w:ascii="Arial Narrow" w:hAnsi="Arial Narrow"/>
                <w:sz w:val="20"/>
                <w:szCs w:val="20"/>
              </w:rPr>
            </w:pPr>
            <w:r w:rsidRPr="00B14E86">
              <w:rPr>
                <w:rFonts w:ascii="Arial Narrow" w:hAnsi="Arial Narrow"/>
                <w:sz w:val="20"/>
                <w:szCs w:val="20"/>
              </w:rPr>
              <w:t>Fee: $2,089.00 Benefit: 75% = $1,566.75</w:t>
            </w:r>
          </w:p>
          <w:p w14:paraId="1E9EE515" w14:textId="77777777" w:rsidR="003036CA" w:rsidRPr="00DE762F" w:rsidRDefault="003036CA" w:rsidP="00EF27EC">
            <w:pPr>
              <w:spacing w:before="60" w:after="60"/>
              <w:rPr>
                <w:rFonts w:ascii="Arial Narrow" w:hAnsi="Arial Narrow"/>
                <w:sz w:val="20"/>
                <w:szCs w:val="20"/>
              </w:rPr>
            </w:pPr>
            <w:r w:rsidRPr="00B14E86">
              <w:rPr>
                <w:rFonts w:ascii="Arial Narrow" w:hAnsi="Arial Narrow"/>
                <w:sz w:val="20"/>
                <w:szCs w:val="20"/>
              </w:rPr>
              <w:t xml:space="preserve">(See </w:t>
            </w:r>
            <w:proofErr w:type="gramStart"/>
            <w:r w:rsidRPr="00B14E86">
              <w:rPr>
                <w:rFonts w:ascii="Arial Narrow" w:hAnsi="Arial Narrow"/>
                <w:sz w:val="20"/>
                <w:szCs w:val="20"/>
              </w:rPr>
              <w:t>para TN.</w:t>
            </w:r>
            <w:proofErr w:type="gramEnd"/>
            <w:r w:rsidRPr="00B14E86">
              <w:rPr>
                <w:rFonts w:ascii="Arial Narrow" w:hAnsi="Arial Narrow"/>
                <w:sz w:val="20"/>
                <w:szCs w:val="20"/>
              </w:rPr>
              <w:t>8.64, TN.8.214 of explanatory notes to this Category)</w:t>
            </w:r>
          </w:p>
        </w:tc>
      </w:tr>
      <w:tr w:rsidR="003036CA" w:rsidRPr="006B5908" w14:paraId="357E6751" w14:textId="77777777" w:rsidTr="00EF27EC">
        <w:tc>
          <w:tcPr>
            <w:tcW w:w="5000" w:type="pct"/>
          </w:tcPr>
          <w:p w14:paraId="01C3FDFD" w14:textId="77777777" w:rsidR="003036CA" w:rsidRDefault="003036CA" w:rsidP="00EF27EC">
            <w:pPr>
              <w:spacing w:before="60" w:after="60"/>
              <w:rPr>
                <w:rFonts w:ascii="Arial Narrow" w:hAnsi="Arial Narrow"/>
                <w:sz w:val="20"/>
                <w:szCs w:val="20"/>
              </w:rPr>
            </w:pPr>
            <w:r>
              <w:rPr>
                <w:rFonts w:ascii="Arial Narrow" w:hAnsi="Arial Narrow"/>
                <w:sz w:val="20"/>
                <w:szCs w:val="20"/>
              </w:rPr>
              <w:t>TN.8.64</w:t>
            </w:r>
          </w:p>
          <w:p w14:paraId="56F38CC1" w14:textId="77777777" w:rsidR="003036CA" w:rsidRDefault="003036CA" w:rsidP="00EF27EC">
            <w:pPr>
              <w:spacing w:before="60" w:after="60"/>
              <w:rPr>
                <w:rFonts w:ascii="Arial Narrow" w:hAnsi="Arial Narrow"/>
                <w:sz w:val="20"/>
                <w:szCs w:val="20"/>
              </w:rPr>
            </w:pPr>
            <w:r w:rsidRPr="00F500A2">
              <w:rPr>
                <w:rFonts w:ascii="Arial Narrow" w:hAnsi="Arial Narrow"/>
                <w:sz w:val="20"/>
                <w:szCs w:val="20"/>
              </w:rPr>
              <w:t>Intravascular Extraction of Permanent Pacing Leads - (</w:t>
            </w:r>
            <w:r>
              <w:rPr>
                <w:rFonts w:ascii="Arial Narrow" w:hAnsi="Arial Narrow"/>
                <w:sz w:val="20"/>
                <w:szCs w:val="20"/>
              </w:rPr>
              <w:t>i</w:t>
            </w:r>
            <w:r w:rsidRPr="00F500A2">
              <w:rPr>
                <w:rFonts w:ascii="Arial Narrow" w:hAnsi="Arial Narrow"/>
                <w:sz w:val="20"/>
                <w:szCs w:val="20"/>
              </w:rPr>
              <w:t>tem 38358)</w:t>
            </w:r>
          </w:p>
          <w:p w14:paraId="586BAAA5" w14:textId="77777777" w:rsidR="003036CA" w:rsidRDefault="003036CA" w:rsidP="00EF27EC">
            <w:pPr>
              <w:spacing w:before="60" w:after="60"/>
              <w:rPr>
                <w:rFonts w:ascii="Arial Narrow" w:hAnsi="Arial Narrow"/>
                <w:sz w:val="20"/>
                <w:szCs w:val="20"/>
              </w:rPr>
            </w:pPr>
            <w:r w:rsidRPr="00F500A2">
              <w:rPr>
                <w:rFonts w:ascii="Arial Narrow" w:hAnsi="Arial Narrow"/>
                <w:sz w:val="20"/>
                <w:szCs w:val="20"/>
              </w:rPr>
              <w:t xml:space="preserve">For the purposes of </w:t>
            </w:r>
            <w:r>
              <w:rPr>
                <w:rFonts w:ascii="Arial Narrow" w:hAnsi="Arial Narrow"/>
                <w:sz w:val="20"/>
                <w:szCs w:val="20"/>
              </w:rPr>
              <w:t>i</w:t>
            </w:r>
            <w:r w:rsidRPr="00F500A2">
              <w:rPr>
                <w:rFonts w:ascii="Arial Narrow" w:hAnsi="Arial Narrow"/>
                <w:sz w:val="20"/>
                <w:szCs w:val="20"/>
              </w:rPr>
              <w:t>tem 38358 specialists or consultant physicians claiming this item must have training recognised by the Lead Extraction Advisory Committee of the Cardiac Society of Australia and New Zealand, and the Department of Human Services notified of that recognition. The procedure should only be undertaken in a hospital capable of providing cardiac surgery.</w:t>
            </w:r>
          </w:p>
        </w:tc>
      </w:tr>
      <w:tr w:rsidR="003036CA" w:rsidRPr="006B5908" w14:paraId="77484CCF" w14:textId="77777777" w:rsidTr="00EF27EC">
        <w:tc>
          <w:tcPr>
            <w:tcW w:w="5000" w:type="pct"/>
          </w:tcPr>
          <w:p w14:paraId="4D4E4D11" w14:textId="77777777" w:rsidR="003036CA" w:rsidRDefault="003036CA" w:rsidP="00EF27EC">
            <w:pPr>
              <w:spacing w:before="60" w:after="60"/>
              <w:rPr>
                <w:rFonts w:ascii="Arial Narrow" w:hAnsi="Arial Narrow"/>
                <w:sz w:val="20"/>
                <w:szCs w:val="20"/>
              </w:rPr>
            </w:pPr>
            <w:r>
              <w:rPr>
                <w:rFonts w:ascii="Arial Narrow" w:hAnsi="Arial Narrow"/>
                <w:sz w:val="20"/>
                <w:szCs w:val="20"/>
              </w:rPr>
              <w:t>TN.8.214</w:t>
            </w:r>
          </w:p>
          <w:p w14:paraId="4FEF5952" w14:textId="77777777" w:rsidR="003036CA" w:rsidRDefault="003036CA" w:rsidP="00EF27EC">
            <w:pPr>
              <w:spacing w:before="60" w:after="60"/>
              <w:rPr>
                <w:rFonts w:ascii="Arial Narrow" w:hAnsi="Arial Narrow"/>
                <w:sz w:val="20"/>
                <w:szCs w:val="20"/>
              </w:rPr>
            </w:pPr>
            <w:r>
              <w:rPr>
                <w:rFonts w:ascii="Arial Narrow" w:hAnsi="Arial Narrow"/>
                <w:sz w:val="20"/>
                <w:szCs w:val="20"/>
              </w:rPr>
              <w:t>I</w:t>
            </w:r>
            <w:r w:rsidRPr="00F500A2">
              <w:rPr>
                <w:rFonts w:ascii="Arial Narrow" w:hAnsi="Arial Narrow"/>
                <w:sz w:val="20"/>
                <w:szCs w:val="20"/>
              </w:rPr>
              <w:t>nternational guidelines and claiming guide for extraction of leads</w:t>
            </w:r>
          </w:p>
          <w:p w14:paraId="2C4277F5" w14:textId="77777777" w:rsidR="003036CA" w:rsidRPr="00F500A2" w:rsidRDefault="003036CA" w:rsidP="00EF27EC">
            <w:pPr>
              <w:spacing w:before="60" w:after="60"/>
              <w:rPr>
                <w:rFonts w:ascii="Arial Narrow" w:hAnsi="Arial Narrow"/>
                <w:sz w:val="20"/>
                <w:szCs w:val="20"/>
              </w:rPr>
            </w:pPr>
            <w:r w:rsidRPr="00F500A2">
              <w:rPr>
                <w:rFonts w:ascii="Arial Narrow" w:hAnsi="Arial Narrow"/>
                <w:sz w:val="20"/>
                <w:szCs w:val="20"/>
              </w:rPr>
              <w:t xml:space="preserve">International guidelines state that delays from injury to open access to the heart of more than 5–10 minutes are often associated with a fatal outcome. Preparations for this procedure should provide for this rare but </w:t>
            </w:r>
            <w:proofErr w:type="gramStart"/>
            <w:r w:rsidRPr="00F500A2">
              <w:rPr>
                <w:rFonts w:ascii="Arial Narrow" w:hAnsi="Arial Narrow"/>
                <w:sz w:val="20"/>
                <w:szCs w:val="20"/>
              </w:rPr>
              <w:t>life threatening</w:t>
            </w:r>
            <w:proofErr w:type="gramEnd"/>
            <w:r w:rsidRPr="00F500A2">
              <w:rPr>
                <w:rFonts w:ascii="Arial Narrow" w:hAnsi="Arial Narrow"/>
                <w:sz w:val="20"/>
                <w:szCs w:val="20"/>
              </w:rPr>
              <w:t xml:space="preserve"> circumstance.</w:t>
            </w:r>
          </w:p>
          <w:p w14:paraId="0D00AB54" w14:textId="77777777" w:rsidR="003036CA" w:rsidRPr="006B5908" w:rsidRDefault="003036CA" w:rsidP="00EF27EC">
            <w:pPr>
              <w:spacing w:before="60" w:after="60"/>
              <w:rPr>
                <w:rFonts w:ascii="Arial Narrow" w:hAnsi="Arial Narrow"/>
                <w:sz w:val="20"/>
                <w:szCs w:val="20"/>
              </w:rPr>
            </w:pPr>
            <w:r w:rsidRPr="006B5908">
              <w:rPr>
                <w:rFonts w:ascii="Arial Narrow" w:hAnsi="Arial Narrow"/>
                <w:sz w:val="20"/>
                <w:szCs w:val="20"/>
              </w:rPr>
              <w:t>Claiming guide:</w:t>
            </w:r>
          </w:p>
          <w:p w14:paraId="6DB96744" w14:textId="77777777" w:rsidR="003036CA" w:rsidRPr="00F500A2" w:rsidRDefault="003036CA" w:rsidP="00EF27EC">
            <w:pPr>
              <w:spacing w:before="60" w:after="60"/>
              <w:rPr>
                <w:rFonts w:ascii="Arial Narrow" w:hAnsi="Arial Narrow"/>
                <w:sz w:val="20"/>
                <w:szCs w:val="20"/>
              </w:rPr>
            </w:pPr>
            <w:r w:rsidRPr="00F500A2">
              <w:rPr>
                <w:rFonts w:ascii="Arial Narrow" w:hAnsi="Arial Narrow"/>
                <w:sz w:val="20"/>
                <w:szCs w:val="20"/>
              </w:rPr>
              <w:t>When the service to which item 38358 applies is provided to a patient by an accredited interventional cardiologist the following claiming will apply:</w:t>
            </w:r>
          </w:p>
          <w:p w14:paraId="7CBB8CEB" w14:textId="77777777" w:rsidR="003036CA" w:rsidRPr="00F500A2" w:rsidRDefault="003036CA" w:rsidP="00EF27EC">
            <w:pPr>
              <w:spacing w:before="60" w:after="60"/>
              <w:rPr>
                <w:rFonts w:ascii="Arial Narrow" w:hAnsi="Arial Narrow"/>
                <w:sz w:val="20"/>
                <w:szCs w:val="20"/>
              </w:rPr>
            </w:pPr>
            <w:r w:rsidRPr="00F500A2">
              <w:rPr>
                <w:rFonts w:ascii="Arial Narrow" w:hAnsi="Arial Narrow"/>
                <w:sz w:val="20"/>
                <w:szCs w:val="20"/>
              </w:rPr>
              <w:t xml:space="preserve">Item 38358 is to be claimed by the accredited </w:t>
            </w:r>
            <w:r w:rsidRPr="006B5908">
              <w:rPr>
                <w:rFonts w:ascii="Arial Narrow" w:hAnsi="Arial Narrow"/>
                <w:sz w:val="20"/>
                <w:szCs w:val="20"/>
              </w:rPr>
              <w:t>interventional cardiologist</w:t>
            </w:r>
            <w:r w:rsidRPr="00F500A2">
              <w:rPr>
                <w:rFonts w:ascii="Arial Narrow" w:hAnsi="Arial Narrow"/>
                <w:sz w:val="20"/>
                <w:szCs w:val="20"/>
              </w:rPr>
              <w:t>; and</w:t>
            </w:r>
          </w:p>
          <w:p w14:paraId="4219FEE5" w14:textId="77777777" w:rsidR="003036CA" w:rsidRPr="00F500A2" w:rsidRDefault="003036CA" w:rsidP="00EF27EC">
            <w:pPr>
              <w:spacing w:before="60" w:after="60"/>
              <w:rPr>
                <w:rFonts w:ascii="Arial Narrow" w:hAnsi="Arial Narrow"/>
                <w:sz w:val="20"/>
                <w:szCs w:val="20"/>
              </w:rPr>
            </w:pPr>
            <w:r w:rsidRPr="00F500A2">
              <w:rPr>
                <w:rFonts w:ascii="Arial Narrow" w:hAnsi="Arial Narrow"/>
                <w:sz w:val="20"/>
                <w:szCs w:val="20"/>
              </w:rPr>
              <w:t>Item 90300 is to be claimed by the standby cardiothoracic surgeon.</w:t>
            </w:r>
          </w:p>
          <w:p w14:paraId="7A5463D7" w14:textId="77777777" w:rsidR="003036CA" w:rsidRPr="00F500A2" w:rsidRDefault="003036CA" w:rsidP="00EF27EC">
            <w:pPr>
              <w:spacing w:before="60" w:after="60"/>
              <w:rPr>
                <w:rFonts w:ascii="Arial Narrow" w:hAnsi="Arial Narrow"/>
                <w:sz w:val="20"/>
                <w:szCs w:val="20"/>
              </w:rPr>
            </w:pPr>
            <w:r w:rsidRPr="00F500A2">
              <w:rPr>
                <w:rFonts w:ascii="Arial Narrow" w:hAnsi="Arial Narrow"/>
                <w:sz w:val="20"/>
                <w:szCs w:val="20"/>
              </w:rPr>
              <w:t>When the service to which item 38358 applies is provided to a patient by an accredited cardiothoracic surgeon the following claiming will apply:</w:t>
            </w:r>
          </w:p>
          <w:p w14:paraId="12872858" w14:textId="77777777" w:rsidR="003036CA" w:rsidRPr="00F500A2" w:rsidRDefault="003036CA" w:rsidP="00EF27EC">
            <w:pPr>
              <w:spacing w:before="60" w:after="60"/>
              <w:rPr>
                <w:rFonts w:ascii="Arial Narrow" w:hAnsi="Arial Narrow"/>
                <w:sz w:val="20"/>
                <w:szCs w:val="20"/>
              </w:rPr>
            </w:pPr>
            <w:r w:rsidRPr="00F500A2">
              <w:rPr>
                <w:rFonts w:ascii="Arial Narrow" w:hAnsi="Arial Narrow"/>
                <w:sz w:val="20"/>
                <w:szCs w:val="20"/>
              </w:rPr>
              <w:t xml:space="preserve">Item 38358 is to be claimed by the accredited </w:t>
            </w:r>
            <w:r w:rsidRPr="006B5908">
              <w:rPr>
                <w:rFonts w:ascii="Arial Narrow" w:hAnsi="Arial Narrow"/>
                <w:sz w:val="20"/>
                <w:szCs w:val="20"/>
              </w:rPr>
              <w:t>cardiothoracic surgeon</w:t>
            </w:r>
            <w:r w:rsidRPr="00F500A2">
              <w:rPr>
                <w:rFonts w:ascii="Arial Narrow" w:hAnsi="Arial Narrow"/>
                <w:sz w:val="20"/>
                <w:szCs w:val="20"/>
              </w:rPr>
              <w:t>; and</w:t>
            </w:r>
          </w:p>
          <w:p w14:paraId="6623678C" w14:textId="77777777" w:rsidR="003036CA" w:rsidRPr="00F500A2" w:rsidRDefault="003036CA" w:rsidP="00EF27EC">
            <w:pPr>
              <w:spacing w:before="60" w:after="60"/>
              <w:rPr>
                <w:rFonts w:ascii="Arial Narrow" w:hAnsi="Arial Narrow"/>
                <w:sz w:val="20"/>
                <w:szCs w:val="20"/>
              </w:rPr>
            </w:pPr>
            <w:r w:rsidRPr="00F500A2">
              <w:rPr>
                <w:rFonts w:ascii="Arial Narrow" w:hAnsi="Arial Narrow"/>
                <w:sz w:val="20"/>
                <w:szCs w:val="20"/>
              </w:rPr>
              <w:t>Item 90300 is also claimable by the cardiothoracic surgeon.</w:t>
            </w:r>
          </w:p>
        </w:tc>
      </w:tr>
      <w:tr w:rsidR="003036CA" w:rsidRPr="006B5908" w14:paraId="3C451A5C" w14:textId="77777777" w:rsidTr="00EF27EC">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2BB79112" w14:textId="77777777" w:rsidR="003036CA" w:rsidRPr="00DE762F" w:rsidRDefault="003036CA" w:rsidP="00EF27EC">
            <w:pPr>
              <w:spacing w:before="60" w:after="60"/>
              <w:rPr>
                <w:rFonts w:ascii="Arial Narrow" w:hAnsi="Arial Narrow"/>
                <w:sz w:val="20"/>
                <w:szCs w:val="20"/>
              </w:rPr>
            </w:pPr>
            <w:r w:rsidRPr="00DE762F">
              <w:rPr>
                <w:rFonts w:ascii="Arial Narrow" w:hAnsi="Arial Narrow"/>
                <w:sz w:val="20"/>
                <w:szCs w:val="20"/>
              </w:rPr>
              <w:t xml:space="preserve">Category </w:t>
            </w:r>
            <w:r>
              <w:rPr>
                <w:rFonts w:ascii="Arial Narrow" w:hAnsi="Arial Narrow"/>
                <w:sz w:val="20"/>
                <w:szCs w:val="20"/>
              </w:rPr>
              <w:t>1</w:t>
            </w:r>
            <w:r w:rsidRPr="006B5908">
              <w:rPr>
                <w:rFonts w:ascii="Arial Narrow" w:hAnsi="Arial Narrow"/>
                <w:sz w:val="20"/>
                <w:szCs w:val="20"/>
              </w:rPr>
              <w:t xml:space="preserve"> – </w:t>
            </w:r>
            <w:r>
              <w:rPr>
                <w:rFonts w:ascii="Arial Narrow" w:hAnsi="Arial Narrow"/>
                <w:sz w:val="20"/>
                <w:szCs w:val="20"/>
              </w:rPr>
              <w:t>PROFESSIONAL ATTENDANCES</w:t>
            </w:r>
            <w:r>
              <w:rPr>
                <w:rFonts w:ascii="Arial Narrow" w:hAnsi="Arial Narrow"/>
                <w:sz w:val="20"/>
                <w:szCs w:val="20"/>
              </w:rPr>
              <w:br/>
              <w:t>Group A37 – Cardiothoracic Surgeon Attendance for Lead Extraction</w:t>
            </w:r>
          </w:p>
        </w:tc>
      </w:tr>
      <w:tr w:rsidR="003036CA" w:rsidRPr="006B5908" w14:paraId="4E0FD5F3" w14:textId="77777777" w:rsidTr="00EF27EC">
        <w:trPr>
          <w:cantSplit/>
        </w:trPr>
        <w:tc>
          <w:tcPr>
            <w:tcW w:w="5000" w:type="pct"/>
            <w:tcBorders>
              <w:top w:val="single" w:sz="4" w:space="0" w:color="auto"/>
              <w:left w:val="single" w:sz="4" w:space="0" w:color="auto"/>
              <w:bottom w:val="single" w:sz="4" w:space="0" w:color="auto"/>
              <w:right w:val="single" w:sz="4" w:space="0" w:color="auto"/>
            </w:tcBorders>
          </w:tcPr>
          <w:p w14:paraId="42110574" w14:textId="0CAA6709" w:rsidR="003036CA" w:rsidRPr="00DE762F" w:rsidRDefault="003036CA" w:rsidP="00EF27EC">
            <w:pPr>
              <w:spacing w:before="60" w:after="60"/>
              <w:rPr>
                <w:rFonts w:ascii="Arial Narrow" w:hAnsi="Arial Narrow"/>
                <w:sz w:val="20"/>
                <w:szCs w:val="20"/>
              </w:rPr>
            </w:pPr>
            <w:r>
              <w:rPr>
                <w:rFonts w:ascii="Arial Narrow" w:hAnsi="Arial Narrow"/>
                <w:sz w:val="20"/>
                <w:szCs w:val="20"/>
              </w:rPr>
              <w:lastRenderedPageBreak/>
              <w:t>90300</w:t>
            </w:r>
            <w:r w:rsidR="00C71190">
              <w:rPr>
                <w:rFonts w:ascii="Arial Narrow" w:hAnsi="Arial Narrow"/>
                <w:sz w:val="20"/>
                <w:szCs w:val="20"/>
              </w:rPr>
              <w:t xml:space="preserve"> (listing date: 01/07/2021)</w:t>
            </w:r>
          </w:p>
          <w:p w14:paraId="220AF84D" w14:textId="77777777" w:rsidR="003036CA" w:rsidRPr="00E25BDA" w:rsidRDefault="003036CA" w:rsidP="00EF27EC">
            <w:pPr>
              <w:spacing w:before="60" w:after="60"/>
              <w:rPr>
                <w:rFonts w:ascii="Arial Narrow" w:hAnsi="Arial Narrow"/>
                <w:sz w:val="20"/>
                <w:szCs w:val="20"/>
              </w:rPr>
            </w:pPr>
            <w:r w:rsidRPr="00E25BDA">
              <w:rPr>
                <w:rFonts w:ascii="Arial Narrow" w:hAnsi="Arial Narrow"/>
                <w:sz w:val="20"/>
                <w:szCs w:val="20"/>
              </w:rPr>
              <w:t>Professional attendance by a cardiothoracic surgeon in the practice of the surgeon’s speciality, if:</w:t>
            </w:r>
          </w:p>
          <w:p w14:paraId="19E46E8D" w14:textId="77777777" w:rsidR="003036CA" w:rsidRPr="00E25BDA" w:rsidRDefault="003036CA" w:rsidP="00EF27EC">
            <w:pPr>
              <w:spacing w:before="60" w:after="60"/>
              <w:rPr>
                <w:rFonts w:ascii="Arial Narrow" w:hAnsi="Arial Narrow"/>
                <w:sz w:val="20"/>
                <w:szCs w:val="20"/>
              </w:rPr>
            </w:pPr>
            <w:r w:rsidRPr="00E25BDA">
              <w:rPr>
                <w:rFonts w:ascii="Arial Narrow" w:hAnsi="Arial Narrow"/>
                <w:sz w:val="20"/>
                <w:szCs w:val="20"/>
              </w:rPr>
              <w:t>(a) the service is performed in conjunction with a service (the lead extraction service) to which item 38358 applies; and</w:t>
            </w:r>
          </w:p>
          <w:p w14:paraId="6B71E31F" w14:textId="77777777" w:rsidR="003036CA" w:rsidRPr="00E25BDA" w:rsidRDefault="003036CA" w:rsidP="00EF27EC">
            <w:pPr>
              <w:spacing w:before="60" w:after="60"/>
              <w:rPr>
                <w:rFonts w:ascii="Arial Narrow" w:hAnsi="Arial Narrow"/>
                <w:sz w:val="20"/>
                <w:szCs w:val="20"/>
              </w:rPr>
            </w:pPr>
            <w:r w:rsidRPr="00E25BDA">
              <w:rPr>
                <w:rFonts w:ascii="Arial Narrow" w:hAnsi="Arial Narrow"/>
                <w:sz w:val="20"/>
                <w:szCs w:val="20"/>
              </w:rPr>
              <w:t>(b) the surgeon is:</w:t>
            </w:r>
          </w:p>
          <w:p w14:paraId="0B231C8B" w14:textId="77777777" w:rsidR="003036CA" w:rsidRPr="00E25BDA" w:rsidRDefault="003036CA" w:rsidP="00EF27EC">
            <w:pPr>
              <w:spacing w:before="60" w:after="60"/>
              <w:rPr>
                <w:rFonts w:ascii="Arial Narrow" w:hAnsi="Arial Narrow"/>
                <w:sz w:val="20"/>
                <w:szCs w:val="20"/>
              </w:rPr>
            </w:pPr>
            <w:r w:rsidRPr="00E25BDA">
              <w:rPr>
                <w:rFonts w:ascii="Arial Narrow" w:hAnsi="Arial Narrow"/>
                <w:sz w:val="20"/>
                <w:szCs w:val="20"/>
              </w:rPr>
              <w:t>(</w:t>
            </w:r>
            <w:proofErr w:type="spellStart"/>
            <w:r w:rsidRPr="00E25BDA">
              <w:rPr>
                <w:rFonts w:ascii="Arial Narrow" w:hAnsi="Arial Narrow"/>
                <w:sz w:val="20"/>
                <w:szCs w:val="20"/>
              </w:rPr>
              <w:t>i</w:t>
            </w:r>
            <w:proofErr w:type="spellEnd"/>
            <w:r w:rsidRPr="00E25BDA">
              <w:rPr>
                <w:rFonts w:ascii="Arial Narrow" w:hAnsi="Arial Narrow"/>
                <w:sz w:val="20"/>
                <w:szCs w:val="20"/>
              </w:rPr>
              <w:t>) either performing, or providing surgical backup for the provider (who is not a cardiothoracic surgeon) who is performing, the lead extraction service; and</w:t>
            </w:r>
          </w:p>
          <w:p w14:paraId="5D0AB2C6" w14:textId="77777777" w:rsidR="003036CA" w:rsidRPr="00E25BDA" w:rsidRDefault="003036CA" w:rsidP="00EF27EC">
            <w:pPr>
              <w:spacing w:before="60" w:after="60"/>
              <w:rPr>
                <w:rFonts w:ascii="Arial Narrow" w:hAnsi="Arial Narrow"/>
                <w:sz w:val="20"/>
                <w:szCs w:val="20"/>
              </w:rPr>
            </w:pPr>
            <w:r w:rsidRPr="00E25BDA">
              <w:rPr>
                <w:rFonts w:ascii="Arial Narrow" w:hAnsi="Arial Narrow"/>
                <w:sz w:val="20"/>
                <w:szCs w:val="20"/>
              </w:rPr>
              <w:t>(</w:t>
            </w:r>
            <w:proofErr w:type="spellStart"/>
            <w:r w:rsidRPr="00E25BDA">
              <w:rPr>
                <w:rFonts w:ascii="Arial Narrow" w:hAnsi="Arial Narrow"/>
                <w:sz w:val="20"/>
                <w:szCs w:val="20"/>
              </w:rPr>
              <w:t>i</w:t>
            </w:r>
            <w:proofErr w:type="spellEnd"/>
            <w:r w:rsidRPr="00E25BDA">
              <w:rPr>
                <w:rFonts w:ascii="Arial Narrow" w:hAnsi="Arial Narrow"/>
                <w:sz w:val="20"/>
                <w:szCs w:val="20"/>
              </w:rPr>
              <w:t>) present for the duration of the lead extraction service, other than during the low risk pre and post extraction phases; and</w:t>
            </w:r>
          </w:p>
          <w:p w14:paraId="7E792B32" w14:textId="77777777" w:rsidR="003036CA" w:rsidRPr="00E25BDA" w:rsidRDefault="003036CA" w:rsidP="00EF27EC">
            <w:pPr>
              <w:spacing w:before="60" w:after="60"/>
              <w:rPr>
                <w:rFonts w:ascii="Arial Narrow" w:hAnsi="Arial Narrow"/>
                <w:sz w:val="20"/>
                <w:szCs w:val="20"/>
              </w:rPr>
            </w:pPr>
            <w:r w:rsidRPr="00E25BDA">
              <w:rPr>
                <w:rFonts w:ascii="Arial Narrow" w:hAnsi="Arial Narrow"/>
                <w:sz w:val="20"/>
                <w:szCs w:val="20"/>
              </w:rPr>
              <w:t>(iii) able to immediately scrub in and perform a thoracotomy if major complications occur (H)</w:t>
            </w:r>
          </w:p>
          <w:p w14:paraId="097B1221" w14:textId="77777777" w:rsidR="003036CA" w:rsidRPr="00E25BDA" w:rsidRDefault="003036CA" w:rsidP="00EF27EC">
            <w:pPr>
              <w:spacing w:before="60" w:after="60"/>
              <w:rPr>
                <w:rFonts w:ascii="Arial Narrow" w:hAnsi="Arial Narrow"/>
                <w:sz w:val="20"/>
                <w:szCs w:val="20"/>
              </w:rPr>
            </w:pPr>
            <w:r w:rsidRPr="00E25BDA">
              <w:rPr>
                <w:rFonts w:ascii="Arial Narrow" w:hAnsi="Arial Narrow"/>
                <w:sz w:val="20"/>
                <w:szCs w:val="20"/>
              </w:rPr>
              <w:t>Fee: $895.25 Benefit: 75% = $671.45</w:t>
            </w:r>
          </w:p>
          <w:p w14:paraId="5173444B" w14:textId="77777777" w:rsidR="003036CA" w:rsidRPr="00DE762F" w:rsidRDefault="003036CA" w:rsidP="00EF27EC">
            <w:pPr>
              <w:spacing w:before="60" w:after="60"/>
              <w:rPr>
                <w:rFonts w:ascii="Arial Narrow" w:hAnsi="Arial Narrow"/>
                <w:sz w:val="20"/>
                <w:szCs w:val="20"/>
              </w:rPr>
            </w:pPr>
            <w:r w:rsidRPr="00E25BDA">
              <w:rPr>
                <w:rFonts w:ascii="Arial Narrow" w:hAnsi="Arial Narrow"/>
                <w:sz w:val="20"/>
                <w:szCs w:val="20"/>
              </w:rPr>
              <w:t xml:space="preserve">(See </w:t>
            </w:r>
            <w:proofErr w:type="gramStart"/>
            <w:r w:rsidRPr="00E25BDA">
              <w:rPr>
                <w:rFonts w:ascii="Arial Narrow" w:hAnsi="Arial Narrow"/>
                <w:sz w:val="20"/>
                <w:szCs w:val="20"/>
              </w:rPr>
              <w:t>para TN.</w:t>
            </w:r>
            <w:proofErr w:type="gramEnd"/>
            <w:r w:rsidRPr="00E25BDA">
              <w:rPr>
                <w:rFonts w:ascii="Arial Narrow" w:hAnsi="Arial Narrow"/>
                <w:sz w:val="20"/>
                <w:szCs w:val="20"/>
              </w:rPr>
              <w:t>8.214 of explanatory notes to this Category)</w:t>
            </w:r>
          </w:p>
        </w:tc>
      </w:tr>
      <w:tr w:rsidR="00960E0F" w:rsidRPr="006B5908" w14:paraId="2816905C" w14:textId="77777777" w:rsidTr="00EF27EC">
        <w:trPr>
          <w:cantSplit/>
        </w:trPr>
        <w:tc>
          <w:tcPr>
            <w:tcW w:w="5000" w:type="pct"/>
            <w:tcBorders>
              <w:top w:val="single" w:sz="4" w:space="0" w:color="auto"/>
              <w:left w:val="single" w:sz="4" w:space="0" w:color="auto"/>
              <w:bottom w:val="single" w:sz="4" w:space="0" w:color="auto"/>
              <w:right w:val="single" w:sz="4" w:space="0" w:color="auto"/>
            </w:tcBorders>
          </w:tcPr>
          <w:p w14:paraId="1DE6534E" w14:textId="23238D9B" w:rsidR="00FD7250" w:rsidRDefault="00567555" w:rsidP="00115FB7">
            <w:pPr>
              <w:tabs>
                <w:tab w:val="left" w:pos="5745"/>
              </w:tabs>
              <w:spacing w:before="60" w:after="60"/>
              <w:rPr>
                <w:rFonts w:ascii="Arial Narrow" w:hAnsi="Arial Narrow"/>
                <w:sz w:val="20"/>
                <w:szCs w:val="20"/>
              </w:rPr>
            </w:pPr>
            <w:r w:rsidRPr="00567555">
              <w:rPr>
                <w:rFonts w:ascii="Arial Narrow" w:hAnsi="Arial Narrow"/>
                <w:sz w:val="20"/>
                <w:szCs w:val="20"/>
              </w:rPr>
              <w:t>Category 5 - DIAGNOSTIC IMAGING SERVICES</w:t>
            </w:r>
          </w:p>
        </w:tc>
      </w:tr>
      <w:tr w:rsidR="00AF0BC1" w:rsidRPr="006B5908" w14:paraId="69F1E47F" w14:textId="77777777" w:rsidTr="00EF27EC">
        <w:trPr>
          <w:cantSplit/>
        </w:trPr>
        <w:tc>
          <w:tcPr>
            <w:tcW w:w="5000" w:type="pct"/>
            <w:tcBorders>
              <w:top w:val="single" w:sz="4" w:space="0" w:color="auto"/>
              <w:left w:val="single" w:sz="4" w:space="0" w:color="auto"/>
              <w:bottom w:val="single" w:sz="4" w:space="0" w:color="auto"/>
              <w:right w:val="single" w:sz="4" w:space="0" w:color="auto"/>
            </w:tcBorders>
          </w:tcPr>
          <w:p w14:paraId="3EF782A3" w14:textId="77777777" w:rsidR="00AF0BC1" w:rsidRDefault="0071572C" w:rsidP="00FD7250">
            <w:pPr>
              <w:tabs>
                <w:tab w:val="left" w:pos="5745"/>
              </w:tabs>
              <w:spacing w:before="60" w:after="60"/>
              <w:rPr>
                <w:rFonts w:ascii="Arial Narrow" w:hAnsi="Arial Narrow"/>
                <w:sz w:val="20"/>
                <w:szCs w:val="20"/>
              </w:rPr>
            </w:pPr>
            <w:r>
              <w:rPr>
                <w:rFonts w:ascii="Arial Narrow" w:hAnsi="Arial Narrow"/>
                <w:sz w:val="20"/>
                <w:szCs w:val="20"/>
              </w:rPr>
              <w:t>61109 (listing date</w:t>
            </w:r>
            <w:r w:rsidR="007B2D5E">
              <w:rPr>
                <w:rFonts w:ascii="Arial Narrow" w:hAnsi="Arial Narrow"/>
                <w:sz w:val="20"/>
                <w:szCs w:val="20"/>
              </w:rPr>
              <w:t xml:space="preserve"> 31/10/1992)</w:t>
            </w:r>
          </w:p>
          <w:p w14:paraId="02E1A3E4" w14:textId="2D0D2F83" w:rsidR="007B2D5E" w:rsidRPr="007B2D5E" w:rsidRDefault="007B2D5E" w:rsidP="007B2D5E">
            <w:pPr>
              <w:tabs>
                <w:tab w:val="left" w:pos="5745"/>
              </w:tabs>
              <w:spacing w:before="60" w:after="60"/>
              <w:rPr>
                <w:rFonts w:ascii="Arial Narrow" w:hAnsi="Arial Narrow"/>
                <w:sz w:val="20"/>
                <w:szCs w:val="20"/>
              </w:rPr>
            </w:pPr>
            <w:r>
              <w:rPr>
                <w:rFonts w:ascii="Arial Narrow" w:hAnsi="Arial Narrow"/>
                <w:sz w:val="20"/>
                <w:szCs w:val="20"/>
              </w:rPr>
              <w:t>F</w:t>
            </w:r>
            <w:r w:rsidRPr="007B2D5E">
              <w:rPr>
                <w:rFonts w:ascii="Arial Narrow" w:hAnsi="Arial Narrow"/>
                <w:sz w:val="20"/>
                <w:szCs w:val="20"/>
              </w:rPr>
              <w:t>luoroscopy in an angiography suite with image intensification, in conjunction with a surgical procedure using interventional techniques, not being a service associated with a service to which another item in this Group applies (R)</w:t>
            </w:r>
          </w:p>
          <w:p w14:paraId="492F9BA9" w14:textId="33E9B924" w:rsidR="007B2D5E" w:rsidRPr="007B2D5E" w:rsidRDefault="007B2D5E" w:rsidP="007B2D5E">
            <w:pPr>
              <w:tabs>
                <w:tab w:val="left" w:pos="5745"/>
              </w:tabs>
              <w:spacing w:before="60" w:after="60"/>
              <w:rPr>
                <w:rFonts w:ascii="Arial Narrow" w:hAnsi="Arial Narrow"/>
                <w:sz w:val="20"/>
                <w:szCs w:val="20"/>
              </w:rPr>
            </w:pPr>
            <w:r w:rsidRPr="007B2D5E">
              <w:rPr>
                <w:rFonts w:ascii="Arial Narrow" w:hAnsi="Arial Narrow"/>
                <w:sz w:val="20"/>
                <w:szCs w:val="20"/>
              </w:rPr>
              <w:t>Bulk bill incentive</w:t>
            </w:r>
          </w:p>
          <w:p w14:paraId="0DFAAFBE" w14:textId="77777777" w:rsidR="00B70EBD" w:rsidRDefault="007B2D5E" w:rsidP="007B2D5E">
            <w:pPr>
              <w:tabs>
                <w:tab w:val="left" w:pos="5745"/>
              </w:tabs>
              <w:spacing w:before="60" w:after="60"/>
              <w:rPr>
                <w:rFonts w:ascii="Arial Narrow" w:hAnsi="Arial Narrow"/>
                <w:sz w:val="20"/>
                <w:szCs w:val="20"/>
              </w:rPr>
            </w:pPr>
            <w:r w:rsidRPr="007B2D5E">
              <w:rPr>
                <w:rFonts w:ascii="Arial Narrow" w:hAnsi="Arial Narrow"/>
                <w:sz w:val="20"/>
                <w:szCs w:val="20"/>
              </w:rPr>
              <w:t>Fee: $265.15 Benefit: 75% = $198.90 85% = $225.40</w:t>
            </w:r>
          </w:p>
          <w:p w14:paraId="398CCF1A" w14:textId="68BBF6DF" w:rsidR="007B2D5E" w:rsidRPr="00567555" w:rsidRDefault="007B2D5E" w:rsidP="007B2D5E">
            <w:pPr>
              <w:tabs>
                <w:tab w:val="left" w:pos="5745"/>
              </w:tabs>
              <w:spacing w:before="60" w:after="60"/>
              <w:rPr>
                <w:rFonts w:ascii="Arial Narrow" w:hAnsi="Arial Narrow"/>
                <w:sz w:val="20"/>
                <w:szCs w:val="20"/>
              </w:rPr>
            </w:pPr>
            <w:r w:rsidRPr="007B2D5E">
              <w:rPr>
                <w:rFonts w:ascii="Arial Narrow" w:hAnsi="Arial Narrow"/>
                <w:sz w:val="20"/>
                <w:szCs w:val="20"/>
              </w:rPr>
              <w:t xml:space="preserve">(See </w:t>
            </w:r>
            <w:proofErr w:type="gramStart"/>
            <w:r w:rsidRPr="007B2D5E">
              <w:rPr>
                <w:rFonts w:ascii="Arial Narrow" w:hAnsi="Arial Narrow"/>
                <w:sz w:val="20"/>
                <w:szCs w:val="20"/>
              </w:rPr>
              <w:t>para IN.</w:t>
            </w:r>
            <w:proofErr w:type="gramEnd"/>
            <w:r w:rsidRPr="007B2D5E">
              <w:rPr>
                <w:rFonts w:ascii="Arial Narrow" w:hAnsi="Arial Narrow"/>
                <w:sz w:val="20"/>
                <w:szCs w:val="20"/>
              </w:rPr>
              <w:t>0.19 of explanatory notes to this Category)</w:t>
            </w:r>
          </w:p>
        </w:tc>
      </w:tr>
      <w:tr w:rsidR="009E1F65" w:rsidRPr="006B5908" w14:paraId="0A349A27" w14:textId="77777777" w:rsidTr="00EF27EC">
        <w:trPr>
          <w:cantSplit/>
        </w:trPr>
        <w:tc>
          <w:tcPr>
            <w:tcW w:w="5000" w:type="pct"/>
            <w:tcBorders>
              <w:top w:val="single" w:sz="4" w:space="0" w:color="auto"/>
              <w:left w:val="single" w:sz="4" w:space="0" w:color="auto"/>
              <w:bottom w:val="single" w:sz="4" w:space="0" w:color="auto"/>
              <w:right w:val="single" w:sz="4" w:space="0" w:color="auto"/>
            </w:tcBorders>
          </w:tcPr>
          <w:p w14:paraId="7032F54F" w14:textId="77777777" w:rsidR="009E1F65" w:rsidRDefault="009E1F65" w:rsidP="00FD7250">
            <w:pPr>
              <w:tabs>
                <w:tab w:val="left" w:pos="5745"/>
              </w:tabs>
              <w:spacing w:before="60" w:after="60"/>
              <w:rPr>
                <w:rFonts w:ascii="Arial Narrow" w:hAnsi="Arial Narrow"/>
                <w:sz w:val="20"/>
                <w:szCs w:val="20"/>
              </w:rPr>
            </w:pPr>
            <w:r w:rsidRPr="007B2D5E">
              <w:rPr>
                <w:rFonts w:ascii="Arial Narrow" w:hAnsi="Arial Narrow"/>
                <w:sz w:val="20"/>
                <w:szCs w:val="20"/>
              </w:rPr>
              <w:t>IN.0.19</w:t>
            </w:r>
          </w:p>
          <w:p w14:paraId="5F8444E6" w14:textId="77777777" w:rsidR="008E4937" w:rsidRPr="008E4937" w:rsidRDefault="008E4937" w:rsidP="008E4937">
            <w:pPr>
              <w:tabs>
                <w:tab w:val="left" w:pos="5745"/>
              </w:tabs>
              <w:spacing w:before="60" w:after="60"/>
              <w:rPr>
                <w:rFonts w:ascii="Arial Narrow" w:hAnsi="Arial Narrow"/>
                <w:sz w:val="20"/>
                <w:szCs w:val="20"/>
              </w:rPr>
            </w:pPr>
            <w:r w:rsidRPr="008E4937">
              <w:rPr>
                <w:rFonts w:ascii="Arial Narrow" w:hAnsi="Arial Narrow"/>
                <w:sz w:val="20"/>
                <w:szCs w:val="20"/>
              </w:rPr>
              <w:t>Bulk Billing Incentive</w:t>
            </w:r>
          </w:p>
          <w:p w14:paraId="653FA441" w14:textId="77777777" w:rsidR="008E4937" w:rsidRPr="008E4937" w:rsidRDefault="008E4937" w:rsidP="008E4937">
            <w:pPr>
              <w:tabs>
                <w:tab w:val="left" w:pos="5745"/>
              </w:tabs>
              <w:spacing w:before="60" w:after="60"/>
              <w:rPr>
                <w:rFonts w:ascii="Arial Narrow" w:hAnsi="Arial Narrow"/>
                <w:sz w:val="20"/>
                <w:szCs w:val="20"/>
              </w:rPr>
            </w:pPr>
            <w:r w:rsidRPr="008E4937">
              <w:rPr>
                <w:rFonts w:ascii="Arial Narrow" w:hAnsi="Arial Narrow"/>
                <w:sz w:val="20"/>
                <w:szCs w:val="20"/>
              </w:rPr>
              <w:t xml:space="preserve">Out-of-hospital services (except item 61369) attract higher benefits when they are bulk billed by the provider. </w:t>
            </w:r>
          </w:p>
          <w:p w14:paraId="4902C461" w14:textId="49791E03" w:rsidR="008E4937" w:rsidRDefault="008E4937" w:rsidP="008E4937">
            <w:pPr>
              <w:tabs>
                <w:tab w:val="left" w:pos="5745"/>
              </w:tabs>
              <w:spacing w:before="60" w:after="60"/>
              <w:rPr>
                <w:rFonts w:ascii="Arial Narrow" w:hAnsi="Arial Narrow"/>
                <w:sz w:val="20"/>
                <w:szCs w:val="20"/>
              </w:rPr>
            </w:pPr>
            <w:r w:rsidRPr="008E4937">
              <w:rPr>
                <w:rFonts w:ascii="Arial Narrow" w:hAnsi="Arial Narrow"/>
                <w:sz w:val="20"/>
                <w:szCs w:val="20"/>
              </w:rPr>
              <w:t>For other than items in Group I5 – Magnetic Resonance Imaging (MRI) - benefits for bulk billed services are payable at 95% of the schedule fee for the item. For MRI services, benefits for bulk billed services are payable at 100% of the schedule for the item.</w:t>
            </w:r>
          </w:p>
        </w:tc>
      </w:tr>
    </w:tbl>
    <w:p w14:paraId="42D7CBDF" w14:textId="7EF71413" w:rsidR="0003605F" w:rsidRPr="0003605F" w:rsidRDefault="00C6284E" w:rsidP="000E355B">
      <w:pPr>
        <w:pStyle w:val="Heading2execsummary"/>
        <w:spacing w:before="360"/>
      </w:pPr>
      <w:r w:rsidRPr="00C6284E">
        <w:t>Summary of public consultation input</w:t>
      </w:r>
    </w:p>
    <w:p w14:paraId="6BB4F011" w14:textId="1B83ED44" w:rsidR="0003605F" w:rsidRPr="0003605F" w:rsidRDefault="0003605F" w:rsidP="0003605F">
      <w:r w:rsidRPr="0003605F">
        <w:t xml:space="preserve"> Consultation input was received from two health professionals and one organi</w:t>
      </w:r>
      <w:r w:rsidR="00730E3D">
        <w:t>s</w:t>
      </w:r>
      <w:r w:rsidRPr="0003605F">
        <w:t xml:space="preserve">ation: </w:t>
      </w:r>
    </w:p>
    <w:p w14:paraId="176AB603" w14:textId="7FD5ABC3" w:rsidR="0003605F" w:rsidRPr="009445DF" w:rsidRDefault="0003605F" w:rsidP="00E503E9">
      <w:pPr>
        <w:pStyle w:val="ListParagraph"/>
        <w:numPr>
          <w:ilvl w:val="0"/>
          <w:numId w:val="34"/>
        </w:numPr>
      </w:pPr>
      <w:r w:rsidRPr="009445DF">
        <w:t xml:space="preserve">Hearts4Heart </w:t>
      </w:r>
    </w:p>
    <w:p w14:paraId="6B8A5E22" w14:textId="1156EDAD" w:rsidR="0003605F" w:rsidRDefault="0003605F" w:rsidP="0003605F">
      <w:r w:rsidRPr="0003605F">
        <w:t>The consultation feedback received was supportive of the application and noted that the advantages of the proposed intervention relate to patient satisfaction and reduction of complications, mainly through the lack of lead and pocket complications.</w:t>
      </w:r>
    </w:p>
    <w:p w14:paraId="75090BF9" w14:textId="77777777" w:rsidR="00846E59" w:rsidRPr="00846E59" w:rsidRDefault="00846E59" w:rsidP="00846E59">
      <w:r w:rsidRPr="00846E59">
        <w:t xml:space="preserve"> </w:t>
      </w:r>
      <w:r w:rsidRPr="00846E59">
        <w:rPr>
          <w:b/>
          <w:bCs/>
        </w:rPr>
        <w:t xml:space="preserve">Benefits </w:t>
      </w:r>
    </w:p>
    <w:p w14:paraId="771D435E" w14:textId="3A4B49ED" w:rsidR="00846E59" w:rsidRPr="00846E59" w:rsidRDefault="00846E59" w:rsidP="00E503E9">
      <w:pPr>
        <w:pStyle w:val="ListParagraph"/>
        <w:numPr>
          <w:ilvl w:val="0"/>
          <w:numId w:val="34"/>
        </w:numPr>
      </w:pPr>
      <w:r w:rsidRPr="00846E59">
        <w:t>Fewer post-implant activity restrictions and no obstructions to shoulder movement.</w:t>
      </w:r>
    </w:p>
    <w:p w14:paraId="38AE6D5A" w14:textId="75BEF85F" w:rsidR="00846E59" w:rsidRPr="00846E59" w:rsidRDefault="00846E59" w:rsidP="00E503E9">
      <w:pPr>
        <w:pStyle w:val="ListParagraph"/>
        <w:numPr>
          <w:ilvl w:val="0"/>
          <w:numId w:val="34"/>
        </w:numPr>
      </w:pPr>
      <w:r w:rsidRPr="00846E59">
        <w:t>Provides an alternative therapy for patients who have failed the traditional current pacemaker, are at risk of infections and for patients who already have a lot of prosthetics, difficulties with lead placement or when a traditional pacemaker might cause additional complications.</w:t>
      </w:r>
    </w:p>
    <w:p w14:paraId="16A5E772" w14:textId="03808D72" w:rsidR="00846E59" w:rsidRPr="00846E59" w:rsidRDefault="00846E59" w:rsidP="00E503E9">
      <w:pPr>
        <w:pStyle w:val="ListParagraph"/>
        <w:numPr>
          <w:ilvl w:val="0"/>
          <w:numId w:val="34"/>
        </w:numPr>
      </w:pPr>
      <w:r w:rsidRPr="00846E59">
        <w:t>Reduction of lead and pocket complications.</w:t>
      </w:r>
    </w:p>
    <w:p w14:paraId="75ACBA68" w14:textId="176F6978" w:rsidR="00846E59" w:rsidRPr="00846E59" w:rsidRDefault="00846E59" w:rsidP="00E503E9">
      <w:pPr>
        <w:pStyle w:val="ListParagraph"/>
        <w:numPr>
          <w:ilvl w:val="0"/>
          <w:numId w:val="34"/>
        </w:numPr>
      </w:pPr>
      <w:r w:rsidRPr="00846E59">
        <w:t>Patient satisfaction due to absence of a scar, reduced pain &amp; discomfort, and subcutaneous device location.</w:t>
      </w:r>
    </w:p>
    <w:p w14:paraId="7E78183F" w14:textId="282DE395" w:rsidR="00846E59" w:rsidRPr="00846E59" w:rsidRDefault="00846E59" w:rsidP="00E503E9">
      <w:pPr>
        <w:pStyle w:val="ListParagraph"/>
        <w:numPr>
          <w:ilvl w:val="0"/>
          <w:numId w:val="34"/>
        </w:numPr>
      </w:pPr>
      <w:r w:rsidRPr="00846E59">
        <w:t>Improved quality of life.</w:t>
      </w:r>
    </w:p>
    <w:p w14:paraId="036EEF58" w14:textId="23B5FB1E" w:rsidR="00846E59" w:rsidRDefault="00846E59" w:rsidP="00E503E9">
      <w:pPr>
        <w:pStyle w:val="ListParagraph"/>
        <w:numPr>
          <w:ilvl w:val="0"/>
          <w:numId w:val="34"/>
        </w:numPr>
      </w:pPr>
      <w:r w:rsidRPr="00846E59">
        <w:t>Reduced recovery time and length of hospital stay due to the minimally invasive nature of the procedure.</w:t>
      </w:r>
    </w:p>
    <w:p w14:paraId="22F500A4" w14:textId="0AA98091" w:rsidR="00846E59" w:rsidRPr="00846E59" w:rsidRDefault="00846E59" w:rsidP="00E503E9">
      <w:pPr>
        <w:pStyle w:val="ListParagraph"/>
        <w:numPr>
          <w:ilvl w:val="0"/>
          <w:numId w:val="34"/>
        </w:numPr>
      </w:pPr>
      <w:r w:rsidRPr="00846E59">
        <w:t>Cost savings to the health system.</w:t>
      </w:r>
    </w:p>
    <w:p w14:paraId="57A56609" w14:textId="77777777" w:rsidR="00846E59" w:rsidRPr="00846E59" w:rsidRDefault="00846E59" w:rsidP="00846E59">
      <w:r w:rsidRPr="00846E59">
        <w:rPr>
          <w:b/>
          <w:bCs/>
        </w:rPr>
        <w:lastRenderedPageBreak/>
        <w:t xml:space="preserve">Disadvantages </w:t>
      </w:r>
    </w:p>
    <w:p w14:paraId="7F484E84" w14:textId="18BAADAE" w:rsidR="00846E59" w:rsidRPr="00846E59" w:rsidRDefault="00846E59" w:rsidP="00E503E9">
      <w:pPr>
        <w:pStyle w:val="ListParagraph"/>
        <w:numPr>
          <w:ilvl w:val="0"/>
          <w:numId w:val="34"/>
        </w:numPr>
      </w:pPr>
      <w:r w:rsidRPr="00846E59">
        <w:t>Potential for pain &amp; discomfort during the delivery of the leadless pacemaker to the right ventricle via the femoral vein.</w:t>
      </w:r>
    </w:p>
    <w:p w14:paraId="13F929B3" w14:textId="2B91F041" w:rsidR="00846E59" w:rsidRPr="00846E59" w:rsidRDefault="00846E59" w:rsidP="00E503E9">
      <w:pPr>
        <w:pStyle w:val="ListParagraph"/>
        <w:numPr>
          <w:ilvl w:val="0"/>
          <w:numId w:val="34"/>
        </w:numPr>
      </w:pPr>
      <w:r w:rsidRPr="00846E59">
        <w:t>The use of a large bore (25 Fr) catheter for delivery may increase the risk of bleeding during delivery.</w:t>
      </w:r>
    </w:p>
    <w:p w14:paraId="0DE75551" w14:textId="77777777" w:rsidR="00846E59" w:rsidRPr="00846E59" w:rsidRDefault="00846E59" w:rsidP="00846E59">
      <w:r w:rsidRPr="00846E59">
        <w:rPr>
          <w:b/>
          <w:bCs/>
        </w:rPr>
        <w:t xml:space="preserve">Other </w:t>
      </w:r>
    </w:p>
    <w:p w14:paraId="7EC0BB7F" w14:textId="6CC76C10" w:rsidR="00846E59" w:rsidRPr="00846E59" w:rsidRDefault="00846E59" w:rsidP="00E503E9">
      <w:pPr>
        <w:pStyle w:val="ListParagraph"/>
        <w:numPr>
          <w:ilvl w:val="0"/>
          <w:numId w:val="34"/>
        </w:numPr>
      </w:pPr>
      <w:r w:rsidRPr="00846E59">
        <w:t xml:space="preserve">Feedback supported separate MBS items for retrieval and explantation. </w:t>
      </w:r>
    </w:p>
    <w:p w14:paraId="4EE8B221" w14:textId="7D61CA11" w:rsidR="00846E59" w:rsidRDefault="00846E59" w:rsidP="00812236">
      <w:pPr>
        <w:pStyle w:val="ListParagraph"/>
        <w:numPr>
          <w:ilvl w:val="0"/>
          <w:numId w:val="34"/>
        </w:numPr>
        <w:rPr>
          <w:lang w:val="en-US"/>
        </w:rPr>
      </w:pPr>
      <w:r w:rsidRPr="00846E59">
        <w:t>Feedback from one health professional considered that although the proposed MBS item fee based on the existing fees for pacemaker and lead insertion appeared reasonable, MSAC should consider whether other cardiac catheter-based procedures could be suitable benchmarks: e.g., MBS 38272 Atrial septal defect or patent foramen closure, fee = $949.25; MBS 38276 Transcatheter occlusion of left atrial appendage, fee = $949.25.</w:t>
      </w:r>
    </w:p>
    <w:p w14:paraId="0E66EE6B" w14:textId="636A7B54" w:rsidR="00A22A8F" w:rsidRDefault="00C52819" w:rsidP="00D27D2E">
      <w:pPr>
        <w:pStyle w:val="Heading2execsummary"/>
        <w:spacing w:before="360"/>
      </w:pPr>
      <w:r w:rsidRPr="00C52819">
        <w:t>Characteristics of the evidence base</w:t>
      </w:r>
    </w:p>
    <w:p w14:paraId="06D51076" w14:textId="4CA5AB4D" w:rsidR="036EB9B3" w:rsidRDefault="00D52905" w:rsidP="036EB9B3">
      <w:pPr>
        <w:rPr>
          <w:rFonts w:eastAsia="Calibri" w:cs="Arial"/>
          <w:lang w:val="en-US"/>
        </w:rPr>
      </w:pPr>
      <w:r w:rsidRPr="00F52054">
        <w:rPr>
          <w:lang w:val="en-US"/>
        </w:rPr>
        <w:t>A high-level summary of the included studies is provided in</w:t>
      </w:r>
      <w:r w:rsidR="00A9371C">
        <w:rPr>
          <w:lang w:val="en-US"/>
        </w:rPr>
        <w:t xml:space="preserve"> </w:t>
      </w:r>
      <w:r w:rsidR="005E3B0D">
        <w:rPr>
          <w:lang w:val="en-US"/>
        </w:rPr>
        <w:fldChar w:fldCharType="begin"/>
      </w:r>
      <w:r w:rsidR="005E3B0D">
        <w:rPr>
          <w:lang w:val="en-US"/>
        </w:rPr>
        <w:instrText xml:space="preserve"> REF _Ref99537541 \h  \* MERGEFORMAT </w:instrText>
      </w:r>
      <w:r w:rsidR="005E3B0D">
        <w:rPr>
          <w:lang w:val="en-US"/>
        </w:rPr>
      </w:r>
      <w:r w:rsidR="005E3B0D">
        <w:rPr>
          <w:lang w:val="en-US"/>
        </w:rPr>
        <w:fldChar w:fldCharType="separate"/>
      </w:r>
      <w:r w:rsidR="0084187F">
        <w:t xml:space="preserve">Table </w:t>
      </w:r>
      <w:r w:rsidR="0084187F">
        <w:rPr>
          <w:noProof/>
        </w:rPr>
        <w:t>6</w:t>
      </w:r>
      <w:r w:rsidR="005E3B0D">
        <w:rPr>
          <w:lang w:val="en-US"/>
        </w:rPr>
        <w:fldChar w:fldCharType="end"/>
      </w:r>
      <w:r w:rsidR="00A9371C">
        <w:rPr>
          <w:lang w:val="en-US"/>
        </w:rPr>
        <w:t>.</w:t>
      </w:r>
      <w:r w:rsidRPr="00F52054">
        <w:rPr>
          <w:lang w:val="en-US"/>
        </w:rPr>
        <w:t xml:space="preserve"> </w:t>
      </w:r>
      <w:r w:rsidR="036EB9B3" w:rsidRPr="036EB9B3">
        <w:rPr>
          <w:rFonts w:eastAsia="Calibri" w:cs="Arial"/>
          <w:lang w:val="en-US"/>
        </w:rPr>
        <w:t>The quality assessment was undertaken using the NHLBI quality assessment tool</w:t>
      </w:r>
      <w:r w:rsidR="000E355B">
        <w:rPr>
          <w:rFonts w:eastAsia="Calibri" w:cs="Arial"/>
          <w:lang w:val="en-US"/>
        </w:rPr>
        <w:t>.</w:t>
      </w:r>
    </w:p>
    <w:p w14:paraId="5B58CA98" w14:textId="7505B204" w:rsidR="00D52905" w:rsidRDefault="00D52905" w:rsidP="00D52905">
      <w:pPr>
        <w:pStyle w:val="Caption"/>
        <w:rPr>
          <w:lang w:val="en-US"/>
        </w:rPr>
      </w:pPr>
      <w:bookmarkStart w:id="9" w:name="_Ref99537541"/>
      <w:r>
        <w:t xml:space="preserve">Table </w:t>
      </w:r>
      <w:r>
        <w:fldChar w:fldCharType="begin"/>
      </w:r>
      <w:r>
        <w:instrText>SEQ Table \* ARABIC</w:instrText>
      </w:r>
      <w:r>
        <w:fldChar w:fldCharType="separate"/>
      </w:r>
      <w:r w:rsidR="0084187F">
        <w:rPr>
          <w:noProof/>
        </w:rPr>
        <w:t>6</w:t>
      </w:r>
      <w:r>
        <w:fldChar w:fldCharType="end"/>
      </w:r>
      <w:bookmarkEnd w:id="9"/>
      <w:r w:rsidR="00A9371C">
        <w:tab/>
      </w:r>
      <w:r w:rsidRPr="00580D4E">
        <w:rPr>
          <w:lang w:val="en-US"/>
        </w:rPr>
        <w:t>Key features of the included evidence</w:t>
      </w:r>
      <w:r w:rsidR="003767A7">
        <w:rPr>
          <w:lang w:val="en-US"/>
        </w:rPr>
        <w:t xml:space="preserve"> comparing </w:t>
      </w:r>
      <w:r w:rsidR="002A2BAF">
        <w:rPr>
          <w:lang w:val="en-US"/>
        </w:rPr>
        <w:t>leadless pacemaker (Micra VR TPS) to TVPM</w:t>
      </w:r>
    </w:p>
    <w:tbl>
      <w:tblPr>
        <w:tblStyle w:val="TableGrid1"/>
        <w:tblW w:w="5000" w:type="pct"/>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
      <w:tblGrid>
        <w:gridCol w:w="1380"/>
        <w:gridCol w:w="948"/>
        <w:gridCol w:w="1775"/>
        <w:gridCol w:w="2552"/>
        <w:gridCol w:w="1373"/>
        <w:gridCol w:w="982"/>
      </w:tblGrid>
      <w:tr w:rsidR="002A2BAF" w:rsidRPr="00B95900" w14:paraId="0BB1ACE5" w14:textId="77777777" w:rsidTr="0059620E">
        <w:trPr>
          <w:cnfStyle w:val="100000000000" w:firstRow="1" w:lastRow="0" w:firstColumn="0" w:lastColumn="0" w:oddVBand="0" w:evenVBand="0" w:oddHBand="0" w:evenHBand="0" w:firstRowFirstColumn="0" w:firstRowLastColumn="0" w:lastRowFirstColumn="0" w:lastRowLastColumn="0"/>
          <w:tblHeader/>
        </w:trPr>
        <w:tc>
          <w:tcPr>
            <w:tcW w:w="766"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8610AC6" w14:textId="77777777" w:rsidR="002A2BAF" w:rsidRPr="00637A3D" w:rsidRDefault="002A2BAF" w:rsidP="00637A3D">
            <w:pPr>
              <w:pStyle w:val="TableHeading"/>
              <w:spacing w:before="40" w:after="40"/>
              <w:rPr>
                <w:lang w:val="en-NZ" w:eastAsia="en-NZ"/>
              </w:rPr>
            </w:pPr>
            <w:r w:rsidRPr="000061EE">
              <w:rPr>
                <w:lang w:eastAsia="en-NZ"/>
              </w:rPr>
              <w:t>Trial/Study</w:t>
            </w:r>
            <w:r w:rsidRPr="000061EE">
              <w:rPr>
                <w:lang w:val="en-NZ" w:eastAsia="en-NZ"/>
              </w:rPr>
              <w:t> </w:t>
            </w:r>
          </w:p>
        </w:tc>
        <w:tc>
          <w:tcPr>
            <w:tcW w:w="526"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DE73ACD" w14:textId="77777777" w:rsidR="002A2BAF" w:rsidRPr="00637A3D" w:rsidRDefault="002A2BAF" w:rsidP="00637A3D">
            <w:pPr>
              <w:pStyle w:val="TableHeading"/>
              <w:spacing w:before="40" w:after="40"/>
              <w:rPr>
                <w:lang w:val="en-NZ" w:eastAsia="en-NZ"/>
              </w:rPr>
            </w:pPr>
            <w:r w:rsidRPr="000061EE">
              <w:rPr>
                <w:lang w:eastAsia="en-NZ"/>
              </w:rPr>
              <w:t>N</w:t>
            </w:r>
            <w:r w:rsidRPr="000061EE">
              <w:rPr>
                <w:lang w:val="en-NZ" w:eastAsia="en-NZ"/>
              </w:rPr>
              <w:t> </w:t>
            </w:r>
          </w:p>
        </w:tc>
        <w:tc>
          <w:tcPr>
            <w:tcW w:w="985"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AC7A176" w14:textId="77777777" w:rsidR="002A2BAF" w:rsidRPr="00637A3D" w:rsidRDefault="002A2BAF" w:rsidP="00637A3D">
            <w:pPr>
              <w:pStyle w:val="TableHeading"/>
              <w:spacing w:before="40" w:after="40"/>
              <w:rPr>
                <w:lang w:val="en-NZ" w:eastAsia="en-NZ"/>
              </w:rPr>
            </w:pPr>
            <w:r w:rsidRPr="000061EE">
              <w:rPr>
                <w:lang w:eastAsia="en-NZ"/>
              </w:rPr>
              <w:t>Study design</w:t>
            </w:r>
            <w:r w:rsidRPr="000061EE">
              <w:rPr>
                <w:lang w:val="en-NZ" w:eastAsia="en-NZ"/>
              </w:rPr>
              <w:t> </w:t>
            </w:r>
          </w:p>
          <w:p w14:paraId="078A27A7" w14:textId="77777777" w:rsidR="002A2BAF" w:rsidRPr="00637A3D" w:rsidRDefault="002A2BAF" w:rsidP="00637A3D">
            <w:pPr>
              <w:pStyle w:val="TableHeading"/>
              <w:spacing w:before="40" w:after="40"/>
              <w:rPr>
                <w:lang w:val="en-NZ" w:eastAsia="en-NZ"/>
              </w:rPr>
            </w:pPr>
            <w:r w:rsidRPr="000061EE">
              <w:rPr>
                <w:lang w:eastAsia="en-NZ"/>
              </w:rPr>
              <w:t>Risk of bias</w:t>
            </w:r>
            <w:r w:rsidRPr="000061EE">
              <w:rPr>
                <w:lang w:val="en-NZ" w:eastAsia="en-NZ"/>
              </w:rPr>
              <w:t> </w:t>
            </w:r>
          </w:p>
        </w:tc>
        <w:tc>
          <w:tcPr>
            <w:tcW w:w="1416"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A1FE7D7" w14:textId="77777777" w:rsidR="002A2BAF" w:rsidRPr="00637A3D" w:rsidRDefault="002A2BAF" w:rsidP="00637A3D">
            <w:pPr>
              <w:pStyle w:val="TableHeading"/>
              <w:spacing w:before="40" w:after="40"/>
              <w:rPr>
                <w:lang w:val="en-NZ" w:eastAsia="en-NZ"/>
              </w:rPr>
            </w:pPr>
            <w:r w:rsidRPr="000061EE">
              <w:rPr>
                <w:lang w:eastAsia="en-NZ"/>
              </w:rPr>
              <w:t>Population</w:t>
            </w:r>
            <w:r w:rsidRPr="000061EE">
              <w:rPr>
                <w:lang w:val="en-NZ" w:eastAsia="en-NZ"/>
              </w:rPr>
              <w:t> </w:t>
            </w:r>
          </w:p>
        </w:tc>
        <w:tc>
          <w:tcPr>
            <w:tcW w:w="762"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40BE4A0" w14:textId="77777777" w:rsidR="002A2BAF" w:rsidRPr="00637A3D" w:rsidRDefault="002A2BAF" w:rsidP="00637A3D">
            <w:pPr>
              <w:pStyle w:val="TableHeading"/>
              <w:spacing w:before="40" w:after="40"/>
              <w:rPr>
                <w:lang w:val="en-NZ" w:eastAsia="en-NZ"/>
              </w:rPr>
            </w:pPr>
            <w:r w:rsidRPr="000061EE">
              <w:rPr>
                <w:lang w:eastAsia="en-NZ"/>
              </w:rPr>
              <w:t>Key outcome(s)</w:t>
            </w:r>
            <w:r w:rsidRPr="000061EE">
              <w:rPr>
                <w:lang w:val="en-NZ" w:eastAsia="en-NZ"/>
              </w:rPr>
              <w:t> </w:t>
            </w:r>
          </w:p>
        </w:tc>
        <w:tc>
          <w:tcPr>
            <w:tcW w:w="545"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74E8E31" w14:textId="18913C23" w:rsidR="002A2BAF" w:rsidRPr="00637A3D" w:rsidRDefault="002A2BAF" w:rsidP="00637A3D">
            <w:pPr>
              <w:pStyle w:val="TableHeading"/>
              <w:spacing w:before="40" w:after="40"/>
              <w:rPr>
                <w:lang w:val="en-NZ" w:eastAsia="en-NZ"/>
              </w:rPr>
            </w:pPr>
            <w:r w:rsidRPr="000061EE">
              <w:rPr>
                <w:lang w:eastAsia="en-NZ"/>
              </w:rPr>
              <w:t>Results used in economic model</w:t>
            </w:r>
            <w:r w:rsidRPr="000061EE">
              <w:rPr>
                <w:lang w:val="en-NZ" w:eastAsia="en-NZ"/>
              </w:rPr>
              <w:t> </w:t>
            </w:r>
          </w:p>
        </w:tc>
      </w:tr>
      <w:tr w:rsidR="002A2BAF" w:rsidRPr="00B95900" w14:paraId="6677EB5A" w14:textId="77777777" w:rsidTr="036EB9B3">
        <w:tc>
          <w:tcPr>
            <w:tcW w:w="766" w:type="pct"/>
            <w:tcBorders>
              <w:top w:val="single" w:sz="6" w:space="0" w:color="auto"/>
              <w:left w:val="single" w:sz="6" w:space="0" w:color="auto"/>
              <w:bottom w:val="single" w:sz="6" w:space="0" w:color="auto"/>
              <w:right w:val="single" w:sz="6" w:space="0" w:color="auto"/>
            </w:tcBorders>
            <w:shd w:val="clear" w:color="auto" w:fill="auto"/>
            <w:hideMark/>
          </w:tcPr>
          <w:p w14:paraId="3A427E6C" w14:textId="77777777" w:rsidR="002A2BAF" w:rsidRPr="00637A3D" w:rsidRDefault="002A2BAF" w:rsidP="00637A3D">
            <w:pPr>
              <w:pStyle w:val="Tabletext"/>
              <w:contextualSpacing w:val="0"/>
              <w:rPr>
                <w:lang w:val="en-NZ" w:eastAsia="en-NZ"/>
              </w:rPr>
            </w:pPr>
            <w:r w:rsidRPr="000061EE">
              <w:rPr>
                <w:lang w:eastAsia="en-NZ"/>
              </w:rPr>
              <w:t>CED</w:t>
            </w:r>
            <w:r w:rsidRPr="000061EE">
              <w:rPr>
                <w:lang w:val="en-NZ" w:eastAsia="en-NZ"/>
              </w:rPr>
              <w:t> </w:t>
            </w:r>
          </w:p>
        </w:tc>
        <w:tc>
          <w:tcPr>
            <w:tcW w:w="526" w:type="pct"/>
            <w:tcBorders>
              <w:top w:val="single" w:sz="6" w:space="0" w:color="auto"/>
              <w:left w:val="single" w:sz="6" w:space="0" w:color="auto"/>
              <w:bottom w:val="single" w:sz="6" w:space="0" w:color="auto"/>
              <w:right w:val="single" w:sz="6" w:space="0" w:color="auto"/>
            </w:tcBorders>
            <w:shd w:val="clear" w:color="auto" w:fill="auto"/>
            <w:hideMark/>
          </w:tcPr>
          <w:p w14:paraId="23F8B5AD" w14:textId="58413C9D" w:rsidR="002A2BAF" w:rsidRPr="00637A3D" w:rsidRDefault="002A2BAF" w:rsidP="00637A3D">
            <w:pPr>
              <w:pStyle w:val="Tabletext"/>
              <w:contextualSpacing w:val="0"/>
              <w:rPr>
                <w:lang w:val="en-NZ" w:eastAsia="en-NZ"/>
              </w:rPr>
            </w:pPr>
            <w:r w:rsidRPr="000061EE">
              <w:rPr>
                <w:lang w:eastAsia="en-NZ"/>
              </w:rPr>
              <w:t>16</w:t>
            </w:r>
            <w:r w:rsidR="00D956DF">
              <w:rPr>
                <w:lang w:eastAsia="en-NZ"/>
              </w:rPr>
              <w:t>,</w:t>
            </w:r>
            <w:r w:rsidRPr="000061EE">
              <w:rPr>
                <w:lang w:eastAsia="en-NZ"/>
              </w:rPr>
              <w:t>431</w:t>
            </w:r>
            <w:r w:rsidRPr="000061EE">
              <w:rPr>
                <w:lang w:val="en-NZ" w:eastAsia="en-NZ"/>
              </w:rPr>
              <w:t> </w:t>
            </w:r>
          </w:p>
        </w:tc>
        <w:tc>
          <w:tcPr>
            <w:tcW w:w="985" w:type="pct"/>
            <w:tcBorders>
              <w:top w:val="single" w:sz="6" w:space="0" w:color="auto"/>
              <w:left w:val="single" w:sz="6" w:space="0" w:color="auto"/>
              <w:bottom w:val="single" w:sz="6" w:space="0" w:color="auto"/>
              <w:right w:val="single" w:sz="6" w:space="0" w:color="auto"/>
            </w:tcBorders>
            <w:shd w:val="clear" w:color="auto" w:fill="auto"/>
            <w:hideMark/>
          </w:tcPr>
          <w:p w14:paraId="175E696B" w14:textId="77777777" w:rsidR="002A2BAF" w:rsidRPr="00637A3D" w:rsidRDefault="002A2BAF" w:rsidP="00637A3D">
            <w:pPr>
              <w:pStyle w:val="Tabletext"/>
              <w:contextualSpacing w:val="0"/>
              <w:rPr>
                <w:b/>
                <w:bCs/>
                <w:lang w:val="en-NZ" w:eastAsia="en-NZ"/>
              </w:rPr>
            </w:pPr>
            <w:r w:rsidRPr="000061EE">
              <w:rPr>
                <w:lang w:eastAsia="en-NZ"/>
              </w:rPr>
              <w:t>Non-</w:t>
            </w:r>
            <w:proofErr w:type="spellStart"/>
            <w:r w:rsidRPr="000061EE">
              <w:rPr>
                <w:lang w:eastAsia="en-NZ"/>
              </w:rPr>
              <w:t>randomised</w:t>
            </w:r>
            <w:proofErr w:type="spellEnd"/>
            <w:r w:rsidRPr="000061EE">
              <w:rPr>
                <w:lang w:eastAsia="en-NZ"/>
              </w:rPr>
              <w:t xml:space="preserve"> observational, PSM</w:t>
            </w:r>
            <w:r w:rsidRPr="000061EE">
              <w:rPr>
                <w:b/>
                <w:bCs/>
                <w:lang w:val="en-NZ" w:eastAsia="en-NZ"/>
              </w:rPr>
              <w:t> </w:t>
            </w:r>
          </w:p>
          <w:p w14:paraId="1BFEF0DC" w14:textId="7C3DD1C4" w:rsidR="002A2BAF" w:rsidRPr="00637A3D" w:rsidRDefault="002A2BAF" w:rsidP="00637A3D">
            <w:pPr>
              <w:pStyle w:val="Tabletext"/>
              <w:contextualSpacing w:val="0"/>
              <w:rPr>
                <w:lang w:val="en-NZ" w:eastAsia="en-NZ"/>
              </w:rPr>
            </w:pPr>
            <w:r w:rsidRPr="000061EE">
              <w:rPr>
                <w:lang w:eastAsia="en-NZ"/>
              </w:rPr>
              <w:t xml:space="preserve">Quality </w:t>
            </w:r>
            <w:r w:rsidRPr="00FF61FB">
              <w:rPr>
                <w:lang w:eastAsia="en-NZ"/>
              </w:rPr>
              <w:t>appraisal: good</w:t>
            </w:r>
            <w:r w:rsidR="009D648D">
              <w:rPr>
                <w:lang w:eastAsia="en-NZ"/>
              </w:rPr>
              <w:t>*</w:t>
            </w:r>
            <w:r w:rsidRPr="00FF61FB">
              <w:rPr>
                <w:lang w:val="en-NZ" w:eastAsia="en-NZ"/>
              </w:rPr>
              <w:t> </w:t>
            </w:r>
          </w:p>
        </w:tc>
        <w:tc>
          <w:tcPr>
            <w:tcW w:w="1416" w:type="pct"/>
            <w:tcBorders>
              <w:top w:val="single" w:sz="6" w:space="0" w:color="auto"/>
              <w:left w:val="single" w:sz="6" w:space="0" w:color="auto"/>
              <w:bottom w:val="single" w:sz="6" w:space="0" w:color="auto"/>
              <w:right w:val="single" w:sz="6" w:space="0" w:color="auto"/>
            </w:tcBorders>
            <w:shd w:val="clear" w:color="auto" w:fill="auto"/>
            <w:hideMark/>
          </w:tcPr>
          <w:p w14:paraId="1E6AEA3C" w14:textId="63BE127A" w:rsidR="002A2BAF" w:rsidRPr="00637A3D" w:rsidRDefault="002A2BAF" w:rsidP="00637A3D">
            <w:pPr>
              <w:pStyle w:val="Tabletext"/>
              <w:contextualSpacing w:val="0"/>
              <w:rPr>
                <w:b/>
                <w:bCs/>
                <w:lang w:val="en-NZ" w:eastAsia="en-NZ"/>
              </w:rPr>
            </w:pPr>
            <w:r w:rsidRPr="000061EE">
              <w:rPr>
                <w:lang w:eastAsia="en-NZ"/>
              </w:rPr>
              <w:t>US Medicare population receiving LPM</w:t>
            </w:r>
          </w:p>
          <w:p w14:paraId="06A8D020" w14:textId="1B9107A6" w:rsidR="002A2BAF" w:rsidRPr="00637A3D" w:rsidRDefault="002A2BAF" w:rsidP="00637A3D">
            <w:pPr>
              <w:pStyle w:val="Tabletext"/>
              <w:contextualSpacing w:val="0"/>
              <w:rPr>
                <w:lang w:val="en-NZ" w:eastAsia="en-NZ"/>
              </w:rPr>
            </w:pPr>
            <w:r w:rsidRPr="000061EE">
              <w:rPr>
                <w:lang w:eastAsia="en-NZ"/>
              </w:rPr>
              <w:t xml:space="preserve">TVPM patients </w:t>
            </w:r>
            <w:r w:rsidRPr="00EC704A">
              <w:rPr>
                <w:lang w:eastAsia="en-NZ"/>
              </w:rPr>
              <w:t>identified using the ICD-10-PCS for implants occurring in the inpatient setting and Current Procedural Terminology for implants occurring in the outpatient setting</w:t>
            </w:r>
          </w:p>
        </w:tc>
        <w:tc>
          <w:tcPr>
            <w:tcW w:w="762" w:type="pct"/>
            <w:tcBorders>
              <w:top w:val="single" w:sz="6" w:space="0" w:color="auto"/>
              <w:left w:val="single" w:sz="6" w:space="0" w:color="auto"/>
              <w:bottom w:val="single" w:sz="6" w:space="0" w:color="auto"/>
              <w:right w:val="single" w:sz="6" w:space="0" w:color="auto"/>
            </w:tcBorders>
            <w:shd w:val="clear" w:color="auto" w:fill="auto"/>
            <w:hideMark/>
          </w:tcPr>
          <w:p w14:paraId="43FE0A08" w14:textId="25DF31BD" w:rsidR="002A2BAF" w:rsidRPr="00637A3D" w:rsidRDefault="002A2BAF" w:rsidP="00637A3D">
            <w:pPr>
              <w:pStyle w:val="Tabletext"/>
              <w:contextualSpacing w:val="0"/>
              <w:rPr>
                <w:b/>
                <w:bCs/>
                <w:lang w:val="en-NZ" w:eastAsia="en-NZ"/>
              </w:rPr>
            </w:pPr>
            <w:r w:rsidRPr="000061EE">
              <w:rPr>
                <w:lang w:eastAsia="en-NZ"/>
              </w:rPr>
              <w:t>Acute complication rates</w:t>
            </w:r>
          </w:p>
          <w:p w14:paraId="03D3B9EA" w14:textId="7E83EF9B" w:rsidR="002A2BAF" w:rsidRPr="00637A3D" w:rsidRDefault="002A2BAF" w:rsidP="00637A3D">
            <w:pPr>
              <w:pStyle w:val="Tabletext"/>
              <w:contextualSpacing w:val="0"/>
              <w:rPr>
                <w:b/>
                <w:bCs/>
                <w:lang w:val="en-NZ" w:eastAsia="en-NZ"/>
              </w:rPr>
            </w:pPr>
            <w:r w:rsidRPr="000061EE">
              <w:rPr>
                <w:lang w:eastAsia="en-NZ"/>
              </w:rPr>
              <w:t>Survival</w:t>
            </w:r>
          </w:p>
          <w:p w14:paraId="6C8FF3C9" w14:textId="268C063F" w:rsidR="002A2BAF" w:rsidRPr="00637A3D" w:rsidRDefault="002A2BAF" w:rsidP="00637A3D">
            <w:pPr>
              <w:pStyle w:val="Tabletext"/>
              <w:contextualSpacing w:val="0"/>
              <w:rPr>
                <w:b/>
                <w:bCs/>
                <w:lang w:val="en-NZ" w:eastAsia="en-NZ"/>
              </w:rPr>
            </w:pPr>
            <w:r w:rsidRPr="000061EE">
              <w:rPr>
                <w:lang w:eastAsia="en-NZ"/>
              </w:rPr>
              <w:t>Chronic complication rates</w:t>
            </w:r>
          </w:p>
          <w:p w14:paraId="6988658C" w14:textId="5AD98013" w:rsidR="002A2BAF" w:rsidRPr="00637A3D" w:rsidRDefault="002A2BAF" w:rsidP="00637A3D">
            <w:pPr>
              <w:pStyle w:val="Tabletext"/>
              <w:contextualSpacing w:val="0"/>
              <w:rPr>
                <w:lang w:val="en-NZ" w:eastAsia="en-NZ"/>
              </w:rPr>
            </w:pPr>
            <w:r w:rsidRPr="000061EE">
              <w:rPr>
                <w:lang w:eastAsia="en-NZ"/>
              </w:rPr>
              <w:t>Device-related reintervention rates</w:t>
            </w:r>
          </w:p>
        </w:tc>
        <w:tc>
          <w:tcPr>
            <w:tcW w:w="545" w:type="pct"/>
            <w:tcBorders>
              <w:top w:val="single" w:sz="6" w:space="0" w:color="auto"/>
              <w:left w:val="single" w:sz="6" w:space="0" w:color="auto"/>
              <w:bottom w:val="single" w:sz="6" w:space="0" w:color="auto"/>
              <w:right w:val="single" w:sz="6" w:space="0" w:color="auto"/>
            </w:tcBorders>
            <w:shd w:val="clear" w:color="auto" w:fill="auto"/>
            <w:hideMark/>
          </w:tcPr>
          <w:p w14:paraId="30AC8BB2" w14:textId="72A182EA" w:rsidR="002A2BAF" w:rsidRPr="00637A3D" w:rsidRDefault="002A2BAF" w:rsidP="00637A3D">
            <w:pPr>
              <w:pStyle w:val="Tabletext"/>
              <w:contextualSpacing w:val="0"/>
              <w:rPr>
                <w:lang w:val="en-NZ" w:eastAsia="en-NZ"/>
              </w:rPr>
            </w:pPr>
            <w:r w:rsidRPr="000061EE">
              <w:rPr>
                <w:lang w:eastAsia="en-NZ"/>
              </w:rPr>
              <w:t>Yes</w:t>
            </w:r>
            <w:r w:rsidR="009B6367">
              <w:rPr>
                <w:lang w:eastAsia="en-NZ"/>
              </w:rPr>
              <w:t>**</w:t>
            </w:r>
            <w:r w:rsidRPr="000061EE">
              <w:rPr>
                <w:lang w:val="en-NZ" w:eastAsia="en-NZ"/>
              </w:rPr>
              <w:t> </w:t>
            </w:r>
          </w:p>
        </w:tc>
      </w:tr>
      <w:tr w:rsidR="002A2BAF" w:rsidRPr="00B95900" w14:paraId="5689E623" w14:textId="77777777" w:rsidTr="036EB9B3">
        <w:tc>
          <w:tcPr>
            <w:tcW w:w="766" w:type="pct"/>
            <w:tcBorders>
              <w:top w:val="single" w:sz="6" w:space="0" w:color="auto"/>
              <w:left w:val="single" w:sz="6" w:space="0" w:color="auto"/>
              <w:bottom w:val="single" w:sz="6" w:space="0" w:color="auto"/>
              <w:right w:val="single" w:sz="6" w:space="0" w:color="auto"/>
            </w:tcBorders>
            <w:shd w:val="clear" w:color="auto" w:fill="auto"/>
            <w:hideMark/>
          </w:tcPr>
          <w:p w14:paraId="218CC4AC" w14:textId="77777777" w:rsidR="002A2BAF" w:rsidRPr="00637A3D" w:rsidRDefault="002A2BAF" w:rsidP="00637A3D">
            <w:pPr>
              <w:pStyle w:val="Tabletext"/>
              <w:contextualSpacing w:val="0"/>
              <w:rPr>
                <w:lang w:val="en-NZ" w:eastAsia="en-NZ"/>
              </w:rPr>
            </w:pPr>
            <w:r w:rsidRPr="000061EE">
              <w:rPr>
                <w:lang w:eastAsia="en-NZ"/>
              </w:rPr>
              <w:t>Cabanas-</w:t>
            </w:r>
            <w:proofErr w:type="spellStart"/>
            <w:r w:rsidRPr="000061EE">
              <w:rPr>
                <w:lang w:eastAsia="en-NZ"/>
              </w:rPr>
              <w:t>Grandio</w:t>
            </w:r>
            <w:proofErr w:type="spellEnd"/>
            <w:r w:rsidRPr="000061EE">
              <w:rPr>
                <w:lang w:eastAsia="en-NZ"/>
              </w:rPr>
              <w:t xml:space="preserve"> 2020</w:t>
            </w:r>
            <w:r w:rsidRPr="000061EE">
              <w:rPr>
                <w:lang w:val="en-NZ" w:eastAsia="en-NZ"/>
              </w:rPr>
              <w:t> </w:t>
            </w:r>
          </w:p>
        </w:tc>
        <w:tc>
          <w:tcPr>
            <w:tcW w:w="526" w:type="pct"/>
            <w:tcBorders>
              <w:top w:val="single" w:sz="6" w:space="0" w:color="auto"/>
              <w:left w:val="single" w:sz="6" w:space="0" w:color="auto"/>
              <w:bottom w:val="single" w:sz="6" w:space="0" w:color="auto"/>
              <w:right w:val="single" w:sz="6" w:space="0" w:color="auto"/>
            </w:tcBorders>
            <w:shd w:val="clear" w:color="auto" w:fill="auto"/>
            <w:hideMark/>
          </w:tcPr>
          <w:p w14:paraId="3061C052" w14:textId="77777777" w:rsidR="002A2BAF" w:rsidRPr="00637A3D" w:rsidRDefault="002A2BAF" w:rsidP="00637A3D">
            <w:pPr>
              <w:pStyle w:val="Tabletext"/>
              <w:contextualSpacing w:val="0"/>
              <w:rPr>
                <w:lang w:val="en-NZ" w:eastAsia="en-NZ"/>
              </w:rPr>
            </w:pPr>
            <w:r w:rsidRPr="000061EE">
              <w:rPr>
                <w:lang w:eastAsia="en-NZ"/>
              </w:rPr>
              <w:t>106</w:t>
            </w:r>
            <w:r w:rsidRPr="000061EE">
              <w:rPr>
                <w:lang w:val="en-NZ" w:eastAsia="en-NZ"/>
              </w:rPr>
              <w:t> </w:t>
            </w:r>
          </w:p>
        </w:tc>
        <w:tc>
          <w:tcPr>
            <w:tcW w:w="985" w:type="pct"/>
            <w:tcBorders>
              <w:top w:val="single" w:sz="6" w:space="0" w:color="auto"/>
              <w:left w:val="single" w:sz="6" w:space="0" w:color="auto"/>
              <w:bottom w:val="single" w:sz="6" w:space="0" w:color="auto"/>
              <w:right w:val="single" w:sz="6" w:space="0" w:color="auto"/>
            </w:tcBorders>
            <w:shd w:val="clear" w:color="auto" w:fill="auto"/>
            <w:hideMark/>
          </w:tcPr>
          <w:p w14:paraId="311BC85B" w14:textId="2FA21143" w:rsidR="002A2BAF" w:rsidRPr="00637A3D" w:rsidRDefault="002A2BAF" w:rsidP="00637A3D">
            <w:pPr>
              <w:pStyle w:val="Tabletext"/>
              <w:contextualSpacing w:val="0"/>
              <w:rPr>
                <w:b/>
                <w:bCs/>
                <w:lang w:val="en-NZ" w:eastAsia="en-NZ"/>
              </w:rPr>
            </w:pPr>
            <w:proofErr w:type="spellStart"/>
            <w:r w:rsidRPr="000061EE">
              <w:rPr>
                <w:lang w:eastAsia="en-NZ"/>
              </w:rPr>
              <w:t>Multicentre</w:t>
            </w:r>
            <w:proofErr w:type="spellEnd"/>
            <w:r w:rsidRPr="00D61910">
              <w:rPr>
                <w:lang w:eastAsia="en-NZ"/>
              </w:rPr>
              <w:t>, non-</w:t>
            </w:r>
            <w:proofErr w:type="spellStart"/>
            <w:r w:rsidRPr="00D61910">
              <w:rPr>
                <w:lang w:eastAsia="en-NZ"/>
              </w:rPr>
              <w:t>randomised</w:t>
            </w:r>
            <w:proofErr w:type="spellEnd"/>
            <w:r w:rsidRPr="00D61910">
              <w:rPr>
                <w:lang w:eastAsia="en-NZ"/>
              </w:rPr>
              <w:t>, consecutive</w:t>
            </w:r>
          </w:p>
          <w:p w14:paraId="11E2183D" w14:textId="77777777" w:rsidR="002A2BAF" w:rsidRPr="00637A3D" w:rsidRDefault="002A2BAF" w:rsidP="036EB9B3">
            <w:pPr>
              <w:pStyle w:val="Tabletext"/>
              <w:rPr>
                <w:lang w:val="en-NZ" w:eastAsia="en-NZ"/>
              </w:rPr>
            </w:pPr>
            <w:r w:rsidRPr="036EB9B3">
              <w:rPr>
                <w:lang w:eastAsia="en-NZ"/>
              </w:rPr>
              <w:t>Quality appraisal: poor*</w:t>
            </w:r>
            <w:r w:rsidRPr="036EB9B3">
              <w:rPr>
                <w:lang w:val="en-NZ" w:eastAsia="en-NZ"/>
              </w:rPr>
              <w:t> </w:t>
            </w:r>
          </w:p>
        </w:tc>
        <w:tc>
          <w:tcPr>
            <w:tcW w:w="1416" w:type="pct"/>
            <w:tcBorders>
              <w:top w:val="single" w:sz="6" w:space="0" w:color="auto"/>
              <w:left w:val="single" w:sz="6" w:space="0" w:color="auto"/>
              <w:bottom w:val="single" w:sz="6" w:space="0" w:color="auto"/>
              <w:right w:val="single" w:sz="6" w:space="0" w:color="auto"/>
            </w:tcBorders>
            <w:shd w:val="clear" w:color="auto" w:fill="auto"/>
            <w:hideMark/>
          </w:tcPr>
          <w:p w14:paraId="29C89316" w14:textId="4202D302" w:rsidR="002A2BAF" w:rsidRPr="00637A3D" w:rsidRDefault="002A2BAF" w:rsidP="00637A3D">
            <w:pPr>
              <w:pStyle w:val="Tabletext"/>
              <w:contextualSpacing w:val="0"/>
              <w:rPr>
                <w:b/>
                <w:bCs/>
                <w:lang w:val="en-NZ" w:eastAsia="en-NZ"/>
              </w:rPr>
            </w:pPr>
            <w:r w:rsidRPr="006A5AA0">
              <w:rPr>
                <w:lang w:eastAsia="en-NZ"/>
              </w:rPr>
              <w:t>P</w:t>
            </w:r>
            <w:r w:rsidRPr="00632BE6">
              <w:rPr>
                <w:lang w:eastAsia="en-NZ"/>
              </w:rPr>
              <w:t>atients undergoing single</w:t>
            </w:r>
            <w:r w:rsidRPr="00FF61FB">
              <w:rPr>
                <w:rFonts w:ascii="Cambria Math" w:hAnsi="Cambria Math" w:cs="Cambria Math"/>
                <w:lang w:eastAsia="en-NZ"/>
              </w:rPr>
              <w:t>‐</w:t>
            </w:r>
            <w:r w:rsidRPr="00FF61FB">
              <w:rPr>
                <w:lang w:eastAsia="en-NZ"/>
              </w:rPr>
              <w:t>chamber PM implantation from December 2016 to March 2018</w:t>
            </w:r>
          </w:p>
          <w:p w14:paraId="0EBF6BF1" w14:textId="3B916E12" w:rsidR="002A2BAF" w:rsidRPr="00637A3D" w:rsidRDefault="002A2BAF" w:rsidP="00637A3D">
            <w:pPr>
              <w:pStyle w:val="Tabletext"/>
              <w:contextualSpacing w:val="0"/>
              <w:rPr>
                <w:lang w:val="en-NZ" w:eastAsia="en-NZ"/>
              </w:rPr>
            </w:pPr>
            <w:r w:rsidRPr="000061EE">
              <w:rPr>
                <w:lang w:eastAsia="en-NZ"/>
              </w:rPr>
              <w:t>The choice of LPM or TVPM was based on clinical criteria and operator availability</w:t>
            </w:r>
          </w:p>
        </w:tc>
        <w:tc>
          <w:tcPr>
            <w:tcW w:w="762" w:type="pct"/>
            <w:tcBorders>
              <w:top w:val="single" w:sz="6" w:space="0" w:color="auto"/>
              <w:left w:val="single" w:sz="6" w:space="0" w:color="auto"/>
              <w:bottom w:val="single" w:sz="6" w:space="0" w:color="auto"/>
              <w:right w:val="single" w:sz="6" w:space="0" w:color="auto"/>
            </w:tcBorders>
            <w:shd w:val="clear" w:color="auto" w:fill="auto"/>
            <w:hideMark/>
          </w:tcPr>
          <w:p w14:paraId="2DA2DABF" w14:textId="2062F6CA" w:rsidR="002A2BAF" w:rsidRPr="00637A3D" w:rsidRDefault="002A2BAF" w:rsidP="00637A3D">
            <w:pPr>
              <w:pStyle w:val="Tabletext"/>
              <w:contextualSpacing w:val="0"/>
              <w:rPr>
                <w:lang w:val="en-NZ" w:eastAsia="en-NZ"/>
              </w:rPr>
            </w:pPr>
            <w:r w:rsidRPr="000061EE">
              <w:rPr>
                <w:lang w:eastAsia="en-NZ"/>
              </w:rPr>
              <w:t>QoL at 6 months post</w:t>
            </w:r>
            <w:r w:rsidRPr="00EC704A">
              <w:rPr>
                <w:lang w:eastAsia="en-NZ"/>
              </w:rPr>
              <w:t>-implant</w:t>
            </w:r>
          </w:p>
        </w:tc>
        <w:tc>
          <w:tcPr>
            <w:tcW w:w="545" w:type="pct"/>
            <w:tcBorders>
              <w:top w:val="single" w:sz="6" w:space="0" w:color="auto"/>
              <w:left w:val="single" w:sz="6" w:space="0" w:color="auto"/>
              <w:bottom w:val="single" w:sz="6" w:space="0" w:color="auto"/>
              <w:right w:val="single" w:sz="6" w:space="0" w:color="auto"/>
            </w:tcBorders>
            <w:shd w:val="clear" w:color="auto" w:fill="auto"/>
            <w:hideMark/>
          </w:tcPr>
          <w:p w14:paraId="5BAEA8AD" w14:textId="77777777" w:rsidR="002A2BAF" w:rsidRPr="00637A3D" w:rsidRDefault="002A2BAF" w:rsidP="00637A3D">
            <w:pPr>
              <w:pStyle w:val="Tabletext"/>
              <w:contextualSpacing w:val="0"/>
              <w:rPr>
                <w:lang w:val="en-NZ" w:eastAsia="en-NZ"/>
              </w:rPr>
            </w:pPr>
            <w:r w:rsidRPr="000061EE">
              <w:rPr>
                <w:lang w:eastAsia="en-NZ"/>
              </w:rPr>
              <w:t>No</w:t>
            </w:r>
            <w:r w:rsidRPr="000061EE">
              <w:rPr>
                <w:lang w:val="en-NZ" w:eastAsia="en-NZ"/>
              </w:rPr>
              <w:t> </w:t>
            </w:r>
          </w:p>
        </w:tc>
      </w:tr>
      <w:tr w:rsidR="002A2BAF" w:rsidRPr="00B95900" w14:paraId="7D51D624" w14:textId="77777777" w:rsidTr="036EB9B3">
        <w:tc>
          <w:tcPr>
            <w:tcW w:w="766" w:type="pct"/>
            <w:tcBorders>
              <w:top w:val="single" w:sz="6" w:space="0" w:color="auto"/>
              <w:left w:val="single" w:sz="6" w:space="0" w:color="auto"/>
              <w:bottom w:val="single" w:sz="6" w:space="0" w:color="auto"/>
              <w:right w:val="single" w:sz="6" w:space="0" w:color="auto"/>
            </w:tcBorders>
            <w:shd w:val="clear" w:color="auto" w:fill="auto"/>
            <w:hideMark/>
          </w:tcPr>
          <w:p w14:paraId="034EBF22" w14:textId="77777777" w:rsidR="002A2BAF" w:rsidRPr="00637A3D" w:rsidRDefault="002A2BAF" w:rsidP="00637A3D">
            <w:pPr>
              <w:pStyle w:val="Tabletext"/>
              <w:contextualSpacing w:val="0"/>
              <w:rPr>
                <w:lang w:val="en-NZ" w:eastAsia="en-NZ"/>
              </w:rPr>
            </w:pPr>
            <w:r w:rsidRPr="000061EE">
              <w:rPr>
                <w:lang w:eastAsia="en-NZ"/>
              </w:rPr>
              <w:t>Garg 2020</w:t>
            </w:r>
            <w:r w:rsidRPr="000061EE">
              <w:rPr>
                <w:lang w:val="en-NZ" w:eastAsia="en-NZ"/>
              </w:rPr>
              <w:t> </w:t>
            </w:r>
          </w:p>
        </w:tc>
        <w:tc>
          <w:tcPr>
            <w:tcW w:w="526" w:type="pct"/>
            <w:tcBorders>
              <w:top w:val="single" w:sz="6" w:space="0" w:color="auto"/>
              <w:left w:val="single" w:sz="6" w:space="0" w:color="auto"/>
              <w:bottom w:val="single" w:sz="6" w:space="0" w:color="auto"/>
              <w:right w:val="single" w:sz="6" w:space="0" w:color="auto"/>
            </w:tcBorders>
            <w:shd w:val="clear" w:color="auto" w:fill="auto"/>
            <w:hideMark/>
          </w:tcPr>
          <w:p w14:paraId="7F073CD6" w14:textId="25830536" w:rsidR="002A2BAF" w:rsidRPr="00637A3D" w:rsidRDefault="002A2BAF" w:rsidP="00637A3D">
            <w:pPr>
              <w:pStyle w:val="Tabletext"/>
              <w:contextualSpacing w:val="0"/>
              <w:rPr>
                <w:lang w:val="en-NZ" w:eastAsia="en-NZ"/>
              </w:rPr>
            </w:pPr>
            <w:r w:rsidRPr="000061EE">
              <w:rPr>
                <w:lang w:eastAsia="en-NZ"/>
              </w:rPr>
              <w:t>3,329</w:t>
            </w:r>
            <w:r w:rsidRPr="00D61910">
              <w:rPr>
                <w:lang w:val="en-NZ" w:eastAsia="en-NZ"/>
              </w:rPr>
              <w:t> </w:t>
            </w:r>
          </w:p>
        </w:tc>
        <w:tc>
          <w:tcPr>
            <w:tcW w:w="985" w:type="pct"/>
            <w:tcBorders>
              <w:top w:val="single" w:sz="6" w:space="0" w:color="auto"/>
              <w:left w:val="single" w:sz="6" w:space="0" w:color="auto"/>
              <w:bottom w:val="single" w:sz="6" w:space="0" w:color="auto"/>
              <w:right w:val="single" w:sz="6" w:space="0" w:color="auto"/>
            </w:tcBorders>
            <w:shd w:val="clear" w:color="auto" w:fill="auto"/>
            <w:hideMark/>
          </w:tcPr>
          <w:p w14:paraId="53B5D481" w14:textId="631BB9E2" w:rsidR="002A2BAF" w:rsidRPr="00637A3D" w:rsidRDefault="002A2BAF" w:rsidP="00637A3D">
            <w:pPr>
              <w:pStyle w:val="Tabletext"/>
              <w:contextualSpacing w:val="0"/>
              <w:rPr>
                <w:b/>
                <w:bCs/>
                <w:lang w:val="en-NZ" w:eastAsia="en-NZ"/>
              </w:rPr>
            </w:pPr>
            <w:proofErr w:type="spellStart"/>
            <w:r w:rsidRPr="000061EE">
              <w:rPr>
                <w:lang w:eastAsia="en-NZ"/>
              </w:rPr>
              <w:t>Multicentre</w:t>
            </w:r>
            <w:proofErr w:type="spellEnd"/>
            <w:r w:rsidRPr="00EC704A">
              <w:rPr>
                <w:lang w:eastAsia="en-NZ"/>
              </w:rPr>
              <w:t>, retrospective cohort with historical control; adjusted mortality analyses</w:t>
            </w:r>
            <w:r w:rsidRPr="00EC704A">
              <w:rPr>
                <w:b/>
                <w:bCs/>
                <w:lang w:val="en-NZ" w:eastAsia="en-NZ"/>
              </w:rPr>
              <w:t> </w:t>
            </w:r>
          </w:p>
          <w:p w14:paraId="01A645E3" w14:textId="77777777" w:rsidR="002A2BAF" w:rsidRPr="00637A3D" w:rsidRDefault="002A2BAF" w:rsidP="00637A3D">
            <w:pPr>
              <w:pStyle w:val="Tabletext"/>
              <w:contextualSpacing w:val="0"/>
              <w:rPr>
                <w:lang w:val="en-NZ" w:eastAsia="en-NZ"/>
              </w:rPr>
            </w:pPr>
            <w:r w:rsidRPr="000061EE">
              <w:rPr>
                <w:lang w:eastAsia="en-NZ"/>
              </w:rPr>
              <w:t>Quality appraisal: poor*</w:t>
            </w:r>
            <w:r w:rsidRPr="000061EE">
              <w:rPr>
                <w:lang w:val="en-NZ" w:eastAsia="en-NZ"/>
              </w:rPr>
              <w:t> </w:t>
            </w:r>
          </w:p>
        </w:tc>
        <w:tc>
          <w:tcPr>
            <w:tcW w:w="1416" w:type="pct"/>
            <w:tcBorders>
              <w:top w:val="single" w:sz="6" w:space="0" w:color="auto"/>
              <w:left w:val="single" w:sz="6" w:space="0" w:color="auto"/>
              <w:bottom w:val="single" w:sz="6" w:space="0" w:color="auto"/>
              <w:right w:val="single" w:sz="6" w:space="0" w:color="auto"/>
            </w:tcBorders>
            <w:shd w:val="clear" w:color="auto" w:fill="auto"/>
            <w:hideMark/>
          </w:tcPr>
          <w:p w14:paraId="62D3D3F4" w14:textId="5CE8E96B" w:rsidR="002A2BAF" w:rsidRPr="00637A3D" w:rsidRDefault="002A2BAF" w:rsidP="00637A3D">
            <w:pPr>
              <w:pStyle w:val="Tabletext"/>
              <w:contextualSpacing w:val="0"/>
              <w:rPr>
                <w:lang w:val="en-NZ" w:eastAsia="en-NZ"/>
              </w:rPr>
            </w:pPr>
            <w:r w:rsidRPr="000061EE">
              <w:rPr>
                <w:lang w:eastAsia="en-NZ"/>
              </w:rPr>
              <w:t xml:space="preserve">Patients who met class I or II </w:t>
            </w:r>
            <w:r w:rsidRPr="006A5AA0">
              <w:rPr>
                <w:lang w:eastAsia="en-NZ"/>
              </w:rPr>
              <w:t>guideline recommendations for ventricular pacing, stratified LPM by precluded versus not precluded for TVPM</w:t>
            </w:r>
          </w:p>
        </w:tc>
        <w:tc>
          <w:tcPr>
            <w:tcW w:w="762" w:type="pct"/>
            <w:tcBorders>
              <w:top w:val="single" w:sz="6" w:space="0" w:color="auto"/>
              <w:left w:val="single" w:sz="6" w:space="0" w:color="auto"/>
              <w:bottom w:val="single" w:sz="6" w:space="0" w:color="auto"/>
              <w:right w:val="single" w:sz="6" w:space="0" w:color="auto"/>
            </w:tcBorders>
            <w:shd w:val="clear" w:color="auto" w:fill="auto"/>
            <w:hideMark/>
          </w:tcPr>
          <w:p w14:paraId="0A794A68" w14:textId="77777777" w:rsidR="002A2BAF" w:rsidRPr="00637A3D" w:rsidRDefault="002A2BAF" w:rsidP="00637A3D">
            <w:pPr>
              <w:pStyle w:val="Tabletext"/>
              <w:contextualSpacing w:val="0"/>
              <w:rPr>
                <w:b/>
                <w:bCs/>
                <w:lang w:val="en-NZ" w:eastAsia="en-NZ"/>
              </w:rPr>
            </w:pPr>
            <w:r w:rsidRPr="000061EE">
              <w:rPr>
                <w:lang w:eastAsia="en-NZ"/>
              </w:rPr>
              <w:t>All-cause mortality</w:t>
            </w:r>
            <w:r w:rsidRPr="000061EE">
              <w:rPr>
                <w:b/>
                <w:bCs/>
                <w:lang w:val="en-NZ" w:eastAsia="en-NZ"/>
              </w:rPr>
              <w:t> </w:t>
            </w:r>
          </w:p>
          <w:p w14:paraId="6A2826D5" w14:textId="5DE5A819" w:rsidR="002A2BAF" w:rsidRPr="00637A3D" w:rsidRDefault="002A2BAF" w:rsidP="00637A3D">
            <w:pPr>
              <w:pStyle w:val="Tabletext"/>
              <w:contextualSpacing w:val="0"/>
              <w:rPr>
                <w:lang w:val="en-NZ" w:eastAsia="en-NZ"/>
              </w:rPr>
            </w:pPr>
            <w:r w:rsidRPr="000061EE">
              <w:rPr>
                <w:lang w:eastAsia="en-NZ"/>
              </w:rPr>
              <w:t xml:space="preserve">Safety, including major complication rates and acute </w:t>
            </w:r>
            <w:r w:rsidRPr="006A5AA0">
              <w:rPr>
                <w:lang w:eastAsia="en-NZ"/>
              </w:rPr>
              <w:t>complication rates</w:t>
            </w:r>
            <w:r w:rsidRPr="00632BE6">
              <w:rPr>
                <w:lang w:val="en-NZ" w:eastAsia="en-NZ"/>
              </w:rPr>
              <w:t> </w:t>
            </w:r>
          </w:p>
        </w:tc>
        <w:tc>
          <w:tcPr>
            <w:tcW w:w="545" w:type="pct"/>
            <w:tcBorders>
              <w:top w:val="single" w:sz="6" w:space="0" w:color="auto"/>
              <w:left w:val="single" w:sz="6" w:space="0" w:color="auto"/>
              <w:bottom w:val="single" w:sz="6" w:space="0" w:color="auto"/>
              <w:right w:val="single" w:sz="6" w:space="0" w:color="auto"/>
            </w:tcBorders>
            <w:shd w:val="clear" w:color="auto" w:fill="auto"/>
            <w:hideMark/>
          </w:tcPr>
          <w:p w14:paraId="2166BC48" w14:textId="77777777" w:rsidR="002A2BAF" w:rsidRPr="00637A3D" w:rsidRDefault="002A2BAF" w:rsidP="00637A3D">
            <w:pPr>
              <w:pStyle w:val="Tabletext"/>
              <w:contextualSpacing w:val="0"/>
              <w:rPr>
                <w:lang w:val="en-NZ" w:eastAsia="en-NZ"/>
              </w:rPr>
            </w:pPr>
            <w:r w:rsidRPr="000061EE">
              <w:rPr>
                <w:lang w:eastAsia="en-NZ"/>
              </w:rPr>
              <w:t>No</w:t>
            </w:r>
            <w:r w:rsidRPr="000061EE">
              <w:rPr>
                <w:lang w:val="en-NZ" w:eastAsia="en-NZ"/>
              </w:rPr>
              <w:t> </w:t>
            </w:r>
          </w:p>
        </w:tc>
      </w:tr>
      <w:tr w:rsidR="002A2BAF" w:rsidRPr="00B95900" w14:paraId="08B3763A" w14:textId="77777777" w:rsidTr="036EB9B3">
        <w:tc>
          <w:tcPr>
            <w:tcW w:w="766" w:type="pct"/>
            <w:tcBorders>
              <w:top w:val="single" w:sz="6" w:space="0" w:color="auto"/>
              <w:left w:val="single" w:sz="6" w:space="0" w:color="auto"/>
              <w:bottom w:val="single" w:sz="6" w:space="0" w:color="auto"/>
              <w:right w:val="single" w:sz="6" w:space="0" w:color="auto"/>
            </w:tcBorders>
            <w:shd w:val="clear" w:color="auto" w:fill="auto"/>
            <w:hideMark/>
          </w:tcPr>
          <w:p w14:paraId="479127ED" w14:textId="77777777" w:rsidR="002A2BAF" w:rsidRPr="00637A3D" w:rsidRDefault="002A2BAF" w:rsidP="00637A3D">
            <w:pPr>
              <w:pStyle w:val="Tabletext"/>
              <w:contextualSpacing w:val="0"/>
              <w:rPr>
                <w:lang w:val="en-NZ" w:eastAsia="en-NZ"/>
              </w:rPr>
            </w:pPr>
            <w:r w:rsidRPr="000061EE">
              <w:rPr>
                <w:lang w:eastAsia="en-NZ"/>
              </w:rPr>
              <w:lastRenderedPageBreak/>
              <w:t>Pagan 2020</w:t>
            </w:r>
            <w:r w:rsidRPr="000061EE">
              <w:rPr>
                <w:lang w:val="en-NZ" w:eastAsia="en-NZ"/>
              </w:rPr>
              <w:t> </w:t>
            </w:r>
          </w:p>
        </w:tc>
        <w:tc>
          <w:tcPr>
            <w:tcW w:w="526" w:type="pct"/>
            <w:tcBorders>
              <w:top w:val="single" w:sz="6" w:space="0" w:color="auto"/>
              <w:left w:val="single" w:sz="6" w:space="0" w:color="auto"/>
              <w:bottom w:val="single" w:sz="6" w:space="0" w:color="auto"/>
              <w:right w:val="single" w:sz="6" w:space="0" w:color="auto"/>
            </w:tcBorders>
            <w:shd w:val="clear" w:color="auto" w:fill="auto"/>
            <w:hideMark/>
          </w:tcPr>
          <w:p w14:paraId="26B58AE3" w14:textId="77777777" w:rsidR="002A2BAF" w:rsidRPr="00637A3D" w:rsidRDefault="002A2BAF" w:rsidP="00637A3D">
            <w:pPr>
              <w:pStyle w:val="Tabletext"/>
              <w:contextualSpacing w:val="0"/>
              <w:rPr>
                <w:lang w:val="en-NZ" w:eastAsia="en-NZ"/>
              </w:rPr>
            </w:pPr>
            <w:r w:rsidRPr="000061EE">
              <w:rPr>
                <w:lang w:eastAsia="en-NZ"/>
              </w:rPr>
              <w:t>302</w:t>
            </w:r>
            <w:r w:rsidRPr="000061EE">
              <w:rPr>
                <w:lang w:val="en-NZ" w:eastAsia="en-NZ"/>
              </w:rPr>
              <w:t> </w:t>
            </w:r>
          </w:p>
        </w:tc>
        <w:tc>
          <w:tcPr>
            <w:tcW w:w="985" w:type="pct"/>
            <w:tcBorders>
              <w:top w:val="single" w:sz="6" w:space="0" w:color="auto"/>
              <w:left w:val="single" w:sz="6" w:space="0" w:color="auto"/>
              <w:bottom w:val="single" w:sz="6" w:space="0" w:color="auto"/>
              <w:right w:val="single" w:sz="6" w:space="0" w:color="auto"/>
            </w:tcBorders>
            <w:shd w:val="clear" w:color="auto" w:fill="auto"/>
            <w:hideMark/>
          </w:tcPr>
          <w:p w14:paraId="1D9DED80" w14:textId="6E4FA2C2" w:rsidR="002A2BAF" w:rsidRPr="00637A3D" w:rsidRDefault="002A2BAF" w:rsidP="00637A3D">
            <w:pPr>
              <w:pStyle w:val="Tabletext"/>
              <w:contextualSpacing w:val="0"/>
              <w:rPr>
                <w:b/>
                <w:bCs/>
                <w:lang w:val="en-NZ" w:eastAsia="en-NZ"/>
              </w:rPr>
            </w:pPr>
            <w:proofErr w:type="spellStart"/>
            <w:r w:rsidRPr="000061EE">
              <w:rPr>
                <w:lang w:eastAsia="en-NZ"/>
              </w:rPr>
              <w:t>Multicentre</w:t>
            </w:r>
            <w:proofErr w:type="spellEnd"/>
            <w:r w:rsidRPr="00EC704A">
              <w:rPr>
                <w:lang w:eastAsia="en-NZ"/>
              </w:rPr>
              <w:t>, non-</w:t>
            </w:r>
            <w:proofErr w:type="spellStart"/>
            <w:r w:rsidRPr="00EC704A">
              <w:rPr>
                <w:lang w:eastAsia="en-NZ"/>
              </w:rPr>
              <w:t>randomised</w:t>
            </w:r>
            <w:proofErr w:type="spellEnd"/>
            <w:r w:rsidRPr="00EC704A">
              <w:rPr>
                <w:lang w:eastAsia="en-NZ"/>
              </w:rPr>
              <w:t xml:space="preserve"> cohort study</w:t>
            </w:r>
            <w:r w:rsidRPr="00EC704A">
              <w:rPr>
                <w:b/>
                <w:bCs/>
                <w:lang w:val="en-NZ" w:eastAsia="en-NZ"/>
              </w:rPr>
              <w:t> </w:t>
            </w:r>
          </w:p>
          <w:p w14:paraId="4EAD0278" w14:textId="77777777" w:rsidR="002A2BAF" w:rsidRPr="00637A3D" w:rsidRDefault="002A2BAF" w:rsidP="00637A3D">
            <w:pPr>
              <w:pStyle w:val="Tabletext"/>
              <w:contextualSpacing w:val="0"/>
              <w:rPr>
                <w:lang w:val="en-NZ" w:eastAsia="en-NZ"/>
              </w:rPr>
            </w:pPr>
            <w:r w:rsidRPr="000061EE">
              <w:rPr>
                <w:lang w:eastAsia="en-NZ"/>
              </w:rPr>
              <w:t>Quality appraisal: poor*</w:t>
            </w:r>
            <w:r w:rsidRPr="000061EE">
              <w:rPr>
                <w:lang w:val="en-NZ" w:eastAsia="en-NZ"/>
              </w:rPr>
              <w:t> </w:t>
            </w:r>
          </w:p>
        </w:tc>
        <w:tc>
          <w:tcPr>
            <w:tcW w:w="1416" w:type="pct"/>
            <w:tcBorders>
              <w:top w:val="single" w:sz="6" w:space="0" w:color="auto"/>
              <w:left w:val="single" w:sz="6" w:space="0" w:color="auto"/>
              <w:bottom w:val="single" w:sz="6" w:space="0" w:color="auto"/>
              <w:right w:val="single" w:sz="6" w:space="0" w:color="auto"/>
            </w:tcBorders>
            <w:shd w:val="clear" w:color="auto" w:fill="auto"/>
            <w:hideMark/>
          </w:tcPr>
          <w:p w14:paraId="06F78A3C" w14:textId="651C6327" w:rsidR="002A2BAF" w:rsidRPr="00637A3D" w:rsidRDefault="002A2BAF" w:rsidP="00637A3D">
            <w:pPr>
              <w:pStyle w:val="Tabletext"/>
              <w:contextualSpacing w:val="0"/>
              <w:rPr>
                <w:lang w:val="en-NZ" w:eastAsia="en-NZ"/>
              </w:rPr>
            </w:pPr>
            <w:r w:rsidRPr="000061EE">
              <w:rPr>
                <w:b/>
                <w:bCs/>
                <w:lang w:eastAsia="en-NZ"/>
              </w:rPr>
              <w:t>Elderly</w:t>
            </w:r>
            <w:r w:rsidRPr="00637A3D">
              <w:rPr>
                <w:b/>
                <w:bCs/>
                <w:lang w:eastAsia="en-NZ"/>
              </w:rPr>
              <w:t xml:space="preserve"> (≥85 years)</w:t>
            </w:r>
            <w:r w:rsidRPr="00637A3D" w:rsidDel="00BB0062">
              <w:rPr>
                <w:b/>
                <w:bCs/>
                <w:lang w:val="en-NZ" w:eastAsia="en-NZ"/>
              </w:rPr>
              <w:t xml:space="preserve"> </w:t>
            </w:r>
            <w:r w:rsidRPr="00637A3D">
              <w:rPr>
                <w:lang w:val="en-NZ" w:eastAsia="en-NZ"/>
              </w:rPr>
              <w:t>p</w:t>
            </w:r>
            <w:proofErr w:type="spellStart"/>
            <w:r w:rsidRPr="000061EE">
              <w:rPr>
                <w:lang w:eastAsia="en-NZ"/>
              </w:rPr>
              <w:t>atients</w:t>
            </w:r>
            <w:proofErr w:type="spellEnd"/>
            <w:r w:rsidRPr="00EC704A">
              <w:rPr>
                <w:lang w:eastAsia="en-NZ"/>
              </w:rPr>
              <w:t xml:space="preserve"> receiving LPM or TVPM.</w:t>
            </w:r>
            <w:r w:rsidRPr="00EC704A">
              <w:rPr>
                <w:lang w:val="en-NZ" w:eastAsia="en-NZ"/>
              </w:rPr>
              <w:t> </w:t>
            </w:r>
          </w:p>
        </w:tc>
        <w:tc>
          <w:tcPr>
            <w:tcW w:w="762" w:type="pct"/>
            <w:tcBorders>
              <w:top w:val="single" w:sz="6" w:space="0" w:color="auto"/>
              <w:left w:val="single" w:sz="6" w:space="0" w:color="auto"/>
              <w:bottom w:val="single" w:sz="6" w:space="0" w:color="auto"/>
              <w:right w:val="single" w:sz="6" w:space="0" w:color="auto"/>
            </w:tcBorders>
            <w:shd w:val="clear" w:color="auto" w:fill="auto"/>
            <w:hideMark/>
          </w:tcPr>
          <w:p w14:paraId="13AE0919" w14:textId="4D443952" w:rsidR="002A2BAF" w:rsidRPr="00637A3D" w:rsidRDefault="002A2BAF" w:rsidP="00637A3D">
            <w:pPr>
              <w:pStyle w:val="Tabletext"/>
              <w:contextualSpacing w:val="0"/>
              <w:rPr>
                <w:lang w:val="en-NZ" w:eastAsia="en-NZ"/>
              </w:rPr>
            </w:pPr>
            <w:r w:rsidRPr="000061EE">
              <w:rPr>
                <w:lang w:eastAsia="en-NZ"/>
              </w:rPr>
              <w:t>Procedure-related complication</w:t>
            </w:r>
            <w:r w:rsidRPr="006A5AA0">
              <w:rPr>
                <w:lang w:eastAsia="en-NZ"/>
              </w:rPr>
              <w:t xml:space="preserve"> rate</w:t>
            </w:r>
            <w:r w:rsidRPr="00632BE6">
              <w:rPr>
                <w:lang w:eastAsia="en-NZ"/>
              </w:rPr>
              <w:t>s</w:t>
            </w:r>
            <w:r w:rsidRPr="00632BE6">
              <w:rPr>
                <w:lang w:val="en-NZ" w:eastAsia="en-NZ"/>
              </w:rPr>
              <w:t> </w:t>
            </w:r>
          </w:p>
        </w:tc>
        <w:tc>
          <w:tcPr>
            <w:tcW w:w="545" w:type="pct"/>
            <w:tcBorders>
              <w:top w:val="single" w:sz="6" w:space="0" w:color="auto"/>
              <w:left w:val="single" w:sz="6" w:space="0" w:color="auto"/>
              <w:bottom w:val="single" w:sz="6" w:space="0" w:color="auto"/>
              <w:right w:val="single" w:sz="6" w:space="0" w:color="auto"/>
            </w:tcBorders>
            <w:shd w:val="clear" w:color="auto" w:fill="auto"/>
            <w:hideMark/>
          </w:tcPr>
          <w:p w14:paraId="169FBA1C" w14:textId="77777777" w:rsidR="002A2BAF" w:rsidRPr="00637A3D" w:rsidRDefault="002A2BAF" w:rsidP="00637A3D">
            <w:pPr>
              <w:pStyle w:val="Tabletext"/>
              <w:contextualSpacing w:val="0"/>
              <w:rPr>
                <w:lang w:val="en-NZ" w:eastAsia="en-NZ"/>
              </w:rPr>
            </w:pPr>
            <w:r w:rsidRPr="000061EE">
              <w:rPr>
                <w:lang w:eastAsia="en-NZ"/>
              </w:rPr>
              <w:t>No</w:t>
            </w:r>
            <w:r w:rsidRPr="000061EE">
              <w:rPr>
                <w:lang w:val="en-NZ" w:eastAsia="en-NZ"/>
              </w:rPr>
              <w:t> </w:t>
            </w:r>
          </w:p>
        </w:tc>
      </w:tr>
      <w:tr w:rsidR="002A2BAF" w:rsidRPr="00B95900" w14:paraId="02FCB90F" w14:textId="77777777" w:rsidTr="036EB9B3">
        <w:tc>
          <w:tcPr>
            <w:tcW w:w="766" w:type="pct"/>
            <w:tcBorders>
              <w:top w:val="single" w:sz="6" w:space="0" w:color="auto"/>
              <w:left w:val="single" w:sz="6" w:space="0" w:color="auto"/>
              <w:bottom w:val="single" w:sz="6" w:space="0" w:color="auto"/>
              <w:right w:val="single" w:sz="6" w:space="0" w:color="auto"/>
            </w:tcBorders>
            <w:shd w:val="clear" w:color="auto" w:fill="auto"/>
            <w:hideMark/>
          </w:tcPr>
          <w:p w14:paraId="67CB4F6E" w14:textId="77777777" w:rsidR="002A2BAF" w:rsidRPr="00637A3D" w:rsidRDefault="002A2BAF" w:rsidP="00637A3D">
            <w:pPr>
              <w:pStyle w:val="Tabletext"/>
              <w:contextualSpacing w:val="0"/>
              <w:rPr>
                <w:lang w:val="en-NZ" w:eastAsia="en-NZ"/>
              </w:rPr>
            </w:pPr>
            <w:r w:rsidRPr="000061EE">
              <w:rPr>
                <w:lang w:eastAsia="en-NZ"/>
              </w:rPr>
              <w:t>Palmisano 2021</w:t>
            </w:r>
            <w:r w:rsidRPr="000061EE">
              <w:rPr>
                <w:lang w:val="en-NZ" w:eastAsia="en-NZ"/>
              </w:rPr>
              <w:t> </w:t>
            </w:r>
          </w:p>
        </w:tc>
        <w:tc>
          <w:tcPr>
            <w:tcW w:w="526" w:type="pct"/>
            <w:tcBorders>
              <w:top w:val="single" w:sz="6" w:space="0" w:color="auto"/>
              <w:left w:val="single" w:sz="6" w:space="0" w:color="auto"/>
              <w:bottom w:val="single" w:sz="6" w:space="0" w:color="auto"/>
              <w:right w:val="single" w:sz="6" w:space="0" w:color="auto"/>
            </w:tcBorders>
            <w:shd w:val="clear" w:color="auto" w:fill="auto"/>
            <w:hideMark/>
          </w:tcPr>
          <w:p w14:paraId="7DB33049" w14:textId="77777777" w:rsidR="002A2BAF" w:rsidRPr="00637A3D" w:rsidRDefault="002A2BAF" w:rsidP="00637A3D">
            <w:pPr>
              <w:pStyle w:val="Tabletext"/>
              <w:contextualSpacing w:val="0"/>
              <w:rPr>
                <w:lang w:val="en-NZ" w:eastAsia="en-NZ"/>
              </w:rPr>
            </w:pPr>
            <w:r w:rsidRPr="000061EE">
              <w:rPr>
                <w:lang w:eastAsia="en-NZ"/>
              </w:rPr>
              <w:t>154</w:t>
            </w:r>
            <w:r w:rsidRPr="000061EE">
              <w:rPr>
                <w:lang w:val="en-NZ" w:eastAsia="en-NZ"/>
              </w:rPr>
              <w:t> </w:t>
            </w:r>
          </w:p>
        </w:tc>
        <w:tc>
          <w:tcPr>
            <w:tcW w:w="985" w:type="pct"/>
            <w:tcBorders>
              <w:top w:val="single" w:sz="6" w:space="0" w:color="auto"/>
              <w:left w:val="single" w:sz="6" w:space="0" w:color="auto"/>
              <w:bottom w:val="single" w:sz="6" w:space="0" w:color="auto"/>
              <w:right w:val="single" w:sz="6" w:space="0" w:color="auto"/>
            </w:tcBorders>
            <w:shd w:val="clear" w:color="auto" w:fill="auto"/>
            <w:hideMark/>
          </w:tcPr>
          <w:p w14:paraId="5E504DFD" w14:textId="0D14BC7E" w:rsidR="002A2BAF" w:rsidRPr="00637A3D" w:rsidRDefault="002A2BAF" w:rsidP="00637A3D">
            <w:pPr>
              <w:pStyle w:val="Tabletext"/>
              <w:contextualSpacing w:val="0"/>
              <w:rPr>
                <w:b/>
                <w:bCs/>
                <w:lang w:val="en-NZ" w:eastAsia="en-NZ"/>
              </w:rPr>
            </w:pPr>
            <w:r w:rsidRPr="000061EE">
              <w:rPr>
                <w:lang w:eastAsia="en-NZ"/>
              </w:rPr>
              <w:t xml:space="preserve">Single </w:t>
            </w:r>
            <w:proofErr w:type="spellStart"/>
            <w:r w:rsidRPr="000061EE">
              <w:rPr>
                <w:lang w:eastAsia="en-NZ"/>
              </w:rPr>
              <w:t>centre</w:t>
            </w:r>
            <w:proofErr w:type="spellEnd"/>
            <w:r w:rsidRPr="000061EE">
              <w:rPr>
                <w:lang w:eastAsia="en-NZ"/>
              </w:rPr>
              <w:t>, non-</w:t>
            </w:r>
            <w:proofErr w:type="spellStart"/>
            <w:r w:rsidRPr="000061EE">
              <w:rPr>
                <w:lang w:eastAsia="en-NZ"/>
              </w:rPr>
              <w:t>randomised</w:t>
            </w:r>
            <w:proofErr w:type="spellEnd"/>
            <w:r w:rsidRPr="000061EE">
              <w:rPr>
                <w:lang w:eastAsia="en-NZ"/>
              </w:rPr>
              <w:t>, prospective; PSM</w:t>
            </w:r>
            <w:r w:rsidRPr="00D61910">
              <w:rPr>
                <w:b/>
                <w:bCs/>
                <w:lang w:val="en-NZ" w:eastAsia="en-NZ"/>
              </w:rPr>
              <w:t> </w:t>
            </w:r>
          </w:p>
          <w:p w14:paraId="49CCCB49" w14:textId="77777777" w:rsidR="002A2BAF" w:rsidRPr="00637A3D" w:rsidRDefault="002A2BAF" w:rsidP="00637A3D">
            <w:pPr>
              <w:pStyle w:val="Tabletext"/>
              <w:contextualSpacing w:val="0"/>
              <w:rPr>
                <w:lang w:val="en-NZ" w:eastAsia="en-NZ"/>
              </w:rPr>
            </w:pPr>
            <w:r w:rsidRPr="000061EE">
              <w:rPr>
                <w:lang w:eastAsia="en-NZ"/>
              </w:rPr>
              <w:t>Quality appraisal: fair* </w:t>
            </w:r>
            <w:r w:rsidRPr="000061EE">
              <w:rPr>
                <w:lang w:val="en-NZ" w:eastAsia="en-NZ"/>
              </w:rPr>
              <w:t> </w:t>
            </w:r>
          </w:p>
        </w:tc>
        <w:tc>
          <w:tcPr>
            <w:tcW w:w="1416" w:type="pct"/>
            <w:tcBorders>
              <w:top w:val="single" w:sz="6" w:space="0" w:color="auto"/>
              <w:left w:val="single" w:sz="6" w:space="0" w:color="auto"/>
              <w:bottom w:val="single" w:sz="6" w:space="0" w:color="auto"/>
              <w:right w:val="single" w:sz="6" w:space="0" w:color="auto"/>
            </w:tcBorders>
            <w:shd w:val="clear" w:color="auto" w:fill="auto"/>
            <w:hideMark/>
          </w:tcPr>
          <w:p w14:paraId="509F8A55" w14:textId="77777777" w:rsidR="002A2BAF" w:rsidRPr="00637A3D" w:rsidRDefault="002A2BAF" w:rsidP="00637A3D">
            <w:pPr>
              <w:pStyle w:val="Tabletext"/>
              <w:contextualSpacing w:val="0"/>
              <w:rPr>
                <w:b/>
                <w:bCs/>
                <w:lang w:val="en-NZ" w:eastAsia="en-NZ"/>
              </w:rPr>
            </w:pPr>
            <w:r w:rsidRPr="000061EE">
              <w:rPr>
                <w:b/>
                <w:bCs/>
                <w:lang w:eastAsia="en-NZ"/>
              </w:rPr>
              <w:t>Allcomers – de novo PM</w:t>
            </w:r>
            <w:r w:rsidRPr="000061EE">
              <w:rPr>
                <w:b/>
                <w:bCs/>
                <w:lang w:val="en-NZ" w:eastAsia="en-NZ"/>
              </w:rPr>
              <w:t> </w:t>
            </w:r>
          </w:p>
          <w:p w14:paraId="138ABE6A" w14:textId="6F8FE1C5" w:rsidR="002A2BAF" w:rsidRPr="00637A3D" w:rsidRDefault="002A2BAF" w:rsidP="00637A3D">
            <w:pPr>
              <w:pStyle w:val="Tabletext"/>
              <w:contextualSpacing w:val="0"/>
              <w:rPr>
                <w:b/>
                <w:bCs/>
                <w:lang w:val="en-NZ" w:eastAsia="en-NZ"/>
              </w:rPr>
            </w:pPr>
            <w:r w:rsidRPr="000061EE">
              <w:rPr>
                <w:lang w:eastAsia="en-NZ"/>
              </w:rPr>
              <w:t>Patients meeting class I or II guideline recommendation</w:t>
            </w:r>
            <w:r w:rsidRPr="006A5AA0">
              <w:rPr>
                <w:lang w:eastAsia="en-NZ"/>
              </w:rPr>
              <w:t>s</w:t>
            </w:r>
            <w:r w:rsidRPr="00632BE6">
              <w:rPr>
                <w:lang w:eastAsia="en-NZ"/>
              </w:rPr>
              <w:t xml:space="preserve"> for de novo ventricular pacing</w:t>
            </w:r>
            <w:r w:rsidRPr="00EC704A">
              <w:rPr>
                <w:b/>
                <w:bCs/>
                <w:lang w:val="en-NZ" w:eastAsia="en-NZ"/>
              </w:rPr>
              <w:t> </w:t>
            </w:r>
          </w:p>
          <w:p w14:paraId="4CB7B2B0" w14:textId="6102DD6A" w:rsidR="002A2BAF" w:rsidRPr="00637A3D" w:rsidRDefault="002A2BAF" w:rsidP="00637A3D">
            <w:pPr>
              <w:pStyle w:val="Tabletext"/>
              <w:contextualSpacing w:val="0"/>
              <w:rPr>
                <w:lang w:val="en-NZ" w:eastAsia="en-NZ"/>
              </w:rPr>
            </w:pPr>
            <w:r w:rsidRPr="000061EE">
              <w:rPr>
                <w:lang w:eastAsia="en-NZ"/>
              </w:rPr>
              <w:t xml:space="preserve">Choice of PM at </w:t>
            </w:r>
            <w:r w:rsidRPr="006A5AA0">
              <w:rPr>
                <w:lang w:eastAsia="en-NZ"/>
              </w:rPr>
              <w:t xml:space="preserve">clinician discretion. </w:t>
            </w:r>
            <w:r w:rsidRPr="00EC704A">
              <w:rPr>
                <w:lang w:eastAsia="en-NZ"/>
              </w:rPr>
              <w:t>LPMs were preferentially implanted in</w:t>
            </w:r>
            <w:r>
              <w:rPr>
                <w:lang w:eastAsia="en-NZ"/>
              </w:rPr>
              <w:t>:</w:t>
            </w:r>
            <w:r w:rsidRPr="000061EE">
              <w:rPr>
                <w:lang w:eastAsia="en-NZ"/>
              </w:rPr>
              <w:t xml:space="preserve"> patients aged &gt;</w:t>
            </w:r>
            <w:r w:rsidRPr="00EC704A">
              <w:rPr>
                <w:lang w:eastAsia="en-NZ"/>
              </w:rPr>
              <w:t xml:space="preserve">65 years </w:t>
            </w:r>
            <w:r>
              <w:rPr>
                <w:lang w:eastAsia="en-NZ"/>
              </w:rPr>
              <w:t>who had</w:t>
            </w:r>
            <w:r w:rsidRPr="000061EE">
              <w:rPr>
                <w:lang w:eastAsia="en-NZ"/>
              </w:rPr>
              <w:t xml:space="preserve"> a reasonable life </w:t>
            </w:r>
            <w:r w:rsidRPr="00EC704A">
              <w:rPr>
                <w:lang w:eastAsia="en-NZ"/>
              </w:rPr>
              <w:t>expecta</w:t>
            </w:r>
            <w:r>
              <w:rPr>
                <w:lang w:eastAsia="en-NZ"/>
              </w:rPr>
              <w:t>ncy</w:t>
            </w:r>
            <w:r w:rsidRPr="000061EE">
              <w:rPr>
                <w:lang w:eastAsia="en-NZ"/>
              </w:rPr>
              <w:t xml:space="preserve"> and functional status </w:t>
            </w:r>
            <w:r>
              <w:rPr>
                <w:lang w:eastAsia="en-NZ"/>
              </w:rPr>
              <w:t>of</w:t>
            </w:r>
            <w:r w:rsidRPr="000061EE">
              <w:rPr>
                <w:lang w:eastAsia="en-NZ"/>
              </w:rPr>
              <w:t xml:space="preserve"> more than one year</w:t>
            </w:r>
            <w:r>
              <w:rPr>
                <w:lang w:eastAsia="en-NZ"/>
              </w:rPr>
              <w:t>;</w:t>
            </w:r>
            <w:r w:rsidRPr="00EC704A">
              <w:rPr>
                <w:lang w:eastAsia="en-NZ"/>
              </w:rPr>
              <w:t xml:space="preserve"> patients at high risk of infection</w:t>
            </w:r>
            <w:r>
              <w:rPr>
                <w:lang w:eastAsia="en-NZ"/>
              </w:rPr>
              <w:t>;</w:t>
            </w:r>
            <w:r w:rsidRPr="000061EE">
              <w:rPr>
                <w:lang w:eastAsia="en-NZ"/>
              </w:rPr>
              <w:t xml:space="preserve"> and </w:t>
            </w:r>
            <w:r w:rsidRPr="00EC704A">
              <w:rPr>
                <w:lang w:eastAsia="en-NZ"/>
              </w:rPr>
              <w:t xml:space="preserve">patients with difficult or </w:t>
            </w:r>
            <w:r>
              <w:rPr>
                <w:lang w:eastAsia="en-NZ"/>
              </w:rPr>
              <w:t xml:space="preserve">no </w:t>
            </w:r>
            <w:r w:rsidRPr="000061EE">
              <w:rPr>
                <w:lang w:eastAsia="en-NZ"/>
              </w:rPr>
              <w:t xml:space="preserve">venous access for </w:t>
            </w:r>
            <w:r>
              <w:rPr>
                <w:lang w:eastAsia="en-NZ"/>
              </w:rPr>
              <w:t xml:space="preserve">a </w:t>
            </w:r>
            <w:r w:rsidRPr="000061EE">
              <w:rPr>
                <w:lang w:eastAsia="en-NZ"/>
              </w:rPr>
              <w:t>TVPM</w:t>
            </w:r>
          </w:p>
        </w:tc>
        <w:tc>
          <w:tcPr>
            <w:tcW w:w="762" w:type="pct"/>
            <w:tcBorders>
              <w:top w:val="single" w:sz="6" w:space="0" w:color="auto"/>
              <w:left w:val="single" w:sz="6" w:space="0" w:color="auto"/>
              <w:bottom w:val="single" w:sz="6" w:space="0" w:color="auto"/>
              <w:right w:val="single" w:sz="6" w:space="0" w:color="auto"/>
            </w:tcBorders>
            <w:shd w:val="clear" w:color="auto" w:fill="auto"/>
            <w:hideMark/>
          </w:tcPr>
          <w:p w14:paraId="0FA714F7" w14:textId="77777777" w:rsidR="002A2BAF" w:rsidRPr="00637A3D" w:rsidRDefault="002A2BAF" w:rsidP="00637A3D">
            <w:pPr>
              <w:pStyle w:val="Tabletext"/>
              <w:contextualSpacing w:val="0"/>
              <w:rPr>
                <w:b/>
                <w:bCs/>
                <w:lang w:val="en-NZ" w:eastAsia="en-NZ"/>
              </w:rPr>
            </w:pPr>
            <w:r w:rsidRPr="000061EE">
              <w:rPr>
                <w:lang w:eastAsia="en-NZ"/>
              </w:rPr>
              <w:t>Procedural data</w:t>
            </w:r>
            <w:r w:rsidRPr="000061EE">
              <w:rPr>
                <w:b/>
                <w:bCs/>
                <w:lang w:val="en-NZ" w:eastAsia="en-NZ"/>
              </w:rPr>
              <w:t> </w:t>
            </w:r>
          </w:p>
          <w:p w14:paraId="17DBF451" w14:textId="77777777" w:rsidR="002A2BAF" w:rsidRPr="00637A3D" w:rsidRDefault="002A2BAF" w:rsidP="00637A3D">
            <w:pPr>
              <w:pStyle w:val="Tabletext"/>
              <w:contextualSpacing w:val="0"/>
              <w:rPr>
                <w:b/>
                <w:bCs/>
                <w:lang w:val="en-NZ" w:eastAsia="en-NZ"/>
              </w:rPr>
            </w:pPr>
            <w:r w:rsidRPr="000061EE">
              <w:rPr>
                <w:lang w:eastAsia="en-NZ"/>
              </w:rPr>
              <w:t>Patient acceptance</w:t>
            </w:r>
            <w:r w:rsidRPr="000061EE">
              <w:rPr>
                <w:b/>
                <w:bCs/>
                <w:lang w:val="en-NZ" w:eastAsia="en-NZ"/>
              </w:rPr>
              <w:t> </w:t>
            </w:r>
          </w:p>
          <w:p w14:paraId="6C387DD2" w14:textId="77777777" w:rsidR="002A2BAF" w:rsidRPr="00637A3D" w:rsidRDefault="002A2BAF" w:rsidP="00637A3D">
            <w:pPr>
              <w:pStyle w:val="Tabletext"/>
              <w:contextualSpacing w:val="0"/>
              <w:rPr>
                <w:lang w:val="en-NZ" w:eastAsia="en-NZ"/>
              </w:rPr>
            </w:pPr>
            <w:r w:rsidRPr="000061EE">
              <w:rPr>
                <w:lang w:eastAsia="en-NZ"/>
              </w:rPr>
              <w:t>QoL up to 6 months</w:t>
            </w:r>
            <w:r w:rsidRPr="000061EE">
              <w:rPr>
                <w:lang w:val="en-NZ" w:eastAsia="en-NZ"/>
              </w:rPr>
              <w:t> </w:t>
            </w:r>
          </w:p>
        </w:tc>
        <w:tc>
          <w:tcPr>
            <w:tcW w:w="545" w:type="pct"/>
            <w:tcBorders>
              <w:top w:val="single" w:sz="6" w:space="0" w:color="auto"/>
              <w:left w:val="single" w:sz="6" w:space="0" w:color="auto"/>
              <w:bottom w:val="single" w:sz="6" w:space="0" w:color="auto"/>
              <w:right w:val="single" w:sz="6" w:space="0" w:color="auto"/>
            </w:tcBorders>
            <w:shd w:val="clear" w:color="auto" w:fill="auto"/>
            <w:hideMark/>
          </w:tcPr>
          <w:p w14:paraId="4E3FDC8C" w14:textId="77777777" w:rsidR="002A2BAF" w:rsidRPr="00637A3D" w:rsidRDefault="002A2BAF" w:rsidP="00637A3D">
            <w:pPr>
              <w:pStyle w:val="Tabletext"/>
              <w:contextualSpacing w:val="0"/>
              <w:rPr>
                <w:lang w:val="en-NZ" w:eastAsia="en-NZ"/>
              </w:rPr>
            </w:pPr>
            <w:r w:rsidRPr="000061EE">
              <w:rPr>
                <w:lang w:eastAsia="en-NZ"/>
              </w:rPr>
              <w:t>No</w:t>
            </w:r>
            <w:r w:rsidRPr="000061EE">
              <w:rPr>
                <w:lang w:val="en-NZ" w:eastAsia="en-NZ"/>
              </w:rPr>
              <w:t> </w:t>
            </w:r>
          </w:p>
        </w:tc>
      </w:tr>
      <w:tr w:rsidR="002A2BAF" w:rsidRPr="00B95900" w14:paraId="6946E2C1" w14:textId="77777777" w:rsidTr="036EB9B3">
        <w:tc>
          <w:tcPr>
            <w:tcW w:w="766" w:type="pct"/>
            <w:tcBorders>
              <w:top w:val="single" w:sz="6" w:space="0" w:color="auto"/>
              <w:left w:val="single" w:sz="6" w:space="0" w:color="auto"/>
              <w:bottom w:val="single" w:sz="6" w:space="0" w:color="auto"/>
              <w:right w:val="single" w:sz="6" w:space="0" w:color="auto"/>
            </w:tcBorders>
            <w:shd w:val="clear" w:color="auto" w:fill="auto"/>
            <w:hideMark/>
          </w:tcPr>
          <w:p w14:paraId="345431E4" w14:textId="77777777" w:rsidR="002A2BAF" w:rsidRPr="00637A3D" w:rsidRDefault="002A2BAF" w:rsidP="00637A3D">
            <w:pPr>
              <w:pStyle w:val="Tabletext"/>
              <w:contextualSpacing w:val="0"/>
              <w:rPr>
                <w:lang w:val="en-NZ" w:eastAsia="en-NZ"/>
              </w:rPr>
            </w:pPr>
            <w:r w:rsidRPr="000061EE">
              <w:rPr>
                <w:lang w:eastAsia="en-NZ"/>
              </w:rPr>
              <w:t>Martinez-Sande 2020</w:t>
            </w:r>
            <w:r w:rsidRPr="000061EE">
              <w:rPr>
                <w:lang w:val="en-NZ" w:eastAsia="en-NZ"/>
              </w:rPr>
              <w:t> </w:t>
            </w:r>
          </w:p>
        </w:tc>
        <w:tc>
          <w:tcPr>
            <w:tcW w:w="526" w:type="pct"/>
            <w:tcBorders>
              <w:top w:val="single" w:sz="6" w:space="0" w:color="auto"/>
              <w:left w:val="single" w:sz="6" w:space="0" w:color="auto"/>
              <w:bottom w:val="single" w:sz="6" w:space="0" w:color="auto"/>
              <w:right w:val="single" w:sz="6" w:space="0" w:color="auto"/>
            </w:tcBorders>
            <w:shd w:val="clear" w:color="auto" w:fill="auto"/>
            <w:hideMark/>
          </w:tcPr>
          <w:p w14:paraId="1D0ACF93" w14:textId="77777777" w:rsidR="002A2BAF" w:rsidRPr="00637A3D" w:rsidRDefault="002A2BAF" w:rsidP="00637A3D">
            <w:pPr>
              <w:pStyle w:val="Tabletext"/>
              <w:contextualSpacing w:val="0"/>
              <w:rPr>
                <w:lang w:val="en-NZ" w:eastAsia="en-NZ"/>
              </w:rPr>
            </w:pPr>
            <w:r w:rsidRPr="000061EE">
              <w:rPr>
                <w:lang w:eastAsia="en-NZ"/>
              </w:rPr>
              <w:t>443</w:t>
            </w:r>
            <w:r w:rsidRPr="000061EE">
              <w:rPr>
                <w:lang w:val="en-NZ" w:eastAsia="en-NZ"/>
              </w:rPr>
              <w:t> </w:t>
            </w:r>
          </w:p>
        </w:tc>
        <w:tc>
          <w:tcPr>
            <w:tcW w:w="985" w:type="pct"/>
            <w:tcBorders>
              <w:top w:val="single" w:sz="6" w:space="0" w:color="auto"/>
              <w:left w:val="single" w:sz="6" w:space="0" w:color="auto"/>
              <w:bottom w:val="single" w:sz="6" w:space="0" w:color="auto"/>
              <w:right w:val="single" w:sz="6" w:space="0" w:color="auto"/>
            </w:tcBorders>
            <w:shd w:val="clear" w:color="auto" w:fill="auto"/>
            <w:hideMark/>
          </w:tcPr>
          <w:p w14:paraId="42C9F96B" w14:textId="1902566F" w:rsidR="002A2BAF" w:rsidRPr="00637A3D" w:rsidRDefault="002A2BAF" w:rsidP="00637A3D">
            <w:pPr>
              <w:pStyle w:val="Tabletext"/>
              <w:contextualSpacing w:val="0"/>
              <w:rPr>
                <w:b/>
                <w:bCs/>
                <w:lang w:val="en-NZ" w:eastAsia="en-NZ"/>
              </w:rPr>
            </w:pPr>
            <w:r w:rsidRPr="000061EE">
              <w:rPr>
                <w:lang w:eastAsia="en-NZ"/>
              </w:rPr>
              <w:t xml:space="preserve">Single </w:t>
            </w:r>
            <w:proofErr w:type="spellStart"/>
            <w:r w:rsidRPr="000061EE">
              <w:rPr>
                <w:lang w:eastAsia="en-NZ"/>
              </w:rPr>
              <w:t>centre</w:t>
            </w:r>
            <w:proofErr w:type="spellEnd"/>
            <w:r w:rsidRPr="00EC704A">
              <w:rPr>
                <w:lang w:eastAsia="en-NZ"/>
              </w:rPr>
              <w:t>, non-</w:t>
            </w:r>
            <w:proofErr w:type="spellStart"/>
            <w:r w:rsidRPr="00EC704A">
              <w:rPr>
                <w:lang w:eastAsia="en-NZ"/>
              </w:rPr>
              <w:t>randomised</w:t>
            </w:r>
            <w:proofErr w:type="spellEnd"/>
            <w:r w:rsidRPr="00EC704A">
              <w:rPr>
                <w:lang w:eastAsia="en-NZ"/>
              </w:rPr>
              <w:t>, prospective cohort, PSM/adjusted</w:t>
            </w:r>
            <w:r w:rsidRPr="00EC704A">
              <w:rPr>
                <w:b/>
                <w:bCs/>
                <w:lang w:val="en-NZ" w:eastAsia="en-NZ"/>
              </w:rPr>
              <w:t> </w:t>
            </w:r>
          </w:p>
          <w:p w14:paraId="59724E7E" w14:textId="77777777" w:rsidR="002A2BAF" w:rsidRPr="00637A3D" w:rsidRDefault="002A2BAF" w:rsidP="00637A3D">
            <w:pPr>
              <w:pStyle w:val="Tabletext"/>
              <w:contextualSpacing w:val="0"/>
              <w:rPr>
                <w:lang w:val="en-NZ" w:eastAsia="en-NZ"/>
              </w:rPr>
            </w:pPr>
            <w:r w:rsidRPr="000061EE">
              <w:rPr>
                <w:lang w:eastAsia="en-NZ"/>
              </w:rPr>
              <w:t>Quality appraisal: fair*</w:t>
            </w:r>
            <w:r w:rsidRPr="000061EE">
              <w:rPr>
                <w:lang w:val="en-NZ" w:eastAsia="en-NZ"/>
              </w:rPr>
              <w:t> </w:t>
            </w:r>
          </w:p>
        </w:tc>
        <w:tc>
          <w:tcPr>
            <w:tcW w:w="1416" w:type="pct"/>
            <w:tcBorders>
              <w:top w:val="single" w:sz="6" w:space="0" w:color="auto"/>
              <w:left w:val="single" w:sz="6" w:space="0" w:color="auto"/>
              <w:bottom w:val="single" w:sz="6" w:space="0" w:color="auto"/>
              <w:right w:val="single" w:sz="6" w:space="0" w:color="auto"/>
            </w:tcBorders>
            <w:shd w:val="clear" w:color="auto" w:fill="auto"/>
            <w:hideMark/>
          </w:tcPr>
          <w:p w14:paraId="113A22B3" w14:textId="77777777" w:rsidR="002A2BAF" w:rsidRPr="00637A3D" w:rsidRDefault="002A2BAF" w:rsidP="00637A3D">
            <w:pPr>
              <w:pStyle w:val="Tabletext"/>
              <w:contextualSpacing w:val="0"/>
              <w:rPr>
                <w:b/>
                <w:bCs/>
                <w:lang w:val="en-NZ" w:eastAsia="en-NZ"/>
              </w:rPr>
            </w:pPr>
            <w:r w:rsidRPr="000061EE">
              <w:rPr>
                <w:b/>
                <w:bCs/>
                <w:lang w:eastAsia="en-NZ"/>
              </w:rPr>
              <w:t>Allcomers</w:t>
            </w:r>
            <w:r w:rsidRPr="000061EE">
              <w:rPr>
                <w:b/>
                <w:bCs/>
                <w:lang w:val="en-NZ" w:eastAsia="en-NZ"/>
              </w:rPr>
              <w:t> </w:t>
            </w:r>
          </w:p>
          <w:p w14:paraId="7E51E838" w14:textId="1E6DC464" w:rsidR="002A2BAF" w:rsidRPr="00637A3D" w:rsidRDefault="002A2BAF" w:rsidP="00637A3D">
            <w:pPr>
              <w:pStyle w:val="Tabletext"/>
              <w:contextualSpacing w:val="0"/>
              <w:rPr>
                <w:lang w:val="en-NZ" w:eastAsia="en-NZ"/>
              </w:rPr>
            </w:pPr>
            <w:r w:rsidRPr="000061EE">
              <w:rPr>
                <w:lang w:eastAsia="en-NZ"/>
              </w:rPr>
              <w:t>Patients with an indication for a single-chamber pacemaker implant</w:t>
            </w:r>
            <w:r w:rsidRPr="00EC704A">
              <w:rPr>
                <w:lang w:eastAsia="en-NZ"/>
              </w:rPr>
              <w:t xml:space="preserve"> according to the current guidelines</w:t>
            </w:r>
          </w:p>
          <w:p w14:paraId="27469937" w14:textId="6ED77838" w:rsidR="002A2BAF" w:rsidRPr="00637A3D" w:rsidRDefault="002A2BAF" w:rsidP="00637A3D">
            <w:pPr>
              <w:pStyle w:val="Tabletext"/>
              <w:contextualSpacing w:val="0"/>
              <w:rPr>
                <w:lang w:val="en-NZ" w:eastAsia="en-NZ"/>
              </w:rPr>
            </w:pPr>
            <w:r w:rsidRPr="000061EE">
              <w:rPr>
                <w:lang w:eastAsia="en-NZ"/>
              </w:rPr>
              <w:t xml:space="preserve">The choice between </w:t>
            </w:r>
            <w:r w:rsidR="000B6227">
              <w:rPr>
                <w:lang w:eastAsia="en-NZ"/>
              </w:rPr>
              <w:t>an LPM</w:t>
            </w:r>
            <w:r w:rsidRPr="000061EE">
              <w:rPr>
                <w:lang w:eastAsia="en-NZ"/>
              </w:rPr>
              <w:t xml:space="preserve"> or</w:t>
            </w:r>
            <w:r>
              <w:rPr>
                <w:lang w:eastAsia="en-NZ"/>
              </w:rPr>
              <w:t xml:space="preserve"> a</w:t>
            </w:r>
            <w:r w:rsidRPr="000061EE">
              <w:rPr>
                <w:lang w:eastAsia="en-NZ"/>
              </w:rPr>
              <w:t xml:space="preserve"> TVPM was made according to physician discretion</w:t>
            </w:r>
          </w:p>
        </w:tc>
        <w:tc>
          <w:tcPr>
            <w:tcW w:w="762" w:type="pct"/>
            <w:tcBorders>
              <w:top w:val="single" w:sz="6" w:space="0" w:color="auto"/>
              <w:left w:val="single" w:sz="6" w:space="0" w:color="auto"/>
              <w:bottom w:val="single" w:sz="6" w:space="0" w:color="auto"/>
              <w:right w:val="single" w:sz="6" w:space="0" w:color="auto"/>
            </w:tcBorders>
            <w:shd w:val="clear" w:color="auto" w:fill="auto"/>
            <w:hideMark/>
          </w:tcPr>
          <w:p w14:paraId="341D8FEA" w14:textId="77777777" w:rsidR="002A2BAF" w:rsidRPr="00637A3D" w:rsidRDefault="002A2BAF" w:rsidP="00637A3D">
            <w:pPr>
              <w:pStyle w:val="Tabletext"/>
              <w:contextualSpacing w:val="0"/>
              <w:rPr>
                <w:b/>
                <w:bCs/>
                <w:lang w:val="en-NZ" w:eastAsia="en-NZ"/>
              </w:rPr>
            </w:pPr>
            <w:r w:rsidRPr="000061EE">
              <w:rPr>
                <w:lang w:eastAsia="en-NZ"/>
              </w:rPr>
              <w:t>Device-related complications</w:t>
            </w:r>
            <w:r w:rsidRPr="000061EE">
              <w:rPr>
                <w:b/>
                <w:bCs/>
                <w:lang w:val="en-NZ" w:eastAsia="en-NZ"/>
              </w:rPr>
              <w:t> </w:t>
            </w:r>
          </w:p>
          <w:p w14:paraId="6D26C3FF" w14:textId="77777777" w:rsidR="002A2BAF" w:rsidRPr="00637A3D" w:rsidRDefault="002A2BAF" w:rsidP="00637A3D">
            <w:pPr>
              <w:pStyle w:val="Tabletext"/>
              <w:contextualSpacing w:val="0"/>
              <w:rPr>
                <w:b/>
                <w:bCs/>
                <w:lang w:val="en-NZ" w:eastAsia="en-NZ"/>
              </w:rPr>
            </w:pPr>
            <w:r w:rsidRPr="000061EE">
              <w:rPr>
                <w:lang w:eastAsia="en-NZ"/>
              </w:rPr>
              <w:t>Mortality</w:t>
            </w:r>
            <w:r w:rsidRPr="000061EE">
              <w:rPr>
                <w:b/>
                <w:bCs/>
                <w:lang w:val="en-NZ" w:eastAsia="en-NZ"/>
              </w:rPr>
              <w:t> </w:t>
            </w:r>
          </w:p>
          <w:p w14:paraId="0339EC20" w14:textId="77777777" w:rsidR="002A2BAF" w:rsidRPr="00637A3D" w:rsidRDefault="002A2BAF" w:rsidP="00637A3D">
            <w:pPr>
              <w:pStyle w:val="Tabletext"/>
              <w:contextualSpacing w:val="0"/>
              <w:rPr>
                <w:lang w:val="en-NZ" w:eastAsia="en-NZ"/>
              </w:rPr>
            </w:pPr>
            <w:r w:rsidRPr="000061EE">
              <w:rPr>
                <w:lang w:eastAsia="en-NZ"/>
              </w:rPr>
              <w:t>LPM electrical parameters (pacing capture threshold, sensing, impedance)</w:t>
            </w:r>
            <w:r w:rsidRPr="000061EE">
              <w:rPr>
                <w:lang w:val="en-NZ" w:eastAsia="en-NZ"/>
              </w:rPr>
              <w:t> </w:t>
            </w:r>
          </w:p>
        </w:tc>
        <w:tc>
          <w:tcPr>
            <w:tcW w:w="545" w:type="pct"/>
            <w:tcBorders>
              <w:top w:val="single" w:sz="6" w:space="0" w:color="auto"/>
              <w:left w:val="single" w:sz="6" w:space="0" w:color="auto"/>
              <w:bottom w:val="single" w:sz="6" w:space="0" w:color="auto"/>
              <w:right w:val="single" w:sz="6" w:space="0" w:color="auto"/>
            </w:tcBorders>
            <w:shd w:val="clear" w:color="auto" w:fill="auto"/>
            <w:hideMark/>
          </w:tcPr>
          <w:p w14:paraId="60243D0C" w14:textId="77777777" w:rsidR="002A2BAF" w:rsidRPr="00637A3D" w:rsidRDefault="002A2BAF" w:rsidP="00637A3D">
            <w:pPr>
              <w:pStyle w:val="Tabletext"/>
              <w:contextualSpacing w:val="0"/>
              <w:rPr>
                <w:lang w:val="en-NZ" w:eastAsia="en-NZ"/>
              </w:rPr>
            </w:pPr>
            <w:r w:rsidRPr="000061EE">
              <w:rPr>
                <w:lang w:eastAsia="en-NZ"/>
              </w:rPr>
              <w:t>No</w:t>
            </w:r>
            <w:r w:rsidRPr="000061EE">
              <w:rPr>
                <w:lang w:val="en-NZ" w:eastAsia="en-NZ"/>
              </w:rPr>
              <w:t> </w:t>
            </w:r>
          </w:p>
        </w:tc>
      </w:tr>
      <w:tr w:rsidR="002A2BAF" w:rsidRPr="00B95900" w14:paraId="4A682707" w14:textId="77777777" w:rsidTr="036EB9B3">
        <w:tc>
          <w:tcPr>
            <w:tcW w:w="766" w:type="pct"/>
            <w:tcBorders>
              <w:top w:val="single" w:sz="6" w:space="0" w:color="auto"/>
              <w:left w:val="single" w:sz="6" w:space="0" w:color="auto"/>
              <w:bottom w:val="single" w:sz="6" w:space="0" w:color="auto"/>
              <w:right w:val="single" w:sz="6" w:space="0" w:color="auto"/>
            </w:tcBorders>
            <w:shd w:val="clear" w:color="auto" w:fill="auto"/>
            <w:hideMark/>
          </w:tcPr>
          <w:p w14:paraId="5F75FE72" w14:textId="77777777" w:rsidR="002A2BAF" w:rsidRPr="00637A3D" w:rsidRDefault="002A2BAF" w:rsidP="00637A3D">
            <w:pPr>
              <w:pStyle w:val="Tabletext"/>
              <w:contextualSpacing w:val="0"/>
              <w:rPr>
                <w:lang w:val="en-NZ" w:eastAsia="en-NZ"/>
              </w:rPr>
            </w:pPr>
            <w:r w:rsidRPr="000061EE">
              <w:rPr>
                <w:lang w:eastAsia="en-NZ"/>
              </w:rPr>
              <w:t>Tachibana 2020</w:t>
            </w:r>
            <w:r w:rsidRPr="000061EE">
              <w:rPr>
                <w:lang w:val="en-NZ" w:eastAsia="en-NZ"/>
              </w:rPr>
              <w:t> </w:t>
            </w:r>
          </w:p>
        </w:tc>
        <w:tc>
          <w:tcPr>
            <w:tcW w:w="526" w:type="pct"/>
            <w:tcBorders>
              <w:top w:val="single" w:sz="6" w:space="0" w:color="auto"/>
              <w:left w:val="single" w:sz="6" w:space="0" w:color="auto"/>
              <w:bottom w:val="single" w:sz="6" w:space="0" w:color="auto"/>
              <w:right w:val="single" w:sz="6" w:space="0" w:color="auto"/>
            </w:tcBorders>
            <w:shd w:val="clear" w:color="auto" w:fill="auto"/>
            <w:hideMark/>
          </w:tcPr>
          <w:p w14:paraId="4CAF50AD" w14:textId="77777777" w:rsidR="002A2BAF" w:rsidRPr="00637A3D" w:rsidRDefault="002A2BAF" w:rsidP="00637A3D">
            <w:pPr>
              <w:pStyle w:val="Tabletext"/>
              <w:contextualSpacing w:val="0"/>
              <w:rPr>
                <w:lang w:val="en-NZ" w:eastAsia="en-NZ"/>
              </w:rPr>
            </w:pPr>
            <w:r w:rsidRPr="000061EE">
              <w:rPr>
                <w:lang w:eastAsia="en-NZ"/>
              </w:rPr>
              <w:t>62</w:t>
            </w:r>
            <w:r w:rsidRPr="000061EE">
              <w:rPr>
                <w:lang w:val="en-NZ" w:eastAsia="en-NZ"/>
              </w:rPr>
              <w:t> </w:t>
            </w:r>
          </w:p>
        </w:tc>
        <w:tc>
          <w:tcPr>
            <w:tcW w:w="985" w:type="pct"/>
            <w:tcBorders>
              <w:top w:val="single" w:sz="6" w:space="0" w:color="auto"/>
              <w:left w:val="single" w:sz="6" w:space="0" w:color="auto"/>
              <w:bottom w:val="single" w:sz="6" w:space="0" w:color="auto"/>
              <w:right w:val="single" w:sz="6" w:space="0" w:color="auto"/>
            </w:tcBorders>
            <w:shd w:val="clear" w:color="auto" w:fill="auto"/>
            <w:hideMark/>
          </w:tcPr>
          <w:p w14:paraId="7CB6E0F3" w14:textId="0A012DC7" w:rsidR="002A2BAF" w:rsidRPr="00637A3D" w:rsidRDefault="002A2BAF" w:rsidP="00637A3D">
            <w:pPr>
              <w:pStyle w:val="Tabletext"/>
              <w:contextualSpacing w:val="0"/>
              <w:rPr>
                <w:b/>
                <w:bCs/>
                <w:lang w:val="en-NZ" w:eastAsia="en-NZ"/>
              </w:rPr>
            </w:pPr>
            <w:r w:rsidRPr="000061EE">
              <w:rPr>
                <w:lang w:eastAsia="en-NZ"/>
              </w:rPr>
              <w:t>S</w:t>
            </w:r>
            <w:r w:rsidRPr="00EC704A">
              <w:rPr>
                <w:lang w:eastAsia="en-NZ"/>
              </w:rPr>
              <w:t xml:space="preserve">ingle </w:t>
            </w:r>
            <w:proofErr w:type="spellStart"/>
            <w:r w:rsidRPr="00EC704A">
              <w:rPr>
                <w:lang w:eastAsia="en-NZ"/>
              </w:rPr>
              <w:t>centre</w:t>
            </w:r>
            <w:proofErr w:type="spellEnd"/>
            <w:r w:rsidRPr="00EC704A">
              <w:rPr>
                <w:lang w:eastAsia="en-NZ"/>
              </w:rPr>
              <w:t>, non-</w:t>
            </w:r>
            <w:proofErr w:type="spellStart"/>
            <w:r w:rsidRPr="00EC704A">
              <w:rPr>
                <w:lang w:eastAsia="en-NZ"/>
              </w:rPr>
              <w:t>randomised</w:t>
            </w:r>
            <w:proofErr w:type="spellEnd"/>
            <w:r w:rsidRPr="00EC704A">
              <w:rPr>
                <w:lang w:eastAsia="en-NZ"/>
              </w:rPr>
              <w:t>, retrospective observational</w:t>
            </w:r>
            <w:r w:rsidRPr="00EC704A">
              <w:rPr>
                <w:b/>
                <w:bCs/>
                <w:lang w:val="en-NZ" w:eastAsia="en-NZ"/>
              </w:rPr>
              <w:t> </w:t>
            </w:r>
          </w:p>
          <w:p w14:paraId="0EE0BDE5" w14:textId="77777777" w:rsidR="002A2BAF" w:rsidRPr="00637A3D" w:rsidRDefault="002A2BAF" w:rsidP="00637A3D">
            <w:pPr>
              <w:pStyle w:val="Tabletext"/>
              <w:contextualSpacing w:val="0"/>
              <w:rPr>
                <w:lang w:val="en-NZ" w:eastAsia="en-NZ"/>
              </w:rPr>
            </w:pPr>
            <w:r w:rsidRPr="000061EE">
              <w:rPr>
                <w:lang w:eastAsia="en-NZ"/>
              </w:rPr>
              <w:t>Quality appraisal: poor*</w:t>
            </w:r>
            <w:r w:rsidRPr="000061EE">
              <w:rPr>
                <w:lang w:val="en-NZ" w:eastAsia="en-NZ"/>
              </w:rPr>
              <w:t> </w:t>
            </w:r>
          </w:p>
        </w:tc>
        <w:tc>
          <w:tcPr>
            <w:tcW w:w="1416" w:type="pct"/>
            <w:tcBorders>
              <w:top w:val="single" w:sz="6" w:space="0" w:color="auto"/>
              <w:left w:val="single" w:sz="6" w:space="0" w:color="auto"/>
              <w:bottom w:val="single" w:sz="6" w:space="0" w:color="auto"/>
              <w:right w:val="single" w:sz="6" w:space="0" w:color="auto"/>
            </w:tcBorders>
            <w:shd w:val="clear" w:color="auto" w:fill="auto"/>
            <w:hideMark/>
          </w:tcPr>
          <w:p w14:paraId="5EE1B828" w14:textId="77777777" w:rsidR="002A2BAF" w:rsidRPr="00637A3D" w:rsidRDefault="002A2BAF" w:rsidP="00637A3D">
            <w:pPr>
              <w:pStyle w:val="Tabletext"/>
              <w:contextualSpacing w:val="0"/>
              <w:rPr>
                <w:b/>
                <w:bCs/>
                <w:lang w:val="en-NZ" w:eastAsia="en-NZ"/>
              </w:rPr>
            </w:pPr>
            <w:r w:rsidRPr="000061EE">
              <w:rPr>
                <w:b/>
                <w:bCs/>
                <w:lang w:eastAsia="en-NZ"/>
              </w:rPr>
              <w:t>Elderly (&gt;85 years)</w:t>
            </w:r>
            <w:r w:rsidRPr="000061EE">
              <w:rPr>
                <w:b/>
                <w:bCs/>
                <w:lang w:val="en-NZ" w:eastAsia="en-NZ"/>
              </w:rPr>
              <w:t> </w:t>
            </w:r>
          </w:p>
          <w:p w14:paraId="1462B8B1" w14:textId="444C61D7" w:rsidR="002A2BAF" w:rsidRPr="00637A3D" w:rsidRDefault="002A2BAF" w:rsidP="00637A3D">
            <w:pPr>
              <w:pStyle w:val="Tabletext"/>
              <w:contextualSpacing w:val="0"/>
              <w:rPr>
                <w:b/>
                <w:bCs/>
                <w:lang w:val="en-NZ" w:eastAsia="en-NZ"/>
              </w:rPr>
            </w:pPr>
            <w:r w:rsidRPr="000061EE">
              <w:rPr>
                <w:lang w:eastAsia="en-NZ"/>
              </w:rPr>
              <w:t xml:space="preserve">A continuous sample of patients </w:t>
            </w:r>
            <w:r w:rsidRPr="00EC704A">
              <w:rPr>
                <w:lang w:eastAsia="en-NZ"/>
              </w:rPr>
              <w:t xml:space="preserve">who received single-chamber ventricular pacemaker implantation including TVPM and LPM due to symptomatic </w:t>
            </w:r>
            <w:proofErr w:type="spellStart"/>
            <w:r w:rsidRPr="00EC704A">
              <w:rPr>
                <w:lang w:eastAsia="en-NZ"/>
              </w:rPr>
              <w:t>bradyarrhythmias</w:t>
            </w:r>
            <w:proofErr w:type="spellEnd"/>
            <w:r w:rsidRPr="00EC704A">
              <w:rPr>
                <w:lang w:eastAsia="en-NZ"/>
              </w:rPr>
              <w:t xml:space="preserve"> from May 2014 to July 2019</w:t>
            </w:r>
            <w:r w:rsidRPr="00EC704A">
              <w:rPr>
                <w:b/>
                <w:bCs/>
                <w:lang w:val="en-NZ" w:eastAsia="en-NZ"/>
              </w:rPr>
              <w:t> </w:t>
            </w:r>
          </w:p>
          <w:p w14:paraId="2A540FD4" w14:textId="0D1E91ED" w:rsidR="002A2BAF" w:rsidRPr="00637A3D" w:rsidRDefault="002A2BAF" w:rsidP="00637A3D">
            <w:pPr>
              <w:pStyle w:val="Tabletext"/>
              <w:contextualSpacing w:val="0"/>
              <w:rPr>
                <w:lang w:val="en-NZ" w:eastAsia="en-NZ"/>
              </w:rPr>
            </w:pPr>
            <w:r w:rsidRPr="000061EE">
              <w:rPr>
                <w:lang w:eastAsia="en-NZ"/>
              </w:rPr>
              <w:t>TVPM</w:t>
            </w:r>
            <w:r>
              <w:rPr>
                <w:lang w:eastAsia="en-NZ"/>
              </w:rPr>
              <w:t>s</w:t>
            </w:r>
            <w:r w:rsidRPr="000061EE">
              <w:rPr>
                <w:lang w:eastAsia="en-NZ"/>
              </w:rPr>
              <w:t xml:space="preserve"> were m</w:t>
            </w:r>
            <w:r w:rsidRPr="006A5AA0">
              <w:rPr>
                <w:lang w:eastAsia="en-NZ"/>
              </w:rPr>
              <w:t>ostly implanted prior to Feb 2017; LPM</w:t>
            </w:r>
            <w:r>
              <w:rPr>
                <w:lang w:eastAsia="en-NZ"/>
              </w:rPr>
              <w:t>s were implanted</w:t>
            </w:r>
            <w:r w:rsidRPr="000061EE">
              <w:rPr>
                <w:lang w:eastAsia="en-NZ"/>
              </w:rPr>
              <w:t xml:space="preserve"> after February 2017</w:t>
            </w:r>
          </w:p>
        </w:tc>
        <w:tc>
          <w:tcPr>
            <w:tcW w:w="762" w:type="pct"/>
            <w:tcBorders>
              <w:top w:val="single" w:sz="6" w:space="0" w:color="auto"/>
              <w:left w:val="single" w:sz="6" w:space="0" w:color="auto"/>
              <w:bottom w:val="single" w:sz="6" w:space="0" w:color="auto"/>
              <w:right w:val="single" w:sz="6" w:space="0" w:color="auto"/>
            </w:tcBorders>
            <w:shd w:val="clear" w:color="auto" w:fill="auto"/>
            <w:hideMark/>
          </w:tcPr>
          <w:p w14:paraId="7CF9E749" w14:textId="77777777" w:rsidR="002A2BAF" w:rsidRPr="00637A3D" w:rsidRDefault="002A2BAF" w:rsidP="00637A3D">
            <w:pPr>
              <w:pStyle w:val="Tabletext"/>
              <w:contextualSpacing w:val="0"/>
              <w:rPr>
                <w:b/>
                <w:bCs/>
                <w:lang w:val="en-NZ" w:eastAsia="en-NZ"/>
              </w:rPr>
            </w:pPr>
            <w:r w:rsidRPr="000061EE">
              <w:rPr>
                <w:lang w:eastAsia="en-NZ"/>
              </w:rPr>
              <w:t>Complications</w:t>
            </w:r>
            <w:r w:rsidRPr="000061EE">
              <w:rPr>
                <w:b/>
                <w:bCs/>
                <w:lang w:val="en-NZ" w:eastAsia="en-NZ"/>
              </w:rPr>
              <w:t> </w:t>
            </w:r>
          </w:p>
          <w:p w14:paraId="1A2AE371" w14:textId="68D0EE3D" w:rsidR="002A2BAF" w:rsidRPr="00637A3D" w:rsidRDefault="002A2BAF" w:rsidP="00637A3D">
            <w:pPr>
              <w:pStyle w:val="Tabletext"/>
              <w:contextualSpacing w:val="0"/>
              <w:rPr>
                <w:b/>
                <w:bCs/>
                <w:lang w:val="en-NZ" w:eastAsia="en-NZ"/>
              </w:rPr>
            </w:pPr>
            <w:r w:rsidRPr="000061EE">
              <w:rPr>
                <w:lang w:eastAsia="en-NZ"/>
              </w:rPr>
              <w:t>Survival rate</w:t>
            </w:r>
            <w:r>
              <w:rPr>
                <w:b/>
                <w:bCs/>
                <w:lang w:val="en-NZ" w:eastAsia="en-NZ"/>
              </w:rPr>
              <w:t>s</w:t>
            </w:r>
          </w:p>
          <w:p w14:paraId="7A642CB4" w14:textId="77777777" w:rsidR="002A2BAF" w:rsidRPr="00637A3D" w:rsidRDefault="002A2BAF" w:rsidP="00637A3D">
            <w:pPr>
              <w:pStyle w:val="Tabletext"/>
              <w:contextualSpacing w:val="0"/>
              <w:rPr>
                <w:lang w:val="en-NZ" w:eastAsia="en-NZ"/>
              </w:rPr>
            </w:pPr>
            <w:r w:rsidRPr="000061EE">
              <w:rPr>
                <w:lang w:eastAsia="en-NZ"/>
              </w:rPr>
              <w:t>Electrical parameters</w:t>
            </w:r>
            <w:r w:rsidRPr="000061EE">
              <w:rPr>
                <w:lang w:val="en-NZ" w:eastAsia="en-NZ"/>
              </w:rPr>
              <w:t> </w:t>
            </w:r>
          </w:p>
        </w:tc>
        <w:tc>
          <w:tcPr>
            <w:tcW w:w="545" w:type="pct"/>
            <w:tcBorders>
              <w:top w:val="single" w:sz="6" w:space="0" w:color="auto"/>
              <w:left w:val="single" w:sz="6" w:space="0" w:color="auto"/>
              <w:bottom w:val="single" w:sz="6" w:space="0" w:color="auto"/>
              <w:right w:val="single" w:sz="6" w:space="0" w:color="auto"/>
            </w:tcBorders>
            <w:shd w:val="clear" w:color="auto" w:fill="auto"/>
            <w:hideMark/>
          </w:tcPr>
          <w:p w14:paraId="7014009B" w14:textId="77777777" w:rsidR="002A2BAF" w:rsidRPr="00637A3D" w:rsidRDefault="002A2BAF" w:rsidP="00637A3D">
            <w:pPr>
              <w:pStyle w:val="Tabletext"/>
              <w:contextualSpacing w:val="0"/>
              <w:rPr>
                <w:lang w:val="en-NZ" w:eastAsia="en-NZ"/>
              </w:rPr>
            </w:pPr>
            <w:r w:rsidRPr="000061EE">
              <w:rPr>
                <w:lang w:eastAsia="en-NZ"/>
              </w:rPr>
              <w:t>No</w:t>
            </w:r>
            <w:r w:rsidRPr="000061EE">
              <w:rPr>
                <w:lang w:val="en-NZ" w:eastAsia="en-NZ"/>
              </w:rPr>
              <w:t> </w:t>
            </w:r>
          </w:p>
        </w:tc>
      </w:tr>
      <w:tr w:rsidR="002A2BAF" w:rsidRPr="00B95900" w14:paraId="027FCA9B" w14:textId="77777777" w:rsidTr="036EB9B3">
        <w:tc>
          <w:tcPr>
            <w:tcW w:w="766" w:type="pct"/>
            <w:tcBorders>
              <w:top w:val="single" w:sz="6" w:space="0" w:color="auto"/>
              <w:left w:val="single" w:sz="6" w:space="0" w:color="auto"/>
              <w:bottom w:val="single" w:sz="6" w:space="0" w:color="auto"/>
              <w:right w:val="single" w:sz="6" w:space="0" w:color="auto"/>
            </w:tcBorders>
            <w:shd w:val="clear" w:color="auto" w:fill="auto"/>
            <w:hideMark/>
          </w:tcPr>
          <w:p w14:paraId="18AE26F7" w14:textId="77777777" w:rsidR="002A2BAF" w:rsidRPr="00637A3D" w:rsidRDefault="002A2BAF" w:rsidP="00637A3D">
            <w:pPr>
              <w:pStyle w:val="Tabletext"/>
              <w:contextualSpacing w:val="0"/>
              <w:rPr>
                <w:lang w:val="en-NZ" w:eastAsia="en-NZ"/>
              </w:rPr>
            </w:pPr>
            <w:r w:rsidRPr="000061EE">
              <w:rPr>
                <w:lang w:eastAsia="en-NZ"/>
              </w:rPr>
              <w:t>Vaidya 2019</w:t>
            </w:r>
            <w:r w:rsidRPr="000061EE">
              <w:rPr>
                <w:lang w:val="en-NZ" w:eastAsia="en-NZ"/>
              </w:rPr>
              <w:t> </w:t>
            </w:r>
          </w:p>
        </w:tc>
        <w:tc>
          <w:tcPr>
            <w:tcW w:w="526" w:type="pct"/>
            <w:tcBorders>
              <w:top w:val="single" w:sz="6" w:space="0" w:color="auto"/>
              <w:left w:val="single" w:sz="6" w:space="0" w:color="auto"/>
              <w:bottom w:val="single" w:sz="6" w:space="0" w:color="auto"/>
              <w:right w:val="single" w:sz="6" w:space="0" w:color="auto"/>
            </w:tcBorders>
            <w:shd w:val="clear" w:color="auto" w:fill="auto"/>
            <w:hideMark/>
          </w:tcPr>
          <w:p w14:paraId="6C198906" w14:textId="77777777" w:rsidR="002A2BAF" w:rsidRPr="00637A3D" w:rsidRDefault="002A2BAF" w:rsidP="00637A3D">
            <w:pPr>
              <w:pStyle w:val="Tabletext"/>
              <w:contextualSpacing w:val="0"/>
              <w:rPr>
                <w:lang w:val="en-NZ" w:eastAsia="en-NZ"/>
              </w:rPr>
            </w:pPr>
            <w:r w:rsidRPr="000061EE">
              <w:rPr>
                <w:lang w:eastAsia="en-NZ"/>
              </w:rPr>
              <w:t>163</w:t>
            </w:r>
            <w:r w:rsidRPr="000061EE">
              <w:rPr>
                <w:lang w:val="en-NZ" w:eastAsia="en-NZ"/>
              </w:rPr>
              <w:t> </w:t>
            </w:r>
          </w:p>
        </w:tc>
        <w:tc>
          <w:tcPr>
            <w:tcW w:w="985" w:type="pct"/>
            <w:tcBorders>
              <w:top w:val="single" w:sz="6" w:space="0" w:color="auto"/>
              <w:left w:val="single" w:sz="6" w:space="0" w:color="auto"/>
              <w:bottom w:val="single" w:sz="6" w:space="0" w:color="auto"/>
              <w:right w:val="single" w:sz="6" w:space="0" w:color="auto"/>
            </w:tcBorders>
            <w:shd w:val="clear" w:color="auto" w:fill="auto"/>
            <w:hideMark/>
          </w:tcPr>
          <w:p w14:paraId="2AAAAD55" w14:textId="54C0E730" w:rsidR="002A2BAF" w:rsidRPr="00637A3D" w:rsidRDefault="002A2BAF" w:rsidP="00637A3D">
            <w:pPr>
              <w:pStyle w:val="Tabletext"/>
              <w:contextualSpacing w:val="0"/>
              <w:rPr>
                <w:b/>
                <w:bCs/>
                <w:lang w:val="en-NZ" w:eastAsia="en-NZ"/>
              </w:rPr>
            </w:pPr>
            <w:proofErr w:type="spellStart"/>
            <w:r w:rsidRPr="000061EE">
              <w:rPr>
                <w:lang w:eastAsia="en-NZ"/>
              </w:rPr>
              <w:t>Multicentre</w:t>
            </w:r>
            <w:proofErr w:type="spellEnd"/>
            <w:r w:rsidRPr="00EC704A">
              <w:rPr>
                <w:lang w:eastAsia="en-NZ"/>
              </w:rPr>
              <w:t>, non-</w:t>
            </w:r>
            <w:proofErr w:type="spellStart"/>
            <w:r w:rsidRPr="00EC704A">
              <w:rPr>
                <w:lang w:eastAsia="en-NZ"/>
              </w:rPr>
              <w:t>randomised</w:t>
            </w:r>
            <w:proofErr w:type="spellEnd"/>
            <w:r w:rsidRPr="00EC704A">
              <w:rPr>
                <w:lang w:eastAsia="en-NZ"/>
              </w:rPr>
              <w:t xml:space="preserve"> observational </w:t>
            </w:r>
            <w:r w:rsidRPr="00EC704A">
              <w:rPr>
                <w:b/>
                <w:bCs/>
                <w:lang w:val="en-NZ" w:eastAsia="en-NZ"/>
              </w:rPr>
              <w:t> </w:t>
            </w:r>
          </w:p>
          <w:p w14:paraId="70C85CFC" w14:textId="77777777" w:rsidR="002A2BAF" w:rsidRPr="00637A3D" w:rsidRDefault="002A2BAF" w:rsidP="00637A3D">
            <w:pPr>
              <w:pStyle w:val="Tabletext"/>
              <w:contextualSpacing w:val="0"/>
              <w:rPr>
                <w:lang w:val="en-NZ" w:eastAsia="en-NZ"/>
              </w:rPr>
            </w:pPr>
            <w:r w:rsidRPr="000061EE">
              <w:rPr>
                <w:lang w:eastAsia="en-NZ"/>
              </w:rPr>
              <w:t>Quality appraisal: poor*</w:t>
            </w:r>
            <w:r w:rsidRPr="000061EE">
              <w:rPr>
                <w:lang w:val="en-NZ" w:eastAsia="en-NZ"/>
              </w:rPr>
              <w:t> </w:t>
            </w:r>
          </w:p>
        </w:tc>
        <w:tc>
          <w:tcPr>
            <w:tcW w:w="1416" w:type="pct"/>
            <w:tcBorders>
              <w:top w:val="single" w:sz="6" w:space="0" w:color="auto"/>
              <w:left w:val="single" w:sz="6" w:space="0" w:color="auto"/>
              <w:bottom w:val="single" w:sz="6" w:space="0" w:color="auto"/>
              <w:right w:val="single" w:sz="6" w:space="0" w:color="auto"/>
            </w:tcBorders>
            <w:shd w:val="clear" w:color="auto" w:fill="auto"/>
            <w:hideMark/>
          </w:tcPr>
          <w:p w14:paraId="6B226002" w14:textId="0BC49E88" w:rsidR="002A2BAF" w:rsidRDefault="002A2BAF" w:rsidP="00C24877">
            <w:pPr>
              <w:pStyle w:val="Tabletext"/>
              <w:contextualSpacing w:val="0"/>
              <w:rPr>
                <w:lang w:eastAsia="en-NZ"/>
              </w:rPr>
            </w:pPr>
            <w:r w:rsidRPr="000061EE">
              <w:rPr>
                <w:lang w:eastAsia="en-NZ"/>
              </w:rPr>
              <w:t xml:space="preserve">Patients from the </w:t>
            </w:r>
            <w:r w:rsidRPr="00EC704A">
              <w:rPr>
                <w:lang w:eastAsia="en-NZ"/>
              </w:rPr>
              <w:t xml:space="preserve">Mayo Clinic device billing records and device database </w:t>
            </w:r>
            <w:r>
              <w:rPr>
                <w:lang w:eastAsia="en-NZ"/>
              </w:rPr>
              <w:t>who received a</w:t>
            </w:r>
            <w:r w:rsidRPr="000061EE">
              <w:rPr>
                <w:lang w:eastAsia="en-NZ"/>
              </w:rPr>
              <w:t xml:space="preserve"> Micra </w:t>
            </w:r>
            <w:r>
              <w:rPr>
                <w:lang w:eastAsia="en-NZ"/>
              </w:rPr>
              <w:t>or</w:t>
            </w:r>
            <w:r w:rsidRPr="000061EE">
              <w:rPr>
                <w:lang w:eastAsia="en-NZ"/>
              </w:rPr>
              <w:t xml:space="preserve"> </w:t>
            </w:r>
            <w:proofErr w:type="spellStart"/>
            <w:r w:rsidRPr="000061EE">
              <w:rPr>
                <w:lang w:eastAsia="en-NZ"/>
              </w:rPr>
              <w:t>Nanostim</w:t>
            </w:r>
            <w:proofErr w:type="spellEnd"/>
            <w:r w:rsidRPr="000061EE">
              <w:rPr>
                <w:lang w:eastAsia="en-NZ"/>
              </w:rPr>
              <w:t xml:space="preserve"> LPM</w:t>
            </w:r>
          </w:p>
          <w:p w14:paraId="51A417D9" w14:textId="2A0E8D48" w:rsidR="002A2BAF" w:rsidRPr="00637A3D" w:rsidRDefault="002A2BAF" w:rsidP="00637A3D">
            <w:pPr>
              <w:pStyle w:val="Tabletext"/>
              <w:contextualSpacing w:val="0"/>
              <w:rPr>
                <w:lang w:val="en-NZ" w:eastAsia="en-NZ"/>
              </w:rPr>
            </w:pPr>
            <w:r w:rsidRPr="00EC704A">
              <w:rPr>
                <w:lang w:eastAsia="en-NZ"/>
              </w:rPr>
              <w:t xml:space="preserve">Matching controls </w:t>
            </w:r>
            <w:r>
              <w:rPr>
                <w:lang w:eastAsia="en-NZ"/>
              </w:rPr>
              <w:t xml:space="preserve">who received a </w:t>
            </w:r>
            <w:r w:rsidRPr="00EC704A">
              <w:rPr>
                <w:lang w:eastAsia="en-NZ"/>
              </w:rPr>
              <w:t xml:space="preserve">TVPM were identified </w:t>
            </w:r>
            <w:r w:rsidRPr="00DE7A1F">
              <w:rPr>
                <w:lang w:eastAsia="en-NZ"/>
              </w:rPr>
              <w:t>for each LPM implant</w:t>
            </w:r>
            <w:r w:rsidRPr="000061EE">
              <w:rPr>
                <w:lang w:eastAsia="en-NZ"/>
              </w:rPr>
              <w:t xml:space="preserve"> from the same cohort of patients</w:t>
            </w:r>
            <w:r w:rsidRPr="00EC704A">
              <w:rPr>
                <w:lang w:val="en-NZ" w:eastAsia="en-NZ"/>
              </w:rPr>
              <w:t> </w:t>
            </w:r>
          </w:p>
        </w:tc>
        <w:tc>
          <w:tcPr>
            <w:tcW w:w="762" w:type="pct"/>
            <w:tcBorders>
              <w:top w:val="single" w:sz="6" w:space="0" w:color="auto"/>
              <w:left w:val="single" w:sz="6" w:space="0" w:color="auto"/>
              <w:bottom w:val="single" w:sz="6" w:space="0" w:color="auto"/>
              <w:right w:val="single" w:sz="6" w:space="0" w:color="auto"/>
            </w:tcBorders>
            <w:shd w:val="clear" w:color="auto" w:fill="auto"/>
            <w:hideMark/>
          </w:tcPr>
          <w:p w14:paraId="72D839AA" w14:textId="77777777" w:rsidR="002A2BAF" w:rsidRPr="00637A3D" w:rsidRDefault="002A2BAF" w:rsidP="00637A3D">
            <w:pPr>
              <w:pStyle w:val="Tabletext"/>
              <w:contextualSpacing w:val="0"/>
              <w:rPr>
                <w:lang w:val="en-NZ" w:eastAsia="en-NZ"/>
              </w:rPr>
            </w:pPr>
            <w:r w:rsidRPr="000061EE">
              <w:rPr>
                <w:lang w:eastAsia="en-NZ"/>
              </w:rPr>
              <w:t>Procedure-related complications</w:t>
            </w:r>
            <w:r w:rsidRPr="000061EE">
              <w:rPr>
                <w:lang w:val="en-NZ" w:eastAsia="en-NZ"/>
              </w:rPr>
              <w:t> </w:t>
            </w:r>
          </w:p>
        </w:tc>
        <w:tc>
          <w:tcPr>
            <w:tcW w:w="545" w:type="pct"/>
            <w:tcBorders>
              <w:top w:val="single" w:sz="6" w:space="0" w:color="auto"/>
              <w:left w:val="single" w:sz="6" w:space="0" w:color="auto"/>
              <w:bottom w:val="single" w:sz="6" w:space="0" w:color="auto"/>
              <w:right w:val="single" w:sz="6" w:space="0" w:color="auto"/>
            </w:tcBorders>
            <w:shd w:val="clear" w:color="auto" w:fill="auto"/>
            <w:hideMark/>
          </w:tcPr>
          <w:p w14:paraId="6C292BBC" w14:textId="77777777" w:rsidR="002A2BAF" w:rsidRPr="00637A3D" w:rsidRDefault="002A2BAF" w:rsidP="00637A3D">
            <w:pPr>
              <w:pStyle w:val="Tabletext"/>
              <w:contextualSpacing w:val="0"/>
              <w:rPr>
                <w:lang w:val="en-NZ" w:eastAsia="en-NZ"/>
              </w:rPr>
            </w:pPr>
            <w:r w:rsidRPr="000061EE">
              <w:rPr>
                <w:lang w:eastAsia="en-NZ"/>
              </w:rPr>
              <w:t>No</w:t>
            </w:r>
            <w:r w:rsidRPr="000061EE">
              <w:rPr>
                <w:lang w:val="en-NZ" w:eastAsia="en-NZ"/>
              </w:rPr>
              <w:t> </w:t>
            </w:r>
          </w:p>
        </w:tc>
      </w:tr>
      <w:tr w:rsidR="002A2BAF" w:rsidRPr="00B95900" w14:paraId="51CFF6B5" w14:textId="77777777" w:rsidTr="036EB9B3">
        <w:tc>
          <w:tcPr>
            <w:tcW w:w="766" w:type="pct"/>
            <w:tcBorders>
              <w:top w:val="single" w:sz="6" w:space="0" w:color="auto"/>
              <w:left w:val="single" w:sz="6" w:space="0" w:color="auto"/>
              <w:bottom w:val="single" w:sz="6" w:space="0" w:color="auto"/>
              <w:right w:val="single" w:sz="6" w:space="0" w:color="auto"/>
            </w:tcBorders>
            <w:shd w:val="clear" w:color="auto" w:fill="auto"/>
            <w:hideMark/>
          </w:tcPr>
          <w:p w14:paraId="7B8C40CC" w14:textId="77777777" w:rsidR="002A2BAF" w:rsidRPr="00637A3D" w:rsidRDefault="002A2BAF" w:rsidP="00637A3D">
            <w:pPr>
              <w:pStyle w:val="Tabletext"/>
              <w:contextualSpacing w:val="0"/>
              <w:rPr>
                <w:lang w:val="en-NZ" w:eastAsia="en-NZ"/>
              </w:rPr>
            </w:pPr>
            <w:proofErr w:type="spellStart"/>
            <w:r w:rsidRPr="000061EE">
              <w:rPr>
                <w:lang w:eastAsia="en-NZ"/>
              </w:rPr>
              <w:t>Zuchelli</w:t>
            </w:r>
            <w:proofErr w:type="spellEnd"/>
            <w:r w:rsidRPr="000061EE">
              <w:rPr>
                <w:lang w:eastAsia="en-NZ"/>
              </w:rPr>
              <w:t xml:space="preserve"> 2020</w:t>
            </w:r>
            <w:r w:rsidRPr="000061EE">
              <w:rPr>
                <w:lang w:val="en-NZ" w:eastAsia="en-NZ"/>
              </w:rPr>
              <w:t> </w:t>
            </w:r>
          </w:p>
        </w:tc>
        <w:tc>
          <w:tcPr>
            <w:tcW w:w="526" w:type="pct"/>
            <w:tcBorders>
              <w:top w:val="single" w:sz="6" w:space="0" w:color="auto"/>
              <w:left w:val="single" w:sz="6" w:space="0" w:color="auto"/>
              <w:bottom w:val="single" w:sz="6" w:space="0" w:color="auto"/>
              <w:right w:val="single" w:sz="6" w:space="0" w:color="auto"/>
            </w:tcBorders>
            <w:shd w:val="clear" w:color="auto" w:fill="auto"/>
            <w:hideMark/>
          </w:tcPr>
          <w:p w14:paraId="4E9EBD8F" w14:textId="77777777" w:rsidR="002A2BAF" w:rsidRPr="00637A3D" w:rsidRDefault="002A2BAF" w:rsidP="00637A3D">
            <w:pPr>
              <w:pStyle w:val="Tabletext"/>
              <w:contextualSpacing w:val="0"/>
              <w:rPr>
                <w:lang w:val="en-NZ" w:eastAsia="en-NZ"/>
              </w:rPr>
            </w:pPr>
            <w:r w:rsidRPr="000061EE">
              <w:rPr>
                <w:lang w:eastAsia="en-NZ"/>
              </w:rPr>
              <w:t>200</w:t>
            </w:r>
            <w:r w:rsidRPr="000061EE">
              <w:rPr>
                <w:lang w:val="en-NZ" w:eastAsia="en-NZ"/>
              </w:rPr>
              <w:t> </w:t>
            </w:r>
          </w:p>
        </w:tc>
        <w:tc>
          <w:tcPr>
            <w:tcW w:w="985" w:type="pct"/>
            <w:tcBorders>
              <w:top w:val="single" w:sz="6" w:space="0" w:color="auto"/>
              <w:left w:val="single" w:sz="6" w:space="0" w:color="auto"/>
              <w:bottom w:val="single" w:sz="6" w:space="0" w:color="auto"/>
              <w:right w:val="single" w:sz="6" w:space="0" w:color="auto"/>
            </w:tcBorders>
            <w:shd w:val="clear" w:color="auto" w:fill="auto"/>
            <w:hideMark/>
          </w:tcPr>
          <w:p w14:paraId="3ADAF3A3" w14:textId="31E3D9FD" w:rsidR="002A2BAF" w:rsidRPr="00637A3D" w:rsidRDefault="002A2BAF" w:rsidP="00637A3D">
            <w:pPr>
              <w:pStyle w:val="Tabletext"/>
              <w:contextualSpacing w:val="0"/>
              <w:rPr>
                <w:b/>
                <w:bCs/>
                <w:lang w:val="en-NZ" w:eastAsia="en-NZ"/>
              </w:rPr>
            </w:pPr>
            <w:r w:rsidRPr="000061EE">
              <w:rPr>
                <w:lang w:eastAsia="en-NZ"/>
              </w:rPr>
              <w:t xml:space="preserve">Single </w:t>
            </w:r>
            <w:proofErr w:type="spellStart"/>
            <w:r w:rsidRPr="000061EE">
              <w:rPr>
                <w:lang w:eastAsia="en-NZ"/>
              </w:rPr>
              <w:t>centre</w:t>
            </w:r>
            <w:proofErr w:type="spellEnd"/>
            <w:r w:rsidRPr="000061EE">
              <w:rPr>
                <w:lang w:eastAsia="en-NZ"/>
              </w:rPr>
              <w:t>, non-</w:t>
            </w:r>
            <w:proofErr w:type="spellStart"/>
            <w:r w:rsidRPr="000061EE">
              <w:rPr>
                <w:lang w:eastAsia="en-NZ"/>
              </w:rPr>
              <w:t>randomised</w:t>
            </w:r>
            <w:proofErr w:type="spellEnd"/>
            <w:r w:rsidRPr="000061EE">
              <w:rPr>
                <w:lang w:eastAsia="en-NZ"/>
              </w:rPr>
              <w:t xml:space="preserve"> prospective cohort with </w:t>
            </w:r>
            <w:r>
              <w:rPr>
                <w:lang w:eastAsia="en-NZ"/>
              </w:rPr>
              <w:t>“</w:t>
            </w:r>
            <w:r w:rsidRPr="000061EE">
              <w:rPr>
                <w:lang w:eastAsia="en-NZ"/>
              </w:rPr>
              <w:t>matching</w:t>
            </w:r>
            <w:r>
              <w:rPr>
                <w:b/>
                <w:bCs/>
                <w:lang w:val="en-NZ" w:eastAsia="en-NZ"/>
              </w:rPr>
              <w:t>”</w:t>
            </w:r>
          </w:p>
          <w:p w14:paraId="7CC18223" w14:textId="77777777" w:rsidR="002A2BAF" w:rsidRPr="00637A3D" w:rsidRDefault="002A2BAF" w:rsidP="00637A3D">
            <w:pPr>
              <w:pStyle w:val="Tabletext"/>
              <w:contextualSpacing w:val="0"/>
              <w:rPr>
                <w:b/>
                <w:bCs/>
                <w:lang w:val="en-NZ" w:eastAsia="en-NZ"/>
              </w:rPr>
            </w:pPr>
            <w:r w:rsidRPr="000061EE">
              <w:rPr>
                <w:lang w:eastAsia="en-NZ"/>
              </w:rPr>
              <w:lastRenderedPageBreak/>
              <w:t>Quality appraisal: poor*</w:t>
            </w:r>
            <w:r w:rsidRPr="000061EE">
              <w:rPr>
                <w:b/>
                <w:bCs/>
                <w:lang w:val="en-NZ" w:eastAsia="en-NZ"/>
              </w:rPr>
              <w:t> </w:t>
            </w:r>
          </w:p>
        </w:tc>
        <w:tc>
          <w:tcPr>
            <w:tcW w:w="1416" w:type="pct"/>
            <w:tcBorders>
              <w:top w:val="single" w:sz="6" w:space="0" w:color="auto"/>
              <w:left w:val="single" w:sz="6" w:space="0" w:color="auto"/>
              <w:bottom w:val="single" w:sz="6" w:space="0" w:color="auto"/>
              <w:right w:val="single" w:sz="6" w:space="0" w:color="auto"/>
            </w:tcBorders>
            <w:shd w:val="clear" w:color="auto" w:fill="auto"/>
            <w:hideMark/>
          </w:tcPr>
          <w:p w14:paraId="26AA7553" w14:textId="77777777" w:rsidR="002A2BAF" w:rsidRPr="00637A3D" w:rsidRDefault="002A2BAF" w:rsidP="00637A3D">
            <w:pPr>
              <w:pStyle w:val="Tabletext"/>
              <w:contextualSpacing w:val="0"/>
              <w:rPr>
                <w:lang w:val="en-NZ" w:eastAsia="en-NZ"/>
              </w:rPr>
            </w:pPr>
            <w:r w:rsidRPr="000061EE">
              <w:rPr>
                <w:b/>
                <w:bCs/>
                <w:lang w:eastAsia="en-NZ"/>
              </w:rPr>
              <w:lastRenderedPageBreak/>
              <w:t>Allcomers</w:t>
            </w:r>
            <w:r w:rsidRPr="000061EE">
              <w:rPr>
                <w:lang w:val="en-NZ" w:eastAsia="en-NZ"/>
              </w:rPr>
              <w:t> </w:t>
            </w:r>
          </w:p>
          <w:p w14:paraId="682AB712" w14:textId="0D2E99CD" w:rsidR="002A2BAF" w:rsidRDefault="002A2BAF" w:rsidP="00C24877">
            <w:pPr>
              <w:pStyle w:val="Tabletext"/>
              <w:contextualSpacing w:val="0"/>
              <w:rPr>
                <w:lang w:eastAsia="en-NZ"/>
              </w:rPr>
            </w:pPr>
            <w:r w:rsidRPr="000061EE">
              <w:rPr>
                <w:lang w:eastAsia="en-NZ"/>
              </w:rPr>
              <w:t xml:space="preserve">Between May 2014 and April 2019, patients who met </w:t>
            </w:r>
            <w:r>
              <w:rPr>
                <w:lang w:eastAsia="en-NZ"/>
              </w:rPr>
              <w:t xml:space="preserve">the </w:t>
            </w:r>
            <w:r w:rsidRPr="000061EE">
              <w:rPr>
                <w:lang w:eastAsia="en-NZ"/>
              </w:rPr>
              <w:t xml:space="preserve">class I indication for pacing and </w:t>
            </w:r>
            <w:r w:rsidRPr="000061EE">
              <w:rPr>
                <w:lang w:eastAsia="en-NZ"/>
              </w:rPr>
              <w:lastRenderedPageBreak/>
              <w:t>were suitable for single-chamber ventricular stimulation</w:t>
            </w:r>
          </w:p>
          <w:p w14:paraId="7463A753" w14:textId="4FCF0D9C" w:rsidR="002A2BAF" w:rsidRPr="00637A3D" w:rsidRDefault="002A2BAF" w:rsidP="00637A3D">
            <w:pPr>
              <w:pStyle w:val="Tabletext"/>
              <w:contextualSpacing w:val="0"/>
              <w:rPr>
                <w:lang w:val="en-NZ" w:eastAsia="en-NZ"/>
              </w:rPr>
            </w:pPr>
            <w:r>
              <w:rPr>
                <w:lang w:eastAsia="en-NZ"/>
              </w:rPr>
              <w:t>P</w:t>
            </w:r>
            <w:r w:rsidRPr="000061EE">
              <w:rPr>
                <w:lang w:eastAsia="en-NZ"/>
              </w:rPr>
              <w:t>atients who underwent TVPM implantation</w:t>
            </w:r>
            <w:r w:rsidRPr="000061EE">
              <w:rPr>
                <w:lang w:val="en-NZ" w:eastAsia="en-NZ"/>
              </w:rPr>
              <w:t> </w:t>
            </w:r>
          </w:p>
        </w:tc>
        <w:tc>
          <w:tcPr>
            <w:tcW w:w="762" w:type="pct"/>
            <w:tcBorders>
              <w:top w:val="single" w:sz="6" w:space="0" w:color="auto"/>
              <w:left w:val="single" w:sz="6" w:space="0" w:color="auto"/>
              <w:bottom w:val="single" w:sz="6" w:space="0" w:color="auto"/>
              <w:right w:val="single" w:sz="6" w:space="0" w:color="auto"/>
            </w:tcBorders>
            <w:shd w:val="clear" w:color="auto" w:fill="auto"/>
            <w:hideMark/>
          </w:tcPr>
          <w:p w14:paraId="04B59A35" w14:textId="77777777" w:rsidR="002A2BAF" w:rsidRPr="00637A3D" w:rsidRDefault="002A2BAF" w:rsidP="00637A3D">
            <w:pPr>
              <w:pStyle w:val="Tabletext"/>
              <w:contextualSpacing w:val="0"/>
              <w:rPr>
                <w:lang w:val="en-NZ" w:eastAsia="en-NZ"/>
              </w:rPr>
            </w:pPr>
            <w:r w:rsidRPr="000061EE">
              <w:rPr>
                <w:lang w:eastAsia="en-NZ"/>
              </w:rPr>
              <w:lastRenderedPageBreak/>
              <w:t xml:space="preserve">Electrical parameters (including pacing capture thresholds, </w:t>
            </w:r>
            <w:r w:rsidRPr="000061EE">
              <w:rPr>
                <w:lang w:eastAsia="en-NZ"/>
              </w:rPr>
              <w:lastRenderedPageBreak/>
              <w:t>impedance, R wave amplitude)</w:t>
            </w:r>
            <w:r w:rsidRPr="000061EE">
              <w:rPr>
                <w:lang w:val="en-NZ" w:eastAsia="en-NZ"/>
              </w:rPr>
              <w:t> </w:t>
            </w:r>
          </w:p>
          <w:p w14:paraId="45E9A318" w14:textId="554A0618" w:rsidR="002A2BAF" w:rsidRPr="00637A3D" w:rsidRDefault="002A2BAF" w:rsidP="00637A3D">
            <w:pPr>
              <w:pStyle w:val="Tabletext"/>
              <w:contextualSpacing w:val="0"/>
              <w:rPr>
                <w:lang w:val="en-NZ" w:eastAsia="en-NZ"/>
              </w:rPr>
            </w:pPr>
            <w:r w:rsidRPr="000061EE">
              <w:rPr>
                <w:lang w:eastAsia="en-NZ"/>
              </w:rPr>
              <w:t>Acute</w:t>
            </w:r>
            <w:r>
              <w:rPr>
                <w:lang w:eastAsia="en-NZ"/>
              </w:rPr>
              <w:t xml:space="preserve"> and </w:t>
            </w:r>
            <w:r w:rsidRPr="000061EE">
              <w:rPr>
                <w:lang w:eastAsia="en-NZ"/>
              </w:rPr>
              <w:t>chronic complications</w:t>
            </w:r>
            <w:r w:rsidRPr="000061EE">
              <w:rPr>
                <w:lang w:val="en-NZ" w:eastAsia="en-NZ"/>
              </w:rPr>
              <w:t> </w:t>
            </w:r>
          </w:p>
          <w:p w14:paraId="2F22A045" w14:textId="0F346980" w:rsidR="002A2BAF" w:rsidRPr="00637A3D" w:rsidRDefault="002A2BAF" w:rsidP="00637A3D">
            <w:pPr>
              <w:pStyle w:val="Tabletext"/>
              <w:contextualSpacing w:val="0"/>
              <w:rPr>
                <w:lang w:val="en-NZ" w:eastAsia="en-NZ"/>
              </w:rPr>
            </w:pPr>
            <w:r w:rsidRPr="000061EE">
              <w:rPr>
                <w:lang w:eastAsia="en-NZ"/>
              </w:rPr>
              <w:t>Mortality</w:t>
            </w:r>
            <w:r>
              <w:rPr>
                <w:lang w:eastAsia="en-NZ"/>
              </w:rPr>
              <w:t xml:space="preserve"> rates</w:t>
            </w:r>
            <w:r w:rsidRPr="000061EE">
              <w:rPr>
                <w:lang w:val="en-NZ" w:eastAsia="en-NZ"/>
              </w:rPr>
              <w:t> </w:t>
            </w:r>
          </w:p>
        </w:tc>
        <w:tc>
          <w:tcPr>
            <w:tcW w:w="545" w:type="pct"/>
            <w:tcBorders>
              <w:top w:val="single" w:sz="6" w:space="0" w:color="auto"/>
              <w:left w:val="single" w:sz="6" w:space="0" w:color="auto"/>
              <w:bottom w:val="single" w:sz="6" w:space="0" w:color="auto"/>
              <w:right w:val="single" w:sz="6" w:space="0" w:color="auto"/>
            </w:tcBorders>
            <w:shd w:val="clear" w:color="auto" w:fill="auto"/>
            <w:hideMark/>
          </w:tcPr>
          <w:p w14:paraId="5E6B34A8" w14:textId="77777777" w:rsidR="002A2BAF" w:rsidRPr="00637A3D" w:rsidRDefault="002A2BAF" w:rsidP="00637A3D">
            <w:pPr>
              <w:pStyle w:val="Tabletext"/>
              <w:contextualSpacing w:val="0"/>
              <w:rPr>
                <w:lang w:val="en-NZ" w:eastAsia="en-NZ"/>
              </w:rPr>
            </w:pPr>
            <w:r w:rsidRPr="000061EE">
              <w:rPr>
                <w:lang w:eastAsia="en-NZ"/>
              </w:rPr>
              <w:lastRenderedPageBreak/>
              <w:t>No</w:t>
            </w:r>
            <w:r w:rsidRPr="000061EE">
              <w:rPr>
                <w:lang w:val="en-NZ" w:eastAsia="en-NZ"/>
              </w:rPr>
              <w:t> </w:t>
            </w:r>
          </w:p>
        </w:tc>
      </w:tr>
    </w:tbl>
    <w:p w14:paraId="27934DB7" w14:textId="77777777" w:rsidR="002C0275" w:rsidRPr="003E1E85" w:rsidRDefault="00D52905" w:rsidP="002C0275">
      <w:pPr>
        <w:pStyle w:val="Tablenotes"/>
      </w:pPr>
      <w:r>
        <w:rPr>
          <w:rStyle w:val="normaltextrun"/>
          <w:rFonts w:eastAsiaTheme="majorEastAsia"/>
        </w:rPr>
        <w:t xml:space="preserve">ICD-10-PCS, International Classification of Diseases, 10th Revision, Procedure Coding System; LPM, leadless pacemaker; </w:t>
      </w:r>
      <w:r w:rsidR="003D3332">
        <w:rPr>
          <w:rStyle w:val="normaltextrun"/>
          <w:rFonts w:eastAsiaTheme="majorEastAsia"/>
        </w:rPr>
        <w:t>PM</w:t>
      </w:r>
      <w:r w:rsidR="006704B2">
        <w:rPr>
          <w:rStyle w:val="normaltextrun"/>
          <w:rFonts w:eastAsiaTheme="majorEastAsia"/>
        </w:rPr>
        <w:t xml:space="preserve">, </w:t>
      </w:r>
      <w:r w:rsidR="005E5639">
        <w:rPr>
          <w:rStyle w:val="normaltextrun"/>
          <w:rFonts w:eastAsiaTheme="majorEastAsia"/>
        </w:rPr>
        <w:t xml:space="preserve">pacemaker; </w:t>
      </w:r>
      <w:r>
        <w:rPr>
          <w:rStyle w:val="normaltextrun"/>
          <w:rFonts w:eastAsiaTheme="majorEastAsia"/>
        </w:rPr>
        <w:t xml:space="preserve">PSM, propensity score matched/adjusted; </w:t>
      </w:r>
      <w:r w:rsidR="00BE4649">
        <w:rPr>
          <w:rStyle w:val="normaltextrun"/>
          <w:rFonts w:eastAsiaTheme="majorEastAsia"/>
        </w:rPr>
        <w:t xml:space="preserve">QoL, quality of life; </w:t>
      </w:r>
      <w:r>
        <w:rPr>
          <w:rStyle w:val="normaltextrun"/>
          <w:rFonts w:eastAsiaTheme="majorEastAsia"/>
        </w:rPr>
        <w:t>TPS, transcatheter pacing system; TVPM, transvenous pacemaker</w:t>
      </w:r>
      <w:r w:rsidR="002764DD">
        <w:rPr>
          <w:rStyle w:val="normaltextrun"/>
          <w:rFonts w:eastAsiaTheme="majorEastAsia"/>
        </w:rPr>
        <w:t xml:space="preserve">; VR, </w:t>
      </w:r>
      <w:r w:rsidR="00AC3D98">
        <w:rPr>
          <w:rStyle w:val="normaltextrun"/>
          <w:rFonts w:eastAsiaTheme="majorEastAsia"/>
        </w:rPr>
        <w:t>ventricular</w:t>
      </w:r>
      <w:r w:rsidR="000C2CFE">
        <w:rPr>
          <w:rStyle w:val="normaltextrun"/>
          <w:rFonts w:eastAsiaTheme="majorEastAsia"/>
        </w:rPr>
        <w:br/>
      </w:r>
      <w:r w:rsidR="002C0275" w:rsidRPr="003E1E85">
        <w:t>* Assessment of observational cohort and cross-sectional studies based on NHLBI Study Quality Assessment tool, see Bias assessment.xls (Attachment 3).</w:t>
      </w:r>
    </w:p>
    <w:p w14:paraId="3950F3B0" w14:textId="38A1DE55" w:rsidR="00D52905" w:rsidRPr="003E1E85" w:rsidRDefault="002C0275" w:rsidP="002C0275">
      <w:pPr>
        <w:pStyle w:val="Tablenotes"/>
      </w:pPr>
      <w:r w:rsidRPr="003E1E85">
        <w:t>** Adjusted rates used for economic model</w:t>
      </w:r>
    </w:p>
    <w:p w14:paraId="71A189FD" w14:textId="77777777" w:rsidR="00D52905" w:rsidRPr="00191DCD" w:rsidRDefault="00D52905" w:rsidP="00645477">
      <w:pPr>
        <w:pStyle w:val="Heading3nonumbers"/>
      </w:pPr>
      <w:r w:rsidRPr="00191DCD">
        <w:t>Methodological considerations of the included studies</w:t>
      </w:r>
    </w:p>
    <w:p w14:paraId="5D37B40E" w14:textId="5ADCFC60" w:rsidR="00D52905" w:rsidRPr="00191DCD" w:rsidRDefault="00D52905" w:rsidP="00D52905">
      <w:pPr>
        <w:spacing w:before="0"/>
        <w:rPr>
          <w:lang w:val="en-US"/>
        </w:rPr>
      </w:pPr>
      <w:r w:rsidRPr="00191DCD">
        <w:rPr>
          <w:lang w:val="en-US"/>
        </w:rPr>
        <w:t xml:space="preserve">A range of databases were </w:t>
      </w:r>
      <w:r w:rsidR="00634E23" w:rsidRPr="00191DCD">
        <w:rPr>
          <w:lang w:val="en-US"/>
        </w:rPr>
        <w:t>searched,</w:t>
      </w:r>
      <w:r w:rsidRPr="00191DCD">
        <w:rPr>
          <w:lang w:val="en-US"/>
        </w:rPr>
        <w:t xml:space="preserve"> and </w:t>
      </w:r>
      <w:r w:rsidR="00A63356">
        <w:rPr>
          <w:lang w:val="en-US"/>
        </w:rPr>
        <w:t xml:space="preserve">the </w:t>
      </w:r>
      <w:r w:rsidRPr="00191DCD">
        <w:rPr>
          <w:lang w:val="en-US"/>
        </w:rPr>
        <w:t xml:space="preserve">search strategies appeared </w:t>
      </w:r>
      <w:r w:rsidR="00A63356">
        <w:rPr>
          <w:lang w:val="en-US"/>
        </w:rPr>
        <w:t xml:space="preserve">to be </w:t>
      </w:r>
      <w:r w:rsidRPr="00191DCD">
        <w:rPr>
          <w:lang w:val="en-US"/>
        </w:rPr>
        <w:t>comprehensive</w:t>
      </w:r>
      <w:r w:rsidR="00A63356">
        <w:rPr>
          <w:lang w:val="en-US"/>
        </w:rPr>
        <w:t>. H</w:t>
      </w:r>
      <w:r w:rsidRPr="00191DCD">
        <w:rPr>
          <w:lang w:val="en-US"/>
        </w:rPr>
        <w:t>owever</w:t>
      </w:r>
      <w:r w:rsidR="00524F46">
        <w:rPr>
          <w:lang w:val="en-US"/>
        </w:rPr>
        <w:t>,</w:t>
      </w:r>
      <w:r w:rsidRPr="00191DCD">
        <w:rPr>
          <w:lang w:val="en-US"/>
        </w:rPr>
        <w:t xml:space="preserve"> conference abstracts and grey literature </w:t>
      </w:r>
      <w:r w:rsidR="00A63356">
        <w:rPr>
          <w:lang w:val="en-US"/>
        </w:rPr>
        <w:t>were</w:t>
      </w:r>
      <w:r w:rsidR="00A63356" w:rsidRPr="00191DCD">
        <w:rPr>
          <w:lang w:val="en-US"/>
        </w:rPr>
        <w:t xml:space="preserve"> </w:t>
      </w:r>
      <w:r w:rsidRPr="00191DCD">
        <w:rPr>
          <w:lang w:val="en-US"/>
        </w:rPr>
        <w:t>not searched</w:t>
      </w:r>
      <w:r w:rsidR="00A63356">
        <w:rPr>
          <w:lang w:val="en-US"/>
        </w:rPr>
        <w:t>, which</w:t>
      </w:r>
      <w:r w:rsidRPr="00191DCD">
        <w:rPr>
          <w:lang w:val="en-US"/>
        </w:rPr>
        <w:t xml:space="preserve"> could mean that studies were missed</w:t>
      </w:r>
      <w:r>
        <w:rPr>
          <w:lang w:val="en-US"/>
        </w:rPr>
        <w:t xml:space="preserve">. </w:t>
      </w:r>
      <w:r w:rsidRPr="00191DCD">
        <w:rPr>
          <w:lang w:val="en-US"/>
        </w:rPr>
        <w:t xml:space="preserve">The exclusion of non-comparative studies </w:t>
      </w:r>
      <w:r>
        <w:rPr>
          <w:lang w:val="en-US"/>
        </w:rPr>
        <w:t xml:space="preserve">for the safety section of this application </w:t>
      </w:r>
      <w:r w:rsidRPr="00191DCD">
        <w:rPr>
          <w:lang w:val="en-US"/>
        </w:rPr>
        <w:t xml:space="preserve">means that there </w:t>
      </w:r>
      <w:r w:rsidR="00A63356">
        <w:rPr>
          <w:lang w:val="en-US"/>
        </w:rPr>
        <w:t>are</w:t>
      </w:r>
      <w:r w:rsidRPr="00191DCD">
        <w:rPr>
          <w:lang w:val="en-US"/>
        </w:rPr>
        <w:t xml:space="preserve"> </w:t>
      </w:r>
      <w:r>
        <w:rPr>
          <w:lang w:val="en-US"/>
        </w:rPr>
        <w:t xml:space="preserve">local </w:t>
      </w:r>
      <w:r w:rsidRPr="00191DCD">
        <w:rPr>
          <w:lang w:val="en-US"/>
        </w:rPr>
        <w:t>data from Australian studies that have not been included</w:t>
      </w:r>
      <w:r>
        <w:rPr>
          <w:lang w:val="en-US"/>
        </w:rPr>
        <w:t>.</w:t>
      </w:r>
      <w:r w:rsidRPr="00191DCD">
        <w:rPr>
          <w:vertAlign w:val="superscript"/>
          <w:lang w:val="en-US"/>
        </w:rPr>
        <w:footnoteReference w:id="7"/>
      </w:r>
      <w:r w:rsidRPr="00191DCD">
        <w:rPr>
          <w:vertAlign w:val="superscript"/>
          <w:lang w:val="en-US"/>
        </w:rPr>
        <w:t>,</w:t>
      </w:r>
      <w:r w:rsidRPr="00191DCD">
        <w:rPr>
          <w:vertAlign w:val="superscript"/>
          <w:lang w:val="en-US"/>
        </w:rPr>
        <w:footnoteReference w:id="8"/>
      </w:r>
    </w:p>
    <w:p w14:paraId="3D0374BF" w14:textId="2AC054F8" w:rsidR="00D52905" w:rsidRDefault="00D52905" w:rsidP="00D52905">
      <w:pPr>
        <w:spacing w:before="0"/>
        <w:rPr>
          <w:lang w:val="en-US"/>
        </w:rPr>
      </w:pPr>
      <w:r w:rsidRPr="00191DCD">
        <w:rPr>
          <w:lang w:val="en-US"/>
        </w:rPr>
        <w:t>There were very few details reported about the review methodology</w:t>
      </w:r>
      <w:r w:rsidR="00764E36">
        <w:rPr>
          <w:lang w:val="en-US"/>
        </w:rPr>
        <w:t>,</w:t>
      </w:r>
      <w:r w:rsidRPr="00191DCD">
        <w:rPr>
          <w:lang w:val="en-US"/>
        </w:rPr>
        <w:t xml:space="preserve"> which makes it difficult to verify that robust systematic review methods were followed; specifically, there are no details about the study selection or data extraction processes</w:t>
      </w:r>
      <w:r w:rsidR="00764E36">
        <w:rPr>
          <w:lang w:val="en-US"/>
        </w:rPr>
        <w:t>,</w:t>
      </w:r>
      <w:r w:rsidRPr="00191DCD">
        <w:rPr>
          <w:lang w:val="en-US"/>
        </w:rPr>
        <w:t xml:space="preserve"> and the data extraction spreadsheet is limited.</w:t>
      </w:r>
    </w:p>
    <w:p w14:paraId="48A2A04C" w14:textId="77777777" w:rsidR="00D52905" w:rsidRPr="00191DCD" w:rsidRDefault="00D52905" w:rsidP="00645477">
      <w:pPr>
        <w:pStyle w:val="Heading3nonumbers"/>
      </w:pPr>
      <w:r w:rsidRPr="004442F8">
        <w:t>Eligibility criteria</w:t>
      </w:r>
    </w:p>
    <w:p w14:paraId="21EC6671" w14:textId="404BAF19" w:rsidR="00D52905" w:rsidRDefault="009655AC" w:rsidP="00D52905">
      <w:pPr>
        <w:spacing w:before="0"/>
        <w:rPr>
          <w:lang w:val="en-US"/>
        </w:rPr>
      </w:pPr>
      <w:r>
        <w:rPr>
          <w:lang w:val="en-US"/>
        </w:rPr>
        <w:t>T</w:t>
      </w:r>
      <w:r w:rsidR="00D52905" w:rsidRPr="00191DCD">
        <w:rPr>
          <w:lang w:val="en-US"/>
        </w:rPr>
        <w:t>he way in which the eligibility criteria were applied to select the studies for inclusion in the review</w:t>
      </w:r>
      <w:r>
        <w:rPr>
          <w:lang w:val="en-US"/>
        </w:rPr>
        <w:t xml:space="preserve"> is a concern</w:t>
      </w:r>
      <w:r w:rsidR="00D52905" w:rsidRPr="00191DCD">
        <w:rPr>
          <w:lang w:val="en-US"/>
        </w:rPr>
        <w:t xml:space="preserve">. </w:t>
      </w:r>
      <w:r w:rsidR="00341946">
        <w:rPr>
          <w:lang w:val="en-US"/>
        </w:rPr>
        <w:t>F</w:t>
      </w:r>
      <w:r w:rsidR="00D52905" w:rsidRPr="00191DCD">
        <w:rPr>
          <w:lang w:val="en-US"/>
        </w:rPr>
        <w:t>ive eligibility criteria</w:t>
      </w:r>
      <w:r w:rsidR="00341946">
        <w:rPr>
          <w:lang w:val="en-US"/>
        </w:rPr>
        <w:t xml:space="preserve"> are</w:t>
      </w:r>
      <w:r w:rsidR="00D52905" w:rsidRPr="00191DCD">
        <w:rPr>
          <w:lang w:val="en-US"/>
        </w:rPr>
        <w:t xml:space="preserve"> listed</w:t>
      </w:r>
      <w:r>
        <w:rPr>
          <w:lang w:val="en-US"/>
        </w:rPr>
        <w:t xml:space="preserve">, but they </w:t>
      </w:r>
      <w:r w:rsidR="00D52905" w:rsidRPr="00191DCD">
        <w:rPr>
          <w:lang w:val="en-US"/>
        </w:rPr>
        <w:t xml:space="preserve">do not appear to have been </w:t>
      </w:r>
      <w:r>
        <w:rPr>
          <w:lang w:val="en-US"/>
        </w:rPr>
        <w:t>followed</w:t>
      </w:r>
      <w:r w:rsidR="00D52905" w:rsidRPr="00191DCD">
        <w:rPr>
          <w:lang w:val="en-US"/>
        </w:rPr>
        <w:t xml:space="preserve">. </w:t>
      </w:r>
      <w:r w:rsidR="00D52905">
        <w:rPr>
          <w:lang w:val="en-US"/>
        </w:rPr>
        <w:t>Studies that fell outside the stated criteria</w:t>
      </w:r>
      <w:r w:rsidRPr="009655AC">
        <w:rPr>
          <w:lang w:val="en-US"/>
        </w:rPr>
        <w:t xml:space="preserve"> </w:t>
      </w:r>
      <w:r>
        <w:rPr>
          <w:lang w:val="en-US"/>
        </w:rPr>
        <w:t>were included</w:t>
      </w:r>
      <w:r w:rsidR="00D52905">
        <w:rPr>
          <w:lang w:val="en-US"/>
        </w:rPr>
        <w:t>, while others that appeared to meet the criteria</w:t>
      </w:r>
      <w:r w:rsidRPr="009655AC">
        <w:rPr>
          <w:lang w:val="en-US"/>
        </w:rPr>
        <w:t xml:space="preserve"> </w:t>
      </w:r>
      <w:r>
        <w:rPr>
          <w:lang w:val="en-US"/>
        </w:rPr>
        <w:t>were excluded. S</w:t>
      </w:r>
      <w:r w:rsidR="00D52905">
        <w:rPr>
          <w:lang w:val="en-US"/>
        </w:rPr>
        <w:t>pecifically</w:t>
      </w:r>
      <w:r>
        <w:rPr>
          <w:lang w:val="en-US"/>
        </w:rPr>
        <w:t>,</w:t>
      </w:r>
      <w:r w:rsidR="00D52905">
        <w:rPr>
          <w:lang w:val="en-US"/>
        </w:rPr>
        <w:t xml:space="preserve"> t</w:t>
      </w:r>
      <w:r w:rsidR="00D52905" w:rsidRPr="00191DCD">
        <w:rPr>
          <w:lang w:val="en-US"/>
        </w:rPr>
        <w:t xml:space="preserve">wo conference abstracts </w:t>
      </w:r>
      <w:r>
        <w:rPr>
          <w:lang w:val="en-US"/>
        </w:rPr>
        <w:t>that utilised</w:t>
      </w:r>
      <w:r w:rsidR="00D52905" w:rsidRPr="00191DCD">
        <w:rPr>
          <w:lang w:val="en-US"/>
        </w:rPr>
        <w:t xml:space="preserve"> national datasets with very large sample sizes</w:t>
      </w:r>
      <w:r>
        <w:rPr>
          <w:lang w:val="en-US"/>
        </w:rPr>
        <w:t xml:space="preserve"> were excluded</w:t>
      </w:r>
      <w:r w:rsidR="00D52905" w:rsidRPr="00191DCD">
        <w:rPr>
          <w:lang w:val="en-US"/>
        </w:rPr>
        <w:t xml:space="preserve">. </w:t>
      </w:r>
      <w:r w:rsidR="00D52905">
        <w:rPr>
          <w:lang w:val="en-US"/>
        </w:rPr>
        <w:t>Without further details about these two larger studies</w:t>
      </w:r>
      <w:r w:rsidR="00B64B40">
        <w:rPr>
          <w:lang w:val="en-US"/>
        </w:rPr>
        <w:t>,</w:t>
      </w:r>
      <w:r w:rsidR="00297A11" w:rsidRPr="006F0866">
        <w:t xml:space="preserve"> </w:t>
      </w:r>
      <w:r w:rsidR="007A2E1B">
        <w:rPr>
          <w:lang w:val="en-US"/>
        </w:rPr>
        <w:t>t</w:t>
      </w:r>
      <w:r w:rsidR="00297A11" w:rsidRPr="006F0866">
        <w:rPr>
          <w:lang w:val="en-US"/>
        </w:rPr>
        <w:t xml:space="preserve">he outcomes of these two abstracts appear to be </w:t>
      </w:r>
      <w:proofErr w:type="gramStart"/>
      <w:r w:rsidR="00297A11" w:rsidRPr="006F0866">
        <w:rPr>
          <w:lang w:val="en-US"/>
        </w:rPr>
        <w:t>similar to</w:t>
      </w:r>
      <w:proofErr w:type="gramEnd"/>
      <w:r w:rsidR="00297A11" w:rsidRPr="006F0866">
        <w:rPr>
          <w:lang w:val="en-US"/>
        </w:rPr>
        <w:t xml:space="preserve"> those reported in the CED, however there is very little information provided in the abstracts to adequately compare whether the composite outcomes reported in the CED are comparable to the outcomes reported in the abstracts</w:t>
      </w:r>
      <w:r w:rsidR="007A2E1B">
        <w:rPr>
          <w:lang w:val="en-US"/>
        </w:rPr>
        <w:t>.</w:t>
      </w:r>
    </w:p>
    <w:p w14:paraId="0522C6EF" w14:textId="77777777" w:rsidR="00D52905" w:rsidRPr="004442F8" w:rsidRDefault="00D52905" w:rsidP="00645477">
      <w:pPr>
        <w:pStyle w:val="Heading3nonumbers"/>
      </w:pPr>
      <w:r w:rsidRPr="004442F8">
        <w:t>Synthesis of evidence</w:t>
      </w:r>
    </w:p>
    <w:p w14:paraId="2236760C" w14:textId="042A6C8C" w:rsidR="00D52905" w:rsidRDefault="00D52905" w:rsidP="00D52905">
      <w:pPr>
        <w:spacing w:before="0"/>
        <w:rPr>
          <w:lang w:val="en-US"/>
        </w:rPr>
      </w:pPr>
      <w:r>
        <w:rPr>
          <w:lang w:val="en-US"/>
        </w:rPr>
        <w:t xml:space="preserve">The applicant has reported the results of the CED study separately </w:t>
      </w:r>
      <w:r w:rsidR="00B64B40">
        <w:rPr>
          <w:lang w:val="en-US"/>
        </w:rPr>
        <w:t xml:space="preserve">from </w:t>
      </w:r>
      <w:r>
        <w:rPr>
          <w:lang w:val="en-US"/>
        </w:rPr>
        <w:t>the other studies</w:t>
      </w:r>
      <w:r w:rsidR="00B64B40">
        <w:rPr>
          <w:lang w:val="en-US"/>
        </w:rPr>
        <w:t>,</w:t>
      </w:r>
      <w:r>
        <w:rPr>
          <w:lang w:val="en-US"/>
        </w:rPr>
        <w:t xml:space="preserve"> which were deemed supportive. While methodologically this is not common practice, the sheer size of the CED study means that the additional data reported by the </w:t>
      </w:r>
      <w:r w:rsidR="0099614D">
        <w:rPr>
          <w:lang w:val="en-US"/>
        </w:rPr>
        <w:t xml:space="preserve">much </w:t>
      </w:r>
      <w:r>
        <w:rPr>
          <w:lang w:val="en-US"/>
        </w:rPr>
        <w:t xml:space="preserve">smaller supportive studies </w:t>
      </w:r>
      <w:r>
        <w:rPr>
          <w:lang w:val="en-US"/>
        </w:rPr>
        <w:lastRenderedPageBreak/>
        <w:t xml:space="preserve">would not be sufficient to alter the results </w:t>
      </w:r>
      <w:r w:rsidR="00B64B40">
        <w:rPr>
          <w:lang w:val="en-US"/>
        </w:rPr>
        <w:t>of</w:t>
      </w:r>
      <w:r>
        <w:rPr>
          <w:lang w:val="en-US"/>
        </w:rPr>
        <w:t xml:space="preserve"> the CED study. The economic section of the report relies solely on data from the CED study.</w:t>
      </w:r>
    </w:p>
    <w:p w14:paraId="1E5B7F2E" w14:textId="2282DF41" w:rsidR="00D52905" w:rsidRDefault="00D52905" w:rsidP="00D52905">
      <w:pPr>
        <w:spacing w:before="0"/>
        <w:rPr>
          <w:lang w:val="en-US"/>
        </w:rPr>
      </w:pPr>
      <w:r>
        <w:rPr>
          <w:lang w:val="en-US"/>
        </w:rPr>
        <w:t>The adjustment of the baseline characteristics</w:t>
      </w:r>
      <w:r w:rsidR="00B16244">
        <w:rPr>
          <w:lang w:val="en-US"/>
        </w:rPr>
        <w:t xml:space="preserve"> in the </w:t>
      </w:r>
      <w:r w:rsidR="00752074">
        <w:rPr>
          <w:lang w:val="en-US"/>
        </w:rPr>
        <w:t>application</w:t>
      </w:r>
      <w:r>
        <w:rPr>
          <w:lang w:val="en-US"/>
        </w:rPr>
        <w:t xml:space="preserve"> is an area of uncertainty. Neither the protocol </w:t>
      </w:r>
      <w:r w:rsidR="00693639">
        <w:rPr>
          <w:lang w:val="en-US"/>
        </w:rPr>
        <w:t>nor</w:t>
      </w:r>
      <w:r>
        <w:rPr>
          <w:lang w:val="en-US"/>
        </w:rPr>
        <w:t xml:space="preserve"> the statistical analysis plan clearly </w:t>
      </w:r>
      <w:r w:rsidR="00752074">
        <w:rPr>
          <w:lang w:val="en-US"/>
        </w:rPr>
        <w:t>states</w:t>
      </w:r>
      <w:r>
        <w:rPr>
          <w:lang w:val="en-US"/>
        </w:rPr>
        <w:t xml:space="preserve"> which variables were used to undertake the adjustment, so the accuracy of this cannot be verified. Several outcomes for both safety and efficacy reported in the application show an unadjusted rate that is significantly in </w:t>
      </w:r>
      <w:proofErr w:type="spellStart"/>
      <w:r>
        <w:rPr>
          <w:lang w:val="en-US"/>
        </w:rPr>
        <w:t>favour</w:t>
      </w:r>
      <w:proofErr w:type="spellEnd"/>
      <w:r>
        <w:rPr>
          <w:lang w:val="en-US"/>
        </w:rPr>
        <w:t xml:space="preserve"> of TVPM, with a corresponding adjusted rate that shows no differences between </w:t>
      </w:r>
      <w:r w:rsidR="00E07C44">
        <w:rPr>
          <w:lang w:val="en-US"/>
        </w:rPr>
        <w:t xml:space="preserve">the LPM and TVPM </w:t>
      </w:r>
      <w:r>
        <w:rPr>
          <w:lang w:val="en-US"/>
        </w:rPr>
        <w:t xml:space="preserve">groups </w:t>
      </w:r>
      <w:r w:rsidR="00912C0D">
        <w:rPr>
          <w:lang w:val="en-US"/>
        </w:rPr>
        <w:t>(</w:t>
      </w:r>
      <w:r>
        <w:rPr>
          <w:lang w:val="en-US"/>
        </w:rPr>
        <w:t xml:space="preserve">including </w:t>
      </w:r>
      <w:r w:rsidR="00912C0D">
        <w:rPr>
          <w:lang w:val="en-US"/>
        </w:rPr>
        <w:t xml:space="preserve">rates of </w:t>
      </w:r>
      <w:r>
        <w:rPr>
          <w:lang w:val="en-US"/>
        </w:rPr>
        <w:t>overall complication</w:t>
      </w:r>
      <w:r w:rsidR="00912C0D">
        <w:rPr>
          <w:lang w:val="en-US"/>
        </w:rPr>
        <w:t xml:space="preserve">s </w:t>
      </w:r>
      <w:r>
        <w:rPr>
          <w:lang w:val="en-US"/>
        </w:rPr>
        <w:t xml:space="preserve">at 30 days, complications at </w:t>
      </w:r>
      <w:r w:rsidR="00AC094B">
        <w:rPr>
          <w:lang w:val="en-US"/>
        </w:rPr>
        <w:t xml:space="preserve">two </w:t>
      </w:r>
      <w:r>
        <w:rPr>
          <w:lang w:val="en-US"/>
        </w:rPr>
        <w:t>years</w:t>
      </w:r>
      <w:r>
        <w:rPr>
          <w:rStyle w:val="FootnoteReference"/>
          <w:lang w:val="en-US"/>
        </w:rPr>
        <w:footnoteReference w:id="9"/>
      </w:r>
      <w:r>
        <w:rPr>
          <w:lang w:val="en-US"/>
        </w:rPr>
        <w:t xml:space="preserve"> and re-intervention</w:t>
      </w:r>
      <w:r w:rsidR="00297A11">
        <w:rPr>
          <w:vertAlign w:val="superscript"/>
          <w:lang w:val="en-US"/>
        </w:rPr>
        <w:t>8</w:t>
      </w:r>
      <w:r w:rsidR="000B6227" w:rsidRPr="00257EFD">
        <w:rPr>
          <w:lang w:val="en-US"/>
        </w:rPr>
        <w:t>)</w:t>
      </w:r>
      <w:r w:rsidRPr="006A5AA0">
        <w:rPr>
          <w:lang w:val="en-US"/>
        </w:rPr>
        <w:t>.</w:t>
      </w:r>
      <w:r>
        <w:rPr>
          <w:lang w:val="en-US"/>
        </w:rPr>
        <w:t xml:space="preserve"> The validity of these results </w:t>
      </w:r>
      <w:r w:rsidR="007A05D7">
        <w:rPr>
          <w:lang w:val="en-US"/>
        </w:rPr>
        <w:t>relies</w:t>
      </w:r>
      <w:r>
        <w:rPr>
          <w:lang w:val="en-US"/>
        </w:rPr>
        <w:t xml:space="preserve"> entirely on the adjustment </w:t>
      </w:r>
      <w:r w:rsidR="007636FD">
        <w:rPr>
          <w:lang w:val="en-US"/>
        </w:rPr>
        <w:t xml:space="preserve">for confounding </w:t>
      </w:r>
      <w:r>
        <w:rPr>
          <w:lang w:val="en-US"/>
        </w:rPr>
        <w:t>having been performed accurately. Without further details about how the adjustment was undertaken</w:t>
      </w:r>
      <w:r w:rsidR="007636FD">
        <w:rPr>
          <w:lang w:val="en-US"/>
        </w:rPr>
        <w:t>,</w:t>
      </w:r>
      <w:r>
        <w:rPr>
          <w:lang w:val="en-US"/>
        </w:rPr>
        <w:t xml:space="preserve"> it is difficult to substantiate the claims about </w:t>
      </w:r>
      <w:r w:rsidR="007636FD">
        <w:rPr>
          <w:lang w:val="en-US"/>
        </w:rPr>
        <w:t xml:space="preserve">the </w:t>
      </w:r>
      <w:r w:rsidR="00271EE7">
        <w:rPr>
          <w:lang w:val="en-US"/>
        </w:rPr>
        <w:t>Micra VR TPS</w:t>
      </w:r>
      <w:r>
        <w:rPr>
          <w:lang w:val="en-US"/>
        </w:rPr>
        <w:t xml:space="preserve"> for these outcomes.</w:t>
      </w:r>
    </w:p>
    <w:p w14:paraId="372AD2DD" w14:textId="6DBC70E7" w:rsidR="00D52905" w:rsidRDefault="00D52905" w:rsidP="00D52905">
      <w:pPr>
        <w:spacing w:before="0"/>
        <w:rPr>
          <w:lang w:val="en-US"/>
        </w:rPr>
      </w:pPr>
      <w:r>
        <w:rPr>
          <w:lang w:val="en-US"/>
        </w:rPr>
        <w:t>The synthesis of the supportive studies is inappropriate</w:t>
      </w:r>
      <w:r w:rsidR="00F61154">
        <w:rPr>
          <w:lang w:val="en-US"/>
        </w:rPr>
        <w:t xml:space="preserve">, as </w:t>
      </w:r>
      <w:r>
        <w:rPr>
          <w:lang w:val="en-US"/>
        </w:rPr>
        <w:t>all outcomes have been meta-</w:t>
      </w:r>
      <w:proofErr w:type="spellStart"/>
      <w:r w:rsidR="00F61154">
        <w:rPr>
          <w:lang w:val="en-US"/>
        </w:rPr>
        <w:t>analysed</w:t>
      </w:r>
      <w:proofErr w:type="spellEnd"/>
      <w:r w:rsidR="00F61154">
        <w:rPr>
          <w:lang w:val="en-US"/>
        </w:rPr>
        <w:t xml:space="preserve"> </w:t>
      </w:r>
      <w:r>
        <w:rPr>
          <w:lang w:val="en-US"/>
        </w:rPr>
        <w:t xml:space="preserve">despite the applicant stating that the studies have heterogeneous populations, outcome definitions and </w:t>
      </w:r>
      <w:r w:rsidR="00F61154">
        <w:rPr>
          <w:lang w:val="en-US"/>
        </w:rPr>
        <w:t>lengths of follow-up</w:t>
      </w:r>
      <w:r>
        <w:rPr>
          <w:lang w:val="en-US"/>
        </w:rPr>
        <w:t xml:space="preserve">. There are several analyses </w:t>
      </w:r>
      <w:r w:rsidR="000C6BEF" w:rsidRPr="000C6BEF">
        <w:t xml:space="preserve">and forest plots </w:t>
      </w:r>
      <w:r>
        <w:rPr>
          <w:lang w:val="en-US"/>
        </w:rPr>
        <w:t>showing a single study</w:t>
      </w:r>
      <w:r w:rsidR="000C6BEF">
        <w:rPr>
          <w:lang w:val="en-US"/>
        </w:rPr>
        <w:t>, even though</w:t>
      </w:r>
      <w:r w:rsidR="00E275AC">
        <w:rPr>
          <w:lang w:val="en-US"/>
        </w:rPr>
        <w:t xml:space="preserve"> </w:t>
      </w:r>
      <w:r>
        <w:rPr>
          <w:lang w:val="en-US"/>
        </w:rPr>
        <w:t xml:space="preserve">the </w:t>
      </w:r>
      <w:r w:rsidR="005376C8">
        <w:rPr>
          <w:lang w:val="en-US"/>
        </w:rPr>
        <w:t>applicant</w:t>
      </w:r>
      <w:r w:rsidR="00E275AC">
        <w:rPr>
          <w:lang w:val="en-US"/>
        </w:rPr>
        <w:t xml:space="preserve"> states in the</w:t>
      </w:r>
      <w:r>
        <w:rPr>
          <w:lang w:val="en-US"/>
        </w:rPr>
        <w:t xml:space="preserve"> methods </w:t>
      </w:r>
      <w:r w:rsidR="00E275AC">
        <w:rPr>
          <w:lang w:val="en-US"/>
        </w:rPr>
        <w:t xml:space="preserve">that </w:t>
      </w:r>
      <w:r>
        <w:rPr>
          <w:lang w:val="en-US"/>
        </w:rPr>
        <w:t xml:space="preserve">meta-analysis </w:t>
      </w:r>
      <w:r w:rsidR="00E275AC">
        <w:rPr>
          <w:lang w:val="en-US"/>
        </w:rPr>
        <w:t xml:space="preserve">will </w:t>
      </w:r>
      <w:r>
        <w:rPr>
          <w:lang w:val="en-US"/>
        </w:rPr>
        <w:t>only be applied</w:t>
      </w:r>
      <w:r w:rsidR="00E275AC">
        <w:rPr>
          <w:lang w:val="en-US"/>
        </w:rPr>
        <w:t xml:space="preserve"> when there is</w:t>
      </w:r>
      <w:r>
        <w:rPr>
          <w:lang w:val="en-US"/>
        </w:rPr>
        <w:t xml:space="preserve"> more than one study</w:t>
      </w:r>
      <w:r w:rsidR="00E275AC">
        <w:rPr>
          <w:lang w:val="en-US"/>
        </w:rPr>
        <w:t xml:space="preserve"> available</w:t>
      </w:r>
      <w:r>
        <w:rPr>
          <w:lang w:val="en-US"/>
        </w:rPr>
        <w:t xml:space="preserve">. </w:t>
      </w:r>
      <w:proofErr w:type="gramStart"/>
      <w:r>
        <w:rPr>
          <w:lang w:val="en-US"/>
        </w:rPr>
        <w:t>The majority of</w:t>
      </w:r>
      <w:proofErr w:type="gramEnd"/>
      <w:r>
        <w:rPr>
          <w:lang w:val="en-US"/>
        </w:rPr>
        <w:t xml:space="preserve"> the outcomes reported from these meta-analys</w:t>
      </w:r>
      <w:r w:rsidR="005376C8">
        <w:rPr>
          <w:lang w:val="en-US"/>
        </w:rPr>
        <w:t>e</w:t>
      </w:r>
      <w:r>
        <w:rPr>
          <w:lang w:val="en-US"/>
        </w:rPr>
        <w:t>s have wide confidence intervals</w:t>
      </w:r>
      <w:r w:rsidR="00E111E5">
        <w:rPr>
          <w:lang w:val="en-US"/>
        </w:rPr>
        <w:t>,</w:t>
      </w:r>
      <w:r>
        <w:rPr>
          <w:lang w:val="en-US"/>
        </w:rPr>
        <w:t xml:space="preserve"> indicating imprecision</w:t>
      </w:r>
      <w:r w:rsidR="00E111E5">
        <w:rPr>
          <w:lang w:val="en-US"/>
        </w:rPr>
        <w:t>,</w:t>
      </w:r>
      <w:r>
        <w:rPr>
          <w:lang w:val="en-US"/>
        </w:rPr>
        <w:t xml:space="preserve"> and should not be relied on for decision making. For this reason, the safety and effectiveness results reported below focus largely on the CED study;</w:t>
      </w:r>
      <w:r w:rsidRPr="003910CE">
        <w:rPr>
          <w:lang w:val="en-US"/>
        </w:rPr>
        <w:t xml:space="preserve"> </w:t>
      </w:r>
      <w:r>
        <w:rPr>
          <w:lang w:val="en-US"/>
        </w:rPr>
        <w:t>the supportive studies have not been considered in this summary.</w:t>
      </w:r>
    </w:p>
    <w:p w14:paraId="00E8493F" w14:textId="77777777" w:rsidR="00D52905" w:rsidRDefault="00D52905" w:rsidP="00645477">
      <w:pPr>
        <w:pStyle w:val="Heading3nonumbers"/>
      </w:pPr>
      <w:r>
        <w:t>Bias and confounding</w:t>
      </w:r>
    </w:p>
    <w:p w14:paraId="6A4EAB02" w14:textId="3289215B" w:rsidR="00D52905" w:rsidRDefault="00D52905" w:rsidP="00D52905">
      <w:pPr>
        <w:pStyle w:val="Instructionaltext"/>
        <w:rPr>
          <w:color w:val="auto"/>
          <w:lang w:val="en-NZ"/>
        </w:rPr>
      </w:pPr>
      <w:r w:rsidRPr="00C93010">
        <w:rPr>
          <w:color w:val="auto"/>
          <w:lang w:val="en-NZ"/>
        </w:rPr>
        <w:t>Bias was assessed in the CED study using the NHLBI Study Quality Assessment tool</w:t>
      </w:r>
      <w:r>
        <w:rPr>
          <w:color w:val="auto"/>
          <w:lang w:val="en-NZ"/>
        </w:rPr>
        <w:t xml:space="preserve">. The </w:t>
      </w:r>
      <w:r w:rsidR="004C0E9D">
        <w:rPr>
          <w:color w:val="auto"/>
          <w:lang w:val="en-NZ"/>
        </w:rPr>
        <w:t xml:space="preserve">quality </w:t>
      </w:r>
      <w:r>
        <w:rPr>
          <w:color w:val="auto"/>
          <w:lang w:val="en-NZ"/>
        </w:rPr>
        <w:t xml:space="preserve">assessment </w:t>
      </w:r>
      <w:r w:rsidR="00AE0E8C">
        <w:rPr>
          <w:color w:val="auto"/>
          <w:lang w:val="en-NZ"/>
        </w:rPr>
        <w:t xml:space="preserve">seems </w:t>
      </w:r>
      <w:r>
        <w:rPr>
          <w:color w:val="auto"/>
          <w:lang w:val="en-NZ"/>
        </w:rPr>
        <w:t>appropriate</w:t>
      </w:r>
      <w:r w:rsidR="006D4E63">
        <w:rPr>
          <w:color w:val="auto"/>
          <w:lang w:val="en-NZ"/>
        </w:rPr>
        <w:t xml:space="preserve">. However, </w:t>
      </w:r>
      <w:r>
        <w:rPr>
          <w:color w:val="auto"/>
          <w:lang w:val="en-NZ"/>
        </w:rPr>
        <w:t>the applicant claim</w:t>
      </w:r>
      <w:r w:rsidR="00AE0E8C">
        <w:rPr>
          <w:color w:val="auto"/>
          <w:lang w:val="en-NZ"/>
        </w:rPr>
        <w:t>s</w:t>
      </w:r>
      <w:r>
        <w:rPr>
          <w:color w:val="auto"/>
          <w:lang w:val="en-NZ"/>
        </w:rPr>
        <w:t xml:space="preserve"> to have assessed bias for some studies at the outcome level, when in fact </w:t>
      </w:r>
      <w:r w:rsidR="005C78EF" w:rsidRPr="005C78EF">
        <w:rPr>
          <w:color w:val="auto"/>
        </w:rPr>
        <w:t xml:space="preserve">the risk of bias assessment </w:t>
      </w:r>
      <w:r w:rsidR="006D4E63">
        <w:rPr>
          <w:color w:val="auto"/>
        </w:rPr>
        <w:t xml:space="preserve">was </w:t>
      </w:r>
      <w:r w:rsidR="000765AF">
        <w:rPr>
          <w:color w:val="auto"/>
        </w:rPr>
        <w:t xml:space="preserve">only </w:t>
      </w:r>
      <w:r w:rsidR="005C78EF" w:rsidRPr="005C78EF">
        <w:rPr>
          <w:color w:val="auto"/>
        </w:rPr>
        <w:t xml:space="preserve">conducted </w:t>
      </w:r>
      <w:r w:rsidR="00180DC8">
        <w:rPr>
          <w:color w:val="auto"/>
        </w:rPr>
        <w:t xml:space="preserve">for </w:t>
      </w:r>
      <w:r w:rsidR="005C78EF" w:rsidRPr="005C78EF">
        <w:rPr>
          <w:color w:val="auto"/>
        </w:rPr>
        <w:t xml:space="preserve">the CED </w:t>
      </w:r>
      <w:proofErr w:type="gramStart"/>
      <w:r w:rsidR="005C78EF" w:rsidRPr="005C78EF">
        <w:rPr>
          <w:color w:val="auto"/>
        </w:rPr>
        <w:t>study as a whole</w:t>
      </w:r>
      <w:proofErr w:type="gramEnd"/>
      <w:r w:rsidR="005C78EF" w:rsidRPr="005C78EF">
        <w:rPr>
          <w:color w:val="auto"/>
        </w:rPr>
        <w:t>.</w:t>
      </w:r>
    </w:p>
    <w:p w14:paraId="6703639C" w14:textId="51D180A4" w:rsidR="00D52905" w:rsidRPr="00C93010" w:rsidRDefault="00D52905" w:rsidP="00D52905">
      <w:pPr>
        <w:pStyle w:val="Instructionaltext"/>
        <w:rPr>
          <w:color w:val="auto"/>
          <w:lang w:val="en-NZ"/>
        </w:rPr>
      </w:pPr>
      <w:r>
        <w:rPr>
          <w:color w:val="auto"/>
          <w:lang w:val="en-NZ"/>
        </w:rPr>
        <w:t xml:space="preserve">Confounding was a significant issue in the CED study. Propensity </w:t>
      </w:r>
      <w:proofErr w:type="gramStart"/>
      <w:r>
        <w:rPr>
          <w:color w:val="auto"/>
          <w:lang w:val="en-NZ"/>
        </w:rPr>
        <w:t>score</w:t>
      </w:r>
      <w:proofErr w:type="gramEnd"/>
      <w:r>
        <w:rPr>
          <w:color w:val="auto"/>
          <w:lang w:val="en-NZ"/>
        </w:rPr>
        <w:t xml:space="preserve"> overlap weights were used to account for differences </w:t>
      </w:r>
      <w:r w:rsidR="00901C79">
        <w:rPr>
          <w:color w:val="auto"/>
          <w:lang w:val="en-NZ"/>
        </w:rPr>
        <w:t xml:space="preserve">in population characteristics between the treatment groups </w:t>
      </w:r>
      <w:r>
        <w:rPr>
          <w:color w:val="auto"/>
          <w:lang w:val="en-NZ"/>
        </w:rPr>
        <w:t>at baseline</w:t>
      </w:r>
      <w:r w:rsidR="00901C79">
        <w:rPr>
          <w:color w:val="auto"/>
          <w:lang w:val="en-NZ"/>
        </w:rPr>
        <w:t>,</w:t>
      </w:r>
      <w:r>
        <w:rPr>
          <w:color w:val="auto"/>
          <w:lang w:val="en-NZ"/>
        </w:rPr>
        <w:t xml:space="preserve"> which is appropriate given the study design.</w:t>
      </w:r>
    </w:p>
    <w:p w14:paraId="43ADF3EC" w14:textId="2DFDCAB4" w:rsidR="00A93FC7" w:rsidRPr="00361B7D" w:rsidRDefault="00A93FC7" w:rsidP="00D27D2E">
      <w:pPr>
        <w:pStyle w:val="Heading2execsummary"/>
        <w:spacing w:before="360"/>
      </w:pPr>
      <w:r w:rsidRPr="00361B7D">
        <w:t>Comparative safety</w:t>
      </w:r>
    </w:p>
    <w:p w14:paraId="44C6DAAB" w14:textId="77777777" w:rsidR="0035612B" w:rsidRDefault="0035612B" w:rsidP="00645477">
      <w:r>
        <w:t>The safety outcomes discussed here are those from the CED study.</w:t>
      </w:r>
    </w:p>
    <w:p w14:paraId="1BBF9BEE" w14:textId="77777777" w:rsidR="0035612B" w:rsidRPr="009C031E" w:rsidRDefault="0035612B" w:rsidP="00637A3D">
      <w:pPr>
        <w:pStyle w:val="Heading3nonumbers"/>
        <w:spacing w:before="240"/>
      </w:pPr>
      <w:r w:rsidRPr="009C031E">
        <w:t>Acute complications at 30 days</w:t>
      </w:r>
    </w:p>
    <w:p w14:paraId="20CDA9B8" w14:textId="3FCE6F86" w:rsidR="0035612B" w:rsidRPr="00442A3F" w:rsidRDefault="0035612B" w:rsidP="00645477">
      <w:r w:rsidRPr="00442A3F">
        <w:t xml:space="preserve">The ADAR presents data for </w:t>
      </w:r>
      <w:r>
        <w:t>acute</w:t>
      </w:r>
      <w:r w:rsidRPr="00442A3F">
        <w:t xml:space="preserve"> complications </w:t>
      </w:r>
      <w:r>
        <w:t xml:space="preserve">at 30 days </w:t>
      </w:r>
      <w:r w:rsidR="0016691E">
        <w:t>post-</w:t>
      </w:r>
      <w:r w:rsidR="00572C41">
        <w:t xml:space="preserve">implantation </w:t>
      </w:r>
      <w:r w:rsidRPr="00442A3F">
        <w:t>for the CED study</w:t>
      </w:r>
      <w:r>
        <w:t xml:space="preserve"> (</w:t>
      </w:r>
      <w:r w:rsidR="00D26E4C">
        <w:t>Relative Risk (</w:t>
      </w:r>
      <w:r>
        <w:t>RR</w:t>
      </w:r>
      <w:r w:rsidR="00D26E4C">
        <w:t>)</w:t>
      </w:r>
      <w:r>
        <w:t xml:space="preserve"> 1.04, 95%</w:t>
      </w:r>
      <w:r w:rsidR="004D4B8B">
        <w:t xml:space="preserve"> confidence interval [</w:t>
      </w:r>
      <w:r>
        <w:t>CI</w:t>
      </w:r>
      <w:r w:rsidR="004D4B8B">
        <w:t>]</w:t>
      </w:r>
      <w:r>
        <w:t xml:space="preserve"> 0.93</w:t>
      </w:r>
      <w:r w:rsidR="004D4B8B">
        <w:t xml:space="preserve"> to</w:t>
      </w:r>
      <w:r>
        <w:t xml:space="preserve"> 1.16)</w:t>
      </w:r>
      <w:r w:rsidRPr="00442A3F">
        <w:t>. While there were no differences in the overall complication rate</w:t>
      </w:r>
      <w:r w:rsidR="00572C41">
        <w:t>s</w:t>
      </w:r>
      <w:r w:rsidRPr="00442A3F">
        <w:t xml:space="preserve"> between the </w:t>
      </w:r>
      <w:r w:rsidR="00636ED5">
        <w:t>Micra VR TPS</w:t>
      </w:r>
      <w:r w:rsidRPr="00442A3F">
        <w:t xml:space="preserve"> and TVPM </w:t>
      </w:r>
      <w:r w:rsidR="00572C41">
        <w:t>groups</w:t>
      </w:r>
      <w:r w:rsidRPr="00442A3F">
        <w:t xml:space="preserve">, this composite outcome was derived from several acute complications that warranted further discussion by the applicants. </w:t>
      </w:r>
      <w:r>
        <w:t>It would have been more helpful to</w:t>
      </w:r>
      <w:r w:rsidR="00E5348D">
        <w:t xml:space="preserve"> focus</w:t>
      </w:r>
      <w:r>
        <w:t xml:space="preserve"> on complications by type rather than overall</w:t>
      </w:r>
      <w:r w:rsidR="00DA0F17">
        <w:t xml:space="preserve"> complication rates</w:t>
      </w:r>
      <w:r>
        <w:t xml:space="preserve">, so </w:t>
      </w:r>
      <w:r w:rsidR="0090528A">
        <w:t xml:space="preserve">that any </w:t>
      </w:r>
      <w:r>
        <w:t xml:space="preserve">trade-offs can be clearly seen. </w:t>
      </w:r>
      <w:r w:rsidR="00C87660">
        <w:t>T</w:t>
      </w:r>
      <w:r>
        <w:t>he results</w:t>
      </w:r>
      <w:r w:rsidR="00C87660">
        <w:t xml:space="preserve">, </w:t>
      </w:r>
      <w:r w:rsidR="00BA6FAF">
        <w:t xml:space="preserve">summarised </w:t>
      </w:r>
      <w:r w:rsidR="00C87660">
        <w:t xml:space="preserve">by complication type, </w:t>
      </w:r>
      <w:r w:rsidR="00FD2F94">
        <w:t xml:space="preserve">are reported in the </w:t>
      </w:r>
      <w:r w:rsidR="00F712DE">
        <w:fldChar w:fldCharType="begin"/>
      </w:r>
      <w:r w:rsidR="00F712DE">
        <w:instrText xml:space="preserve"> REF _Ref102561825 \h </w:instrText>
      </w:r>
      <w:r w:rsidR="00F712DE">
        <w:fldChar w:fldCharType="separate"/>
      </w:r>
      <w:r w:rsidR="0084187F">
        <w:t xml:space="preserve">Table </w:t>
      </w:r>
      <w:r w:rsidR="0084187F">
        <w:rPr>
          <w:noProof/>
        </w:rPr>
        <w:t>7</w:t>
      </w:r>
      <w:r w:rsidR="00F712DE">
        <w:fldChar w:fldCharType="end"/>
      </w:r>
      <w:r w:rsidR="007317AD">
        <w:t xml:space="preserve"> </w:t>
      </w:r>
      <w:r w:rsidR="00FD2F94">
        <w:t>below.</w:t>
      </w:r>
    </w:p>
    <w:p w14:paraId="57029CB2" w14:textId="77777777" w:rsidR="008D02D9" w:rsidRDefault="008D02D9" w:rsidP="00645477">
      <w:pPr>
        <w:rPr>
          <w:lang w:val="en-NZ"/>
        </w:rPr>
      </w:pPr>
    </w:p>
    <w:p w14:paraId="2DDA66BA" w14:textId="77777777" w:rsidR="00FD3F08" w:rsidRDefault="00FD3F08" w:rsidP="00645477">
      <w:pPr>
        <w:rPr>
          <w:lang w:val="en-NZ"/>
        </w:rPr>
        <w:sectPr w:rsidR="00FD3F08" w:rsidSect="00AD6BB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2EA3C40A" w14:textId="78350AF1" w:rsidR="00FD3F08" w:rsidRPr="00CE28E3" w:rsidRDefault="008446F0" w:rsidP="00153C8A">
      <w:pPr>
        <w:pStyle w:val="Caption"/>
        <w:rPr>
          <w:rFonts w:cs="Arial"/>
          <w:snapToGrid w:val="0"/>
        </w:rPr>
      </w:pPr>
      <w:bookmarkStart w:id="10" w:name="_Ref102561825"/>
      <w:bookmarkStart w:id="11" w:name="_Hlk94528985"/>
      <w:r>
        <w:lastRenderedPageBreak/>
        <w:t xml:space="preserve">Table </w:t>
      </w:r>
      <w:fldSimple w:instr=" SEQ Table \* ARABIC ">
        <w:r w:rsidR="0084187F">
          <w:rPr>
            <w:noProof/>
          </w:rPr>
          <w:t>7</w:t>
        </w:r>
      </w:fldSimple>
      <w:bookmarkEnd w:id="10"/>
      <w:r>
        <w:tab/>
      </w:r>
      <w:r w:rsidR="00FD3F08" w:rsidRPr="638D78B1">
        <w:rPr>
          <w:rFonts w:cs="Arial"/>
          <w:snapToGrid w:val="0"/>
        </w:rPr>
        <w:t>Acute complications</w:t>
      </w:r>
      <w:r w:rsidR="00FD3F08">
        <w:rPr>
          <w:rFonts w:cs="Arial"/>
          <w:snapToGrid w:val="0"/>
        </w:rPr>
        <w:t xml:space="preserve"> </w:t>
      </w:r>
      <w:r w:rsidR="00FD3F08" w:rsidRPr="638D78B1">
        <w:rPr>
          <w:rFonts w:cs="Arial"/>
          <w:snapToGrid w:val="0"/>
        </w:rPr>
        <w:t xml:space="preserve">(within 30 days) in CED study – unadjusted and adjusted </w:t>
      </w:r>
    </w:p>
    <w:tbl>
      <w:tblPr>
        <w:tblStyle w:val="TableGrid1"/>
        <w:tblW w:w="13949" w:type="dxa"/>
        <w:tblCellMar>
          <w:left w:w="0" w:type="dxa"/>
          <w:right w:w="0" w:type="dxa"/>
        </w:tblCellMar>
        <w:tblLook w:val="04A0" w:firstRow="1" w:lastRow="0" w:firstColumn="1" w:lastColumn="0" w:noHBand="0" w:noVBand="1"/>
      </w:tblPr>
      <w:tblGrid>
        <w:gridCol w:w="1933"/>
        <w:gridCol w:w="1083"/>
        <w:gridCol w:w="1083"/>
        <w:gridCol w:w="1077"/>
        <w:gridCol w:w="1082"/>
        <w:gridCol w:w="1080"/>
        <w:gridCol w:w="1214"/>
        <w:gridCol w:w="1085"/>
        <w:gridCol w:w="1082"/>
        <w:gridCol w:w="1076"/>
        <w:gridCol w:w="1082"/>
        <w:gridCol w:w="1072"/>
      </w:tblGrid>
      <w:tr w:rsidR="00334DAB" w14:paraId="661FF96C" w14:textId="77777777" w:rsidTr="000A2670">
        <w:trPr>
          <w:cnfStyle w:val="100000000000" w:firstRow="1" w:lastRow="0" w:firstColumn="0" w:lastColumn="0" w:oddVBand="0" w:evenVBand="0" w:oddHBand="0" w:evenHBand="0" w:firstRowFirstColumn="0" w:firstRowLastColumn="0" w:lastRowFirstColumn="0" w:lastRowLastColumn="0"/>
          <w:tblHeader/>
        </w:trPr>
        <w:tc>
          <w:tcPr>
            <w:tcW w:w="1933"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14:paraId="5BA47EA2" w14:textId="77777777" w:rsidR="000A2670" w:rsidRDefault="000A2670" w:rsidP="00153C8A">
            <w:pPr>
              <w:pStyle w:val="TableHeading"/>
              <w:keepNext w:val="0"/>
              <w:widowControl w:val="0"/>
              <w:spacing w:line="252" w:lineRule="auto"/>
              <w:rPr>
                <w:snapToGrid w:val="0"/>
              </w:rPr>
            </w:pPr>
            <w:r>
              <w:rPr>
                <w:snapToGrid w:val="0"/>
              </w:rPr>
              <w:t>Events</w:t>
            </w:r>
          </w:p>
        </w:tc>
        <w:tc>
          <w:tcPr>
            <w:tcW w:w="6619" w:type="dxa"/>
            <w:gridSpan w:val="6"/>
            <w:tcBorders>
              <w:top w:val="single" w:sz="8" w:space="0" w:color="auto"/>
              <w:left w:val="nil"/>
              <w:bottom w:val="single" w:sz="8" w:space="0" w:color="auto"/>
              <w:right w:val="single" w:sz="8" w:space="0" w:color="auto"/>
            </w:tcBorders>
            <w:tcMar>
              <w:top w:w="0" w:type="dxa"/>
              <w:left w:w="28" w:type="dxa"/>
              <w:bottom w:w="0" w:type="dxa"/>
              <w:right w:w="28" w:type="dxa"/>
            </w:tcMar>
          </w:tcPr>
          <w:p w14:paraId="0BA78A7C" w14:textId="4D8DC091" w:rsidR="000A2670" w:rsidRDefault="000A2670" w:rsidP="00153C8A">
            <w:pPr>
              <w:pStyle w:val="TableHeading"/>
              <w:keepNext w:val="0"/>
              <w:widowControl w:val="0"/>
              <w:rPr>
                <w:rFonts w:eastAsia="Calibri" w:cs="Arial"/>
              </w:rPr>
            </w:pPr>
            <w:r>
              <w:rPr>
                <w:rFonts w:eastAsia="Calibri" w:cs="Arial"/>
              </w:rPr>
              <w:t>Unadjusted rates (%)</w:t>
            </w:r>
          </w:p>
        </w:tc>
        <w:tc>
          <w:tcPr>
            <w:tcW w:w="5397" w:type="dxa"/>
            <w:gridSpan w:val="5"/>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57860A2" w14:textId="77777777" w:rsidR="000A2670" w:rsidRDefault="000A2670" w:rsidP="00153C8A">
            <w:pPr>
              <w:pStyle w:val="TableHeading"/>
              <w:keepNext w:val="0"/>
              <w:widowControl w:val="0"/>
              <w:spacing w:line="252" w:lineRule="auto"/>
              <w:rPr>
                <w:snapToGrid w:val="0"/>
              </w:rPr>
            </w:pPr>
            <w:r>
              <w:rPr>
                <w:snapToGrid w:val="0"/>
              </w:rPr>
              <w:t>Adjusted rates (%)</w:t>
            </w:r>
          </w:p>
        </w:tc>
      </w:tr>
      <w:tr w:rsidR="00E51F42" w14:paraId="475DC691" w14:textId="77777777" w:rsidTr="000A2670">
        <w:trPr>
          <w:cnfStyle w:val="100000000000" w:firstRow="1" w:lastRow="0" w:firstColumn="0" w:lastColumn="0" w:oddVBand="0" w:evenVBand="0" w:oddHBand="0" w:evenHBand="0" w:firstRowFirstColumn="0" w:firstRowLastColumn="0" w:lastRowFirstColumn="0" w:lastRowLastColumn="0"/>
          <w:tblHeader/>
        </w:trPr>
        <w:tc>
          <w:tcPr>
            <w:tcW w:w="1933"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73B08484" w14:textId="77777777" w:rsidR="00FD3F08" w:rsidRDefault="00FD3F08" w:rsidP="00153C8A">
            <w:pPr>
              <w:pStyle w:val="TableHeading"/>
              <w:keepNext w:val="0"/>
              <w:widowControl w:val="0"/>
              <w:spacing w:line="252" w:lineRule="auto"/>
              <w:rPr>
                <w:snapToGrid w:val="0"/>
              </w:rPr>
            </w:pPr>
          </w:p>
        </w:tc>
        <w:tc>
          <w:tcPr>
            <w:tcW w:w="1083" w:type="dxa"/>
            <w:tcBorders>
              <w:top w:val="nil"/>
              <w:left w:val="nil"/>
              <w:bottom w:val="single" w:sz="4" w:space="0" w:color="auto"/>
              <w:right w:val="single" w:sz="8" w:space="0" w:color="auto"/>
            </w:tcBorders>
            <w:tcMar>
              <w:top w:w="0" w:type="dxa"/>
              <w:left w:w="28" w:type="dxa"/>
              <w:bottom w:w="0" w:type="dxa"/>
              <w:right w:w="28" w:type="dxa"/>
            </w:tcMar>
            <w:hideMark/>
          </w:tcPr>
          <w:p w14:paraId="55D8A573" w14:textId="77777777" w:rsidR="00FD3F08" w:rsidRDefault="00FD3F08" w:rsidP="00153C8A">
            <w:pPr>
              <w:pStyle w:val="TableHeading"/>
              <w:keepNext w:val="0"/>
              <w:widowControl w:val="0"/>
              <w:spacing w:line="252" w:lineRule="auto"/>
              <w:rPr>
                <w:snapToGrid w:val="0"/>
              </w:rPr>
            </w:pPr>
            <w:r>
              <w:rPr>
                <w:snapToGrid w:val="0"/>
              </w:rPr>
              <w:t>LPM (n=5746)</w:t>
            </w:r>
          </w:p>
        </w:tc>
        <w:tc>
          <w:tcPr>
            <w:tcW w:w="1083" w:type="dxa"/>
            <w:tcBorders>
              <w:top w:val="single" w:sz="8" w:space="0" w:color="auto"/>
              <w:left w:val="nil"/>
              <w:bottom w:val="single" w:sz="4" w:space="0" w:color="auto"/>
              <w:right w:val="single" w:sz="8" w:space="0" w:color="auto"/>
            </w:tcBorders>
            <w:tcMar>
              <w:top w:w="0" w:type="dxa"/>
              <w:left w:w="28" w:type="dxa"/>
              <w:bottom w:w="0" w:type="dxa"/>
              <w:right w:w="28" w:type="dxa"/>
            </w:tcMar>
            <w:hideMark/>
          </w:tcPr>
          <w:p w14:paraId="73502363" w14:textId="77777777" w:rsidR="00FD3F08" w:rsidRDefault="00FD3F08" w:rsidP="00153C8A">
            <w:pPr>
              <w:pStyle w:val="TableHeading"/>
              <w:keepNext w:val="0"/>
              <w:widowControl w:val="0"/>
              <w:spacing w:line="252" w:lineRule="auto"/>
              <w:rPr>
                <w:snapToGrid w:val="0"/>
              </w:rPr>
            </w:pPr>
            <w:r>
              <w:rPr>
                <w:snapToGrid w:val="0"/>
              </w:rPr>
              <w:t>TVPM (n=9662)</w:t>
            </w:r>
          </w:p>
        </w:tc>
        <w:tc>
          <w:tcPr>
            <w:tcW w:w="1077" w:type="dxa"/>
            <w:tcBorders>
              <w:top w:val="single" w:sz="8" w:space="0" w:color="auto"/>
              <w:left w:val="nil"/>
              <w:bottom w:val="single" w:sz="4" w:space="0" w:color="auto"/>
              <w:right w:val="single" w:sz="8" w:space="0" w:color="auto"/>
            </w:tcBorders>
            <w:tcMar>
              <w:top w:w="0" w:type="dxa"/>
              <w:left w:w="28" w:type="dxa"/>
              <w:bottom w:w="0" w:type="dxa"/>
              <w:right w:w="28" w:type="dxa"/>
            </w:tcMar>
          </w:tcPr>
          <w:p w14:paraId="646A7B68" w14:textId="77777777" w:rsidR="00FD3F08" w:rsidRDefault="00FD3F08" w:rsidP="00153C8A">
            <w:pPr>
              <w:pStyle w:val="TableHeading"/>
              <w:keepNext w:val="0"/>
              <w:widowControl w:val="0"/>
              <w:spacing w:line="252" w:lineRule="auto"/>
              <w:rPr>
                <w:rFonts w:eastAsia="Calibri" w:cs="Arial"/>
              </w:rPr>
            </w:pPr>
            <w:r w:rsidRPr="0FEDB64A">
              <w:rPr>
                <w:rFonts w:eastAsia="Calibri" w:cs="Arial"/>
                <w:bCs/>
              </w:rPr>
              <w:t>RD % (95% CI)</w:t>
            </w:r>
          </w:p>
        </w:tc>
        <w:tc>
          <w:tcPr>
            <w:tcW w:w="1082" w:type="dxa"/>
            <w:tcBorders>
              <w:top w:val="single" w:sz="8" w:space="0" w:color="auto"/>
              <w:left w:val="nil"/>
              <w:bottom w:val="single" w:sz="4" w:space="0" w:color="auto"/>
              <w:right w:val="single" w:sz="8" w:space="0" w:color="auto"/>
            </w:tcBorders>
            <w:tcMar>
              <w:top w:w="0" w:type="dxa"/>
              <w:left w:w="28" w:type="dxa"/>
              <w:bottom w:w="0" w:type="dxa"/>
              <w:right w:w="28" w:type="dxa"/>
            </w:tcMar>
            <w:hideMark/>
          </w:tcPr>
          <w:p w14:paraId="640D3B17" w14:textId="2BC3FBBE" w:rsidR="00FD3F08" w:rsidRDefault="00FD3F08" w:rsidP="00153C8A">
            <w:pPr>
              <w:pStyle w:val="TableHeading"/>
              <w:keepNext w:val="0"/>
              <w:widowControl w:val="0"/>
              <w:spacing w:line="252" w:lineRule="auto"/>
              <w:rPr>
                <w:snapToGrid w:val="0"/>
              </w:rPr>
            </w:pPr>
            <w:r>
              <w:rPr>
                <w:snapToGrid w:val="0"/>
              </w:rPr>
              <w:t>P value</w:t>
            </w:r>
            <w:r w:rsidR="00312860">
              <w:rPr>
                <w:snapToGrid w:val="0"/>
              </w:rPr>
              <w:t xml:space="preserve"> (calculated by </w:t>
            </w:r>
            <w:proofErr w:type="gramStart"/>
            <w:r w:rsidR="00312860">
              <w:rPr>
                <w:snapToGrid w:val="0"/>
              </w:rPr>
              <w:t>applicant)_</w:t>
            </w:r>
            <w:proofErr w:type="gramEnd"/>
          </w:p>
        </w:tc>
        <w:tc>
          <w:tcPr>
            <w:tcW w:w="1080" w:type="dxa"/>
            <w:tcBorders>
              <w:top w:val="single" w:sz="8" w:space="0" w:color="auto"/>
              <w:left w:val="nil"/>
              <w:bottom w:val="single" w:sz="4" w:space="0" w:color="auto"/>
              <w:right w:val="single" w:sz="8" w:space="0" w:color="auto"/>
            </w:tcBorders>
            <w:tcMar>
              <w:top w:w="0" w:type="dxa"/>
              <w:left w:w="28" w:type="dxa"/>
              <w:bottom w:w="0" w:type="dxa"/>
              <w:right w:w="28" w:type="dxa"/>
            </w:tcMar>
          </w:tcPr>
          <w:p w14:paraId="6AA0DA4A" w14:textId="77777777" w:rsidR="00FD3F08" w:rsidRDefault="00FD3F08" w:rsidP="00153C8A">
            <w:pPr>
              <w:pStyle w:val="TableHeading"/>
              <w:keepNext w:val="0"/>
              <w:widowControl w:val="0"/>
              <w:spacing w:line="252" w:lineRule="auto"/>
              <w:rPr>
                <w:rFonts w:eastAsia="Calibri" w:cs="Arial"/>
              </w:rPr>
            </w:pPr>
            <w:r w:rsidRPr="638D78B1">
              <w:rPr>
                <w:rFonts w:eastAsia="Calibri" w:cs="Arial"/>
                <w:bCs/>
              </w:rPr>
              <w:t xml:space="preserve">RR (95% </w:t>
            </w:r>
            <w:proofErr w:type="gramStart"/>
            <w:r w:rsidRPr="638D78B1">
              <w:rPr>
                <w:rFonts w:eastAsia="Calibri" w:cs="Arial"/>
                <w:bCs/>
              </w:rPr>
              <w:t>CI)</w:t>
            </w:r>
            <w:r w:rsidRPr="00386AC3">
              <w:rPr>
                <w:rFonts w:eastAsia="Calibri" w:cs="Arial"/>
                <w:bCs/>
                <w:vertAlign w:val="superscript"/>
              </w:rPr>
              <w:t>e</w:t>
            </w:r>
            <w:proofErr w:type="gramEnd"/>
          </w:p>
        </w:tc>
        <w:tc>
          <w:tcPr>
            <w:tcW w:w="1214" w:type="dxa"/>
            <w:tcBorders>
              <w:top w:val="single" w:sz="8" w:space="0" w:color="auto"/>
              <w:left w:val="nil"/>
              <w:bottom w:val="single" w:sz="4" w:space="0" w:color="auto"/>
              <w:right w:val="single" w:sz="8" w:space="0" w:color="auto"/>
            </w:tcBorders>
            <w:tcMar>
              <w:top w:w="0" w:type="dxa"/>
              <w:left w:w="28" w:type="dxa"/>
              <w:bottom w:w="0" w:type="dxa"/>
              <w:right w:w="28" w:type="dxa"/>
            </w:tcMar>
          </w:tcPr>
          <w:p w14:paraId="37E3292B" w14:textId="3848AD56" w:rsidR="00FD3F08" w:rsidRDefault="00FD3F08" w:rsidP="00153C8A">
            <w:pPr>
              <w:pStyle w:val="TableHeading"/>
              <w:keepNext w:val="0"/>
              <w:widowControl w:val="0"/>
              <w:spacing w:line="252" w:lineRule="auto"/>
              <w:rPr>
                <w:rFonts w:eastAsia="Calibri" w:cs="Arial"/>
                <w:vertAlign w:val="superscript"/>
              </w:rPr>
            </w:pPr>
            <w:r w:rsidRPr="0FEDB64A">
              <w:rPr>
                <w:rFonts w:eastAsia="Calibri" w:cs="Arial"/>
                <w:bCs/>
              </w:rPr>
              <w:t>p-value (recalculated</w:t>
            </w:r>
            <w:r w:rsidR="00312860">
              <w:rPr>
                <w:rFonts w:eastAsia="Calibri" w:cs="Arial"/>
                <w:bCs/>
              </w:rPr>
              <w:t xml:space="preserve"> by ASERNIP-</w:t>
            </w:r>
            <w:proofErr w:type="gramStart"/>
            <w:r w:rsidR="00312860">
              <w:rPr>
                <w:rFonts w:eastAsia="Calibri" w:cs="Arial"/>
                <w:bCs/>
              </w:rPr>
              <w:t>S</w:t>
            </w:r>
            <w:r w:rsidRPr="0FEDB64A">
              <w:rPr>
                <w:rFonts w:eastAsia="Calibri" w:cs="Arial"/>
                <w:bCs/>
              </w:rPr>
              <w:t>)</w:t>
            </w:r>
            <w:r w:rsidRPr="00341D78">
              <w:rPr>
                <w:rFonts w:eastAsia="Calibri" w:cs="Arial"/>
                <w:bCs/>
                <w:vertAlign w:val="superscript"/>
              </w:rPr>
              <w:t>e</w:t>
            </w:r>
            <w:proofErr w:type="gramEnd"/>
          </w:p>
        </w:tc>
        <w:tc>
          <w:tcPr>
            <w:tcW w:w="1085" w:type="dxa"/>
            <w:tcBorders>
              <w:top w:val="nil"/>
              <w:left w:val="nil"/>
              <w:bottom w:val="single" w:sz="4" w:space="0" w:color="auto"/>
              <w:right w:val="single" w:sz="8" w:space="0" w:color="auto"/>
            </w:tcBorders>
            <w:tcMar>
              <w:top w:w="0" w:type="dxa"/>
              <w:left w:w="28" w:type="dxa"/>
              <w:bottom w:w="0" w:type="dxa"/>
              <w:right w:w="28" w:type="dxa"/>
            </w:tcMar>
            <w:hideMark/>
          </w:tcPr>
          <w:p w14:paraId="20AF19C2" w14:textId="77777777" w:rsidR="00FD3F08" w:rsidRDefault="00FD3F08" w:rsidP="00153C8A">
            <w:pPr>
              <w:pStyle w:val="TableHeading"/>
              <w:keepNext w:val="0"/>
              <w:widowControl w:val="0"/>
              <w:spacing w:line="252" w:lineRule="auto"/>
              <w:rPr>
                <w:snapToGrid w:val="0"/>
              </w:rPr>
            </w:pPr>
            <w:r>
              <w:rPr>
                <w:snapToGrid w:val="0"/>
              </w:rPr>
              <w:t>LPM (n=5746)</w:t>
            </w:r>
          </w:p>
        </w:tc>
        <w:tc>
          <w:tcPr>
            <w:tcW w:w="1082" w:type="dxa"/>
            <w:tcBorders>
              <w:top w:val="nil"/>
              <w:left w:val="nil"/>
              <w:bottom w:val="single" w:sz="4" w:space="0" w:color="auto"/>
              <w:right w:val="single" w:sz="8" w:space="0" w:color="auto"/>
            </w:tcBorders>
            <w:tcMar>
              <w:top w:w="0" w:type="dxa"/>
              <w:left w:w="28" w:type="dxa"/>
              <w:bottom w:w="0" w:type="dxa"/>
              <w:right w:w="28" w:type="dxa"/>
            </w:tcMar>
            <w:hideMark/>
          </w:tcPr>
          <w:p w14:paraId="787BF7B9" w14:textId="77777777" w:rsidR="00FD3F08" w:rsidRDefault="00FD3F08" w:rsidP="00153C8A">
            <w:pPr>
              <w:pStyle w:val="TableHeading"/>
              <w:keepNext w:val="0"/>
              <w:widowControl w:val="0"/>
              <w:spacing w:line="252" w:lineRule="auto"/>
              <w:rPr>
                <w:snapToGrid w:val="0"/>
              </w:rPr>
            </w:pPr>
            <w:r>
              <w:rPr>
                <w:snapToGrid w:val="0"/>
              </w:rPr>
              <w:t>TVPM (n=9662)</w:t>
            </w:r>
          </w:p>
        </w:tc>
        <w:tc>
          <w:tcPr>
            <w:tcW w:w="1076" w:type="dxa"/>
            <w:tcBorders>
              <w:top w:val="nil"/>
              <w:left w:val="nil"/>
              <w:bottom w:val="single" w:sz="4" w:space="0" w:color="auto"/>
              <w:right w:val="single" w:sz="8" w:space="0" w:color="auto"/>
            </w:tcBorders>
            <w:tcMar>
              <w:top w:w="0" w:type="dxa"/>
              <w:left w:w="28" w:type="dxa"/>
              <w:bottom w:w="0" w:type="dxa"/>
              <w:right w:w="28" w:type="dxa"/>
            </w:tcMar>
            <w:hideMark/>
          </w:tcPr>
          <w:p w14:paraId="46DB62A7" w14:textId="77777777" w:rsidR="00FD3F08" w:rsidRDefault="00FD3F08" w:rsidP="00153C8A">
            <w:pPr>
              <w:pStyle w:val="TableHeading"/>
              <w:keepNext w:val="0"/>
              <w:widowControl w:val="0"/>
              <w:spacing w:line="252" w:lineRule="auto"/>
              <w:rPr>
                <w:snapToGrid w:val="0"/>
              </w:rPr>
            </w:pPr>
            <w:r>
              <w:rPr>
                <w:snapToGrid w:val="0"/>
              </w:rPr>
              <w:t>RD % (95% CI)</w:t>
            </w:r>
          </w:p>
        </w:tc>
        <w:tc>
          <w:tcPr>
            <w:tcW w:w="1082" w:type="dxa"/>
            <w:tcBorders>
              <w:top w:val="nil"/>
              <w:left w:val="nil"/>
              <w:bottom w:val="single" w:sz="4" w:space="0" w:color="auto"/>
              <w:right w:val="single" w:sz="8" w:space="0" w:color="auto"/>
            </w:tcBorders>
            <w:tcMar>
              <w:top w:w="0" w:type="dxa"/>
              <w:left w:w="28" w:type="dxa"/>
              <w:bottom w:w="0" w:type="dxa"/>
              <w:right w:w="28" w:type="dxa"/>
            </w:tcMar>
            <w:hideMark/>
          </w:tcPr>
          <w:p w14:paraId="6964709D" w14:textId="77777777" w:rsidR="00FD3F08" w:rsidRDefault="00FD3F08" w:rsidP="00153C8A">
            <w:pPr>
              <w:pStyle w:val="TableHeading"/>
              <w:keepNext w:val="0"/>
              <w:widowControl w:val="0"/>
              <w:spacing w:line="252" w:lineRule="auto"/>
              <w:rPr>
                <w:snapToGrid w:val="0"/>
              </w:rPr>
            </w:pPr>
            <w:r>
              <w:rPr>
                <w:snapToGrid w:val="0"/>
              </w:rPr>
              <w:t>P value</w:t>
            </w:r>
          </w:p>
        </w:tc>
        <w:tc>
          <w:tcPr>
            <w:tcW w:w="1072" w:type="dxa"/>
            <w:tcBorders>
              <w:top w:val="nil"/>
              <w:left w:val="nil"/>
              <w:bottom w:val="single" w:sz="4" w:space="0" w:color="auto"/>
              <w:right w:val="single" w:sz="8" w:space="0" w:color="auto"/>
            </w:tcBorders>
            <w:tcMar>
              <w:top w:w="0" w:type="dxa"/>
              <w:left w:w="28" w:type="dxa"/>
              <w:bottom w:w="0" w:type="dxa"/>
              <w:right w:w="28" w:type="dxa"/>
            </w:tcMar>
            <w:hideMark/>
          </w:tcPr>
          <w:p w14:paraId="4D412FF8" w14:textId="77777777" w:rsidR="00FD3F08" w:rsidRDefault="00FD3F08" w:rsidP="00153C8A">
            <w:pPr>
              <w:pStyle w:val="TableHeading"/>
              <w:keepNext w:val="0"/>
              <w:widowControl w:val="0"/>
              <w:spacing w:line="252" w:lineRule="auto"/>
              <w:rPr>
                <w:snapToGrid w:val="0"/>
              </w:rPr>
            </w:pPr>
            <w:r>
              <w:rPr>
                <w:snapToGrid w:val="0"/>
              </w:rPr>
              <w:t xml:space="preserve">RR (95% </w:t>
            </w:r>
            <w:proofErr w:type="gramStart"/>
            <w:r>
              <w:rPr>
                <w:snapToGrid w:val="0"/>
              </w:rPr>
              <w:t>CI)</w:t>
            </w:r>
            <w:r>
              <w:rPr>
                <w:snapToGrid w:val="0"/>
                <w:vertAlign w:val="superscript"/>
              </w:rPr>
              <w:t>c</w:t>
            </w:r>
            <w:proofErr w:type="gramEnd"/>
          </w:p>
        </w:tc>
      </w:tr>
      <w:tr w:rsidR="00E51F42" w:rsidRPr="004A7A07" w14:paraId="1FF9E8E2" w14:textId="77777777" w:rsidTr="000A2670">
        <w:tc>
          <w:tcPr>
            <w:tcW w:w="19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42A5D560" w14:textId="77777777" w:rsidR="00FD3F08" w:rsidRPr="0065686A" w:rsidRDefault="00FD3F08" w:rsidP="00153C8A">
            <w:pPr>
              <w:pStyle w:val="TableText0"/>
              <w:keepNext w:val="0"/>
              <w:widowControl w:val="0"/>
              <w:spacing w:line="252" w:lineRule="auto"/>
              <w:rPr>
                <w:b/>
                <w:bCs/>
                <w:snapToGrid w:val="0"/>
              </w:rPr>
            </w:pPr>
            <w:r w:rsidRPr="0065686A">
              <w:rPr>
                <w:b/>
                <w:bCs/>
                <w:snapToGrid w:val="0"/>
              </w:rPr>
              <w:t>Overall complications</w:t>
            </w:r>
          </w:p>
        </w:tc>
        <w:tc>
          <w:tcPr>
            <w:tcW w:w="10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F7941F" w14:textId="77777777" w:rsidR="00FD3F08" w:rsidRPr="004A7A07" w:rsidRDefault="00FD3F08" w:rsidP="00153C8A">
            <w:pPr>
              <w:pStyle w:val="TableText0"/>
              <w:keepNext w:val="0"/>
              <w:widowControl w:val="0"/>
              <w:spacing w:line="252" w:lineRule="auto"/>
              <w:rPr>
                <w:snapToGrid w:val="0"/>
              </w:rPr>
            </w:pPr>
            <w:r w:rsidRPr="004A7A07">
              <w:rPr>
                <w:snapToGrid w:val="0"/>
              </w:rPr>
              <w:t>484 (8.4)</w:t>
            </w:r>
          </w:p>
        </w:tc>
        <w:tc>
          <w:tcPr>
            <w:tcW w:w="10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FA57B5" w14:textId="77777777" w:rsidR="00FD3F08" w:rsidRPr="004A7A07" w:rsidRDefault="00FD3F08" w:rsidP="00153C8A">
            <w:pPr>
              <w:pStyle w:val="TableText0"/>
              <w:keepNext w:val="0"/>
              <w:widowControl w:val="0"/>
              <w:spacing w:line="252" w:lineRule="auto"/>
              <w:rPr>
                <w:snapToGrid w:val="0"/>
              </w:rPr>
            </w:pPr>
            <w:r w:rsidRPr="004A7A07">
              <w:rPr>
                <w:snapToGrid w:val="0"/>
              </w:rPr>
              <w:t>707 (7.3)</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038AB3" w14:textId="77777777" w:rsidR="00FD3F08" w:rsidRPr="00386AC3" w:rsidRDefault="00FD3F08" w:rsidP="00153C8A">
            <w:pPr>
              <w:pStyle w:val="TableText0"/>
              <w:keepNext w:val="0"/>
              <w:widowControl w:val="0"/>
              <w:spacing w:line="252" w:lineRule="auto"/>
              <w:rPr>
                <w:rFonts w:cs="Times New Roman"/>
                <w:b/>
                <w:bCs/>
              </w:rPr>
            </w:pPr>
            <w:r w:rsidRPr="00386AC3">
              <w:rPr>
                <w:rFonts w:cs="Times New Roman"/>
                <w:b/>
                <w:bCs/>
              </w:rPr>
              <w:t>1.11 (0.22 to 1.99)</w:t>
            </w:r>
          </w:p>
        </w:tc>
        <w:tc>
          <w:tcPr>
            <w:tcW w:w="10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FECEDF6" w14:textId="77777777" w:rsidR="00FD3F08" w:rsidRPr="004A7A07" w:rsidRDefault="00FD3F08" w:rsidP="00153C8A">
            <w:pPr>
              <w:pStyle w:val="TableText0"/>
              <w:keepNext w:val="0"/>
              <w:widowControl w:val="0"/>
              <w:spacing w:line="252" w:lineRule="auto"/>
              <w:rPr>
                <w:snapToGrid w:val="0"/>
              </w:rPr>
            </w:pPr>
            <w:r w:rsidRPr="004A7A07">
              <w:rPr>
                <w:snapToGrid w:val="0"/>
              </w:rPr>
              <w:t>0.02</w:t>
            </w:r>
          </w:p>
        </w:tc>
        <w:tc>
          <w:tcPr>
            <w:tcW w:w="1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71D6A7" w14:textId="77777777" w:rsidR="00FD3F08" w:rsidRPr="00386AC3" w:rsidRDefault="00FD3F08" w:rsidP="00153C8A">
            <w:pPr>
              <w:pStyle w:val="TableText0"/>
              <w:keepNext w:val="0"/>
              <w:widowControl w:val="0"/>
              <w:spacing w:line="252" w:lineRule="auto"/>
              <w:rPr>
                <w:rFonts w:cs="Times New Roman"/>
                <w:b/>
                <w:bCs/>
              </w:rPr>
            </w:pPr>
            <w:r w:rsidRPr="00386AC3">
              <w:rPr>
                <w:rFonts w:cs="Times New Roman"/>
                <w:b/>
                <w:bCs/>
              </w:rPr>
              <w:t>1.15 (1.03 to 1.29)</w:t>
            </w:r>
          </w:p>
        </w:tc>
        <w:tc>
          <w:tcPr>
            <w:tcW w:w="12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4487CD" w14:textId="77777777" w:rsidR="00FD3F08" w:rsidRPr="00386AC3" w:rsidRDefault="00FD3F08" w:rsidP="00153C8A">
            <w:pPr>
              <w:pStyle w:val="TableText0"/>
              <w:keepNext w:val="0"/>
              <w:widowControl w:val="0"/>
              <w:spacing w:line="252" w:lineRule="auto"/>
              <w:rPr>
                <w:rFonts w:cs="Times New Roman"/>
                <w:b/>
                <w:bCs/>
              </w:rPr>
            </w:pPr>
            <w:r w:rsidRPr="00386AC3">
              <w:rPr>
                <w:rFonts w:cs="Times New Roman"/>
                <w:b/>
                <w:bCs/>
              </w:rPr>
              <w:t>0.0129</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1ABA15" w14:textId="77777777" w:rsidR="00FD3F08" w:rsidRPr="004A7A07" w:rsidRDefault="00FD3F08" w:rsidP="00153C8A">
            <w:pPr>
              <w:pStyle w:val="TableText0"/>
              <w:keepNext w:val="0"/>
              <w:widowControl w:val="0"/>
              <w:spacing w:line="252" w:lineRule="auto"/>
              <w:rPr>
                <w:snapToGrid w:val="0"/>
              </w:rPr>
            </w:pPr>
            <w:r w:rsidRPr="004A7A07">
              <w:rPr>
                <w:snapToGrid w:val="0"/>
              </w:rPr>
              <w:t>442 (7.7)</w:t>
            </w:r>
          </w:p>
        </w:tc>
        <w:tc>
          <w:tcPr>
            <w:tcW w:w="10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161A627" w14:textId="77777777" w:rsidR="00FD3F08" w:rsidRPr="004A7A07" w:rsidRDefault="00FD3F08" w:rsidP="00153C8A">
            <w:pPr>
              <w:pStyle w:val="TableText0"/>
              <w:keepNext w:val="0"/>
              <w:widowControl w:val="0"/>
              <w:spacing w:line="252" w:lineRule="auto"/>
              <w:rPr>
                <w:snapToGrid w:val="0"/>
              </w:rPr>
            </w:pPr>
            <w:r w:rsidRPr="004A7A07">
              <w:rPr>
                <w:snapToGrid w:val="0"/>
              </w:rPr>
              <w:t>715 (7.4)</w:t>
            </w:r>
          </w:p>
        </w:tc>
        <w:tc>
          <w:tcPr>
            <w:tcW w:w="10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A2FD6A5" w14:textId="77777777" w:rsidR="00FD3F08" w:rsidRPr="004A7A07" w:rsidRDefault="00FD3F08" w:rsidP="00153C8A">
            <w:pPr>
              <w:pStyle w:val="TableText0"/>
              <w:keepNext w:val="0"/>
              <w:widowControl w:val="0"/>
              <w:spacing w:line="252" w:lineRule="auto"/>
              <w:rPr>
                <w:snapToGrid w:val="0"/>
              </w:rPr>
            </w:pPr>
            <w:r w:rsidRPr="004A7A07">
              <w:rPr>
                <w:snapToGrid w:val="0"/>
              </w:rPr>
              <w:t>0.3 (−0.6 to 1.3)</w:t>
            </w:r>
          </w:p>
        </w:tc>
        <w:tc>
          <w:tcPr>
            <w:tcW w:w="10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84A65C9" w14:textId="77777777" w:rsidR="00FD3F08" w:rsidRPr="004A7A07" w:rsidRDefault="00FD3F08" w:rsidP="00153C8A">
            <w:pPr>
              <w:pStyle w:val="TableText0"/>
              <w:keepNext w:val="0"/>
              <w:widowControl w:val="0"/>
              <w:spacing w:line="252" w:lineRule="auto"/>
              <w:rPr>
                <w:snapToGrid w:val="0"/>
              </w:rPr>
            </w:pPr>
            <w:r w:rsidRPr="004A7A07">
              <w:rPr>
                <w:snapToGrid w:val="0"/>
              </w:rPr>
              <w:t>0.49</w:t>
            </w:r>
          </w:p>
        </w:tc>
        <w:tc>
          <w:tcPr>
            <w:tcW w:w="1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2FB4CC" w14:textId="77777777" w:rsidR="00FD3F08" w:rsidRPr="004A7A07" w:rsidRDefault="00FD3F08" w:rsidP="00153C8A">
            <w:pPr>
              <w:pStyle w:val="TableText0"/>
              <w:keepNext w:val="0"/>
              <w:widowControl w:val="0"/>
              <w:spacing w:line="252" w:lineRule="auto"/>
              <w:rPr>
                <w:snapToGrid w:val="0"/>
              </w:rPr>
            </w:pPr>
            <w:r w:rsidRPr="004A7A07">
              <w:rPr>
                <w:snapToGrid w:val="0"/>
              </w:rPr>
              <w:t>1.04 (0.93 to 1.16)</w:t>
            </w:r>
          </w:p>
        </w:tc>
      </w:tr>
      <w:tr w:rsidR="00E51F42" w14:paraId="407C9696" w14:textId="77777777" w:rsidTr="000A2670">
        <w:tc>
          <w:tcPr>
            <w:tcW w:w="1933"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14:paraId="07F4BAA6" w14:textId="77777777" w:rsidR="00FD3F08" w:rsidRDefault="00FD3F08" w:rsidP="00153C8A">
            <w:pPr>
              <w:pStyle w:val="TableText0"/>
              <w:keepNext w:val="0"/>
              <w:widowControl w:val="0"/>
              <w:spacing w:line="252" w:lineRule="auto"/>
              <w:ind w:firstLine="70"/>
              <w:rPr>
                <w:snapToGrid w:val="0"/>
              </w:rPr>
            </w:pPr>
            <w:r>
              <w:rPr>
                <w:snapToGrid w:val="0"/>
              </w:rPr>
              <w:t>Embolism and thrombosis</w:t>
            </w:r>
          </w:p>
        </w:tc>
        <w:tc>
          <w:tcPr>
            <w:tcW w:w="1083" w:type="dxa"/>
            <w:tcBorders>
              <w:top w:val="single" w:sz="4" w:space="0" w:color="auto"/>
              <w:left w:val="nil"/>
              <w:bottom w:val="single" w:sz="8" w:space="0" w:color="auto"/>
              <w:right w:val="single" w:sz="8" w:space="0" w:color="auto"/>
            </w:tcBorders>
            <w:tcMar>
              <w:top w:w="0" w:type="dxa"/>
              <w:left w:w="28" w:type="dxa"/>
              <w:bottom w:w="0" w:type="dxa"/>
              <w:right w:w="28" w:type="dxa"/>
            </w:tcMar>
            <w:hideMark/>
          </w:tcPr>
          <w:p w14:paraId="52A92A80" w14:textId="77777777" w:rsidR="00FD3F08" w:rsidRDefault="00FD3F08" w:rsidP="00153C8A">
            <w:pPr>
              <w:pStyle w:val="TableText0"/>
              <w:keepNext w:val="0"/>
              <w:widowControl w:val="0"/>
              <w:spacing w:line="252" w:lineRule="auto"/>
              <w:rPr>
                <w:snapToGrid w:val="0"/>
              </w:rPr>
            </w:pPr>
            <w:r>
              <w:rPr>
                <w:snapToGrid w:val="0"/>
              </w:rPr>
              <w:t>202 (3.5)</w:t>
            </w:r>
          </w:p>
        </w:tc>
        <w:tc>
          <w:tcPr>
            <w:tcW w:w="1083" w:type="dxa"/>
            <w:tcBorders>
              <w:top w:val="single" w:sz="4" w:space="0" w:color="auto"/>
              <w:left w:val="nil"/>
              <w:bottom w:val="single" w:sz="8" w:space="0" w:color="auto"/>
              <w:right w:val="single" w:sz="8" w:space="0" w:color="auto"/>
            </w:tcBorders>
            <w:tcMar>
              <w:top w:w="0" w:type="dxa"/>
              <w:left w:w="28" w:type="dxa"/>
              <w:bottom w:w="0" w:type="dxa"/>
              <w:right w:w="28" w:type="dxa"/>
            </w:tcMar>
            <w:hideMark/>
          </w:tcPr>
          <w:p w14:paraId="3ED0532E" w14:textId="77777777" w:rsidR="00FD3F08" w:rsidRDefault="00FD3F08" w:rsidP="00153C8A">
            <w:pPr>
              <w:pStyle w:val="TableText0"/>
              <w:keepNext w:val="0"/>
              <w:widowControl w:val="0"/>
              <w:spacing w:line="252" w:lineRule="auto"/>
              <w:rPr>
                <w:snapToGrid w:val="0"/>
              </w:rPr>
            </w:pPr>
            <w:r>
              <w:rPr>
                <w:snapToGrid w:val="0"/>
              </w:rPr>
              <w:t>286 (3.0)</w:t>
            </w:r>
          </w:p>
        </w:tc>
        <w:tc>
          <w:tcPr>
            <w:tcW w:w="1077"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5913EE04" w14:textId="77777777" w:rsidR="00FD3F08" w:rsidRDefault="00FD3F08" w:rsidP="00153C8A">
            <w:pPr>
              <w:pStyle w:val="TableText0"/>
              <w:keepNext w:val="0"/>
              <w:widowControl w:val="0"/>
              <w:spacing w:line="252" w:lineRule="auto"/>
            </w:pPr>
            <w:r w:rsidRPr="638D78B1">
              <w:t>0.56 (-0.03 to 1.14)</w:t>
            </w:r>
          </w:p>
        </w:tc>
        <w:tc>
          <w:tcPr>
            <w:tcW w:w="1082" w:type="dxa"/>
            <w:tcBorders>
              <w:top w:val="single" w:sz="4" w:space="0" w:color="auto"/>
              <w:left w:val="nil"/>
              <w:bottom w:val="single" w:sz="8" w:space="0" w:color="auto"/>
              <w:right w:val="single" w:sz="8" w:space="0" w:color="auto"/>
            </w:tcBorders>
            <w:tcMar>
              <w:top w:w="0" w:type="dxa"/>
              <w:left w:w="28" w:type="dxa"/>
              <w:bottom w:w="0" w:type="dxa"/>
              <w:right w:w="28" w:type="dxa"/>
            </w:tcMar>
            <w:hideMark/>
          </w:tcPr>
          <w:p w14:paraId="6C9EF547" w14:textId="77777777" w:rsidR="00FD3F08" w:rsidRDefault="00FD3F08" w:rsidP="00153C8A">
            <w:pPr>
              <w:pStyle w:val="TableText0"/>
              <w:keepNext w:val="0"/>
              <w:widowControl w:val="0"/>
              <w:spacing w:line="252" w:lineRule="auto"/>
              <w:rPr>
                <w:snapToGrid w:val="0"/>
              </w:rPr>
            </w:pPr>
            <w:r>
              <w:rPr>
                <w:snapToGrid w:val="0"/>
              </w:rPr>
              <w:t>0.07</w:t>
            </w:r>
          </w:p>
        </w:tc>
        <w:tc>
          <w:tcPr>
            <w:tcW w:w="1080"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29349F3A" w14:textId="77777777" w:rsidR="00FD3F08" w:rsidRDefault="00FD3F08" w:rsidP="00153C8A">
            <w:pPr>
              <w:pStyle w:val="TableText0"/>
              <w:keepNext w:val="0"/>
              <w:widowControl w:val="0"/>
              <w:spacing w:line="252" w:lineRule="auto"/>
            </w:pPr>
            <w:r w:rsidRPr="638D78B1">
              <w:t>1.19 (0.99 to 1.42)</w:t>
            </w:r>
          </w:p>
        </w:tc>
        <w:tc>
          <w:tcPr>
            <w:tcW w:w="1214"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62CD466A" w14:textId="77777777" w:rsidR="00FD3F08" w:rsidRDefault="00FD3F08" w:rsidP="00153C8A">
            <w:pPr>
              <w:pStyle w:val="TableText0"/>
              <w:keepNext w:val="0"/>
              <w:widowControl w:val="0"/>
              <w:spacing w:line="252" w:lineRule="auto"/>
            </w:pPr>
            <w:r w:rsidRPr="638D78B1">
              <w:t>0.0571</w:t>
            </w:r>
          </w:p>
        </w:tc>
        <w:tc>
          <w:tcPr>
            <w:tcW w:w="1085" w:type="dxa"/>
            <w:tcBorders>
              <w:top w:val="single" w:sz="4" w:space="0" w:color="auto"/>
              <w:left w:val="nil"/>
              <w:bottom w:val="single" w:sz="8" w:space="0" w:color="auto"/>
              <w:right w:val="single" w:sz="8" w:space="0" w:color="auto"/>
            </w:tcBorders>
            <w:tcMar>
              <w:top w:w="0" w:type="dxa"/>
              <w:left w:w="28" w:type="dxa"/>
              <w:bottom w:w="0" w:type="dxa"/>
              <w:right w:w="28" w:type="dxa"/>
            </w:tcMar>
            <w:hideMark/>
          </w:tcPr>
          <w:p w14:paraId="7813423F" w14:textId="77777777" w:rsidR="00FD3F08" w:rsidRDefault="00FD3F08" w:rsidP="00153C8A">
            <w:pPr>
              <w:pStyle w:val="TableText0"/>
              <w:keepNext w:val="0"/>
              <w:widowControl w:val="0"/>
              <w:spacing w:line="252" w:lineRule="auto"/>
              <w:rPr>
                <w:snapToGrid w:val="0"/>
              </w:rPr>
            </w:pPr>
            <w:r>
              <w:rPr>
                <w:snapToGrid w:val="0"/>
              </w:rPr>
              <w:t>184 (3.2)</w:t>
            </w:r>
          </w:p>
        </w:tc>
        <w:tc>
          <w:tcPr>
            <w:tcW w:w="1082" w:type="dxa"/>
            <w:tcBorders>
              <w:top w:val="single" w:sz="4" w:space="0" w:color="auto"/>
              <w:left w:val="nil"/>
              <w:bottom w:val="single" w:sz="8" w:space="0" w:color="auto"/>
              <w:right w:val="single" w:sz="8" w:space="0" w:color="auto"/>
            </w:tcBorders>
            <w:tcMar>
              <w:top w:w="0" w:type="dxa"/>
              <w:left w:w="28" w:type="dxa"/>
              <w:bottom w:w="0" w:type="dxa"/>
              <w:right w:w="28" w:type="dxa"/>
            </w:tcMar>
            <w:hideMark/>
          </w:tcPr>
          <w:p w14:paraId="15E160C0" w14:textId="77777777" w:rsidR="00FD3F08" w:rsidRDefault="00FD3F08" w:rsidP="00153C8A">
            <w:pPr>
              <w:pStyle w:val="TableText0"/>
              <w:keepNext w:val="0"/>
              <w:widowControl w:val="0"/>
              <w:spacing w:line="252" w:lineRule="auto"/>
              <w:rPr>
                <w:snapToGrid w:val="0"/>
              </w:rPr>
            </w:pPr>
            <w:r>
              <w:rPr>
                <w:snapToGrid w:val="0"/>
              </w:rPr>
              <w:t>300 (3.1)</w:t>
            </w:r>
          </w:p>
        </w:tc>
        <w:tc>
          <w:tcPr>
            <w:tcW w:w="1076" w:type="dxa"/>
            <w:tcBorders>
              <w:top w:val="single" w:sz="4" w:space="0" w:color="auto"/>
              <w:left w:val="nil"/>
              <w:bottom w:val="single" w:sz="8" w:space="0" w:color="auto"/>
              <w:right w:val="single" w:sz="8" w:space="0" w:color="auto"/>
            </w:tcBorders>
            <w:tcMar>
              <w:top w:w="0" w:type="dxa"/>
              <w:left w:w="28" w:type="dxa"/>
              <w:bottom w:w="0" w:type="dxa"/>
              <w:right w:w="28" w:type="dxa"/>
            </w:tcMar>
            <w:hideMark/>
          </w:tcPr>
          <w:p w14:paraId="024974F4" w14:textId="77777777" w:rsidR="00FD3F08" w:rsidRDefault="00FD3F08" w:rsidP="00153C8A">
            <w:pPr>
              <w:pStyle w:val="TableText0"/>
              <w:keepNext w:val="0"/>
              <w:widowControl w:val="0"/>
              <w:spacing w:line="252" w:lineRule="auto"/>
              <w:rPr>
                <w:snapToGrid w:val="0"/>
              </w:rPr>
            </w:pPr>
            <w:r>
              <w:rPr>
                <w:snapToGrid w:val="0"/>
              </w:rPr>
              <w:t>0.1 (−0.5 to 0.7)</w:t>
            </w:r>
          </w:p>
        </w:tc>
        <w:tc>
          <w:tcPr>
            <w:tcW w:w="1082" w:type="dxa"/>
            <w:tcBorders>
              <w:top w:val="single" w:sz="4" w:space="0" w:color="auto"/>
              <w:left w:val="nil"/>
              <w:bottom w:val="single" w:sz="8" w:space="0" w:color="auto"/>
              <w:right w:val="single" w:sz="8" w:space="0" w:color="auto"/>
            </w:tcBorders>
            <w:tcMar>
              <w:top w:w="0" w:type="dxa"/>
              <w:left w:w="28" w:type="dxa"/>
              <w:bottom w:w="0" w:type="dxa"/>
              <w:right w:w="28" w:type="dxa"/>
            </w:tcMar>
            <w:hideMark/>
          </w:tcPr>
          <w:p w14:paraId="571867E4" w14:textId="77777777" w:rsidR="00FD3F08" w:rsidRDefault="00FD3F08" w:rsidP="00153C8A">
            <w:pPr>
              <w:pStyle w:val="TableText0"/>
              <w:keepNext w:val="0"/>
              <w:widowControl w:val="0"/>
              <w:spacing w:line="252" w:lineRule="auto"/>
              <w:rPr>
                <w:snapToGrid w:val="0"/>
              </w:rPr>
            </w:pPr>
            <w:r>
              <w:rPr>
                <w:snapToGrid w:val="0"/>
              </w:rPr>
              <w:t>0.81</w:t>
            </w:r>
          </w:p>
        </w:tc>
        <w:tc>
          <w:tcPr>
            <w:tcW w:w="1072"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5E5678F6" w14:textId="77777777" w:rsidR="00FD3F08" w:rsidRPr="004A7A07" w:rsidRDefault="00FD3F08" w:rsidP="00153C8A">
            <w:pPr>
              <w:pStyle w:val="TableText0"/>
              <w:keepNext w:val="0"/>
              <w:widowControl w:val="0"/>
              <w:spacing w:line="252" w:lineRule="auto"/>
              <w:rPr>
                <w:snapToGrid w:val="0"/>
              </w:rPr>
            </w:pPr>
            <w:r w:rsidRPr="004A7A07">
              <w:rPr>
                <w:snapToGrid w:val="0"/>
              </w:rPr>
              <w:t>1.03 (0.86 to 1.24)</w:t>
            </w:r>
          </w:p>
        </w:tc>
      </w:tr>
      <w:tr w:rsidR="00E51F42" w14:paraId="65C7050F" w14:textId="77777777" w:rsidTr="000A2670">
        <w:tc>
          <w:tcPr>
            <w:tcW w:w="193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4D463BE0" w14:textId="77777777" w:rsidR="00FD3F08" w:rsidRDefault="00FD3F08" w:rsidP="00153C8A">
            <w:pPr>
              <w:pStyle w:val="TableText0"/>
              <w:keepNext w:val="0"/>
              <w:widowControl w:val="0"/>
              <w:spacing w:line="252" w:lineRule="auto"/>
              <w:ind w:firstLine="227"/>
              <w:rPr>
                <w:snapToGrid w:val="0"/>
              </w:rPr>
            </w:pPr>
            <w:r>
              <w:rPr>
                <w:snapToGrid w:val="0"/>
              </w:rPr>
              <w:t>DVT</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1A73D785" w14:textId="77777777" w:rsidR="00FD3F08" w:rsidRDefault="00FD3F08" w:rsidP="00153C8A">
            <w:pPr>
              <w:pStyle w:val="TableText0"/>
              <w:keepNext w:val="0"/>
              <w:widowControl w:val="0"/>
              <w:spacing w:line="252" w:lineRule="auto"/>
              <w:rPr>
                <w:snapToGrid w:val="0"/>
              </w:rPr>
            </w:pPr>
            <w:r>
              <w:rPr>
                <w:snapToGrid w:val="0"/>
              </w:rPr>
              <w:t>145 (2.5)</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691FC64E" w14:textId="77777777" w:rsidR="00FD3F08" w:rsidRDefault="00FD3F08" w:rsidP="00153C8A">
            <w:pPr>
              <w:pStyle w:val="TableText0"/>
              <w:keepNext w:val="0"/>
              <w:widowControl w:val="0"/>
              <w:spacing w:line="252" w:lineRule="auto"/>
              <w:rPr>
                <w:snapToGrid w:val="0"/>
              </w:rPr>
            </w:pPr>
            <w:r>
              <w:rPr>
                <w:snapToGrid w:val="0"/>
              </w:rPr>
              <w:t>176 (1.8)</w:t>
            </w:r>
          </w:p>
        </w:tc>
        <w:tc>
          <w:tcPr>
            <w:tcW w:w="1077" w:type="dxa"/>
            <w:tcBorders>
              <w:top w:val="nil"/>
              <w:left w:val="nil"/>
              <w:bottom w:val="single" w:sz="8" w:space="0" w:color="auto"/>
              <w:right w:val="single" w:sz="8" w:space="0" w:color="auto"/>
            </w:tcBorders>
            <w:tcMar>
              <w:top w:w="0" w:type="dxa"/>
              <w:left w:w="28" w:type="dxa"/>
              <w:bottom w:w="0" w:type="dxa"/>
              <w:right w:w="28" w:type="dxa"/>
            </w:tcMar>
          </w:tcPr>
          <w:p w14:paraId="030798FF" w14:textId="77777777" w:rsidR="00FD3F08" w:rsidRPr="00386AC3" w:rsidRDefault="00FD3F08" w:rsidP="00153C8A">
            <w:pPr>
              <w:pStyle w:val="TableText0"/>
              <w:keepNext w:val="0"/>
              <w:widowControl w:val="0"/>
              <w:spacing w:line="252" w:lineRule="auto"/>
              <w:rPr>
                <w:rFonts w:cs="Times New Roman"/>
                <w:b/>
                <w:bCs/>
              </w:rPr>
            </w:pPr>
            <w:r w:rsidRPr="00386AC3">
              <w:rPr>
                <w:rFonts w:cs="Times New Roman"/>
                <w:b/>
                <w:bCs/>
              </w:rPr>
              <w:t>0.70 (0.22 to 1.19)</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55852F60" w14:textId="77777777" w:rsidR="00FD3F08" w:rsidRDefault="00FD3F08" w:rsidP="00153C8A">
            <w:pPr>
              <w:pStyle w:val="TableText0"/>
              <w:keepNext w:val="0"/>
              <w:widowControl w:val="0"/>
              <w:spacing w:line="252" w:lineRule="auto"/>
              <w:rPr>
                <w:snapToGrid w:val="0"/>
              </w:rPr>
            </w:pPr>
            <w:r>
              <w:rPr>
                <w:snapToGrid w:val="0"/>
              </w:rPr>
              <w:t>0.003</w:t>
            </w:r>
          </w:p>
        </w:tc>
        <w:tc>
          <w:tcPr>
            <w:tcW w:w="1080" w:type="dxa"/>
            <w:tcBorders>
              <w:top w:val="nil"/>
              <w:left w:val="nil"/>
              <w:bottom w:val="single" w:sz="8" w:space="0" w:color="auto"/>
              <w:right w:val="single" w:sz="8" w:space="0" w:color="auto"/>
            </w:tcBorders>
            <w:tcMar>
              <w:top w:w="0" w:type="dxa"/>
              <w:left w:w="28" w:type="dxa"/>
              <w:bottom w:w="0" w:type="dxa"/>
              <w:right w:w="28" w:type="dxa"/>
            </w:tcMar>
          </w:tcPr>
          <w:p w14:paraId="71774D51" w14:textId="77777777" w:rsidR="00FD3F08" w:rsidRPr="00386AC3" w:rsidRDefault="00FD3F08" w:rsidP="00153C8A">
            <w:pPr>
              <w:pStyle w:val="TableText0"/>
              <w:keepNext w:val="0"/>
              <w:widowControl w:val="0"/>
              <w:spacing w:line="252" w:lineRule="auto"/>
              <w:rPr>
                <w:b/>
                <w:bCs/>
              </w:rPr>
            </w:pPr>
            <w:r w:rsidRPr="00386AC3">
              <w:rPr>
                <w:rFonts w:cs="Times New Roman"/>
                <w:b/>
                <w:bCs/>
              </w:rPr>
              <w:t>1.39 (1.11 to 1.72)</w:t>
            </w:r>
          </w:p>
        </w:tc>
        <w:tc>
          <w:tcPr>
            <w:tcW w:w="1214" w:type="dxa"/>
            <w:tcBorders>
              <w:top w:val="nil"/>
              <w:left w:val="nil"/>
              <w:bottom w:val="single" w:sz="8" w:space="0" w:color="auto"/>
              <w:right w:val="single" w:sz="8" w:space="0" w:color="auto"/>
            </w:tcBorders>
            <w:tcMar>
              <w:top w:w="0" w:type="dxa"/>
              <w:left w:w="28" w:type="dxa"/>
              <w:bottom w:w="0" w:type="dxa"/>
              <w:right w:w="28" w:type="dxa"/>
            </w:tcMar>
          </w:tcPr>
          <w:p w14:paraId="08DE0C4C" w14:textId="77777777" w:rsidR="00FD3F08" w:rsidRPr="00386AC3" w:rsidRDefault="00FD3F08" w:rsidP="00153C8A">
            <w:pPr>
              <w:pStyle w:val="TableText0"/>
              <w:keepNext w:val="0"/>
              <w:widowControl w:val="0"/>
              <w:spacing w:line="252" w:lineRule="auto"/>
              <w:rPr>
                <w:rFonts w:cs="Times New Roman"/>
                <w:b/>
                <w:bCs/>
              </w:rPr>
            </w:pPr>
            <w:r w:rsidRPr="00386AC3">
              <w:rPr>
                <w:rFonts w:cs="Times New Roman"/>
                <w:b/>
                <w:bCs/>
              </w:rPr>
              <w:t>0.0033</w:t>
            </w:r>
          </w:p>
        </w:tc>
        <w:tc>
          <w:tcPr>
            <w:tcW w:w="1085" w:type="dxa"/>
            <w:tcBorders>
              <w:top w:val="nil"/>
              <w:left w:val="nil"/>
              <w:bottom w:val="single" w:sz="8" w:space="0" w:color="auto"/>
              <w:right w:val="single" w:sz="8" w:space="0" w:color="auto"/>
            </w:tcBorders>
            <w:tcMar>
              <w:top w:w="0" w:type="dxa"/>
              <w:left w:w="28" w:type="dxa"/>
              <w:bottom w:w="0" w:type="dxa"/>
              <w:right w:w="28" w:type="dxa"/>
            </w:tcMar>
            <w:hideMark/>
          </w:tcPr>
          <w:p w14:paraId="498A7A6E" w14:textId="77777777" w:rsidR="00FD3F08" w:rsidRDefault="00FD3F08" w:rsidP="00153C8A">
            <w:pPr>
              <w:pStyle w:val="TableText0"/>
              <w:keepNext w:val="0"/>
              <w:widowControl w:val="0"/>
              <w:spacing w:line="252" w:lineRule="auto"/>
              <w:rPr>
                <w:snapToGrid w:val="0"/>
              </w:rPr>
            </w:pPr>
            <w:r>
              <w:rPr>
                <w:snapToGrid w:val="0"/>
              </w:rPr>
              <w:t>126 (2.2)</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608797FD" w14:textId="77777777" w:rsidR="00FD3F08" w:rsidRDefault="00FD3F08" w:rsidP="00153C8A">
            <w:pPr>
              <w:pStyle w:val="TableText0"/>
              <w:keepNext w:val="0"/>
              <w:widowControl w:val="0"/>
              <w:spacing w:line="252" w:lineRule="auto"/>
              <w:rPr>
                <w:snapToGrid w:val="0"/>
              </w:rPr>
            </w:pPr>
            <w:r>
              <w:rPr>
                <w:snapToGrid w:val="0"/>
              </w:rPr>
              <w:t>193 (2.0)</w:t>
            </w:r>
          </w:p>
        </w:tc>
        <w:tc>
          <w:tcPr>
            <w:tcW w:w="1076" w:type="dxa"/>
            <w:tcBorders>
              <w:top w:val="nil"/>
              <w:left w:val="nil"/>
              <w:bottom w:val="single" w:sz="8" w:space="0" w:color="auto"/>
              <w:right w:val="single" w:sz="8" w:space="0" w:color="auto"/>
            </w:tcBorders>
            <w:tcMar>
              <w:top w:w="0" w:type="dxa"/>
              <w:left w:w="28" w:type="dxa"/>
              <w:bottom w:w="0" w:type="dxa"/>
              <w:right w:w="28" w:type="dxa"/>
            </w:tcMar>
            <w:hideMark/>
          </w:tcPr>
          <w:p w14:paraId="4CDEB06F" w14:textId="77777777" w:rsidR="00FD3F08" w:rsidRDefault="00FD3F08" w:rsidP="00153C8A">
            <w:pPr>
              <w:pStyle w:val="TableText0"/>
              <w:keepNext w:val="0"/>
              <w:widowControl w:val="0"/>
              <w:spacing w:line="252" w:lineRule="auto"/>
              <w:rPr>
                <w:snapToGrid w:val="0"/>
              </w:rPr>
            </w:pPr>
            <w:r>
              <w:rPr>
                <w:snapToGrid w:val="0"/>
              </w:rPr>
              <w:t>0.3 (−0.2 to 0.7)</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16235EE7" w14:textId="77777777" w:rsidR="00FD3F08" w:rsidRDefault="00FD3F08" w:rsidP="00153C8A">
            <w:pPr>
              <w:pStyle w:val="TableText0"/>
              <w:keepNext w:val="0"/>
              <w:widowControl w:val="0"/>
              <w:spacing w:line="252" w:lineRule="auto"/>
              <w:rPr>
                <w:snapToGrid w:val="0"/>
              </w:rPr>
            </w:pPr>
            <w:r>
              <w:rPr>
                <w:snapToGrid w:val="0"/>
              </w:rPr>
              <w:t>0.27</w:t>
            </w:r>
          </w:p>
        </w:tc>
        <w:tc>
          <w:tcPr>
            <w:tcW w:w="1072" w:type="dxa"/>
            <w:tcBorders>
              <w:top w:val="nil"/>
              <w:left w:val="nil"/>
              <w:bottom w:val="single" w:sz="8" w:space="0" w:color="auto"/>
              <w:right w:val="single" w:sz="8" w:space="0" w:color="auto"/>
            </w:tcBorders>
            <w:tcMar>
              <w:top w:w="0" w:type="dxa"/>
              <w:left w:w="28" w:type="dxa"/>
              <w:bottom w:w="0" w:type="dxa"/>
              <w:right w:w="28" w:type="dxa"/>
            </w:tcMar>
          </w:tcPr>
          <w:p w14:paraId="65FC8FD1" w14:textId="77777777" w:rsidR="00FD3F08" w:rsidRPr="004A7A07" w:rsidRDefault="00FD3F08" w:rsidP="00153C8A">
            <w:pPr>
              <w:pStyle w:val="TableText0"/>
              <w:keepNext w:val="0"/>
              <w:widowControl w:val="0"/>
              <w:spacing w:line="252" w:lineRule="auto"/>
              <w:rPr>
                <w:snapToGrid w:val="0"/>
              </w:rPr>
            </w:pPr>
            <w:r w:rsidRPr="004A7A07">
              <w:rPr>
                <w:snapToGrid w:val="0"/>
              </w:rPr>
              <w:t>1.10 (0.88 to 1.37)</w:t>
            </w:r>
          </w:p>
        </w:tc>
      </w:tr>
      <w:tr w:rsidR="00E51F42" w14:paraId="6552974B" w14:textId="77777777" w:rsidTr="000A2670">
        <w:tc>
          <w:tcPr>
            <w:tcW w:w="193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4839B488" w14:textId="77777777" w:rsidR="00FD3F08" w:rsidRDefault="00FD3F08" w:rsidP="00153C8A">
            <w:pPr>
              <w:pStyle w:val="TableText0"/>
              <w:keepNext w:val="0"/>
              <w:widowControl w:val="0"/>
              <w:spacing w:line="252" w:lineRule="auto"/>
              <w:ind w:firstLine="227"/>
              <w:rPr>
                <w:snapToGrid w:val="0"/>
              </w:rPr>
            </w:pPr>
            <w:r>
              <w:rPr>
                <w:snapToGrid w:val="0"/>
              </w:rPr>
              <w:t>Pulmonary embolism</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68CF9AAC" w14:textId="77777777" w:rsidR="00FD3F08" w:rsidRDefault="00FD3F08" w:rsidP="00153C8A">
            <w:pPr>
              <w:pStyle w:val="TableText0"/>
              <w:keepNext w:val="0"/>
              <w:widowControl w:val="0"/>
              <w:spacing w:line="252" w:lineRule="auto"/>
              <w:rPr>
                <w:snapToGrid w:val="0"/>
              </w:rPr>
            </w:pPr>
            <w:r>
              <w:rPr>
                <w:snapToGrid w:val="0"/>
              </w:rPr>
              <w:t>72 (1.3)</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7F6DAD72" w14:textId="77777777" w:rsidR="00FD3F08" w:rsidRDefault="00FD3F08" w:rsidP="00153C8A">
            <w:pPr>
              <w:pStyle w:val="TableText0"/>
              <w:keepNext w:val="0"/>
              <w:widowControl w:val="0"/>
              <w:spacing w:line="252" w:lineRule="auto"/>
              <w:rPr>
                <w:snapToGrid w:val="0"/>
              </w:rPr>
            </w:pPr>
            <w:r>
              <w:rPr>
                <w:snapToGrid w:val="0"/>
              </w:rPr>
              <w:t>128 (1.3)</w:t>
            </w:r>
          </w:p>
        </w:tc>
        <w:tc>
          <w:tcPr>
            <w:tcW w:w="1077" w:type="dxa"/>
            <w:tcBorders>
              <w:top w:val="nil"/>
              <w:left w:val="nil"/>
              <w:bottom w:val="single" w:sz="8" w:space="0" w:color="auto"/>
              <w:right w:val="single" w:sz="8" w:space="0" w:color="auto"/>
            </w:tcBorders>
            <w:tcMar>
              <w:top w:w="0" w:type="dxa"/>
              <w:left w:w="28" w:type="dxa"/>
              <w:bottom w:w="0" w:type="dxa"/>
              <w:right w:w="28" w:type="dxa"/>
            </w:tcMar>
          </w:tcPr>
          <w:p w14:paraId="2DA3DD02" w14:textId="77777777" w:rsidR="00FD3F08" w:rsidRDefault="00FD3F08" w:rsidP="00153C8A">
            <w:pPr>
              <w:pStyle w:val="TableText0"/>
              <w:keepNext w:val="0"/>
              <w:widowControl w:val="0"/>
              <w:spacing w:line="252" w:lineRule="auto"/>
            </w:pPr>
            <w:r w:rsidRPr="638D78B1">
              <w:t>0.07 (-0.30 to 0.44)</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02627377" w14:textId="77777777" w:rsidR="00FD3F08" w:rsidRDefault="00FD3F08" w:rsidP="00153C8A">
            <w:pPr>
              <w:pStyle w:val="TableText0"/>
              <w:keepNext w:val="0"/>
              <w:widowControl w:val="0"/>
              <w:spacing w:line="252" w:lineRule="auto"/>
              <w:rPr>
                <w:snapToGrid w:val="0"/>
              </w:rPr>
            </w:pPr>
            <w:r>
              <w:rPr>
                <w:snapToGrid w:val="0"/>
              </w:rPr>
              <w:t>0.74</w:t>
            </w:r>
          </w:p>
        </w:tc>
        <w:tc>
          <w:tcPr>
            <w:tcW w:w="1080" w:type="dxa"/>
            <w:tcBorders>
              <w:top w:val="nil"/>
              <w:left w:val="nil"/>
              <w:bottom w:val="single" w:sz="8" w:space="0" w:color="auto"/>
              <w:right w:val="single" w:sz="8" w:space="0" w:color="auto"/>
            </w:tcBorders>
            <w:tcMar>
              <w:top w:w="0" w:type="dxa"/>
              <w:left w:w="28" w:type="dxa"/>
              <w:bottom w:w="0" w:type="dxa"/>
              <w:right w:w="28" w:type="dxa"/>
            </w:tcMar>
          </w:tcPr>
          <w:p w14:paraId="15F458A0" w14:textId="77777777" w:rsidR="00FD3F08" w:rsidRDefault="00FD3F08" w:rsidP="00153C8A">
            <w:pPr>
              <w:pStyle w:val="TableText0"/>
              <w:keepNext w:val="0"/>
              <w:widowControl w:val="0"/>
              <w:spacing w:line="252" w:lineRule="auto"/>
            </w:pPr>
            <w:r w:rsidRPr="638D78B1">
              <w:t>0.95 (0.71 to 1.26)</w:t>
            </w:r>
          </w:p>
        </w:tc>
        <w:tc>
          <w:tcPr>
            <w:tcW w:w="1214" w:type="dxa"/>
            <w:tcBorders>
              <w:top w:val="nil"/>
              <w:left w:val="nil"/>
              <w:bottom w:val="single" w:sz="8" w:space="0" w:color="auto"/>
              <w:right w:val="single" w:sz="8" w:space="0" w:color="auto"/>
            </w:tcBorders>
            <w:tcMar>
              <w:top w:w="0" w:type="dxa"/>
              <w:left w:w="28" w:type="dxa"/>
              <w:bottom w:w="0" w:type="dxa"/>
              <w:right w:w="28" w:type="dxa"/>
            </w:tcMar>
          </w:tcPr>
          <w:p w14:paraId="59F8B509" w14:textId="77777777" w:rsidR="00FD3F08" w:rsidRDefault="00FD3F08" w:rsidP="00153C8A">
            <w:pPr>
              <w:pStyle w:val="TableText0"/>
              <w:keepNext w:val="0"/>
              <w:widowControl w:val="0"/>
              <w:spacing w:line="252" w:lineRule="auto"/>
            </w:pPr>
            <w:r w:rsidRPr="638D78B1">
              <w:t>0.7037</w:t>
            </w:r>
          </w:p>
        </w:tc>
        <w:tc>
          <w:tcPr>
            <w:tcW w:w="1085" w:type="dxa"/>
            <w:tcBorders>
              <w:top w:val="nil"/>
              <w:left w:val="nil"/>
              <w:bottom w:val="single" w:sz="8" w:space="0" w:color="auto"/>
              <w:right w:val="single" w:sz="8" w:space="0" w:color="auto"/>
            </w:tcBorders>
            <w:tcMar>
              <w:top w:w="0" w:type="dxa"/>
              <w:left w:w="28" w:type="dxa"/>
              <w:bottom w:w="0" w:type="dxa"/>
              <w:right w:w="28" w:type="dxa"/>
            </w:tcMar>
            <w:hideMark/>
          </w:tcPr>
          <w:p w14:paraId="354612FB" w14:textId="77777777" w:rsidR="00FD3F08" w:rsidRDefault="00FD3F08" w:rsidP="00153C8A">
            <w:pPr>
              <w:pStyle w:val="TableText0"/>
              <w:keepNext w:val="0"/>
              <w:widowControl w:val="0"/>
              <w:spacing w:line="252" w:lineRule="auto"/>
              <w:rPr>
                <w:snapToGrid w:val="0"/>
              </w:rPr>
            </w:pPr>
            <w:r>
              <w:rPr>
                <w:snapToGrid w:val="0"/>
              </w:rPr>
              <w:t>69 (1.2)</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5C52F28F" w14:textId="77777777" w:rsidR="00FD3F08" w:rsidRDefault="00FD3F08" w:rsidP="00153C8A">
            <w:pPr>
              <w:pStyle w:val="TableText0"/>
              <w:keepNext w:val="0"/>
              <w:widowControl w:val="0"/>
              <w:spacing w:line="252" w:lineRule="auto"/>
              <w:rPr>
                <w:snapToGrid w:val="0"/>
              </w:rPr>
            </w:pPr>
            <w:r>
              <w:rPr>
                <w:snapToGrid w:val="0"/>
              </w:rPr>
              <w:t>126 (1.3)</w:t>
            </w:r>
          </w:p>
        </w:tc>
        <w:tc>
          <w:tcPr>
            <w:tcW w:w="1076" w:type="dxa"/>
            <w:tcBorders>
              <w:top w:val="nil"/>
              <w:left w:val="nil"/>
              <w:bottom w:val="single" w:sz="8" w:space="0" w:color="auto"/>
              <w:right w:val="single" w:sz="8" w:space="0" w:color="auto"/>
            </w:tcBorders>
            <w:tcMar>
              <w:top w:w="0" w:type="dxa"/>
              <w:left w:w="28" w:type="dxa"/>
              <w:bottom w:w="0" w:type="dxa"/>
              <w:right w:w="28" w:type="dxa"/>
            </w:tcMar>
            <w:hideMark/>
          </w:tcPr>
          <w:p w14:paraId="75304DCF" w14:textId="77777777" w:rsidR="00FD3F08" w:rsidRDefault="00FD3F08" w:rsidP="00153C8A">
            <w:pPr>
              <w:pStyle w:val="TableText0"/>
              <w:keepNext w:val="0"/>
              <w:widowControl w:val="0"/>
              <w:spacing w:line="252" w:lineRule="auto"/>
              <w:rPr>
                <w:snapToGrid w:val="0"/>
              </w:rPr>
            </w:pPr>
            <w:r>
              <w:rPr>
                <w:snapToGrid w:val="0"/>
              </w:rPr>
              <w:t>−0.1 (−0.5 to 0.3)</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5925F3B0" w14:textId="77777777" w:rsidR="00FD3F08" w:rsidRDefault="00FD3F08" w:rsidP="00153C8A">
            <w:pPr>
              <w:pStyle w:val="TableText0"/>
              <w:keepNext w:val="0"/>
              <w:widowControl w:val="0"/>
              <w:spacing w:line="252" w:lineRule="auto"/>
              <w:rPr>
                <w:snapToGrid w:val="0"/>
              </w:rPr>
            </w:pPr>
            <w:r>
              <w:rPr>
                <w:snapToGrid w:val="0"/>
              </w:rPr>
              <w:t>0.52</w:t>
            </w:r>
          </w:p>
        </w:tc>
        <w:tc>
          <w:tcPr>
            <w:tcW w:w="1072" w:type="dxa"/>
            <w:tcBorders>
              <w:top w:val="nil"/>
              <w:left w:val="nil"/>
              <w:bottom w:val="single" w:sz="8" w:space="0" w:color="auto"/>
              <w:right w:val="single" w:sz="8" w:space="0" w:color="auto"/>
            </w:tcBorders>
            <w:tcMar>
              <w:top w:w="0" w:type="dxa"/>
              <w:left w:w="28" w:type="dxa"/>
              <w:bottom w:w="0" w:type="dxa"/>
              <w:right w:w="28" w:type="dxa"/>
            </w:tcMar>
          </w:tcPr>
          <w:p w14:paraId="20027996" w14:textId="77777777" w:rsidR="00FD3F08" w:rsidRPr="004A7A07" w:rsidRDefault="00FD3F08" w:rsidP="00153C8A">
            <w:pPr>
              <w:pStyle w:val="TableText0"/>
              <w:keepNext w:val="0"/>
              <w:widowControl w:val="0"/>
              <w:spacing w:line="252" w:lineRule="auto"/>
              <w:rPr>
                <w:snapToGrid w:val="0"/>
              </w:rPr>
            </w:pPr>
            <w:r w:rsidRPr="004A7A07">
              <w:rPr>
                <w:snapToGrid w:val="0"/>
              </w:rPr>
              <w:t>0.92 (0.69 to 1.23)</w:t>
            </w:r>
          </w:p>
        </w:tc>
      </w:tr>
      <w:tr w:rsidR="00E51F42" w14:paraId="499B237E" w14:textId="77777777" w:rsidTr="000A2670">
        <w:tc>
          <w:tcPr>
            <w:tcW w:w="193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6DEFDE9D" w14:textId="77777777" w:rsidR="00FD3F08" w:rsidRDefault="00FD3F08" w:rsidP="00153C8A">
            <w:pPr>
              <w:pStyle w:val="TableText0"/>
              <w:keepNext w:val="0"/>
              <w:widowControl w:val="0"/>
              <w:spacing w:line="252" w:lineRule="auto"/>
              <w:ind w:left="239"/>
              <w:rPr>
                <w:snapToGrid w:val="0"/>
              </w:rPr>
            </w:pPr>
            <w:r>
              <w:rPr>
                <w:snapToGrid w:val="0"/>
              </w:rPr>
              <w:t>Thrombosis due to cardiac device</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263C2406" w14:textId="77777777" w:rsidR="00FD3F08" w:rsidRDefault="00FD3F08" w:rsidP="00153C8A">
            <w:pPr>
              <w:pStyle w:val="TableText0"/>
              <w:keepNext w:val="0"/>
              <w:widowControl w:val="0"/>
              <w:spacing w:line="252" w:lineRule="auto"/>
              <w:rPr>
                <w:snapToGrid w:val="0"/>
              </w:rPr>
            </w:pPr>
            <w:r>
              <w:rPr>
                <w:snapToGrid w:val="0"/>
              </w:rPr>
              <w:t>≤10</w:t>
            </w:r>
            <w:r>
              <w:rPr>
                <w:snapToGrid w:val="0"/>
                <w:vertAlign w:val="superscript"/>
              </w:rPr>
              <w:t>a</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6C3EBEBD" w14:textId="77777777" w:rsidR="00FD3F08" w:rsidRDefault="00FD3F08" w:rsidP="00153C8A">
            <w:pPr>
              <w:pStyle w:val="TableText0"/>
              <w:keepNext w:val="0"/>
              <w:widowControl w:val="0"/>
              <w:spacing w:line="252" w:lineRule="auto"/>
              <w:rPr>
                <w:snapToGrid w:val="0"/>
              </w:rPr>
            </w:pPr>
            <w:r>
              <w:rPr>
                <w:snapToGrid w:val="0"/>
              </w:rPr>
              <w:t>≤10</w:t>
            </w:r>
            <w:r>
              <w:rPr>
                <w:snapToGrid w:val="0"/>
                <w:vertAlign w:val="superscript"/>
              </w:rPr>
              <w:t>a</w:t>
            </w:r>
          </w:p>
        </w:tc>
        <w:tc>
          <w:tcPr>
            <w:tcW w:w="1077" w:type="dxa"/>
            <w:tcBorders>
              <w:top w:val="nil"/>
              <w:left w:val="nil"/>
              <w:bottom w:val="single" w:sz="8" w:space="0" w:color="auto"/>
              <w:right w:val="single" w:sz="8" w:space="0" w:color="auto"/>
            </w:tcBorders>
            <w:tcMar>
              <w:top w:w="0" w:type="dxa"/>
              <w:left w:w="28" w:type="dxa"/>
              <w:bottom w:w="0" w:type="dxa"/>
              <w:right w:w="28" w:type="dxa"/>
            </w:tcMar>
          </w:tcPr>
          <w:p w14:paraId="3E283A38" w14:textId="77777777" w:rsidR="00FD3F08" w:rsidRDefault="00FD3F08" w:rsidP="00153C8A">
            <w:pPr>
              <w:pStyle w:val="TableText0"/>
              <w:keepNext w:val="0"/>
              <w:widowControl w:val="0"/>
              <w:spacing w:line="252" w:lineRule="auto"/>
            </w:pPr>
            <w:r w:rsidRPr="638D78B1">
              <w:t>NE</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284E3D01" w14:textId="77777777" w:rsidR="00FD3F08" w:rsidRDefault="00FD3F08" w:rsidP="00153C8A">
            <w:pPr>
              <w:pStyle w:val="TableText0"/>
              <w:keepNext w:val="0"/>
              <w:widowControl w:val="0"/>
              <w:spacing w:line="252" w:lineRule="auto"/>
              <w:rPr>
                <w:snapToGrid w:val="0"/>
              </w:rPr>
            </w:pPr>
            <w:r>
              <w:rPr>
                <w:snapToGrid w:val="0"/>
              </w:rPr>
              <w:t>0.64</w:t>
            </w:r>
          </w:p>
        </w:tc>
        <w:tc>
          <w:tcPr>
            <w:tcW w:w="1080" w:type="dxa"/>
            <w:tcBorders>
              <w:top w:val="nil"/>
              <w:left w:val="nil"/>
              <w:bottom w:val="single" w:sz="8" w:space="0" w:color="auto"/>
              <w:right w:val="single" w:sz="8" w:space="0" w:color="auto"/>
            </w:tcBorders>
            <w:tcMar>
              <w:top w:w="0" w:type="dxa"/>
              <w:left w:w="28" w:type="dxa"/>
              <w:bottom w:w="0" w:type="dxa"/>
              <w:right w:w="28" w:type="dxa"/>
            </w:tcMar>
          </w:tcPr>
          <w:p w14:paraId="5C870DDA" w14:textId="77777777" w:rsidR="00FD3F08" w:rsidRDefault="00FD3F08" w:rsidP="00153C8A">
            <w:pPr>
              <w:pStyle w:val="TableText0"/>
              <w:keepNext w:val="0"/>
              <w:widowControl w:val="0"/>
              <w:spacing w:line="252" w:lineRule="auto"/>
            </w:pPr>
            <w:r w:rsidRPr="638D78B1">
              <w:t>NE</w:t>
            </w:r>
          </w:p>
        </w:tc>
        <w:tc>
          <w:tcPr>
            <w:tcW w:w="1214" w:type="dxa"/>
            <w:tcBorders>
              <w:top w:val="nil"/>
              <w:left w:val="nil"/>
              <w:bottom w:val="single" w:sz="8" w:space="0" w:color="auto"/>
              <w:right w:val="single" w:sz="8" w:space="0" w:color="auto"/>
            </w:tcBorders>
            <w:tcMar>
              <w:top w:w="0" w:type="dxa"/>
              <w:left w:w="28" w:type="dxa"/>
              <w:bottom w:w="0" w:type="dxa"/>
              <w:right w:w="28" w:type="dxa"/>
            </w:tcMar>
          </w:tcPr>
          <w:p w14:paraId="442B50C4" w14:textId="77777777" w:rsidR="00FD3F08" w:rsidRDefault="00FD3F08" w:rsidP="00153C8A">
            <w:pPr>
              <w:pStyle w:val="TableText0"/>
              <w:keepNext w:val="0"/>
              <w:widowControl w:val="0"/>
              <w:spacing w:line="252" w:lineRule="auto"/>
            </w:pPr>
            <w:r w:rsidRPr="638D78B1">
              <w:t>NE</w:t>
            </w:r>
          </w:p>
        </w:tc>
        <w:tc>
          <w:tcPr>
            <w:tcW w:w="1085" w:type="dxa"/>
            <w:tcBorders>
              <w:top w:val="nil"/>
              <w:left w:val="nil"/>
              <w:bottom w:val="single" w:sz="8" w:space="0" w:color="auto"/>
              <w:right w:val="single" w:sz="8" w:space="0" w:color="auto"/>
            </w:tcBorders>
            <w:tcMar>
              <w:top w:w="0" w:type="dxa"/>
              <w:left w:w="28" w:type="dxa"/>
              <w:bottom w:w="0" w:type="dxa"/>
              <w:right w:w="28" w:type="dxa"/>
            </w:tcMar>
            <w:hideMark/>
          </w:tcPr>
          <w:p w14:paraId="4CC6509C" w14:textId="77777777" w:rsidR="00FD3F08" w:rsidRDefault="00FD3F08" w:rsidP="00153C8A">
            <w:pPr>
              <w:pStyle w:val="TableText0"/>
              <w:keepNext w:val="0"/>
              <w:widowControl w:val="0"/>
              <w:spacing w:line="252" w:lineRule="auto"/>
              <w:rPr>
                <w:snapToGrid w:val="0"/>
              </w:rPr>
            </w:pPr>
            <w:r>
              <w:rPr>
                <w:snapToGrid w:val="0"/>
              </w:rPr>
              <w:t>≤10</w:t>
            </w:r>
            <w:r>
              <w:rPr>
                <w:snapToGrid w:val="0"/>
                <w:vertAlign w:val="superscript"/>
              </w:rPr>
              <w:t>a</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6F0F4F9A" w14:textId="77777777" w:rsidR="00FD3F08" w:rsidRDefault="00FD3F08" w:rsidP="00153C8A">
            <w:pPr>
              <w:pStyle w:val="TableText0"/>
              <w:keepNext w:val="0"/>
              <w:widowControl w:val="0"/>
              <w:spacing w:line="252" w:lineRule="auto"/>
              <w:rPr>
                <w:snapToGrid w:val="0"/>
              </w:rPr>
            </w:pPr>
            <w:r>
              <w:rPr>
                <w:snapToGrid w:val="0"/>
              </w:rPr>
              <w:t>≤10</w:t>
            </w:r>
            <w:r>
              <w:rPr>
                <w:snapToGrid w:val="0"/>
                <w:vertAlign w:val="superscript"/>
              </w:rPr>
              <w:t>a</w:t>
            </w:r>
          </w:p>
        </w:tc>
        <w:tc>
          <w:tcPr>
            <w:tcW w:w="1076" w:type="dxa"/>
            <w:tcBorders>
              <w:top w:val="nil"/>
              <w:left w:val="nil"/>
              <w:bottom w:val="single" w:sz="8" w:space="0" w:color="auto"/>
              <w:right w:val="single" w:sz="8" w:space="0" w:color="auto"/>
            </w:tcBorders>
            <w:tcMar>
              <w:top w:w="0" w:type="dxa"/>
              <w:left w:w="28" w:type="dxa"/>
              <w:bottom w:w="0" w:type="dxa"/>
              <w:right w:w="28" w:type="dxa"/>
            </w:tcMar>
            <w:hideMark/>
          </w:tcPr>
          <w:p w14:paraId="396DCC78" w14:textId="77777777" w:rsidR="00FD3F08" w:rsidRDefault="00FD3F08" w:rsidP="00153C8A">
            <w:pPr>
              <w:pStyle w:val="TableText0"/>
              <w:keepNext w:val="0"/>
              <w:widowControl w:val="0"/>
              <w:spacing w:line="252" w:lineRule="auto"/>
              <w:rPr>
                <w:snapToGrid w:val="0"/>
              </w:rPr>
            </w:pPr>
            <w:r>
              <w:rPr>
                <w:snapToGrid w:val="0"/>
              </w:rPr>
              <w:t>0 (0 to 0)</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4449E572" w14:textId="77777777" w:rsidR="00FD3F08" w:rsidRDefault="00FD3F08" w:rsidP="00153C8A">
            <w:pPr>
              <w:pStyle w:val="TableText0"/>
              <w:keepNext w:val="0"/>
              <w:widowControl w:val="0"/>
              <w:spacing w:line="252" w:lineRule="auto"/>
              <w:rPr>
                <w:snapToGrid w:val="0"/>
              </w:rPr>
            </w:pPr>
            <w:r>
              <w:rPr>
                <w:snapToGrid w:val="0"/>
              </w:rPr>
              <w:t>0.52</w:t>
            </w:r>
          </w:p>
        </w:tc>
        <w:tc>
          <w:tcPr>
            <w:tcW w:w="1072" w:type="dxa"/>
            <w:tcBorders>
              <w:top w:val="nil"/>
              <w:left w:val="nil"/>
              <w:bottom w:val="single" w:sz="8" w:space="0" w:color="auto"/>
              <w:right w:val="single" w:sz="8" w:space="0" w:color="auto"/>
            </w:tcBorders>
            <w:tcMar>
              <w:top w:w="0" w:type="dxa"/>
              <w:left w:w="28" w:type="dxa"/>
              <w:bottom w:w="0" w:type="dxa"/>
              <w:right w:w="28" w:type="dxa"/>
            </w:tcMar>
          </w:tcPr>
          <w:p w14:paraId="61F415B0" w14:textId="77777777" w:rsidR="00FD3F08" w:rsidRPr="004A7A07" w:rsidRDefault="00FD3F08" w:rsidP="00153C8A">
            <w:pPr>
              <w:pStyle w:val="TableText0"/>
              <w:keepNext w:val="0"/>
              <w:widowControl w:val="0"/>
              <w:spacing w:line="252" w:lineRule="auto"/>
              <w:rPr>
                <w:snapToGrid w:val="0"/>
              </w:rPr>
            </w:pPr>
            <w:r w:rsidRPr="004A7A07">
              <w:rPr>
                <w:snapToGrid w:val="0"/>
              </w:rPr>
              <w:t>NA</w:t>
            </w:r>
          </w:p>
        </w:tc>
      </w:tr>
      <w:tr w:rsidR="00E51F42" w14:paraId="50CF10FE" w14:textId="77777777" w:rsidTr="000A2670">
        <w:tc>
          <w:tcPr>
            <w:tcW w:w="193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13088A54" w14:textId="77777777" w:rsidR="00FD3F08" w:rsidRDefault="00FD3F08" w:rsidP="00153C8A">
            <w:pPr>
              <w:pStyle w:val="TableText0"/>
              <w:keepNext w:val="0"/>
              <w:widowControl w:val="0"/>
              <w:spacing w:line="252" w:lineRule="auto"/>
              <w:ind w:left="239"/>
              <w:rPr>
                <w:snapToGrid w:val="0"/>
              </w:rPr>
            </w:pPr>
            <w:r>
              <w:rPr>
                <w:snapToGrid w:val="0"/>
              </w:rPr>
              <w:t>Embolism due to cardiac device</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49AF7848" w14:textId="77777777" w:rsidR="00FD3F08" w:rsidRDefault="00FD3F08" w:rsidP="00153C8A">
            <w:pPr>
              <w:pStyle w:val="TableText0"/>
              <w:keepNext w:val="0"/>
              <w:widowControl w:val="0"/>
              <w:spacing w:line="252" w:lineRule="auto"/>
              <w:rPr>
                <w:snapToGrid w:val="0"/>
              </w:rPr>
            </w:pPr>
            <w:r>
              <w:rPr>
                <w:snapToGrid w:val="0"/>
              </w:rPr>
              <w:t>≤10</w:t>
            </w:r>
            <w:r>
              <w:rPr>
                <w:snapToGrid w:val="0"/>
                <w:vertAlign w:val="superscript"/>
              </w:rPr>
              <w:t>a</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6BA62BBC" w14:textId="77777777" w:rsidR="00FD3F08" w:rsidRDefault="00FD3F08" w:rsidP="00153C8A">
            <w:pPr>
              <w:pStyle w:val="TableText0"/>
              <w:keepNext w:val="0"/>
              <w:widowControl w:val="0"/>
              <w:spacing w:line="252" w:lineRule="auto"/>
              <w:rPr>
                <w:snapToGrid w:val="0"/>
              </w:rPr>
            </w:pPr>
            <w:r>
              <w:rPr>
                <w:snapToGrid w:val="0"/>
              </w:rPr>
              <w:t>0</w:t>
            </w:r>
          </w:p>
        </w:tc>
        <w:tc>
          <w:tcPr>
            <w:tcW w:w="1077" w:type="dxa"/>
            <w:tcBorders>
              <w:top w:val="nil"/>
              <w:left w:val="nil"/>
              <w:bottom w:val="single" w:sz="8" w:space="0" w:color="auto"/>
              <w:right w:val="single" w:sz="8" w:space="0" w:color="auto"/>
            </w:tcBorders>
            <w:tcMar>
              <w:top w:w="0" w:type="dxa"/>
              <w:left w:w="28" w:type="dxa"/>
              <w:bottom w:w="0" w:type="dxa"/>
              <w:right w:w="28" w:type="dxa"/>
            </w:tcMar>
          </w:tcPr>
          <w:p w14:paraId="60E8B35F" w14:textId="77777777" w:rsidR="00FD3F08" w:rsidRDefault="00FD3F08" w:rsidP="00153C8A">
            <w:pPr>
              <w:pStyle w:val="TableText0"/>
              <w:keepNext w:val="0"/>
              <w:widowControl w:val="0"/>
              <w:spacing w:line="252" w:lineRule="auto"/>
            </w:pPr>
            <w:r w:rsidRPr="638D78B1">
              <w:t>NE</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5A3628E3" w14:textId="77777777" w:rsidR="00FD3F08" w:rsidRDefault="00FD3F08" w:rsidP="00153C8A">
            <w:pPr>
              <w:pStyle w:val="TableText0"/>
              <w:keepNext w:val="0"/>
              <w:widowControl w:val="0"/>
              <w:spacing w:line="252" w:lineRule="auto"/>
              <w:rPr>
                <w:snapToGrid w:val="0"/>
              </w:rPr>
            </w:pPr>
            <w:r>
              <w:rPr>
                <w:snapToGrid w:val="0"/>
              </w:rPr>
              <w:t>NA</w:t>
            </w:r>
          </w:p>
        </w:tc>
        <w:tc>
          <w:tcPr>
            <w:tcW w:w="1080" w:type="dxa"/>
            <w:tcBorders>
              <w:top w:val="nil"/>
              <w:left w:val="nil"/>
              <w:bottom w:val="single" w:sz="8" w:space="0" w:color="auto"/>
              <w:right w:val="single" w:sz="8" w:space="0" w:color="auto"/>
            </w:tcBorders>
            <w:tcMar>
              <w:top w:w="0" w:type="dxa"/>
              <w:left w:w="28" w:type="dxa"/>
              <w:bottom w:w="0" w:type="dxa"/>
              <w:right w:w="28" w:type="dxa"/>
            </w:tcMar>
          </w:tcPr>
          <w:p w14:paraId="6ACB8373" w14:textId="77777777" w:rsidR="00FD3F08" w:rsidRDefault="00FD3F08" w:rsidP="00153C8A">
            <w:pPr>
              <w:pStyle w:val="TableText0"/>
              <w:keepNext w:val="0"/>
              <w:widowControl w:val="0"/>
              <w:spacing w:line="252" w:lineRule="auto"/>
            </w:pPr>
            <w:r w:rsidRPr="638D78B1">
              <w:t>NE</w:t>
            </w:r>
          </w:p>
        </w:tc>
        <w:tc>
          <w:tcPr>
            <w:tcW w:w="1214" w:type="dxa"/>
            <w:tcBorders>
              <w:top w:val="nil"/>
              <w:left w:val="nil"/>
              <w:bottom w:val="single" w:sz="8" w:space="0" w:color="auto"/>
              <w:right w:val="single" w:sz="8" w:space="0" w:color="auto"/>
            </w:tcBorders>
            <w:tcMar>
              <w:top w:w="0" w:type="dxa"/>
              <w:left w:w="28" w:type="dxa"/>
              <w:bottom w:w="0" w:type="dxa"/>
              <w:right w:w="28" w:type="dxa"/>
            </w:tcMar>
          </w:tcPr>
          <w:p w14:paraId="1C7EBDB4" w14:textId="77777777" w:rsidR="00FD3F08" w:rsidRDefault="00FD3F08" w:rsidP="00153C8A">
            <w:pPr>
              <w:pStyle w:val="TableText0"/>
              <w:keepNext w:val="0"/>
              <w:widowControl w:val="0"/>
              <w:spacing w:line="252" w:lineRule="auto"/>
            </w:pPr>
            <w:r w:rsidRPr="638D78B1">
              <w:t>NE</w:t>
            </w:r>
          </w:p>
        </w:tc>
        <w:tc>
          <w:tcPr>
            <w:tcW w:w="1085" w:type="dxa"/>
            <w:tcBorders>
              <w:top w:val="nil"/>
              <w:left w:val="nil"/>
              <w:bottom w:val="single" w:sz="8" w:space="0" w:color="auto"/>
              <w:right w:val="single" w:sz="8" w:space="0" w:color="auto"/>
            </w:tcBorders>
            <w:tcMar>
              <w:top w:w="0" w:type="dxa"/>
              <w:left w:w="28" w:type="dxa"/>
              <w:bottom w:w="0" w:type="dxa"/>
              <w:right w:w="28" w:type="dxa"/>
            </w:tcMar>
            <w:hideMark/>
          </w:tcPr>
          <w:p w14:paraId="45405DA9" w14:textId="77777777" w:rsidR="00FD3F08" w:rsidRDefault="00FD3F08" w:rsidP="00153C8A">
            <w:pPr>
              <w:pStyle w:val="TableText0"/>
              <w:keepNext w:val="0"/>
              <w:widowControl w:val="0"/>
              <w:spacing w:line="252" w:lineRule="auto"/>
              <w:rPr>
                <w:snapToGrid w:val="0"/>
              </w:rPr>
            </w:pPr>
            <w:r>
              <w:rPr>
                <w:snapToGrid w:val="0"/>
              </w:rPr>
              <w:t>≤10</w:t>
            </w:r>
            <w:r>
              <w:rPr>
                <w:snapToGrid w:val="0"/>
                <w:vertAlign w:val="superscript"/>
              </w:rPr>
              <w:t>a</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5155E9DF" w14:textId="77777777" w:rsidR="00FD3F08" w:rsidRDefault="00FD3F08" w:rsidP="00153C8A">
            <w:pPr>
              <w:pStyle w:val="TableText0"/>
              <w:keepNext w:val="0"/>
              <w:widowControl w:val="0"/>
              <w:spacing w:line="252" w:lineRule="auto"/>
              <w:rPr>
                <w:snapToGrid w:val="0"/>
              </w:rPr>
            </w:pPr>
            <w:r>
              <w:rPr>
                <w:snapToGrid w:val="0"/>
              </w:rPr>
              <w:t>NA</w:t>
            </w:r>
          </w:p>
        </w:tc>
        <w:tc>
          <w:tcPr>
            <w:tcW w:w="1076" w:type="dxa"/>
            <w:tcBorders>
              <w:top w:val="nil"/>
              <w:left w:val="nil"/>
              <w:bottom w:val="single" w:sz="8" w:space="0" w:color="auto"/>
              <w:right w:val="single" w:sz="8" w:space="0" w:color="auto"/>
            </w:tcBorders>
            <w:tcMar>
              <w:top w:w="0" w:type="dxa"/>
              <w:left w:w="28" w:type="dxa"/>
              <w:bottom w:w="0" w:type="dxa"/>
              <w:right w:w="28" w:type="dxa"/>
            </w:tcMar>
            <w:hideMark/>
          </w:tcPr>
          <w:p w14:paraId="67F9E2CE" w14:textId="77777777" w:rsidR="00FD3F08" w:rsidRDefault="00FD3F08" w:rsidP="00153C8A">
            <w:pPr>
              <w:pStyle w:val="TableText0"/>
              <w:keepNext w:val="0"/>
              <w:widowControl w:val="0"/>
              <w:spacing w:line="252" w:lineRule="auto"/>
              <w:rPr>
                <w:snapToGrid w:val="0"/>
              </w:rPr>
            </w:pPr>
            <w:r>
              <w:rPr>
                <w:snapToGrid w:val="0"/>
              </w:rPr>
              <w:t>NA</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787EEE05" w14:textId="77777777" w:rsidR="00FD3F08" w:rsidRDefault="00FD3F08" w:rsidP="00153C8A">
            <w:pPr>
              <w:pStyle w:val="TableText0"/>
              <w:keepNext w:val="0"/>
              <w:widowControl w:val="0"/>
              <w:spacing w:line="252" w:lineRule="auto"/>
              <w:rPr>
                <w:snapToGrid w:val="0"/>
              </w:rPr>
            </w:pPr>
            <w:r>
              <w:rPr>
                <w:snapToGrid w:val="0"/>
              </w:rPr>
              <w:t>NA</w:t>
            </w:r>
          </w:p>
        </w:tc>
        <w:tc>
          <w:tcPr>
            <w:tcW w:w="1072" w:type="dxa"/>
            <w:tcBorders>
              <w:top w:val="nil"/>
              <w:left w:val="nil"/>
              <w:bottom w:val="single" w:sz="8" w:space="0" w:color="auto"/>
              <w:right w:val="single" w:sz="8" w:space="0" w:color="auto"/>
            </w:tcBorders>
            <w:tcMar>
              <w:top w:w="0" w:type="dxa"/>
              <w:left w:w="28" w:type="dxa"/>
              <w:bottom w:w="0" w:type="dxa"/>
              <w:right w:w="28" w:type="dxa"/>
            </w:tcMar>
          </w:tcPr>
          <w:p w14:paraId="387E3951" w14:textId="77777777" w:rsidR="00FD3F08" w:rsidRPr="004A7A07" w:rsidRDefault="00FD3F08" w:rsidP="00153C8A">
            <w:pPr>
              <w:pStyle w:val="TableText0"/>
              <w:keepNext w:val="0"/>
              <w:widowControl w:val="0"/>
              <w:spacing w:line="252" w:lineRule="auto"/>
              <w:rPr>
                <w:snapToGrid w:val="0"/>
              </w:rPr>
            </w:pPr>
            <w:r w:rsidRPr="004A7A07">
              <w:rPr>
                <w:snapToGrid w:val="0"/>
              </w:rPr>
              <w:t>NA</w:t>
            </w:r>
          </w:p>
        </w:tc>
      </w:tr>
      <w:tr w:rsidR="00E51F42" w14:paraId="6BC6BD31" w14:textId="77777777" w:rsidTr="000A2670">
        <w:tc>
          <w:tcPr>
            <w:tcW w:w="193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39A6BADC" w14:textId="77777777" w:rsidR="00FD3F08" w:rsidRDefault="00FD3F08" w:rsidP="00153C8A">
            <w:pPr>
              <w:pStyle w:val="TableText0"/>
              <w:keepNext w:val="0"/>
              <w:widowControl w:val="0"/>
              <w:spacing w:line="252" w:lineRule="auto"/>
              <w:ind w:firstLine="70"/>
              <w:rPr>
                <w:snapToGrid w:val="0"/>
              </w:rPr>
            </w:pPr>
            <w:r>
              <w:rPr>
                <w:snapToGrid w:val="0"/>
              </w:rPr>
              <w:t>Events at puncture site</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4C5B6482" w14:textId="77777777" w:rsidR="00FD3F08" w:rsidRDefault="00FD3F08" w:rsidP="00153C8A">
            <w:pPr>
              <w:pStyle w:val="TableText0"/>
              <w:keepNext w:val="0"/>
              <w:widowControl w:val="0"/>
              <w:spacing w:line="252" w:lineRule="auto"/>
              <w:rPr>
                <w:snapToGrid w:val="0"/>
              </w:rPr>
            </w:pPr>
            <w:r>
              <w:rPr>
                <w:snapToGrid w:val="0"/>
              </w:rPr>
              <w:t>78 (1.4)</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692BC037" w14:textId="77777777" w:rsidR="00FD3F08" w:rsidRDefault="00FD3F08" w:rsidP="00153C8A">
            <w:pPr>
              <w:pStyle w:val="TableText0"/>
              <w:keepNext w:val="0"/>
              <w:widowControl w:val="0"/>
              <w:spacing w:line="252" w:lineRule="auto"/>
              <w:rPr>
                <w:snapToGrid w:val="0"/>
              </w:rPr>
            </w:pPr>
            <w:r>
              <w:rPr>
                <w:snapToGrid w:val="0"/>
              </w:rPr>
              <w:t>31 (0.3)</w:t>
            </w:r>
          </w:p>
        </w:tc>
        <w:tc>
          <w:tcPr>
            <w:tcW w:w="1077" w:type="dxa"/>
            <w:tcBorders>
              <w:top w:val="nil"/>
              <w:left w:val="nil"/>
              <w:bottom w:val="single" w:sz="8" w:space="0" w:color="auto"/>
              <w:right w:val="single" w:sz="8" w:space="0" w:color="auto"/>
            </w:tcBorders>
            <w:tcMar>
              <w:top w:w="0" w:type="dxa"/>
              <w:left w:w="28" w:type="dxa"/>
              <w:bottom w:w="0" w:type="dxa"/>
              <w:right w:w="28" w:type="dxa"/>
            </w:tcMar>
          </w:tcPr>
          <w:p w14:paraId="4E79FAE3" w14:textId="77777777" w:rsidR="00FD3F08" w:rsidRDefault="00FD3F08" w:rsidP="00153C8A">
            <w:pPr>
              <w:pStyle w:val="TableText0"/>
              <w:keepNext w:val="0"/>
              <w:widowControl w:val="0"/>
              <w:spacing w:line="252" w:lineRule="auto"/>
            </w:pPr>
            <w:r w:rsidRPr="638D78B1">
              <w:t>1.04 (0.72 to 1.36)</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389AA870" w14:textId="77777777" w:rsidR="00FD3F08" w:rsidRDefault="00FD3F08" w:rsidP="00153C8A">
            <w:pPr>
              <w:pStyle w:val="TableText0"/>
              <w:keepNext w:val="0"/>
              <w:widowControl w:val="0"/>
              <w:spacing w:line="252" w:lineRule="auto"/>
              <w:rPr>
                <w:snapToGrid w:val="0"/>
              </w:rPr>
            </w:pPr>
            <w:r>
              <w:rPr>
                <w:snapToGrid w:val="0"/>
              </w:rPr>
              <w:t>&lt;0.001</w:t>
            </w:r>
          </w:p>
        </w:tc>
        <w:tc>
          <w:tcPr>
            <w:tcW w:w="1080" w:type="dxa"/>
            <w:tcBorders>
              <w:top w:val="nil"/>
              <w:left w:val="nil"/>
              <w:bottom w:val="single" w:sz="8" w:space="0" w:color="auto"/>
              <w:right w:val="single" w:sz="8" w:space="0" w:color="auto"/>
            </w:tcBorders>
            <w:tcMar>
              <w:top w:w="0" w:type="dxa"/>
              <w:left w:w="28" w:type="dxa"/>
              <w:bottom w:w="0" w:type="dxa"/>
              <w:right w:w="28" w:type="dxa"/>
            </w:tcMar>
          </w:tcPr>
          <w:p w14:paraId="203C9F97" w14:textId="77777777" w:rsidR="00FD3F08" w:rsidRPr="00386AC3" w:rsidRDefault="00FD3F08" w:rsidP="00153C8A">
            <w:pPr>
              <w:pStyle w:val="TableText0"/>
              <w:keepNext w:val="0"/>
              <w:widowControl w:val="0"/>
              <w:spacing w:line="252" w:lineRule="auto"/>
              <w:rPr>
                <w:rFonts w:cs="Times New Roman"/>
                <w:b/>
                <w:bCs/>
              </w:rPr>
            </w:pPr>
            <w:r w:rsidRPr="00386AC3">
              <w:rPr>
                <w:rFonts w:cs="Times New Roman"/>
                <w:b/>
                <w:bCs/>
              </w:rPr>
              <w:t>4.23 (2.79 to 6.41)</w:t>
            </w:r>
          </w:p>
        </w:tc>
        <w:tc>
          <w:tcPr>
            <w:tcW w:w="1214" w:type="dxa"/>
            <w:tcBorders>
              <w:top w:val="nil"/>
              <w:left w:val="nil"/>
              <w:bottom w:val="single" w:sz="8" w:space="0" w:color="auto"/>
              <w:right w:val="single" w:sz="8" w:space="0" w:color="auto"/>
            </w:tcBorders>
            <w:tcMar>
              <w:top w:w="0" w:type="dxa"/>
              <w:left w:w="28" w:type="dxa"/>
              <w:bottom w:w="0" w:type="dxa"/>
              <w:right w:w="28" w:type="dxa"/>
            </w:tcMar>
          </w:tcPr>
          <w:p w14:paraId="50C32198" w14:textId="77777777" w:rsidR="00FD3F08" w:rsidRPr="00386AC3" w:rsidRDefault="00FD3F08" w:rsidP="00153C8A">
            <w:pPr>
              <w:pStyle w:val="TableText0"/>
              <w:keepNext w:val="0"/>
              <w:widowControl w:val="0"/>
              <w:spacing w:line="252" w:lineRule="auto"/>
              <w:rPr>
                <w:rFonts w:cs="Times New Roman"/>
                <w:b/>
                <w:bCs/>
              </w:rPr>
            </w:pPr>
            <w:r w:rsidRPr="00386AC3">
              <w:rPr>
                <w:rFonts w:cs="Times New Roman"/>
                <w:b/>
                <w:bCs/>
              </w:rPr>
              <w:t>&lt;0.0001</w:t>
            </w:r>
          </w:p>
        </w:tc>
        <w:tc>
          <w:tcPr>
            <w:tcW w:w="1085" w:type="dxa"/>
            <w:tcBorders>
              <w:top w:val="nil"/>
              <w:left w:val="nil"/>
              <w:bottom w:val="single" w:sz="8" w:space="0" w:color="auto"/>
              <w:right w:val="single" w:sz="8" w:space="0" w:color="auto"/>
            </w:tcBorders>
            <w:tcMar>
              <w:top w:w="0" w:type="dxa"/>
              <w:left w:w="28" w:type="dxa"/>
              <w:bottom w:w="0" w:type="dxa"/>
              <w:right w:w="28" w:type="dxa"/>
            </w:tcMar>
            <w:hideMark/>
          </w:tcPr>
          <w:p w14:paraId="68ECB7D5" w14:textId="77777777" w:rsidR="00FD3F08" w:rsidRDefault="00FD3F08" w:rsidP="00153C8A">
            <w:pPr>
              <w:pStyle w:val="TableText0"/>
              <w:keepNext w:val="0"/>
              <w:widowControl w:val="0"/>
              <w:spacing w:line="252" w:lineRule="auto"/>
              <w:rPr>
                <w:snapToGrid w:val="0"/>
              </w:rPr>
            </w:pPr>
            <w:r>
              <w:rPr>
                <w:snapToGrid w:val="0"/>
              </w:rPr>
              <w:t>69 (1.2)</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5C554AA2" w14:textId="77777777" w:rsidR="00FD3F08" w:rsidRDefault="00FD3F08" w:rsidP="00153C8A">
            <w:pPr>
              <w:pStyle w:val="TableText0"/>
              <w:keepNext w:val="0"/>
              <w:widowControl w:val="0"/>
              <w:spacing w:line="252" w:lineRule="auto"/>
              <w:rPr>
                <w:snapToGrid w:val="0"/>
              </w:rPr>
            </w:pPr>
            <w:r>
              <w:rPr>
                <w:snapToGrid w:val="0"/>
              </w:rPr>
              <w:t>29 (0.3)</w:t>
            </w:r>
          </w:p>
        </w:tc>
        <w:tc>
          <w:tcPr>
            <w:tcW w:w="1076" w:type="dxa"/>
            <w:tcBorders>
              <w:top w:val="nil"/>
              <w:left w:val="nil"/>
              <w:bottom w:val="single" w:sz="8" w:space="0" w:color="auto"/>
              <w:right w:val="single" w:sz="8" w:space="0" w:color="auto"/>
            </w:tcBorders>
            <w:tcMar>
              <w:top w:w="0" w:type="dxa"/>
              <w:left w:w="28" w:type="dxa"/>
              <w:bottom w:w="0" w:type="dxa"/>
              <w:right w:w="28" w:type="dxa"/>
            </w:tcMar>
            <w:hideMark/>
          </w:tcPr>
          <w:p w14:paraId="4F1D040A" w14:textId="77777777" w:rsidR="00FD3F08" w:rsidRPr="00386AC3" w:rsidRDefault="00FD3F08" w:rsidP="00153C8A">
            <w:pPr>
              <w:pStyle w:val="TableText0"/>
              <w:keepNext w:val="0"/>
              <w:widowControl w:val="0"/>
              <w:spacing w:line="252" w:lineRule="auto"/>
              <w:rPr>
                <w:b/>
                <w:bCs/>
                <w:snapToGrid w:val="0"/>
              </w:rPr>
            </w:pPr>
            <w:r w:rsidRPr="00386AC3">
              <w:rPr>
                <w:b/>
                <w:bCs/>
                <w:snapToGrid w:val="0"/>
              </w:rPr>
              <w:t>0.8 (0.5 to 1.2)</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2730CFA6" w14:textId="77777777" w:rsidR="00FD3F08" w:rsidRPr="00386AC3" w:rsidRDefault="00FD3F08" w:rsidP="00153C8A">
            <w:pPr>
              <w:pStyle w:val="TableText0"/>
              <w:keepNext w:val="0"/>
              <w:widowControl w:val="0"/>
              <w:spacing w:line="252" w:lineRule="auto"/>
              <w:rPr>
                <w:b/>
                <w:bCs/>
                <w:snapToGrid w:val="0"/>
              </w:rPr>
            </w:pPr>
            <w:r w:rsidRPr="00386AC3">
              <w:rPr>
                <w:b/>
                <w:bCs/>
                <w:snapToGrid w:val="0"/>
              </w:rPr>
              <w:t>&lt;0.001</w:t>
            </w:r>
          </w:p>
        </w:tc>
        <w:tc>
          <w:tcPr>
            <w:tcW w:w="1072" w:type="dxa"/>
            <w:tcBorders>
              <w:top w:val="nil"/>
              <w:left w:val="nil"/>
              <w:bottom w:val="single" w:sz="8" w:space="0" w:color="auto"/>
              <w:right w:val="single" w:sz="8" w:space="0" w:color="auto"/>
            </w:tcBorders>
            <w:tcMar>
              <w:top w:w="0" w:type="dxa"/>
              <w:left w:w="28" w:type="dxa"/>
              <w:bottom w:w="0" w:type="dxa"/>
              <w:right w:w="28" w:type="dxa"/>
            </w:tcMar>
          </w:tcPr>
          <w:p w14:paraId="169AC8E2" w14:textId="77777777" w:rsidR="00FD3F08" w:rsidRPr="00386AC3" w:rsidRDefault="00FD3F08" w:rsidP="00153C8A">
            <w:pPr>
              <w:pStyle w:val="TableText0"/>
              <w:keepNext w:val="0"/>
              <w:widowControl w:val="0"/>
              <w:spacing w:line="252" w:lineRule="auto"/>
              <w:rPr>
                <w:b/>
                <w:bCs/>
                <w:snapToGrid w:val="0"/>
              </w:rPr>
            </w:pPr>
            <w:r w:rsidRPr="00386AC3">
              <w:rPr>
                <w:b/>
                <w:bCs/>
                <w:snapToGrid w:val="0"/>
              </w:rPr>
              <w:t>4.00 (2.60 to 6.17)</w:t>
            </w:r>
          </w:p>
        </w:tc>
      </w:tr>
      <w:tr w:rsidR="00E51F42" w14:paraId="2E4A3861" w14:textId="77777777" w:rsidTr="000A2670">
        <w:tc>
          <w:tcPr>
            <w:tcW w:w="193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2107DCD9" w14:textId="77777777" w:rsidR="00FD3F08" w:rsidRDefault="00FD3F08" w:rsidP="00153C8A">
            <w:pPr>
              <w:pStyle w:val="TableText0"/>
              <w:keepNext w:val="0"/>
              <w:widowControl w:val="0"/>
              <w:spacing w:line="252" w:lineRule="auto"/>
              <w:ind w:firstLine="227"/>
              <w:rPr>
                <w:snapToGrid w:val="0"/>
              </w:rPr>
            </w:pPr>
            <w:r>
              <w:rPr>
                <w:snapToGrid w:val="0"/>
              </w:rPr>
              <w:t>Arteriovenous fistula</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45B0232F" w14:textId="77777777" w:rsidR="00FD3F08" w:rsidRDefault="00FD3F08" w:rsidP="00153C8A">
            <w:pPr>
              <w:pStyle w:val="TableText0"/>
              <w:keepNext w:val="0"/>
              <w:widowControl w:val="0"/>
              <w:spacing w:line="252" w:lineRule="auto"/>
              <w:rPr>
                <w:snapToGrid w:val="0"/>
              </w:rPr>
            </w:pPr>
            <w:r>
              <w:rPr>
                <w:snapToGrid w:val="0"/>
              </w:rPr>
              <w:t>40 (0.7)</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11429E50" w14:textId="77777777" w:rsidR="00FD3F08" w:rsidRDefault="00FD3F08" w:rsidP="00153C8A">
            <w:pPr>
              <w:pStyle w:val="TableText0"/>
              <w:keepNext w:val="0"/>
              <w:widowControl w:val="0"/>
              <w:spacing w:line="252" w:lineRule="auto"/>
              <w:rPr>
                <w:snapToGrid w:val="0"/>
              </w:rPr>
            </w:pPr>
            <w:r>
              <w:rPr>
                <w:snapToGrid w:val="0"/>
              </w:rPr>
              <w:t>≤10a</w:t>
            </w:r>
          </w:p>
        </w:tc>
        <w:tc>
          <w:tcPr>
            <w:tcW w:w="1077" w:type="dxa"/>
            <w:tcBorders>
              <w:top w:val="nil"/>
              <w:left w:val="nil"/>
              <w:bottom w:val="single" w:sz="8" w:space="0" w:color="auto"/>
              <w:right w:val="single" w:sz="8" w:space="0" w:color="auto"/>
            </w:tcBorders>
            <w:tcMar>
              <w:top w:w="0" w:type="dxa"/>
              <w:left w:w="28" w:type="dxa"/>
              <w:bottom w:w="0" w:type="dxa"/>
              <w:right w:w="28" w:type="dxa"/>
            </w:tcMar>
          </w:tcPr>
          <w:p w14:paraId="43C02D8B" w14:textId="77777777" w:rsidR="00FD3F08" w:rsidRDefault="00FD3F08" w:rsidP="00153C8A">
            <w:pPr>
              <w:pStyle w:val="TableText0"/>
              <w:keepNext w:val="0"/>
              <w:widowControl w:val="0"/>
              <w:spacing w:line="252" w:lineRule="auto"/>
            </w:pPr>
            <w:r w:rsidRPr="638D78B1">
              <w:t>NE</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3E9FF61A" w14:textId="77777777" w:rsidR="00FD3F08" w:rsidRDefault="00FD3F08" w:rsidP="00153C8A">
            <w:pPr>
              <w:pStyle w:val="TableText0"/>
              <w:keepNext w:val="0"/>
              <w:widowControl w:val="0"/>
              <w:spacing w:line="252" w:lineRule="auto"/>
              <w:rPr>
                <w:snapToGrid w:val="0"/>
              </w:rPr>
            </w:pPr>
            <w:r>
              <w:rPr>
                <w:snapToGrid w:val="0"/>
              </w:rPr>
              <w:t>&lt;0.001</w:t>
            </w:r>
          </w:p>
        </w:tc>
        <w:tc>
          <w:tcPr>
            <w:tcW w:w="1080" w:type="dxa"/>
            <w:tcBorders>
              <w:top w:val="nil"/>
              <w:left w:val="nil"/>
              <w:bottom w:val="single" w:sz="8" w:space="0" w:color="auto"/>
              <w:right w:val="single" w:sz="8" w:space="0" w:color="auto"/>
            </w:tcBorders>
            <w:tcMar>
              <w:top w:w="0" w:type="dxa"/>
              <w:left w:w="28" w:type="dxa"/>
              <w:bottom w:w="0" w:type="dxa"/>
              <w:right w:w="28" w:type="dxa"/>
            </w:tcMar>
          </w:tcPr>
          <w:p w14:paraId="19B11DA9" w14:textId="77777777" w:rsidR="00FD3F08" w:rsidRDefault="00FD3F08" w:rsidP="00153C8A">
            <w:pPr>
              <w:pStyle w:val="TableText0"/>
              <w:keepNext w:val="0"/>
              <w:widowControl w:val="0"/>
              <w:spacing w:line="252" w:lineRule="auto"/>
            </w:pPr>
            <w:r w:rsidRPr="638D78B1">
              <w:t>NE</w:t>
            </w:r>
          </w:p>
        </w:tc>
        <w:tc>
          <w:tcPr>
            <w:tcW w:w="1214" w:type="dxa"/>
            <w:tcBorders>
              <w:top w:val="nil"/>
              <w:left w:val="nil"/>
              <w:bottom w:val="single" w:sz="8" w:space="0" w:color="auto"/>
              <w:right w:val="single" w:sz="8" w:space="0" w:color="auto"/>
            </w:tcBorders>
            <w:tcMar>
              <w:top w:w="0" w:type="dxa"/>
              <w:left w:w="28" w:type="dxa"/>
              <w:bottom w:w="0" w:type="dxa"/>
              <w:right w:w="28" w:type="dxa"/>
            </w:tcMar>
          </w:tcPr>
          <w:p w14:paraId="3ACBAA8C" w14:textId="77777777" w:rsidR="00FD3F08" w:rsidRDefault="00FD3F08" w:rsidP="00153C8A">
            <w:pPr>
              <w:pStyle w:val="TableText0"/>
              <w:keepNext w:val="0"/>
              <w:widowControl w:val="0"/>
              <w:spacing w:line="252" w:lineRule="auto"/>
            </w:pPr>
            <w:r w:rsidRPr="638D78B1">
              <w:t>NE</w:t>
            </w:r>
          </w:p>
        </w:tc>
        <w:tc>
          <w:tcPr>
            <w:tcW w:w="1085" w:type="dxa"/>
            <w:tcBorders>
              <w:top w:val="nil"/>
              <w:left w:val="nil"/>
              <w:bottom w:val="single" w:sz="8" w:space="0" w:color="auto"/>
              <w:right w:val="single" w:sz="8" w:space="0" w:color="auto"/>
            </w:tcBorders>
            <w:tcMar>
              <w:top w:w="0" w:type="dxa"/>
              <w:left w:w="28" w:type="dxa"/>
              <w:bottom w:w="0" w:type="dxa"/>
              <w:right w:w="28" w:type="dxa"/>
            </w:tcMar>
            <w:hideMark/>
          </w:tcPr>
          <w:p w14:paraId="325A81A5" w14:textId="77777777" w:rsidR="00FD3F08" w:rsidRDefault="00FD3F08" w:rsidP="00153C8A">
            <w:pPr>
              <w:pStyle w:val="TableText0"/>
              <w:keepNext w:val="0"/>
              <w:widowControl w:val="0"/>
              <w:spacing w:line="252" w:lineRule="auto"/>
              <w:rPr>
                <w:snapToGrid w:val="0"/>
              </w:rPr>
            </w:pPr>
            <w:r>
              <w:rPr>
                <w:snapToGrid w:val="0"/>
              </w:rPr>
              <w:t>29 (0.5)</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552C670A" w14:textId="77777777" w:rsidR="00FD3F08" w:rsidRDefault="00FD3F08" w:rsidP="00153C8A">
            <w:pPr>
              <w:pStyle w:val="TableText0"/>
              <w:keepNext w:val="0"/>
              <w:widowControl w:val="0"/>
              <w:spacing w:line="252" w:lineRule="auto"/>
              <w:rPr>
                <w:snapToGrid w:val="0"/>
              </w:rPr>
            </w:pPr>
            <w:r>
              <w:rPr>
                <w:snapToGrid w:val="0"/>
              </w:rPr>
              <w:t>NA</w:t>
            </w:r>
          </w:p>
        </w:tc>
        <w:tc>
          <w:tcPr>
            <w:tcW w:w="1076" w:type="dxa"/>
            <w:tcBorders>
              <w:top w:val="nil"/>
              <w:left w:val="nil"/>
              <w:bottom w:val="single" w:sz="8" w:space="0" w:color="auto"/>
              <w:right w:val="single" w:sz="8" w:space="0" w:color="auto"/>
            </w:tcBorders>
            <w:tcMar>
              <w:top w:w="0" w:type="dxa"/>
              <w:left w:w="28" w:type="dxa"/>
              <w:bottom w:w="0" w:type="dxa"/>
              <w:right w:w="28" w:type="dxa"/>
            </w:tcMar>
            <w:hideMark/>
          </w:tcPr>
          <w:p w14:paraId="2379CB24" w14:textId="77777777" w:rsidR="00FD3F08" w:rsidRPr="00386AC3" w:rsidRDefault="00FD3F08" w:rsidP="00153C8A">
            <w:pPr>
              <w:pStyle w:val="TableText0"/>
              <w:keepNext w:val="0"/>
              <w:widowControl w:val="0"/>
              <w:spacing w:line="252" w:lineRule="auto"/>
              <w:rPr>
                <w:b/>
                <w:bCs/>
                <w:snapToGrid w:val="0"/>
              </w:rPr>
            </w:pPr>
            <w:r w:rsidRPr="00386AC3">
              <w:rPr>
                <w:b/>
                <w:bCs/>
                <w:snapToGrid w:val="0"/>
              </w:rPr>
              <w:t>NA</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1272FC1F" w14:textId="77777777" w:rsidR="00FD3F08" w:rsidRPr="00386AC3" w:rsidRDefault="00FD3F08" w:rsidP="00153C8A">
            <w:pPr>
              <w:pStyle w:val="TableText0"/>
              <w:keepNext w:val="0"/>
              <w:widowControl w:val="0"/>
              <w:spacing w:line="252" w:lineRule="auto"/>
              <w:rPr>
                <w:b/>
                <w:bCs/>
                <w:snapToGrid w:val="0"/>
              </w:rPr>
            </w:pPr>
            <w:r w:rsidRPr="00386AC3">
              <w:rPr>
                <w:b/>
                <w:bCs/>
                <w:snapToGrid w:val="0"/>
              </w:rPr>
              <w:t>0.003</w:t>
            </w:r>
          </w:p>
        </w:tc>
        <w:tc>
          <w:tcPr>
            <w:tcW w:w="1072" w:type="dxa"/>
            <w:tcBorders>
              <w:top w:val="nil"/>
              <w:left w:val="nil"/>
              <w:bottom w:val="single" w:sz="8" w:space="0" w:color="auto"/>
              <w:right w:val="single" w:sz="8" w:space="0" w:color="auto"/>
            </w:tcBorders>
            <w:tcMar>
              <w:top w:w="0" w:type="dxa"/>
              <w:left w:w="28" w:type="dxa"/>
              <w:bottom w:w="0" w:type="dxa"/>
              <w:right w:w="28" w:type="dxa"/>
            </w:tcMar>
          </w:tcPr>
          <w:p w14:paraId="603EF525" w14:textId="77777777" w:rsidR="00FD3F08" w:rsidRPr="00386AC3" w:rsidRDefault="00FD3F08" w:rsidP="00153C8A">
            <w:pPr>
              <w:pStyle w:val="TableText0"/>
              <w:keepNext w:val="0"/>
              <w:widowControl w:val="0"/>
              <w:spacing w:line="252" w:lineRule="auto"/>
              <w:rPr>
                <w:b/>
                <w:bCs/>
                <w:snapToGrid w:val="0"/>
              </w:rPr>
            </w:pPr>
            <w:r w:rsidRPr="00386AC3">
              <w:rPr>
                <w:b/>
                <w:bCs/>
                <w:snapToGrid w:val="0"/>
              </w:rPr>
              <w:t>NA</w:t>
            </w:r>
          </w:p>
        </w:tc>
      </w:tr>
      <w:tr w:rsidR="00E51F42" w14:paraId="634754CB" w14:textId="77777777" w:rsidTr="000A2670">
        <w:tc>
          <w:tcPr>
            <w:tcW w:w="193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06554454" w14:textId="77777777" w:rsidR="00FD3F08" w:rsidRDefault="00FD3F08" w:rsidP="00153C8A">
            <w:pPr>
              <w:pStyle w:val="TableText0"/>
              <w:keepNext w:val="0"/>
              <w:widowControl w:val="0"/>
              <w:spacing w:line="252" w:lineRule="auto"/>
              <w:ind w:firstLine="227"/>
              <w:rPr>
                <w:snapToGrid w:val="0"/>
              </w:rPr>
            </w:pPr>
            <w:r>
              <w:rPr>
                <w:snapToGrid w:val="0"/>
              </w:rPr>
              <w:t>Vascular aneurysm</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102AF7B3" w14:textId="77777777" w:rsidR="00FD3F08" w:rsidRDefault="00FD3F08" w:rsidP="00153C8A">
            <w:pPr>
              <w:pStyle w:val="TableText0"/>
              <w:keepNext w:val="0"/>
              <w:widowControl w:val="0"/>
              <w:spacing w:line="252" w:lineRule="auto"/>
              <w:rPr>
                <w:snapToGrid w:val="0"/>
              </w:rPr>
            </w:pPr>
            <w:r>
              <w:rPr>
                <w:snapToGrid w:val="0"/>
              </w:rPr>
              <w:t>49 (0.9)</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5B6D55CF" w14:textId="77777777" w:rsidR="00FD3F08" w:rsidRDefault="00FD3F08" w:rsidP="00153C8A">
            <w:pPr>
              <w:pStyle w:val="TableText0"/>
              <w:keepNext w:val="0"/>
              <w:widowControl w:val="0"/>
              <w:spacing w:line="252" w:lineRule="auto"/>
              <w:rPr>
                <w:snapToGrid w:val="0"/>
              </w:rPr>
            </w:pPr>
            <w:r>
              <w:rPr>
                <w:snapToGrid w:val="0"/>
              </w:rPr>
              <w:t>24 (0.3)</w:t>
            </w:r>
          </w:p>
        </w:tc>
        <w:tc>
          <w:tcPr>
            <w:tcW w:w="1077" w:type="dxa"/>
            <w:tcBorders>
              <w:top w:val="nil"/>
              <w:left w:val="nil"/>
              <w:bottom w:val="single" w:sz="8" w:space="0" w:color="auto"/>
              <w:right w:val="single" w:sz="8" w:space="0" w:color="auto"/>
            </w:tcBorders>
            <w:tcMar>
              <w:top w:w="0" w:type="dxa"/>
              <w:left w:w="28" w:type="dxa"/>
              <w:bottom w:w="0" w:type="dxa"/>
              <w:right w:w="28" w:type="dxa"/>
            </w:tcMar>
          </w:tcPr>
          <w:p w14:paraId="0C81C07E" w14:textId="77777777" w:rsidR="00FD3F08" w:rsidRPr="00386AC3" w:rsidRDefault="00FD3F08" w:rsidP="00153C8A">
            <w:pPr>
              <w:pStyle w:val="TableText0"/>
              <w:keepNext w:val="0"/>
              <w:widowControl w:val="0"/>
              <w:spacing w:line="252" w:lineRule="auto"/>
              <w:rPr>
                <w:rFonts w:cs="Times New Roman"/>
                <w:b/>
                <w:bCs/>
              </w:rPr>
            </w:pPr>
            <w:r w:rsidRPr="00386AC3">
              <w:rPr>
                <w:rFonts w:cs="Times New Roman"/>
                <w:b/>
                <w:bCs/>
              </w:rPr>
              <w:t>0.60 (0.35 to 0.86)</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68C25087" w14:textId="77777777" w:rsidR="00FD3F08" w:rsidRDefault="00FD3F08" w:rsidP="00153C8A">
            <w:pPr>
              <w:pStyle w:val="TableText0"/>
              <w:keepNext w:val="0"/>
              <w:widowControl w:val="0"/>
              <w:spacing w:line="252" w:lineRule="auto"/>
              <w:rPr>
                <w:snapToGrid w:val="0"/>
              </w:rPr>
            </w:pPr>
            <w:r>
              <w:rPr>
                <w:snapToGrid w:val="0"/>
              </w:rPr>
              <w:t>&lt;0.001</w:t>
            </w:r>
          </w:p>
        </w:tc>
        <w:tc>
          <w:tcPr>
            <w:tcW w:w="1080" w:type="dxa"/>
            <w:tcBorders>
              <w:top w:val="nil"/>
              <w:left w:val="nil"/>
              <w:bottom w:val="single" w:sz="8" w:space="0" w:color="auto"/>
              <w:right w:val="single" w:sz="8" w:space="0" w:color="auto"/>
            </w:tcBorders>
            <w:tcMar>
              <w:top w:w="0" w:type="dxa"/>
              <w:left w:w="28" w:type="dxa"/>
              <w:bottom w:w="0" w:type="dxa"/>
              <w:right w:w="28" w:type="dxa"/>
            </w:tcMar>
          </w:tcPr>
          <w:p w14:paraId="01983213" w14:textId="77777777" w:rsidR="00FD3F08" w:rsidRPr="00386AC3" w:rsidRDefault="00FD3F08" w:rsidP="00153C8A">
            <w:pPr>
              <w:pStyle w:val="TableText0"/>
              <w:keepNext w:val="0"/>
              <w:widowControl w:val="0"/>
              <w:spacing w:line="252" w:lineRule="auto"/>
              <w:rPr>
                <w:rFonts w:cs="Times New Roman"/>
                <w:b/>
                <w:bCs/>
              </w:rPr>
            </w:pPr>
            <w:r w:rsidRPr="00386AC3">
              <w:rPr>
                <w:rFonts w:cs="Times New Roman"/>
                <w:b/>
                <w:bCs/>
              </w:rPr>
              <w:t>3.43 (2.11 to 5.59)</w:t>
            </w:r>
          </w:p>
        </w:tc>
        <w:tc>
          <w:tcPr>
            <w:tcW w:w="1214" w:type="dxa"/>
            <w:tcBorders>
              <w:top w:val="nil"/>
              <w:left w:val="nil"/>
              <w:bottom w:val="single" w:sz="8" w:space="0" w:color="auto"/>
              <w:right w:val="single" w:sz="8" w:space="0" w:color="auto"/>
            </w:tcBorders>
            <w:tcMar>
              <w:top w:w="0" w:type="dxa"/>
              <w:left w:w="28" w:type="dxa"/>
              <w:bottom w:w="0" w:type="dxa"/>
              <w:right w:w="28" w:type="dxa"/>
            </w:tcMar>
          </w:tcPr>
          <w:p w14:paraId="46C5AD03" w14:textId="77777777" w:rsidR="00FD3F08" w:rsidRPr="00386AC3" w:rsidRDefault="00FD3F08" w:rsidP="00153C8A">
            <w:pPr>
              <w:pStyle w:val="TableText0"/>
              <w:keepNext w:val="0"/>
              <w:widowControl w:val="0"/>
              <w:spacing w:line="252" w:lineRule="auto"/>
              <w:rPr>
                <w:rFonts w:cs="Times New Roman"/>
                <w:b/>
                <w:bCs/>
              </w:rPr>
            </w:pPr>
            <w:r w:rsidRPr="00386AC3">
              <w:rPr>
                <w:rFonts w:cs="Times New Roman"/>
                <w:b/>
                <w:bCs/>
              </w:rPr>
              <w:t>&lt;0.0001</w:t>
            </w:r>
          </w:p>
        </w:tc>
        <w:tc>
          <w:tcPr>
            <w:tcW w:w="1085" w:type="dxa"/>
            <w:tcBorders>
              <w:top w:val="nil"/>
              <w:left w:val="nil"/>
              <w:bottom w:val="single" w:sz="8" w:space="0" w:color="auto"/>
              <w:right w:val="single" w:sz="8" w:space="0" w:color="auto"/>
            </w:tcBorders>
            <w:tcMar>
              <w:top w:w="0" w:type="dxa"/>
              <w:left w:w="28" w:type="dxa"/>
              <w:bottom w:w="0" w:type="dxa"/>
              <w:right w:w="28" w:type="dxa"/>
            </w:tcMar>
            <w:hideMark/>
          </w:tcPr>
          <w:p w14:paraId="288B2914" w14:textId="77777777" w:rsidR="00FD3F08" w:rsidRDefault="00FD3F08" w:rsidP="00153C8A">
            <w:pPr>
              <w:pStyle w:val="TableText0"/>
              <w:keepNext w:val="0"/>
              <w:widowControl w:val="0"/>
              <w:spacing w:line="252" w:lineRule="auto"/>
              <w:rPr>
                <w:snapToGrid w:val="0"/>
              </w:rPr>
            </w:pPr>
            <w:r>
              <w:rPr>
                <w:snapToGrid w:val="0"/>
              </w:rPr>
              <w:t>52 (0.9)</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7DB3B329" w14:textId="77777777" w:rsidR="00FD3F08" w:rsidRDefault="00FD3F08" w:rsidP="00153C8A">
            <w:pPr>
              <w:pStyle w:val="TableText0"/>
              <w:keepNext w:val="0"/>
              <w:widowControl w:val="0"/>
              <w:spacing w:line="252" w:lineRule="auto"/>
              <w:rPr>
                <w:snapToGrid w:val="0"/>
              </w:rPr>
            </w:pPr>
            <w:r>
              <w:rPr>
                <w:snapToGrid w:val="0"/>
              </w:rPr>
              <w:t>19 (0.2)</w:t>
            </w:r>
          </w:p>
        </w:tc>
        <w:tc>
          <w:tcPr>
            <w:tcW w:w="1076" w:type="dxa"/>
            <w:tcBorders>
              <w:top w:val="nil"/>
              <w:left w:val="nil"/>
              <w:bottom w:val="single" w:sz="8" w:space="0" w:color="auto"/>
              <w:right w:val="single" w:sz="8" w:space="0" w:color="auto"/>
            </w:tcBorders>
            <w:tcMar>
              <w:top w:w="0" w:type="dxa"/>
              <w:left w:w="28" w:type="dxa"/>
              <w:bottom w:w="0" w:type="dxa"/>
              <w:right w:w="28" w:type="dxa"/>
            </w:tcMar>
            <w:hideMark/>
          </w:tcPr>
          <w:p w14:paraId="71ED365C" w14:textId="77777777" w:rsidR="00FD3F08" w:rsidRPr="00386AC3" w:rsidRDefault="00FD3F08" w:rsidP="00153C8A">
            <w:pPr>
              <w:pStyle w:val="TableText0"/>
              <w:keepNext w:val="0"/>
              <w:widowControl w:val="0"/>
              <w:spacing w:line="252" w:lineRule="auto"/>
              <w:rPr>
                <w:b/>
                <w:bCs/>
                <w:snapToGrid w:val="0"/>
              </w:rPr>
            </w:pPr>
            <w:r w:rsidRPr="00386AC3">
              <w:rPr>
                <w:b/>
                <w:bCs/>
                <w:snapToGrid w:val="0"/>
              </w:rPr>
              <w:t>0.7 (0.4 to 0.9)</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344B5B0A" w14:textId="77777777" w:rsidR="00FD3F08" w:rsidRPr="00386AC3" w:rsidRDefault="00FD3F08" w:rsidP="00153C8A">
            <w:pPr>
              <w:pStyle w:val="TableText0"/>
              <w:keepNext w:val="0"/>
              <w:widowControl w:val="0"/>
              <w:spacing w:line="252" w:lineRule="auto"/>
              <w:rPr>
                <w:b/>
                <w:bCs/>
                <w:snapToGrid w:val="0"/>
              </w:rPr>
            </w:pPr>
            <w:r w:rsidRPr="00386AC3">
              <w:rPr>
                <w:b/>
                <w:bCs/>
                <w:snapToGrid w:val="0"/>
              </w:rPr>
              <w:t>&lt;0.001</w:t>
            </w:r>
          </w:p>
        </w:tc>
        <w:tc>
          <w:tcPr>
            <w:tcW w:w="1072" w:type="dxa"/>
            <w:tcBorders>
              <w:top w:val="nil"/>
              <w:left w:val="nil"/>
              <w:bottom w:val="single" w:sz="8" w:space="0" w:color="auto"/>
              <w:right w:val="single" w:sz="8" w:space="0" w:color="auto"/>
            </w:tcBorders>
            <w:tcMar>
              <w:top w:w="0" w:type="dxa"/>
              <w:left w:w="28" w:type="dxa"/>
              <w:bottom w:w="0" w:type="dxa"/>
              <w:right w:w="28" w:type="dxa"/>
            </w:tcMar>
          </w:tcPr>
          <w:p w14:paraId="49F04C99" w14:textId="77777777" w:rsidR="00FD3F08" w:rsidRPr="00386AC3" w:rsidRDefault="00FD3F08" w:rsidP="00153C8A">
            <w:pPr>
              <w:pStyle w:val="TableText0"/>
              <w:keepNext w:val="0"/>
              <w:widowControl w:val="0"/>
              <w:spacing w:line="252" w:lineRule="auto"/>
              <w:rPr>
                <w:b/>
                <w:bCs/>
                <w:snapToGrid w:val="0"/>
              </w:rPr>
            </w:pPr>
            <w:r w:rsidRPr="00386AC3">
              <w:rPr>
                <w:b/>
                <w:bCs/>
                <w:snapToGrid w:val="0"/>
              </w:rPr>
              <w:t>4.60 (2.72 to 7.77)</w:t>
            </w:r>
          </w:p>
        </w:tc>
      </w:tr>
      <w:tr w:rsidR="00E51F42" w14:paraId="150449FA" w14:textId="77777777" w:rsidTr="000A2670">
        <w:tc>
          <w:tcPr>
            <w:tcW w:w="193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71AD098C" w14:textId="77777777" w:rsidR="00FD3F08" w:rsidRDefault="00FD3F08" w:rsidP="00153C8A">
            <w:pPr>
              <w:pStyle w:val="TableText0"/>
              <w:keepNext w:val="0"/>
              <w:widowControl w:val="0"/>
              <w:spacing w:line="252" w:lineRule="auto"/>
              <w:ind w:left="97"/>
              <w:rPr>
                <w:snapToGrid w:val="0"/>
              </w:rPr>
            </w:pPr>
            <w:r>
              <w:rPr>
                <w:snapToGrid w:val="0"/>
              </w:rPr>
              <w:t>Cardiac effusion and/or perforation</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1654428A" w14:textId="77777777" w:rsidR="00FD3F08" w:rsidRDefault="00FD3F08" w:rsidP="00153C8A">
            <w:pPr>
              <w:pStyle w:val="TableText0"/>
              <w:keepNext w:val="0"/>
              <w:widowControl w:val="0"/>
              <w:spacing w:line="252" w:lineRule="auto"/>
              <w:rPr>
                <w:snapToGrid w:val="0"/>
              </w:rPr>
            </w:pPr>
            <w:r>
              <w:rPr>
                <w:snapToGrid w:val="0"/>
              </w:rPr>
              <w:t>47 (0.8)</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39895338" w14:textId="77777777" w:rsidR="00FD3F08" w:rsidRDefault="00FD3F08" w:rsidP="00153C8A">
            <w:pPr>
              <w:pStyle w:val="TableText0"/>
              <w:keepNext w:val="0"/>
              <w:widowControl w:val="0"/>
              <w:spacing w:line="252" w:lineRule="auto"/>
              <w:rPr>
                <w:snapToGrid w:val="0"/>
              </w:rPr>
            </w:pPr>
            <w:r>
              <w:rPr>
                <w:snapToGrid w:val="0"/>
              </w:rPr>
              <w:t>38 (0.4)</w:t>
            </w:r>
          </w:p>
        </w:tc>
        <w:tc>
          <w:tcPr>
            <w:tcW w:w="1077" w:type="dxa"/>
            <w:tcBorders>
              <w:top w:val="nil"/>
              <w:left w:val="nil"/>
              <w:bottom w:val="single" w:sz="8" w:space="0" w:color="auto"/>
              <w:right w:val="single" w:sz="8" w:space="0" w:color="auto"/>
            </w:tcBorders>
            <w:tcMar>
              <w:top w:w="0" w:type="dxa"/>
              <w:left w:w="28" w:type="dxa"/>
              <w:bottom w:w="0" w:type="dxa"/>
              <w:right w:w="28" w:type="dxa"/>
            </w:tcMar>
          </w:tcPr>
          <w:p w14:paraId="644A4FD4" w14:textId="77777777" w:rsidR="00FD3F08" w:rsidRPr="00386AC3" w:rsidRDefault="00FD3F08" w:rsidP="00153C8A">
            <w:pPr>
              <w:pStyle w:val="TableText0"/>
              <w:keepNext w:val="0"/>
              <w:widowControl w:val="0"/>
              <w:spacing w:line="252" w:lineRule="auto"/>
              <w:rPr>
                <w:rFonts w:cs="Times New Roman"/>
                <w:b/>
                <w:bCs/>
              </w:rPr>
            </w:pPr>
            <w:r w:rsidRPr="00386AC3">
              <w:rPr>
                <w:rFonts w:cs="Times New Roman"/>
                <w:b/>
                <w:bCs/>
              </w:rPr>
              <w:t>0.42 (0.16 to 0.69)</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11E5529B" w14:textId="77777777" w:rsidR="00FD3F08" w:rsidRDefault="00FD3F08" w:rsidP="00153C8A">
            <w:pPr>
              <w:pStyle w:val="TableText0"/>
              <w:keepNext w:val="0"/>
              <w:widowControl w:val="0"/>
              <w:spacing w:line="252" w:lineRule="auto"/>
              <w:rPr>
                <w:snapToGrid w:val="0"/>
              </w:rPr>
            </w:pPr>
            <w:r>
              <w:rPr>
                <w:snapToGrid w:val="0"/>
              </w:rPr>
              <w:t>&lt;0.001</w:t>
            </w:r>
          </w:p>
        </w:tc>
        <w:tc>
          <w:tcPr>
            <w:tcW w:w="1080" w:type="dxa"/>
            <w:tcBorders>
              <w:top w:val="nil"/>
              <w:left w:val="nil"/>
              <w:bottom w:val="single" w:sz="8" w:space="0" w:color="auto"/>
              <w:right w:val="single" w:sz="8" w:space="0" w:color="auto"/>
            </w:tcBorders>
            <w:tcMar>
              <w:top w:w="0" w:type="dxa"/>
              <w:left w:w="28" w:type="dxa"/>
              <w:bottom w:w="0" w:type="dxa"/>
              <w:right w:w="28" w:type="dxa"/>
            </w:tcMar>
          </w:tcPr>
          <w:p w14:paraId="259ECEF0" w14:textId="77777777" w:rsidR="00FD3F08" w:rsidRPr="00386AC3" w:rsidRDefault="00FD3F08" w:rsidP="00153C8A">
            <w:pPr>
              <w:pStyle w:val="TableText0"/>
              <w:keepNext w:val="0"/>
              <w:widowControl w:val="0"/>
              <w:spacing w:line="252" w:lineRule="auto"/>
              <w:rPr>
                <w:rFonts w:cs="Times New Roman"/>
                <w:b/>
                <w:bCs/>
              </w:rPr>
            </w:pPr>
            <w:r w:rsidRPr="00386AC3">
              <w:rPr>
                <w:rFonts w:cs="Times New Roman"/>
                <w:b/>
                <w:bCs/>
              </w:rPr>
              <w:t>2.08 (1.36, 3.19)</w:t>
            </w:r>
          </w:p>
        </w:tc>
        <w:tc>
          <w:tcPr>
            <w:tcW w:w="1214" w:type="dxa"/>
            <w:tcBorders>
              <w:top w:val="nil"/>
              <w:left w:val="nil"/>
              <w:bottom w:val="single" w:sz="8" w:space="0" w:color="auto"/>
              <w:right w:val="single" w:sz="8" w:space="0" w:color="auto"/>
            </w:tcBorders>
            <w:tcMar>
              <w:top w:w="0" w:type="dxa"/>
              <w:left w:w="28" w:type="dxa"/>
              <w:bottom w:w="0" w:type="dxa"/>
              <w:right w:w="28" w:type="dxa"/>
            </w:tcMar>
          </w:tcPr>
          <w:p w14:paraId="5875A3BA" w14:textId="77777777" w:rsidR="00FD3F08" w:rsidRPr="00386AC3" w:rsidRDefault="00FD3F08" w:rsidP="00153C8A">
            <w:pPr>
              <w:pStyle w:val="TableText0"/>
              <w:keepNext w:val="0"/>
              <w:widowControl w:val="0"/>
              <w:spacing w:line="252" w:lineRule="auto"/>
              <w:rPr>
                <w:rFonts w:cs="Times New Roman"/>
                <w:b/>
                <w:bCs/>
              </w:rPr>
            </w:pPr>
            <w:r w:rsidRPr="00386AC3">
              <w:rPr>
                <w:rFonts w:cs="Times New Roman"/>
                <w:b/>
                <w:bCs/>
              </w:rPr>
              <w:t>0.0008</w:t>
            </w:r>
          </w:p>
        </w:tc>
        <w:tc>
          <w:tcPr>
            <w:tcW w:w="1085" w:type="dxa"/>
            <w:tcBorders>
              <w:top w:val="nil"/>
              <w:left w:val="nil"/>
              <w:bottom w:val="single" w:sz="8" w:space="0" w:color="auto"/>
              <w:right w:val="single" w:sz="8" w:space="0" w:color="auto"/>
            </w:tcBorders>
            <w:tcMar>
              <w:top w:w="0" w:type="dxa"/>
              <w:left w:w="28" w:type="dxa"/>
              <w:bottom w:w="0" w:type="dxa"/>
              <w:right w:w="28" w:type="dxa"/>
            </w:tcMar>
            <w:hideMark/>
          </w:tcPr>
          <w:p w14:paraId="34170EE8" w14:textId="77777777" w:rsidR="00FD3F08" w:rsidRDefault="00FD3F08" w:rsidP="00153C8A">
            <w:pPr>
              <w:pStyle w:val="TableText0"/>
              <w:keepNext w:val="0"/>
              <w:widowControl w:val="0"/>
              <w:spacing w:line="252" w:lineRule="auto"/>
              <w:rPr>
                <w:snapToGrid w:val="0"/>
              </w:rPr>
            </w:pPr>
            <w:r>
              <w:rPr>
                <w:snapToGrid w:val="0"/>
              </w:rPr>
              <w:t>46 (0.8)</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73A3A92E" w14:textId="77777777" w:rsidR="00FD3F08" w:rsidRDefault="00FD3F08" w:rsidP="00153C8A">
            <w:pPr>
              <w:pStyle w:val="TableText0"/>
              <w:keepNext w:val="0"/>
              <w:widowControl w:val="0"/>
              <w:spacing w:line="252" w:lineRule="auto"/>
              <w:rPr>
                <w:snapToGrid w:val="0"/>
              </w:rPr>
            </w:pPr>
            <w:r>
              <w:rPr>
                <w:snapToGrid w:val="0"/>
              </w:rPr>
              <w:t>39 (0.4)</w:t>
            </w:r>
          </w:p>
        </w:tc>
        <w:tc>
          <w:tcPr>
            <w:tcW w:w="1076" w:type="dxa"/>
            <w:tcBorders>
              <w:top w:val="nil"/>
              <w:left w:val="nil"/>
              <w:bottom w:val="single" w:sz="8" w:space="0" w:color="auto"/>
              <w:right w:val="single" w:sz="8" w:space="0" w:color="auto"/>
            </w:tcBorders>
            <w:tcMar>
              <w:top w:w="0" w:type="dxa"/>
              <w:left w:w="28" w:type="dxa"/>
              <w:bottom w:w="0" w:type="dxa"/>
              <w:right w:w="28" w:type="dxa"/>
            </w:tcMar>
            <w:hideMark/>
          </w:tcPr>
          <w:p w14:paraId="689E2DD0" w14:textId="77777777" w:rsidR="00FD3F08" w:rsidRPr="00386AC3" w:rsidRDefault="00FD3F08" w:rsidP="00153C8A">
            <w:pPr>
              <w:pStyle w:val="TableText0"/>
              <w:keepNext w:val="0"/>
              <w:widowControl w:val="0"/>
              <w:spacing w:line="252" w:lineRule="auto"/>
              <w:rPr>
                <w:b/>
                <w:bCs/>
                <w:snapToGrid w:val="0"/>
              </w:rPr>
            </w:pPr>
            <w:r w:rsidRPr="00386AC3">
              <w:rPr>
                <w:b/>
                <w:bCs/>
                <w:snapToGrid w:val="0"/>
              </w:rPr>
              <w:t>0.4 (0.1 to 0.7)</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1750782E" w14:textId="77777777" w:rsidR="00FD3F08" w:rsidRPr="00386AC3" w:rsidRDefault="00FD3F08" w:rsidP="00153C8A">
            <w:pPr>
              <w:pStyle w:val="TableText0"/>
              <w:keepNext w:val="0"/>
              <w:widowControl w:val="0"/>
              <w:spacing w:line="252" w:lineRule="auto"/>
              <w:rPr>
                <w:b/>
                <w:bCs/>
                <w:snapToGrid w:val="0"/>
              </w:rPr>
            </w:pPr>
            <w:r w:rsidRPr="00386AC3">
              <w:rPr>
                <w:b/>
                <w:bCs/>
                <w:snapToGrid w:val="0"/>
              </w:rPr>
              <w:t>0.004</w:t>
            </w:r>
          </w:p>
        </w:tc>
        <w:tc>
          <w:tcPr>
            <w:tcW w:w="1072" w:type="dxa"/>
            <w:tcBorders>
              <w:top w:val="nil"/>
              <w:left w:val="nil"/>
              <w:bottom w:val="single" w:sz="8" w:space="0" w:color="auto"/>
              <w:right w:val="single" w:sz="8" w:space="0" w:color="auto"/>
            </w:tcBorders>
            <w:tcMar>
              <w:top w:w="0" w:type="dxa"/>
              <w:left w:w="28" w:type="dxa"/>
              <w:bottom w:w="0" w:type="dxa"/>
              <w:right w:w="28" w:type="dxa"/>
            </w:tcMar>
          </w:tcPr>
          <w:p w14:paraId="051F3A9B" w14:textId="77777777" w:rsidR="00FD3F08" w:rsidRPr="00386AC3" w:rsidRDefault="00FD3F08" w:rsidP="00153C8A">
            <w:pPr>
              <w:pStyle w:val="TableText0"/>
              <w:keepNext w:val="0"/>
              <w:widowControl w:val="0"/>
              <w:spacing w:line="252" w:lineRule="auto"/>
              <w:rPr>
                <w:b/>
                <w:bCs/>
                <w:snapToGrid w:val="0"/>
              </w:rPr>
            </w:pPr>
            <w:r w:rsidRPr="00386AC3">
              <w:rPr>
                <w:b/>
                <w:bCs/>
                <w:snapToGrid w:val="0"/>
              </w:rPr>
              <w:t>4.07 (2.39 to 6.94)</w:t>
            </w:r>
          </w:p>
        </w:tc>
      </w:tr>
      <w:tr w:rsidR="00E51F42" w14:paraId="467BE7AE" w14:textId="77777777" w:rsidTr="000A2670">
        <w:tc>
          <w:tcPr>
            <w:tcW w:w="193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25F0515E" w14:textId="77777777" w:rsidR="00FD3F08" w:rsidRDefault="00FD3F08" w:rsidP="00153C8A">
            <w:pPr>
              <w:pStyle w:val="TableText0"/>
              <w:keepNext w:val="0"/>
              <w:widowControl w:val="0"/>
              <w:spacing w:line="252" w:lineRule="auto"/>
              <w:ind w:left="97"/>
              <w:rPr>
                <w:snapToGrid w:val="0"/>
              </w:rPr>
            </w:pPr>
            <w:r>
              <w:rPr>
                <w:snapToGrid w:val="0"/>
              </w:rPr>
              <w:t xml:space="preserve">Device-related </w:t>
            </w:r>
            <w:proofErr w:type="spellStart"/>
            <w:r>
              <w:rPr>
                <w:snapToGrid w:val="0"/>
              </w:rPr>
              <w:t>complications</w:t>
            </w:r>
            <w:r w:rsidRPr="004A7A07">
              <w:rPr>
                <w:snapToGrid w:val="0"/>
                <w:vertAlign w:val="superscript"/>
              </w:rPr>
              <w:t>b</w:t>
            </w:r>
            <w:proofErr w:type="spellEnd"/>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0F6E38BA" w14:textId="77777777" w:rsidR="00FD3F08" w:rsidRDefault="00FD3F08" w:rsidP="00153C8A">
            <w:pPr>
              <w:pStyle w:val="TableText0"/>
              <w:keepNext w:val="0"/>
              <w:widowControl w:val="0"/>
              <w:spacing w:line="252" w:lineRule="auto"/>
              <w:rPr>
                <w:snapToGrid w:val="0"/>
              </w:rPr>
            </w:pPr>
            <w:r>
              <w:rPr>
                <w:snapToGrid w:val="0"/>
              </w:rPr>
              <w:t>81 (1.4)</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1282E62E" w14:textId="77777777" w:rsidR="00FD3F08" w:rsidRDefault="00FD3F08" w:rsidP="00153C8A">
            <w:pPr>
              <w:pStyle w:val="TableText0"/>
              <w:keepNext w:val="0"/>
              <w:widowControl w:val="0"/>
              <w:spacing w:line="252" w:lineRule="auto"/>
              <w:rPr>
                <w:snapToGrid w:val="0"/>
              </w:rPr>
            </w:pPr>
            <w:r>
              <w:rPr>
                <w:snapToGrid w:val="0"/>
              </w:rPr>
              <w:t>247 (2.6)</w:t>
            </w:r>
          </w:p>
        </w:tc>
        <w:tc>
          <w:tcPr>
            <w:tcW w:w="1077" w:type="dxa"/>
            <w:tcBorders>
              <w:top w:val="nil"/>
              <w:left w:val="nil"/>
              <w:bottom w:val="single" w:sz="8" w:space="0" w:color="auto"/>
              <w:right w:val="single" w:sz="8" w:space="0" w:color="auto"/>
            </w:tcBorders>
            <w:tcMar>
              <w:top w:w="0" w:type="dxa"/>
              <w:left w:w="28" w:type="dxa"/>
              <w:bottom w:w="0" w:type="dxa"/>
              <w:right w:w="28" w:type="dxa"/>
            </w:tcMar>
          </w:tcPr>
          <w:p w14:paraId="42C52570" w14:textId="77777777" w:rsidR="00FD3F08" w:rsidRPr="00386AC3" w:rsidRDefault="00FD3F08" w:rsidP="00153C8A">
            <w:pPr>
              <w:pStyle w:val="TableText0"/>
              <w:keepNext w:val="0"/>
              <w:widowControl w:val="0"/>
              <w:spacing w:line="252" w:lineRule="auto"/>
              <w:rPr>
                <w:rFonts w:cs="Times New Roman"/>
                <w:b/>
                <w:bCs/>
              </w:rPr>
            </w:pPr>
            <w:r w:rsidRPr="00386AC3">
              <w:rPr>
                <w:rFonts w:cs="Times New Roman"/>
                <w:b/>
                <w:bCs/>
              </w:rPr>
              <w:t>1.15 (0.71 to 1.58)</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203A1268" w14:textId="77777777" w:rsidR="00FD3F08" w:rsidRDefault="00FD3F08" w:rsidP="00153C8A">
            <w:pPr>
              <w:pStyle w:val="TableText0"/>
              <w:keepNext w:val="0"/>
              <w:widowControl w:val="0"/>
              <w:spacing w:line="252" w:lineRule="auto"/>
              <w:rPr>
                <w:snapToGrid w:val="0"/>
              </w:rPr>
            </w:pPr>
            <w:r>
              <w:rPr>
                <w:snapToGrid w:val="0"/>
              </w:rPr>
              <w:t>&lt;0.001</w:t>
            </w:r>
          </w:p>
        </w:tc>
        <w:tc>
          <w:tcPr>
            <w:tcW w:w="1080" w:type="dxa"/>
            <w:tcBorders>
              <w:top w:val="nil"/>
              <w:left w:val="nil"/>
              <w:bottom w:val="single" w:sz="8" w:space="0" w:color="auto"/>
              <w:right w:val="single" w:sz="8" w:space="0" w:color="auto"/>
            </w:tcBorders>
            <w:tcMar>
              <w:top w:w="0" w:type="dxa"/>
              <w:left w:w="28" w:type="dxa"/>
              <w:bottom w:w="0" w:type="dxa"/>
              <w:right w:w="28" w:type="dxa"/>
            </w:tcMar>
          </w:tcPr>
          <w:p w14:paraId="6EE0D5A7" w14:textId="77777777" w:rsidR="00FD3F08" w:rsidRPr="00386AC3" w:rsidRDefault="00FD3F08" w:rsidP="00153C8A">
            <w:pPr>
              <w:pStyle w:val="TableText0"/>
              <w:keepNext w:val="0"/>
              <w:widowControl w:val="0"/>
              <w:spacing w:line="252" w:lineRule="auto"/>
              <w:rPr>
                <w:rFonts w:cs="Times New Roman"/>
                <w:b/>
                <w:bCs/>
              </w:rPr>
            </w:pPr>
            <w:r w:rsidRPr="00386AC3">
              <w:rPr>
                <w:rFonts w:cs="Times New Roman"/>
                <w:b/>
                <w:bCs/>
              </w:rPr>
              <w:t>0.55 (0.43 to 0.71)</w:t>
            </w:r>
          </w:p>
        </w:tc>
        <w:tc>
          <w:tcPr>
            <w:tcW w:w="1214" w:type="dxa"/>
            <w:tcBorders>
              <w:top w:val="nil"/>
              <w:left w:val="nil"/>
              <w:bottom w:val="single" w:sz="8" w:space="0" w:color="auto"/>
              <w:right w:val="single" w:sz="8" w:space="0" w:color="auto"/>
            </w:tcBorders>
            <w:tcMar>
              <w:top w:w="0" w:type="dxa"/>
              <w:left w:w="28" w:type="dxa"/>
              <w:bottom w:w="0" w:type="dxa"/>
              <w:right w:w="28" w:type="dxa"/>
            </w:tcMar>
          </w:tcPr>
          <w:p w14:paraId="42715883" w14:textId="77777777" w:rsidR="00FD3F08" w:rsidRPr="00386AC3" w:rsidRDefault="00FD3F08" w:rsidP="00153C8A">
            <w:pPr>
              <w:pStyle w:val="TableText0"/>
              <w:keepNext w:val="0"/>
              <w:widowControl w:val="0"/>
              <w:spacing w:line="252" w:lineRule="auto"/>
              <w:rPr>
                <w:rFonts w:cs="Times New Roman"/>
                <w:b/>
                <w:bCs/>
              </w:rPr>
            </w:pPr>
            <w:r w:rsidRPr="00386AC3">
              <w:rPr>
                <w:rFonts w:cs="Times New Roman"/>
                <w:b/>
                <w:bCs/>
              </w:rPr>
              <w:t>&lt;0.0001</w:t>
            </w:r>
          </w:p>
        </w:tc>
        <w:tc>
          <w:tcPr>
            <w:tcW w:w="1085" w:type="dxa"/>
            <w:tcBorders>
              <w:top w:val="nil"/>
              <w:left w:val="nil"/>
              <w:bottom w:val="single" w:sz="8" w:space="0" w:color="auto"/>
              <w:right w:val="single" w:sz="8" w:space="0" w:color="auto"/>
            </w:tcBorders>
            <w:tcMar>
              <w:top w:w="0" w:type="dxa"/>
              <w:left w:w="28" w:type="dxa"/>
              <w:bottom w:w="0" w:type="dxa"/>
              <w:right w:w="28" w:type="dxa"/>
            </w:tcMar>
            <w:hideMark/>
          </w:tcPr>
          <w:p w14:paraId="115D6259" w14:textId="77777777" w:rsidR="00FD3F08" w:rsidRDefault="00FD3F08" w:rsidP="00153C8A">
            <w:pPr>
              <w:pStyle w:val="TableText0"/>
              <w:keepNext w:val="0"/>
              <w:widowControl w:val="0"/>
              <w:spacing w:line="252" w:lineRule="auto"/>
              <w:rPr>
                <w:snapToGrid w:val="0"/>
              </w:rPr>
            </w:pPr>
            <w:r>
              <w:rPr>
                <w:snapToGrid w:val="0"/>
              </w:rPr>
              <w:t>80 (1.4)</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4692B21E" w14:textId="77777777" w:rsidR="00FD3F08" w:rsidRDefault="00FD3F08" w:rsidP="00153C8A">
            <w:pPr>
              <w:pStyle w:val="TableText0"/>
              <w:keepNext w:val="0"/>
              <w:widowControl w:val="0"/>
              <w:spacing w:line="252" w:lineRule="auto"/>
              <w:rPr>
                <w:snapToGrid w:val="0"/>
              </w:rPr>
            </w:pPr>
            <w:r>
              <w:rPr>
                <w:snapToGrid w:val="0"/>
              </w:rPr>
              <w:t>242 (2.5)</w:t>
            </w:r>
          </w:p>
        </w:tc>
        <w:tc>
          <w:tcPr>
            <w:tcW w:w="1076" w:type="dxa"/>
            <w:tcBorders>
              <w:top w:val="nil"/>
              <w:left w:val="nil"/>
              <w:bottom w:val="single" w:sz="8" w:space="0" w:color="auto"/>
              <w:right w:val="single" w:sz="8" w:space="0" w:color="auto"/>
            </w:tcBorders>
            <w:tcMar>
              <w:top w:w="0" w:type="dxa"/>
              <w:left w:w="28" w:type="dxa"/>
              <w:bottom w:w="0" w:type="dxa"/>
              <w:right w:w="28" w:type="dxa"/>
            </w:tcMar>
            <w:hideMark/>
          </w:tcPr>
          <w:p w14:paraId="04C8152C" w14:textId="77777777" w:rsidR="00FD3F08" w:rsidRPr="00386AC3" w:rsidRDefault="00FD3F08" w:rsidP="00153C8A">
            <w:pPr>
              <w:pStyle w:val="TableText0"/>
              <w:keepNext w:val="0"/>
              <w:widowControl w:val="0"/>
              <w:spacing w:line="252" w:lineRule="auto"/>
              <w:rPr>
                <w:b/>
                <w:bCs/>
                <w:snapToGrid w:val="0"/>
              </w:rPr>
            </w:pPr>
            <w:r w:rsidRPr="00386AC3">
              <w:rPr>
                <w:b/>
                <w:bCs/>
                <w:snapToGrid w:val="0"/>
              </w:rPr>
              <w:t>−1.1 (−1.5 to −0.6)</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0AE0FE85" w14:textId="77777777" w:rsidR="00FD3F08" w:rsidRPr="00386AC3" w:rsidRDefault="00FD3F08" w:rsidP="00153C8A">
            <w:pPr>
              <w:pStyle w:val="TableText0"/>
              <w:keepNext w:val="0"/>
              <w:widowControl w:val="0"/>
              <w:spacing w:line="252" w:lineRule="auto"/>
              <w:rPr>
                <w:b/>
                <w:bCs/>
                <w:snapToGrid w:val="0"/>
              </w:rPr>
            </w:pPr>
            <w:r w:rsidRPr="00386AC3">
              <w:rPr>
                <w:b/>
                <w:bCs/>
                <w:snapToGrid w:val="0"/>
              </w:rPr>
              <w:t>&lt;0.001</w:t>
            </w:r>
          </w:p>
        </w:tc>
        <w:tc>
          <w:tcPr>
            <w:tcW w:w="1072" w:type="dxa"/>
            <w:tcBorders>
              <w:top w:val="nil"/>
              <w:left w:val="nil"/>
              <w:bottom w:val="single" w:sz="8" w:space="0" w:color="auto"/>
              <w:right w:val="single" w:sz="8" w:space="0" w:color="auto"/>
            </w:tcBorders>
            <w:tcMar>
              <w:top w:w="0" w:type="dxa"/>
              <w:left w:w="28" w:type="dxa"/>
              <w:bottom w:w="0" w:type="dxa"/>
              <w:right w:w="28" w:type="dxa"/>
            </w:tcMar>
          </w:tcPr>
          <w:p w14:paraId="7490FD5E" w14:textId="77777777" w:rsidR="00FD3F08" w:rsidRPr="00386AC3" w:rsidRDefault="00FD3F08" w:rsidP="00153C8A">
            <w:pPr>
              <w:pStyle w:val="TableText0"/>
              <w:keepNext w:val="0"/>
              <w:widowControl w:val="0"/>
              <w:spacing w:line="252" w:lineRule="auto"/>
              <w:rPr>
                <w:b/>
                <w:bCs/>
                <w:snapToGrid w:val="0"/>
              </w:rPr>
            </w:pPr>
            <w:r w:rsidRPr="00386AC3">
              <w:rPr>
                <w:b/>
                <w:bCs/>
                <w:snapToGrid w:val="0"/>
              </w:rPr>
              <w:t>0.56 (0.43 to 0.71)</w:t>
            </w:r>
          </w:p>
        </w:tc>
      </w:tr>
      <w:tr w:rsidR="00E51F42" w14:paraId="646D4181" w14:textId="77777777" w:rsidTr="000A2670">
        <w:tc>
          <w:tcPr>
            <w:tcW w:w="193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4D678AEC" w14:textId="77777777" w:rsidR="00FD3F08" w:rsidRDefault="00FD3F08" w:rsidP="00153C8A">
            <w:pPr>
              <w:pStyle w:val="TableText0"/>
              <w:keepNext w:val="0"/>
              <w:widowControl w:val="0"/>
              <w:spacing w:line="252" w:lineRule="auto"/>
              <w:ind w:left="97"/>
              <w:rPr>
                <w:snapToGrid w:val="0"/>
              </w:rPr>
            </w:pPr>
            <w:r>
              <w:rPr>
                <w:snapToGrid w:val="0"/>
              </w:rPr>
              <w:t>Other complications</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184954C8" w14:textId="77777777" w:rsidR="00FD3F08" w:rsidRDefault="00FD3F08" w:rsidP="00153C8A">
            <w:pPr>
              <w:pStyle w:val="TableText0"/>
              <w:keepNext w:val="0"/>
              <w:widowControl w:val="0"/>
              <w:spacing w:line="252" w:lineRule="auto"/>
              <w:rPr>
                <w:snapToGrid w:val="0"/>
              </w:rPr>
            </w:pPr>
            <w:r>
              <w:rPr>
                <w:snapToGrid w:val="0"/>
              </w:rPr>
              <w:t>136 (2.4)</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5046365A" w14:textId="77777777" w:rsidR="00FD3F08" w:rsidRDefault="00FD3F08" w:rsidP="00153C8A">
            <w:pPr>
              <w:pStyle w:val="TableText0"/>
              <w:keepNext w:val="0"/>
              <w:widowControl w:val="0"/>
              <w:spacing w:line="252" w:lineRule="auto"/>
              <w:rPr>
                <w:snapToGrid w:val="0"/>
              </w:rPr>
            </w:pPr>
            <w:r>
              <w:rPr>
                <w:snapToGrid w:val="0"/>
              </w:rPr>
              <w:t>169 (1.8)</w:t>
            </w:r>
          </w:p>
        </w:tc>
        <w:tc>
          <w:tcPr>
            <w:tcW w:w="1077" w:type="dxa"/>
            <w:tcBorders>
              <w:top w:val="nil"/>
              <w:left w:val="nil"/>
              <w:bottom w:val="single" w:sz="8" w:space="0" w:color="auto"/>
              <w:right w:val="single" w:sz="8" w:space="0" w:color="auto"/>
            </w:tcBorders>
            <w:tcMar>
              <w:top w:w="0" w:type="dxa"/>
              <w:left w:w="28" w:type="dxa"/>
              <w:bottom w:w="0" w:type="dxa"/>
              <w:right w:w="28" w:type="dxa"/>
            </w:tcMar>
          </w:tcPr>
          <w:p w14:paraId="309FEF4A" w14:textId="77777777" w:rsidR="00FD3F08" w:rsidRPr="00386AC3" w:rsidRDefault="00FD3F08" w:rsidP="00153C8A">
            <w:pPr>
              <w:pStyle w:val="TableText0"/>
              <w:keepNext w:val="0"/>
              <w:widowControl w:val="0"/>
              <w:spacing w:line="252" w:lineRule="auto"/>
              <w:rPr>
                <w:rFonts w:cs="Times New Roman"/>
                <w:b/>
                <w:bCs/>
              </w:rPr>
            </w:pPr>
            <w:r w:rsidRPr="00386AC3">
              <w:rPr>
                <w:rFonts w:cs="Times New Roman"/>
                <w:b/>
                <w:bCs/>
              </w:rPr>
              <w:t>0.62 (0.15 to 1.09)</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02ABC680" w14:textId="77777777" w:rsidR="00FD3F08" w:rsidRDefault="00FD3F08" w:rsidP="00153C8A">
            <w:pPr>
              <w:pStyle w:val="TableText0"/>
              <w:keepNext w:val="0"/>
              <w:widowControl w:val="0"/>
              <w:spacing w:line="252" w:lineRule="auto"/>
              <w:rPr>
                <w:snapToGrid w:val="0"/>
              </w:rPr>
            </w:pPr>
            <w:r>
              <w:rPr>
                <w:snapToGrid w:val="0"/>
              </w:rPr>
              <w:t>0.01</w:t>
            </w:r>
          </w:p>
        </w:tc>
        <w:tc>
          <w:tcPr>
            <w:tcW w:w="1080" w:type="dxa"/>
            <w:tcBorders>
              <w:top w:val="nil"/>
              <w:left w:val="nil"/>
              <w:bottom w:val="single" w:sz="8" w:space="0" w:color="auto"/>
              <w:right w:val="single" w:sz="8" w:space="0" w:color="auto"/>
            </w:tcBorders>
            <w:tcMar>
              <w:top w:w="0" w:type="dxa"/>
              <w:left w:w="28" w:type="dxa"/>
              <w:bottom w:w="0" w:type="dxa"/>
              <w:right w:w="28" w:type="dxa"/>
            </w:tcMar>
          </w:tcPr>
          <w:p w14:paraId="12EABD19" w14:textId="77777777" w:rsidR="00FD3F08" w:rsidRPr="00386AC3" w:rsidRDefault="00FD3F08" w:rsidP="00153C8A">
            <w:pPr>
              <w:pStyle w:val="TableText0"/>
              <w:keepNext w:val="0"/>
              <w:widowControl w:val="0"/>
              <w:spacing w:line="252" w:lineRule="auto"/>
              <w:rPr>
                <w:rFonts w:cs="Times New Roman"/>
                <w:b/>
                <w:bCs/>
              </w:rPr>
            </w:pPr>
            <w:r w:rsidRPr="00386AC3">
              <w:rPr>
                <w:rFonts w:cs="Times New Roman"/>
                <w:b/>
                <w:bCs/>
              </w:rPr>
              <w:t>1.35 (1.08 to 1.69)</w:t>
            </w:r>
          </w:p>
        </w:tc>
        <w:tc>
          <w:tcPr>
            <w:tcW w:w="1214" w:type="dxa"/>
            <w:tcBorders>
              <w:top w:val="nil"/>
              <w:left w:val="nil"/>
              <w:bottom w:val="single" w:sz="8" w:space="0" w:color="auto"/>
              <w:right w:val="single" w:sz="8" w:space="0" w:color="auto"/>
            </w:tcBorders>
            <w:tcMar>
              <w:top w:w="0" w:type="dxa"/>
              <w:left w:w="28" w:type="dxa"/>
              <w:bottom w:w="0" w:type="dxa"/>
              <w:right w:w="28" w:type="dxa"/>
            </w:tcMar>
          </w:tcPr>
          <w:p w14:paraId="52651C15" w14:textId="77777777" w:rsidR="00FD3F08" w:rsidRPr="00386AC3" w:rsidRDefault="00FD3F08" w:rsidP="00153C8A">
            <w:pPr>
              <w:pStyle w:val="TableText0"/>
              <w:keepNext w:val="0"/>
              <w:widowControl w:val="0"/>
              <w:spacing w:line="252" w:lineRule="auto"/>
              <w:rPr>
                <w:rFonts w:cs="Times New Roman"/>
                <w:b/>
                <w:bCs/>
              </w:rPr>
            </w:pPr>
            <w:r w:rsidRPr="00386AC3">
              <w:rPr>
                <w:rFonts w:cs="Times New Roman"/>
                <w:b/>
                <w:bCs/>
              </w:rPr>
              <w:t>0.0080</w:t>
            </w:r>
          </w:p>
        </w:tc>
        <w:tc>
          <w:tcPr>
            <w:tcW w:w="1085" w:type="dxa"/>
            <w:tcBorders>
              <w:top w:val="nil"/>
              <w:left w:val="nil"/>
              <w:bottom w:val="single" w:sz="8" w:space="0" w:color="auto"/>
              <w:right w:val="single" w:sz="8" w:space="0" w:color="auto"/>
            </w:tcBorders>
            <w:tcMar>
              <w:top w:w="0" w:type="dxa"/>
              <w:left w:w="28" w:type="dxa"/>
              <w:bottom w:w="0" w:type="dxa"/>
              <w:right w:w="28" w:type="dxa"/>
            </w:tcMar>
            <w:hideMark/>
          </w:tcPr>
          <w:p w14:paraId="0BF344B9" w14:textId="77777777" w:rsidR="00FD3F08" w:rsidRDefault="00FD3F08" w:rsidP="00153C8A">
            <w:pPr>
              <w:pStyle w:val="TableText0"/>
              <w:keepNext w:val="0"/>
              <w:widowControl w:val="0"/>
              <w:spacing w:line="252" w:lineRule="auto"/>
              <w:rPr>
                <w:snapToGrid w:val="0"/>
              </w:rPr>
            </w:pPr>
            <w:r>
              <w:rPr>
                <w:snapToGrid w:val="0"/>
              </w:rPr>
              <w:t>121 (2.1)</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0EA020B0" w14:textId="77777777" w:rsidR="00FD3F08" w:rsidRDefault="00FD3F08" w:rsidP="00153C8A">
            <w:pPr>
              <w:pStyle w:val="TableText0"/>
              <w:keepNext w:val="0"/>
              <w:widowControl w:val="0"/>
              <w:spacing w:line="252" w:lineRule="auto"/>
              <w:rPr>
                <w:snapToGrid w:val="0"/>
              </w:rPr>
            </w:pPr>
            <w:r>
              <w:rPr>
                <w:snapToGrid w:val="0"/>
              </w:rPr>
              <w:t>164 (1.7)</w:t>
            </w:r>
          </w:p>
        </w:tc>
        <w:tc>
          <w:tcPr>
            <w:tcW w:w="1076" w:type="dxa"/>
            <w:tcBorders>
              <w:top w:val="nil"/>
              <w:left w:val="nil"/>
              <w:bottom w:val="single" w:sz="8" w:space="0" w:color="auto"/>
              <w:right w:val="single" w:sz="8" w:space="0" w:color="auto"/>
            </w:tcBorders>
            <w:tcMar>
              <w:top w:w="0" w:type="dxa"/>
              <w:left w:w="28" w:type="dxa"/>
              <w:bottom w:w="0" w:type="dxa"/>
              <w:right w:w="28" w:type="dxa"/>
            </w:tcMar>
            <w:hideMark/>
          </w:tcPr>
          <w:p w14:paraId="3012AB3F" w14:textId="77777777" w:rsidR="00FD3F08" w:rsidRDefault="00FD3F08" w:rsidP="00153C8A">
            <w:pPr>
              <w:pStyle w:val="TableText0"/>
              <w:keepNext w:val="0"/>
              <w:widowControl w:val="0"/>
              <w:spacing w:line="252" w:lineRule="auto"/>
              <w:rPr>
                <w:snapToGrid w:val="0"/>
              </w:rPr>
            </w:pPr>
            <w:r>
              <w:rPr>
                <w:snapToGrid w:val="0"/>
              </w:rPr>
              <w:t>0.4 (−0.1 to 0.9)</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57406946" w14:textId="77777777" w:rsidR="00FD3F08" w:rsidRDefault="00FD3F08" w:rsidP="00153C8A">
            <w:pPr>
              <w:pStyle w:val="TableText0"/>
              <w:keepNext w:val="0"/>
              <w:widowControl w:val="0"/>
              <w:spacing w:line="252" w:lineRule="auto"/>
              <w:rPr>
                <w:snapToGrid w:val="0"/>
              </w:rPr>
            </w:pPr>
            <w:r>
              <w:rPr>
                <w:snapToGrid w:val="0"/>
              </w:rPr>
              <w:t>0.10</w:t>
            </w:r>
          </w:p>
        </w:tc>
        <w:tc>
          <w:tcPr>
            <w:tcW w:w="1072" w:type="dxa"/>
            <w:tcBorders>
              <w:top w:val="nil"/>
              <w:left w:val="nil"/>
              <w:bottom w:val="single" w:sz="8" w:space="0" w:color="auto"/>
              <w:right w:val="single" w:sz="8" w:space="0" w:color="auto"/>
            </w:tcBorders>
            <w:tcMar>
              <w:top w:w="0" w:type="dxa"/>
              <w:left w:w="28" w:type="dxa"/>
              <w:bottom w:w="0" w:type="dxa"/>
              <w:right w:w="28" w:type="dxa"/>
            </w:tcMar>
          </w:tcPr>
          <w:p w14:paraId="5D139704" w14:textId="77777777" w:rsidR="00FD3F08" w:rsidRPr="004A7A07" w:rsidRDefault="00FD3F08" w:rsidP="00153C8A">
            <w:pPr>
              <w:pStyle w:val="TableText0"/>
              <w:keepNext w:val="0"/>
              <w:widowControl w:val="0"/>
              <w:spacing w:line="252" w:lineRule="auto"/>
              <w:rPr>
                <w:snapToGrid w:val="0"/>
              </w:rPr>
            </w:pPr>
            <w:r w:rsidRPr="004A7A07">
              <w:rPr>
                <w:snapToGrid w:val="0"/>
              </w:rPr>
              <w:t>1.24 (0.98 to 1.57)</w:t>
            </w:r>
          </w:p>
        </w:tc>
      </w:tr>
      <w:tr w:rsidR="00E51F42" w14:paraId="4EBE4A26" w14:textId="77777777" w:rsidTr="000A2670">
        <w:tc>
          <w:tcPr>
            <w:tcW w:w="193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258CBB05" w14:textId="77777777" w:rsidR="00FD3F08" w:rsidRDefault="00FD3F08" w:rsidP="00153C8A">
            <w:pPr>
              <w:pStyle w:val="TableText0"/>
              <w:keepNext w:val="0"/>
              <w:widowControl w:val="0"/>
              <w:spacing w:line="252" w:lineRule="auto"/>
              <w:ind w:firstLine="227"/>
              <w:rPr>
                <w:snapToGrid w:val="0"/>
              </w:rPr>
            </w:pPr>
            <w:r>
              <w:rPr>
                <w:snapToGrid w:val="0"/>
              </w:rPr>
              <w:lastRenderedPageBreak/>
              <w:t>Device-related AMI</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22EF6956" w14:textId="77777777" w:rsidR="00FD3F08" w:rsidRDefault="00FD3F08" w:rsidP="00153C8A">
            <w:pPr>
              <w:pStyle w:val="TableText0"/>
              <w:keepNext w:val="0"/>
              <w:widowControl w:val="0"/>
              <w:spacing w:line="252" w:lineRule="auto"/>
              <w:rPr>
                <w:snapToGrid w:val="0"/>
              </w:rPr>
            </w:pPr>
            <w:r>
              <w:rPr>
                <w:snapToGrid w:val="0"/>
              </w:rPr>
              <w:t>≤10</w:t>
            </w:r>
            <w:r>
              <w:rPr>
                <w:snapToGrid w:val="0"/>
                <w:vertAlign w:val="superscript"/>
              </w:rPr>
              <w:t>a</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55A8DCC3" w14:textId="77777777" w:rsidR="00FD3F08" w:rsidRDefault="00FD3F08" w:rsidP="00153C8A">
            <w:pPr>
              <w:pStyle w:val="TableText0"/>
              <w:keepNext w:val="0"/>
              <w:widowControl w:val="0"/>
              <w:spacing w:line="252" w:lineRule="auto"/>
              <w:rPr>
                <w:snapToGrid w:val="0"/>
              </w:rPr>
            </w:pPr>
            <w:r>
              <w:rPr>
                <w:snapToGrid w:val="0"/>
              </w:rPr>
              <w:t>≤10</w:t>
            </w:r>
            <w:r>
              <w:rPr>
                <w:snapToGrid w:val="0"/>
                <w:vertAlign w:val="superscript"/>
              </w:rPr>
              <w:t>a</w:t>
            </w:r>
          </w:p>
        </w:tc>
        <w:tc>
          <w:tcPr>
            <w:tcW w:w="1077" w:type="dxa"/>
            <w:tcBorders>
              <w:top w:val="nil"/>
              <w:left w:val="nil"/>
              <w:bottom w:val="single" w:sz="8" w:space="0" w:color="auto"/>
              <w:right w:val="single" w:sz="8" w:space="0" w:color="auto"/>
            </w:tcBorders>
            <w:tcMar>
              <w:top w:w="0" w:type="dxa"/>
              <w:left w:w="28" w:type="dxa"/>
              <w:bottom w:w="0" w:type="dxa"/>
              <w:right w:w="28" w:type="dxa"/>
            </w:tcMar>
          </w:tcPr>
          <w:p w14:paraId="4A29FA7C" w14:textId="77777777" w:rsidR="00FD3F08" w:rsidRDefault="00FD3F08" w:rsidP="00153C8A">
            <w:pPr>
              <w:pStyle w:val="TableText0"/>
              <w:keepNext w:val="0"/>
              <w:widowControl w:val="0"/>
              <w:spacing w:line="252" w:lineRule="auto"/>
            </w:pPr>
            <w:r w:rsidRPr="638D78B1">
              <w:t>NE</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477B3220" w14:textId="77777777" w:rsidR="00FD3F08" w:rsidRDefault="00FD3F08" w:rsidP="00153C8A">
            <w:pPr>
              <w:pStyle w:val="TableText0"/>
              <w:keepNext w:val="0"/>
              <w:widowControl w:val="0"/>
              <w:spacing w:line="252" w:lineRule="auto"/>
              <w:rPr>
                <w:snapToGrid w:val="0"/>
              </w:rPr>
            </w:pPr>
            <w:r>
              <w:rPr>
                <w:snapToGrid w:val="0"/>
              </w:rPr>
              <w:t>0.71</w:t>
            </w:r>
          </w:p>
        </w:tc>
        <w:tc>
          <w:tcPr>
            <w:tcW w:w="1080" w:type="dxa"/>
            <w:tcBorders>
              <w:top w:val="nil"/>
              <w:left w:val="nil"/>
              <w:bottom w:val="single" w:sz="8" w:space="0" w:color="auto"/>
              <w:right w:val="single" w:sz="8" w:space="0" w:color="auto"/>
            </w:tcBorders>
            <w:tcMar>
              <w:top w:w="0" w:type="dxa"/>
              <w:left w:w="28" w:type="dxa"/>
              <w:bottom w:w="0" w:type="dxa"/>
              <w:right w:w="28" w:type="dxa"/>
            </w:tcMar>
          </w:tcPr>
          <w:p w14:paraId="5C3ECF9D" w14:textId="77777777" w:rsidR="00FD3F08" w:rsidRDefault="00FD3F08" w:rsidP="00153C8A">
            <w:pPr>
              <w:pStyle w:val="TableText0"/>
              <w:keepNext w:val="0"/>
              <w:widowControl w:val="0"/>
              <w:spacing w:line="252" w:lineRule="auto"/>
            </w:pPr>
            <w:r w:rsidRPr="638D78B1">
              <w:t>NE</w:t>
            </w:r>
          </w:p>
        </w:tc>
        <w:tc>
          <w:tcPr>
            <w:tcW w:w="1214" w:type="dxa"/>
            <w:tcBorders>
              <w:top w:val="nil"/>
              <w:left w:val="nil"/>
              <w:bottom w:val="single" w:sz="8" w:space="0" w:color="auto"/>
              <w:right w:val="single" w:sz="8" w:space="0" w:color="auto"/>
            </w:tcBorders>
            <w:tcMar>
              <w:top w:w="0" w:type="dxa"/>
              <w:left w:w="28" w:type="dxa"/>
              <w:bottom w:w="0" w:type="dxa"/>
              <w:right w:w="28" w:type="dxa"/>
            </w:tcMar>
          </w:tcPr>
          <w:p w14:paraId="70AF99A4" w14:textId="77777777" w:rsidR="00FD3F08" w:rsidRDefault="00FD3F08" w:rsidP="00153C8A">
            <w:pPr>
              <w:pStyle w:val="TableText0"/>
              <w:keepNext w:val="0"/>
              <w:widowControl w:val="0"/>
              <w:spacing w:line="252" w:lineRule="auto"/>
            </w:pPr>
            <w:r w:rsidRPr="638D78B1">
              <w:t>NE</w:t>
            </w:r>
          </w:p>
        </w:tc>
        <w:tc>
          <w:tcPr>
            <w:tcW w:w="1085" w:type="dxa"/>
            <w:tcBorders>
              <w:top w:val="nil"/>
              <w:left w:val="nil"/>
              <w:bottom w:val="single" w:sz="8" w:space="0" w:color="auto"/>
              <w:right w:val="single" w:sz="8" w:space="0" w:color="auto"/>
            </w:tcBorders>
            <w:tcMar>
              <w:top w:w="0" w:type="dxa"/>
              <w:left w:w="28" w:type="dxa"/>
              <w:bottom w:w="0" w:type="dxa"/>
              <w:right w:w="28" w:type="dxa"/>
            </w:tcMar>
            <w:hideMark/>
          </w:tcPr>
          <w:p w14:paraId="1BA62017" w14:textId="77777777" w:rsidR="00FD3F08" w:rsidRDefault="00FD3F08" w:rsidP="00153C8A">
            <w:pPr>
              <w:pStyle w:val="TableText0"/>
              <w:keepNext w:val="0"/>
              <w:widowControl w:val="0"/>
              <w:spacing w:line="252" w:lineRule="auto"/>
              <w:rPr>
                <w:snapToGrid w:val="0"/>
              </w:rPr>
            </w:pPr>
            <w:r>
              <w:rPr>
                <w:snapToGrid w:val="0"/>
              </w:rPr>
              <w:t>≤10</w:t>
            </w:r>
            <w:r>
              <w:rPr>
                <w:snapToGrid w:val="0"/>
                <w:vertAlign w:val="superscript"/>
              </w:rPr>
              <w:t>a</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4F29E167" w14:textId="77777777" w:rsidR="00FD3F08" w:rsidRDefault="00FD3F08" w:rsidP="00153C8A">
            <w:pPr>
              <w:pStyle w:val="TableText0"/>
              <w:keepNext w:val="0"/>
              <w:widowControl w:val="0"/>
              <w:spacing w:line="252" w:lineRule="auto"/>
              <w:rPr>
                <w:snapToGrid w:val="0"/>
              </w:rPr>
            </w:pPr>
            <w:r>
              <w:rPr>
                <w:snapToGrid w:val="0"/>
              </w:rPr>
              <w:t>≤10</w:t>
            </w:r>
            <w:r>
              <w:rPr>
                <w:snapToGrid w:val="0"/>
                <w:vertAlign w:val="superscript"/>
              </w:rPr>
              <w:t>a</w:t>
            </w:r>
          </w:p>
        </w:tc>
        <w:tc>
          <w:tcPr>
            <w:tcW w:w="1076" w:type="dxa"/>
            <w:tcBorders>
              <w:top w:val="nil"/>
              <w:left w:val="nil"/>
              <w:bottom w:val="single" w:sz="8" w:space="0" w:color="auto"/>
              <w:right w:val="single" w:sz="8" w:space="0" w:color="auto"/>
            </w:tcBorders>
            <w:tcMar>
              <w:top w:w="0" w:type="dxa"/>
              <w:left w:w="28" w:type="dxa"/>
              <w:bottom w:w="0" w:type="dxa"/>
              <w:right w:w="28" w:type="dxa"/>
            </w:tcMar>
            <w:hideMark/>
          </w:tcPr>
          <w:p w14:paraId="14B91E76" w14:textId="77777777" w:rsidR="00FD3F08" w:rsidRDefault="00FD3F08" w:rsidP="00153C8A">
            <w:pPr>
              <w:pStyle w:val="TableText0"/>
              <w:keepNext w:val="0"/>
              <w:widowControl w:val="0"/>
              <w:spacing w:line="252" w:lineRule="auto"/>
              <w:rPr>
                <w:snapToGrid w:val="0"/>
              </w:rPr>
            </w:pPr>
            <w:r>
              <w:rPr>
                <w:snapToGrid w:val="0"/>
              </w:rPr>
              <w:t>0.0 (0 to 0.1)</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1CD259E1" w14:textId="77777777" w:rsidR="00FD3F08" w:rsidRDefault="00FD3F08" w:rsidP="00153C8A">
            <w:pPr>
              <w:pStyle w:val="TableText0"/>
              <w:keepNext w:val="0"/>
              <w:widowControl w:val="0"/>
              <w:spacing w:line="252" w:lineRule="auto"/>
              <w:rPr>
                <w:snapToGrid w:val="0"/>
              </w:rPr>
            </w:pPr>
            <w:r>
              <w:rPr>
                <w:snapToGrid w:val="0"/>
              </w:rPr>
              <w:t>0.40</w:t>
            </w:r>
          </w:p>
        </w:tc>
        <w:tc>
          <w:tcPr>
            <w:tcW w:w="1072" w:type="dxa"/>
            <w:tcBorders>
              <w:top w:val="nil"/>
              <w:left w:val="nil"/>
              <w:bottom w:val="single" w:sz="8" w:space="0" w:color="auto"/>
              <w:right w:val="single" w:sz="8" w:space="0" w:color="auto"/>
            </w:tcBorders>
            <w:tcMar>
              <w:top w:w="0" w:type="dxa"/>
              <w:left w:w="28" w:type="dxa"/>
              <w:bottom w:w="0" w:type="dxa"/>
              <w:right w:w="28" w:type="dxa"/>
            </w:tcMar>
          </w:tcPr>
          <w:p w14:paraId="4CCECB61" w14:textId="77777777" w:rsidR="00FD3F08" w:rsidRPr="004A7A07" w:rsidRDefault="00FD3F08" w:rsidP="00153C8A">
            <w:pPr>
              <w:pStyle w:val="TableText0"/>
              <w:keepNext w:val="0"/>
              <w:widowControl w:val="0"/>
              <w:spacing w:line="252" w:lineRule="auto"/>
              <w:rPr>
                <w:snapToGrid w:val="0"/>
              </w:rPr>
            </w:pPr>
            <w:r w:rsidRPr="004A7A07">
              <w:rPr>
                <w:snapToGrid w:val="0"/>
              </w:rPr>
              <w:t>NA</w:t>
            </w:r>
          </w:p>
        </w:tc>
      </w:tr>
      <w:tr w:rsidR="00E51F42" w14:paraId="4CC5C14F" w14:textId="77777777" w:rsidTr="000A2670">
        <w:tc>
          <w:tcPr>
            <w:tcW w:w="193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7316B4C3" w14:textId="77777777" w:rsidR="00FD3F08" w:rsidRDefault="00FD3F08" w:rsidP="00153C8A">
            <w:pPr>
              <w:pStyle w:val="TableText0"/>
              <w:keepNext w:val="0"/>
              <w:widowControl w:val="0"/>
              <w:spacing w:line="252" w:lineRule="auto"/>
              <w:ind w:firstLine="227"/>
              <w:rPr>
                <w:snapToGrid w:val="0"/>
              </w:rPr>
            </w:pPr>
            <w:r>
              <w:rPr>
                <w:snapToGrid w:val="0"/>
              </w:rPr>
              <w:t>Post-procedural haematoma</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4921A2E3" w14:textId="77777777" w:rsidR="00FD3F08" w:rsidRDefault="00FD3F08" w:rsidP="00153C8A">
            <w:pPr>
              <w:pStyle w:val="TableText0"/>
              <w:keepNext w:val="0"/>
              <w:widowControl w:val="0"/>
              <w:spacing w:line="252" w:lineRule="auto"/>
              <w:rPr>
                <w:snapToGrid w:val="0"/>
              </w:rPr>
            </w:pPr>
            <w:r>
              <w:rPr>
                <w:snapToGrid w:val="0"/>
              </w:rPr>
              <w:t>30 (0.5)</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2A72B6A8" w14:textId="77777777" w:rsidR="00FD3F08" w:rsidRDefault="00FD3F08" w:rsidP="00153C8A">
            <w:pPr>
              <w:pStyle w:val="TableText0"/>
              <w:keepNext w:val="0"/>
              <w:widowControl w:val="0"/>
              <w:spacing w:line="252" w:lineRule="auto"/>
              <w:rPr>
                <w:snapToGrid w:val="0"/>
              </w:rPr>
            </w:pPr>
            <w:r>
              <w:rPr>
                <w:snapToGrid w:val="0"/>
              </w:rPr>
              <w:t>40 (0.4)</w:t>
            </w:r>
          </w:p>
        </w:tc>
        <w:tc>
          <w:tcPr>
            <w:tcW w:w="1077" w:type="dxa"/>
            <w:tcBorders>
              <w:top w:val="nil"/>
              <w:left w:val="nil"/>
              <w:bottom w:val="single" w:sz="8" w:space="0" w:color="auto"/>
              <w:right w:val="single" w:sz="8" w:space="0" w:color="auto"/>
            </w:tcBorders>
            <w:tcMar>
              <w:top w:w="0" w:type="dxa"/>
              <w:left w:w="28" w:type="dxa"/>
              <w:bottom w:w="0" w:type="dxa"/>
              <w:right w:w="28" w:type="dxa"/>
            </w:tcMar>
          </w:tcPr>
          <w:p w14:paraId="0DD61CDB" w14:textId="77777777" w:rsidR="00FD3F08" w:rsidRDefault="00FD3F08" w:rsidP="00153C8A">
            <w:pPr>
              <w:pStyle w:val="TableText0"/>
              <w:keepNext w:val="0"/>
              <w:widowControl w:val="0"/>
              <w:spacing w:line="252" w:lineRule="auto"/>
            </w:pPr>
            <w:r w:rsidRPr="638D78B1">
              <w:t>0.11 (-0.12 to 0.33)</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6A1DBE85" w14:textId="77777777" w:rsidR="00FD3F08" w:rsidRDefault="00FD3F08" w:rsidP="00153C8A">
            <w:pPr>
              <w:pStyle w:val="TableText0"/>
              <w:keepNext w:val="0"/>
              <w:widowControl w:val="0"/>
              <w:spacing w:line="252" w:lineRule="auto"/>
              <w:rPr>
                <w:snapToGrid w:val="0"/>
              </w:rPr>
            </w:pPr>
            <w:r>
              <w:rPr>
                <w:snapToGrid w:val="0"/>
              </w:rPr>
              <w:t>0.33</w:t>
            </w:r>
          </w:p>
        </w:tc>
        <w:tc>
          <w:tcPr>
            <w:tcW w:w="1080" w:type="dxa"/>
            <w:tcBorders>
              <w:top w:val="nil"/>
              <w:left w:val="nil"/>
              <w:bottom w:val="single" w:sz="8" w:space="0" w:color="auto"/>
              <w:right w:val="single" w:sz="8" w:space="0" w:color="auto"/>
            </w:tcBorders>
            <w:tcMar>
              <w:top w:w="0" w:type="dxa"/>
              <w:left w:w="28" w:type="dxa"/>
              <w:bottom w:w="0" w:type="dxa"/>
              <w:right w:w="28" w:type="dxa"/>
            </w:tcMar>
          </w:tcPr>
          <w:p w14:paraId="1222E0AA" w14:textId="77777777" w:rsidR="00FD3F08" w:rsidRDefault="00FD3F08" w:rsidP="00153C8A">
            <w:pPr>
              <w:pStyle w:val="TableText0"/>
              <w:keepNext w:val="0"/>
              <w:widowControl w:val="0"/>
              <w:spacing w:line="252" w:lineRule="auto"/>
            </w:pPr>
            <w:r w:rsidRPr="638D78B1">
              <w:t>1.26 (0.79 to 2.02)</w:t>
            </w:r>
          </w:p>
        </w:tc>
        <w:tc>
          <w:tcPr>
            <w:tcW w:w="1214" w:type="dxa"/>
            <w:tcBorders>
              <w:top w:val="nil"/>
              <w:left w:val="nil"/>
              <w:bottom w:val="single" w:sz="8" w:space="0" w:color="auto"/>
              <w:right w:val="single" w:sz="8" w:space="0" w:color="auto"/>
            </w:tcBorders>
            <w:tcMar>
              <w:top w:w="0" w:type="dxa"/>
              <w:left w:w="28" w:type="dxa"/>
              <w:bottom w:w="0" w:type="dxa"/>
              <w:right w:w="28" w:type="dxa"/>
            </w:tcMar>
          </w:tcPr>
          <w:p w14:paraId="5F11A642" w14:textId="77777777" w:rsidR="00FD3F08" w:rsidRDefault="00FD3F08" w:rsidP="00153C8A">
            <w:pPr>
              <w:pStyle w:val="TableText0"/>
              <w:keepNext w:val="0"/>
              <w:widowControl w:val="0"/>
              <w:spacing w:line="252" w:lineRule="auto"/>
            </w:pPr>
            <w:r w:rsidRPr="638D78B1">
              <w:t>0.3356</w:t>
            </w:r>
          </w:p>
        </w:tc>
        <w:tc>
          <w:tcPr>
            <w:tcW w:w="1085" w:type="dxa"/>
            <w:tcBorders>
              <w:top w:val="nil"/>
              <w:left w:val="nil"/>
              <w:bottom w:val="single" w:sz="8" w:space="0" w:color="auto"/>
              <w:right w:val="single" w:sz="8" w:space="0" w:color="auto"/>
            </w:tcBorders>
            <w:tcMar>
              <w:top w:w="0" w:type="dxa"/>
              <w:left w:w="28" w:type="dxa"/>
              <w:bottom w:w="0" w:type="dxa"/>
              <w:right w:w="28" w:type="dxa"/>
            </w:tcMar>
            <w:hideMark/>
          </w:tcPr>
          <w:p w14:paraId="43241D46" w14:textId="77777777" w:rsidR="00FD3F08" w:rsidRDefault="00FD3F08" w:rsidP="00153C8A">
            <w:pPr>
              <w:pStyle w:val="TableText0"/>
              <w:keepNext w:val="0"/>
              <w:widowControl w:val="0"/>
              <w:spacing w:line="252" w:lineRule="auto"/>
              <w:rPr>
                <w:snapToGrid w:val="0"/>
              </w:rPr>
            </w:pPr>
            <w:r>
              <w:rPr>
                <w:snapToGrid w:val="0"/>
              </w:rPr>
              <w:t>29 (0.5)</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5B83E477" w14:textId="77777777" w:rsidR="00FD3F08" w:rsidRDefault="00FD3F08" w:rsidP="00153C8A">
            <w:pPr>
              <w:pStyle w:val="TableText0"/>
              <w:keepNext w:val="0"/>
              <w:widowControl w:val="0"/>
              <w:spacing w:line="252" w:lineRule="auto"/>
              <w:rPr>
                <w:snapToGrid w:val="0"/>
              </w:rPr>
            </w:pPr>
            <w:r>
              <w:rPr>
                <w:snapToGrid w:val="0"/>
              </w:rPr>
              <w:t>39 (0.4)</w:t>
            </w:r>
          </w:p>
        </w:tc>
        <w:tc>
          <w:tcPr>
            <w:tcW w:w="1076" w:type="dxa"/>
            <w:tcBorders>
              <w:top w:val="nil"/>
              <w:left w:val="nil"/>
              <w:bottom w:val="single" w:sz="8" w:space="0" w:color="auto"/>
              <w:right w:val="single" w:sz="8" w:space="0" w:color="auto"/>
            </w:tcBorders>
            <w:tcMar>
              <w:top w:w="0" w:type="dxa"/>
              <w:left w:w="28" w:type="dxa"/>
              <w:bottom w:w="0" w:type="dxa"/>
              <w:right w:w="28" w:type="dxa"/>
            </w:tcMar>
            <w:hideMark/>
          </w:tcPr>
          <w:p w14:paraId="6DE0817E" w14:textId="77777777" w:rsidR="00FD3F08" w:rsidRDefault="00FD3F08" w:rsidP="00153C8A">
            <w:pPr>
              <w:pStyle w:val="TableText0"/>
              <w:keepNext w:val="0"/>
              <w:widowControl w:val="0"/>
              <w:spacing w:line="252" w:lineRule="auto"/>
              <w:rPr>
                <w:snapToGrid w:val="0"/>
              </w:rPr>
            </w:pPr>
            <w:r>
              <w:rPr>
                <w:snapToGrid w:val="0"/>
              </w:rPr>
              <w:t>0.1 (−0.1 to 0.3)</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58D4BDED" w14:textId="77777777" w:rsidR="00FD3F08" w:rsidRDefault="00FD3F08" w:rsidP="00153C8A">
            <w:pPr>
              <w:pStyle w:val="TableText0"/>
              <w:keepNext w:val="0"/>
              <w:widowControl w:val="0"/>
              <w:spacing w:line="252" w:lineRule="auto"/>
              <w:rPr>
                <w:snapToGrid w:val="0"/>
              </w:rPr>
            </w:pPr>
            <w:r>
              <w:rPr>
                <w:snapToGrid w:val="0"/>
              </w:rPr>
              <w:t>0.45</w:t>
            </w:r>
          </w:p>
        </w:tc>
        <w:tc>
          <w:tcPr>
            <w:tcW w:w="1072" w:type="dxa"/>
            <w:tcBorders>
              <w:top w:val="nil"/>
              <w:left w:val="nil"/>
              <w:bottom w:val="single" w:sz="8" w:space="0" w:color="auto"/>
              <w:right w:val="single" w:sz="8" w:space="0" w:color="auto"/>
            </w:tcBorders>
            <w:tcMar>
              <w:top w:w="0" w:type="dxa"/>
              <w:left w:w="28" w:type="dxa"/>
              <w:bottom w:w="0" w:type="dxa"/>
              <w:right w:w="28" w:type="dxa"/>
            </w:tcMar>
          </w:tcPr>
          <w:p w14:paraId="74871060" w14:textId="77777777" w:rsidR="00FD3F08" w:rsidRPr="004A7A07" w:rsidRDefault="00FD3F08" w:rsidP="00153C8A">
            <w:pPr>
              <w:pStyle w:val="TableText0"/>
              <w:keepNext w:val="0"/>
              <w:widowControl w:val="0"/>
              <w:spacing w:line="252" w:lineRule="auto"/>
              <w:rPr>
                <w:snapToGrid w:val="0"/>
              </w:rPr>
            </w:pPr>
            <w:r w:rsidRPr="004A7A07">
              <w:rPr>
                <w:snapToGrid w:val="0"/>
              </w:rPr>
              <w:t>1.25 (0.77 to 2.02)</w:t>
            </w:r>
          </w:p>
        </w:tc>
      </w:tr>
      <w:tr w:rsidR="00E51F42" w14:paraId="787DB825" w14:textId="77777777" w:rsidTr="000A2670">
        <w:tc>
          <w:tcPr>
            <w:tcW w:w="193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27B04D89" w14:textId="77777777" w:rsidR="00FD3F08" w:rsidRDefault="00FD3F08" w:rsidP="00153C8A">
            <w:pPr>
              <w:pStyle w:val="TableText0"/>
              <w:keepNext w:val="0"/>
              <w:widowControl w:val="0"/>
              <w:spacing w:line="252" w:lineRule="auto"/>
              <w:ind w:firstLine="227"/>
              <w:rPr>
                <w:snapToGrid w:val="0"/>
              </w:rPr>
            </w:pPr>
            <w:r>
              <w:rPr>
                <w:snapToGrid w:val="0"/>
              </w:rPr>
              <w:t>Post-procedural haemorrhage</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319B57EA" w14:textId="77777777" w:rsidR="00FD3F08" w:rsidRDefault="00FD3F08" w:rsidP="00153C8A">
            <w:pPr>
              <w:pStyle w:val="TableText0"/>
              <w:keepNext w:val="0"/>
              <w:widowControl w:val="0"/>
              <w:spacing w:line="252" w:lineRule="auto"/>
              <w:rPr>
                <w:snapToGrid w:val="0"/>
              </w:rPr>
            </w:pPr>
            <w:r>
              <w:rPr>
                <w:snapToGrid w:val="0"/>
              </w:rPr>
              <w:t>32 (0.6)</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2F886900" w14:textId="77777777" w:rsidR="00FD3F08" w:rsidRDefault="00FD3F08" w:rsidP="00153C8A">
            <w:pPr>
              <w:pStyle w:val="TableText0"/>
              <w:keepNext w:val="0"/>
              <w:widowControl w:val="0"/>
              <w:spacing w:line="252" w:lineRule="auto"/>
              <w:rPr>
                <w:snapToGrid w:val="0"/>
              </w:rPr>
            </w:pPr>
            <w:r>
              <w:rPr>
                <w:snapToGrid w:val="0"/>
              </w:rPr>
              <w:t>11 (0.1)</w:t>
            </w:r>
          </w:p>
        </w:tc>
        <w:tc>
          <w:tcPr>
            <w:tcW w:w="1077" w:type="dxa"/>
            <w:tcBorders>
              <w:top w:val="nil"/>
              <w:left w:val="nil"/>
              <w:bottom w:val="single" w:sz="8" w:space="0" w:color="auto"/>
              <w:right w:val="single" w:sz="8" w:space="0" w:color="auto"/>
            </w:tcBorders>
            <w:tcMar>
              <w:top w:w="0" w:type="dxa"/>
              <w:left w:w="28" w:type="dxa"/>
              <w:bottom w:w="0" w:type="dxa"/>
              <w:right w:w="28" w:type="dxa"/>
            </w:tcMar>
          </w:tcPr>
          <w:p w14:paraId="1F30F94C" w14:textId="77777777" w:rsidR="00FD3F08" w:rsidRPr="00ED1052" w:rsidRDefault="00FD3F08" w:rsidP="00153C8A">
            <w:pPr>
              <w:pStyle w:val="TableText0"/>
              <w:keepNext w:val="0"/>
              <w:widowControl w:val="0"/>
              <w:spacing w:line="252" w:lineRule="auto"/>
              <w:rPr>
                <w:rFonts w:cs="Times New Roman"/>
                <w:b/>
                <w:bCs/>
              </w:rPr>
            </w:pPr>
            <w:r w:rsidRPr="00ED1052">
              <w:rPr>
                <w:rFonts w:cs="Times New Roman"/>
                <w:b/>
                <w:bCs/>
              </w:rPr>
              <w:t>0.44 (0.24 to 0.65)</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34D89959" w14:textId="77777777" w:rsidR="00FD3F08" w:rsidRDefault="00FD3F08" w:rsidP="00153C8A">
            <w:pPr>
              <w:pStyle w:val="TableText0"/>
              <w:keepNext w:val="0"/>
              <w:widowControl w:val="0"/>
              <w:spacing w:line="252" w:lineRule="auto"/>
              <w:rPr>
                <w:snapToGrid w:val="0"/>
              </w:rPr>
            </w:pPr>
            <w:r>
              <w:rPr>
                <w:snapToGrid w:val="0"/>
              </w:rPr>
              <w:t>&lt;0.001</w:t>
            </w:r>
          </w:p>
        </w:tc>
        <w:tc>
          <w:tcPr>
            <w:tcW w:w="1080" w:type="dxa"/>
            <w:tcBorders>
              <w:top w:val="nil"/>
              <w:left w:val="nil"/>
              <w:bottom w:val="single" w:sz="8" w:space="0" w:color="auto"/>
              <w:right w:val="single" w:sz="8" w:space="0" w:color="auto"/>
            </w:tcBorders>
            <w:tcMar>
              <w:top w:w="0" w:type="dxa"/>
              <w:left w:w="28" w:type="dxa"/>
              <w:bottom w:w="0" w:type="dxa"/>
              <w:right w:w="28" w:type="dxa"/>
            </w:tcMar>
          </w:tcPr>
          <w:p w14:paraId="747FC2C5" w14:textId="77777777" w:rsidR="00FD3F08" w:rsidRPr="00ED1052" w:rsidRDefault="00FD3F08" w:rsidP="00153C8A">
            <w:pPr>
              <w:pStyle w:val="TableText0"/>
              <w:keepNext w:val="0"/>
              <w:widowControl w:val="0"/>
              <w:spacing w:line="252" w:lineRule="auto"/>
              <w:rPr>
                <w:rFonts w:cs="Times New Roman"/>
                <w:b/>
                <w:bCs/>
              </w:rPr>
            </w:pPr>
            <w:r w:rsidRPr="00ED1052">
              <w:rPr>
                <w:rFonts w:cs="Times New Roman"/>
                <w:b/>
                <w:bCs/>
              </w:rPr>
              <w:t>4.89 (2.47 to 9.70)</w:t>
            </w:r>
          </w:p>
        </w:tc>
        <w:tc>
          <w:tcPr>
            <w:tcW w:w="1214" w:type="dxa"/>
            <w:tcBorders>
              <w:top w:val="nil"/>
              <w:left w:val="nil"/>
              <w:bottom w:val="single" w:sz="8" w:space="0" w:color="auto"/>
              <w:right w:val="single" w:sz="8" w:space="0" w:color="auto"/>
            </w:tcBorders>
            <w:tcMar>
              <w:top w:w="0" w:type="dxa"/>
              <w:left w:w="28" w:type="dxa"/>
              <w:bottom w:w="0" w:type="dxa"/>
              <w:right w:w="28" w:type="dxa"/>
            </w:tcMar>
          </w:tcPr>
          <w:p w14:paraId="645FFECB" w14:textId="77777777" w:rsidR="00FD3F08" w:rsidRPr="00ED1052" w:rsidRDefault="00FD3F08" w:rsidP="00153C8A">
            <w:pPr>
              <w:pStyle w:val="TableText0"/>
              <w:keepNext w:val="0"/>
              <w:widowControl w:val="0"/>
              <w:spacing w:line="252" w:lineRule="auto"/>
              <w:rPr>
                <w:rFonts w:cs="Times New Roman"/>
                <w:b/>
                <w:bCs/>
              </w:rPr>
            </w:pPr>
            <w:r w:rsidRPr="00ED1052">
              <w:rPr>
                <w:rFonts w:cs="Times New Roman"/>
                <w:b/>
                <w:bCs/>
              </w:rPr>
              <w:t>&lt;0.0001</w:t>
            </w:r>
          </w:p>
        </w:tc>
        <w:tc>
          <w:tcPr>
            <w:tcW w:w="1085" w:type="dxa"/>
            <w:tcBorders>
              <w:top w:val="nil"/>
              <w:left w:val="nil"/>
              <w:bottom w:val="single" w:sz="8" w:space="0" w:color="auto"/>
              <w:right w:val="single" w:sz="8" w:space="0" w:color="auto"/>
            </w:tcBorders>
            <w:tcMar>
              <w:top w:w="0" w:type="dxa"/>
              <w:left w:w="28" w:type="dxa"/>
              <w:bottom w:w="0" w:type="dxa"/>
              <w:right w:w="28" w:type="dxa"/>
            </w:tcMar>
            <w:hideMark/>
          </w:tcPr>
          <w:p w14:paraId="51BE9C12" w14:textId="77777777" w:rsidR="00FD3F08" w:rsidRDefault="00FD3F08" w:rsidP="00153C8A">
            <w:pPr>
              <w:pStyle w:val="TableText0"/>
              <w:keepNext w:val="0"/>
              <w:widowControl w:val="0"/>
              <w:spacing w:line="252" w:lineRule="auto"/>
              <w:rPr>
                <w:snapToGrid w:val="0"/>
              </w:rPr>
            </w:pPr>
            <w:r>
              <w:rPr>
                <w:snapToGrid w:val="0"/>
              </w:rPr>
              <w:t>29 (0.5)</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18762EB7" w14:textId="77777777" w:rsidR="00FD3F08" w:rsidRDefault="00FD3F08" w:rsidP="00153C8A">
            <w:pPr>
              <w:pStyle w:val="TableText0"/>
              <w:keepNext w:val="0"/>
              <w:widowControl w:val="0"/>
              <w:spacing w:line="252" w:lineRule="auto"/>
              <w:rPr>
                <w:snapToGrid w:val="0"/>
              </w:rPr>
            </w:pPr>
            <w:r>
              <w:rPr>
                <w:snapToGrid w:val="0"/>
              </w:rPr>
              <w:t>10 (0.1)</w:t>
            </w:r>
          </w:p>
        </w:tc>
        <w:tc>
          <w:tcPr>
            <w:tcW w:w="1076" w:type="dxa"/>
            <w:tcBorders>
              <w:top w:val="nil"/>
              <w:left w:val="nil"/>
              <w:bottom w:val="single" w:sz="8" w:space="0" w:color="auto"/>
              <w:right w:val="single" w:sz="8" w:space="0" w:color="auto"/>
            </w:tcBorders>
            <w:tcMar>
              <w:top w:w="0" w:type="dxa"/>
              <w:left w:w="28" w:type="dxa"/>
              <w:bottom w:w="0" w:type="dxa"/>
              <w:right w:w="28" w:type="dxa"/>
            </w:tcMar>
            <w:hideMark/>
          </w:tcPr>
          <w:p w14:paraId="08EAE399" w14:textId="77777777" w:rsidR="00FD3F08" w:rsidRPr="00ED1052" w:rsidRDefault="00FD3F08" w:rsidP="00153C8A">
            <w:pPr>
              <w:pStyle w:val="TableText0"/>
              <w:keepNext w:val="0"/>
              <w:widowControl w:val="0"/>
              <w:spacing w:line="252" w:lineRule="auto"/>
              <w:rPr>
                <w:b/>
                <w:bCs/>
                <w:snapToGrid w:val="0"/>
              </w:rPr>
            </w:pPr>
            <w:r w:rsidRPr="00ED1052">
              <w:rPr>
                <w:b/>
                <w:bCs/>
                <w:snapToGrid w:val="0"/>
              </w:rPr>
              <w:t>0.4 (0.2 to 0.6)</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362A1224" w14:textId="77777777" w:rsidR="00FD3F08" w:rsidRPr="00ED1052" w:rsidRDefault="00FD3F08" w:rsidP="00153C8A">
            <w:pPr>
              <w:pStyle w:val="TableText0"/>
              <w:keepNext w:val="0"/>
              <w:widowControl w:val="0"/>
              <w:spacing w:line="252" w:lineRule="auto"/>
              <w:rPr>
                <w:b/>
                <w:bCs/>
                <w:snapToGrid w:val="0"/>
              </w:rPr>
            </w:pPr>
            <w:r w:rsidRPr="00ED1052">
              <w:rPr>
                <w:b/>
                <w:bCs/>
                <w:snapToGrid w:val="0"/>
              </w:rPr>
              <w:t>&lt;0.001</w:t>
            </w:r>
          </w:p>
        </w:tc>
        <w:tc>
          <w:tcPr>
            <w:tcW w:w="1072" w:type="dxa"/>
            <w:tcBorders>
              <w:top w:val="nil"/>
              <w:left w:val="nil"/>
              <w:bottom w:val="single" w:sz="8" w:space="0" w:color="auto"/>
              <w:right w:val="single" w:sz="8" w:space="0" w:color="auto"/>
            </w:tcBorders>
            <w:tcMar>
              <w:top w:w="0" w:type="dxa"/>
              <w:left w:w="28" w:type="dxa"/>
              <w:bottom w:w="0" w:type="dxa"/>
              <w:right w:w="28" w:type="dxa"/>
            </w:tcMar>
          </w:tcPr>
          <w:p w14:paraId="0706B357" w14:textId="77777777" w:rsidR="00FD3F08" w:rsidRPr="00ED1052" w:rsidRDefault="00FD3F08" w:rsidP="00153C8A">
            <w:pPr>
              <w:pStyle w:val="TableText0"/>
              <w:keepNext w:val="0"/>
              <w:widowControl w:val="0"/>
              <w:spacing w:line="252" w:lineRule="auto"/>
              <w:rPr>
                <w:b/>
                <w:bCs/>
                <w:snapToGrid w:val="0"/>
              </w:rPr>
            </w:pPr>
            <w:r w:rsidRPr="00ED1052">
              <w:rPr>
                <w:b/>
                <w:bCs/>
                <w:snapToGrid w:val="0"/>
              </w:rPr>
              <w:t>4.88 (2.38 to 10.00)</w:t>
            </w:r>
          </w:p>
        </w:tc>
      </w:tr>
      <w:tr w:rsidR="00E51F42" w14:paraId="0B130482" w14:textId="77777777" w:rsidTr="000A2670">
        <w:tc>
          <w:tcPr>
            <w:tcW w:w="193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4B9BABE0" w14:textId="77777777" w:rsidR="00FD3F08" w:rsidRDefault="00FD3F08" w:rsidP="00153C8A">
            <w:pPr>
              <w:pStyle w:val="TableText0"/>
              <w:keepNext w:val="0"/>
              <w:widowControl w:val="0"/>
              <w:spacing w:line="252" w:lineRule="auto"/>
              <w:ind w:firstLine="227"/>
              <w:rPr>
                <w:snapToGrid w:val="0"/>
              </w:rPr>
            </w:pPr>
            <w:r>
              <w:rPr>
                <w:snapToGrid w:val="0"/>
              </w:rPr>
              <w:t>Intraoperative cardiac arrest</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2E1D85CB" w14:textId="77777777" w:rsidR="00FD3F08" w:rsidRDefault="00FD3F08" w:rsidP="00153C8A">
            <w:pPr>
              <w:pStyle w:val="TableText0"/>
              <w:keepNext w:val="0"/>
              <w:widowControl w:val="0"/>
              <w:spacing w:line="252" w:lineRule="auto"/>
              <w:rPr>
                <w:snapToGrid w:val="0"/>
              </w:rPr>
            </w:pPr>
            <w:r>
              <w:rPr>
                <w:snapToGrid w:val="0"/>
              </w:rPr>
              <w:t>20 (0.4)</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3DA29948" w14:textId="77777777" w:rsidR="00FD3F08" w:rsidRDefault="00FD3F08" w:rsidP="00153C8A">
            <w:pPr>
              <w:pStyle w:val="TableText0"/>
              <w:keepNext w:val="0"/>
              <w:widowControl w:val="0"/>
              <w:spacing w:line="252" w:lineRule="auto"/>
              <w:rPr>
                <w:snapToGrid w:val="0"/>
              </w:rPr>
            </w:pPr>
            <w:r>
              <w:rPr>
                <w:snapToGrid w:val="0"/>
              </w:rPr>
              <w:t>24 (0.3)</w:t>
            </w:r>
          </w:p>
        </w:tc>
        <w:tc>
          <w:tcPr>
            <w:tcW w:w="1077" w:type="dxa"/>
            <w:tcBorders>
              <w:top w:val="nil"/>
              <w:left w:val="nil"/>
              <w:bottom w:val="single" w:sz="8" w:space="0" w:color="auto"/>
              <w:right w:val="single" w:sz="8" w:space="0" w:color="auto"/>
            </w:tcBorders>
            <w:tcMar>
              <w:top w:w="0" w:type="dxa"/>
              <w:left w:w="28" w:type="dxa"/>
              <w:bottom w:w="0" w:type="dxa"/>
              <w:right w:w="28" w:type="dxa"/>
            </w:tcMar>
          </w:tcPr>
          <w:p w14:paraId="21DF4583" w14:textId="77777777" w:rsidR="00FD3F08" w:rsidRDefault="00FD3F08" w:rsidP="00153C8A">
            <w:pPr>
              <w:pStyle w:val="TableText0"/>
              <w:keepNext w:val="0"/>
              <w:widowControl w:val="0"/>
              <w:spacing w:line="252" w:lineRule="auto"/>
            </w:pPr>
            <w:r w:rsidRPr="638D78B1">
              <w:t>0.1 (-0.08 to 0.28)</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0D7A6AB7" w14:textId="77777777" w:rsidR="00FD3F08" w:rsidRDefault="00FD3F08" w:rsidP="00153C8A">
            <w:pPr>
              <w:pStyle w:val="TableText0"/>
              <w:keepNext w:val="0"/>
              <w:widowControl w:val="0"/>
              <w:spacing w:line="252" w:lineRule="auto"/>
              <w:rPr>
                <w:snapToGrid w:val="0"/>
              </w:rPr>
            </w:pPr>
            <w:r>
              <w:rPr>
                <w:snapToGrid w:val="0"/>
              </w:rPr>
              <w:t>0.30</w:t>
            </w:r>
          </w:p>
        </w:tc>
        <w:tc>
          <w:tcPr>
            <w:tcW w:w="1080" w:type="dxa"/>
            <w:tcBorders>
              <w:top w:val="nil"/>
              <w:left w:val="nil"/>
              <w:bottom w:val="single" w:sz="8" w:space="0" w:color="auto"/>
              <w:right w:val="single" w:sz="8" w:space="0" w:color="auto"/>
            </w:tcBorders>
            <w:tcMar>
              <w:top w:w="0" w:type="dxa"/>
              <w:left w:w="28" w:type="dxa"/>
              <w:bottom w:w="0" w:type="dxa"/>
              <w:right w:w="28" w:type="dxa"/>
            </w:tcMar>
          </w:tcPr>
          <w:p w14:paraId="2C5CA3D5" w14:textId="77777777" w:rsidR="00FD3F08" w:rsidRDefault="00FD3F08" w:rsidP="00153C8A">
            <w:pPr>
              <w:pStyle w:val="TableText0"/>
              <w:keepNext w:val="0"/>
              <w:widowControl w:val="0"/>
              <w:spacing w:line="252" w:lineRule="auto"/>
            </w:pPr>
            <w:r w:rsidRPr="638D78B1">
              <w:t>1.40 (0.77 to 2.53)</w:t>
            </w:r>
          </w:p>
        </w:tc>
        <w:tc>
          <w:tcPr>
            <w:tcW w:w="1214" w:type="dxa"/>
            <w:tcBorders>
              <w:top w:val="nil"/>
              <w:left w:val="nil"/>
              <w:bottom w:val="single" w:sz="8" w:space="0" w:color="auto"/>
              <w:right w:val="single" w:sz="8" w:space="0" w:color="auto"/>
            </w:tcBorders>
            <w:tcMar>
              <w:top w:w="0" w:type="dxa"/>
              <w:left w:w="28" w:type="dxa"/>
              <w:bottom w:w="0" w:type="dxa"/>
              <w:right w:w="28" w:type="dxa"/>
            </w:tcMar>
          </w:tcPr>
          <w:p w14:paraId="7905E270" w14:textId="77777777" w:rsidR="00FD3F08" w:rsidRDefault="00FD3F08" w:rsidP="00153C8A">
            <w:pPr>
              <w:pStyle w:val="TableText0"/>
              <w:keepNext w:val="0"/>
              <w:widowControl w:val="0"/>
              <w:spacing w:line="252" w:lineRule="auto"/>
            </w:pPr>
            <w:r w:rsidRPr="638D78B1">
              <w:t>0.2644</w:t>
            </w:r>
          </w:p>
        </w:tc>
        <w:tc>
          <w:tcPr>
            <w:tcW w:w="1085" w:type="dxa"/>
            <w:tcBorders>
              <w:top w:val="nil"/>
              <w:left w:val="nil"/>
              <w:bottom w:val="single" w:sz="8" w:space="0" w:color="auto"/>
              <w:right w:val="single" w:sz="8" w:space="0" w:color="auto"/>
            </w:tcBorders>
            <w:tcMar>
              <w:top w:w="0" w:type="dxa"/>
              <w:left w:w="28" w:type="dxa"/>
              <w:bottom w:w="0" w:type="dxa"/>
              <w:right w:w="28" w:type="dxa"/>
            </w:tcMar>
            <w:hideMark/>
          </w:tcPr>
          <w:p w14:paraId="71CCEE80" w14:textId="77777777" w:rsidR="00FD3F08" w:rsidRDefault="00FD3F08" w:rsidP="00153C8A">
            <w:pPr>
              <w:pStyle w:val="TableText0"/>
              <w:keepNext w:val="0"/>
              <w:widowControl w:val="0"/>
              <w:spacing w:line="252" w:lineRule="auto"/>
              <w:rPr>
                <w:snapToGrid w:val="0"/>
              </w:rPr>
            </w:pPr>
            <w:r>
              <w:rPr>
                <w:snapToGrid w:val="0"/>
              </w:rPr>
              <w:t>17 (0.3)</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5DE6A29A" w14:textId="77777777" w:rsidR="00FD3F08" w:rsidRDefault="00FD3F08" w:rsidP="00153C8A">
            <w:pPr>
              <w:pStyle w:val="TableText0"/>
              <w:keepNext w:val="0"/>
              <w:widowControl w:val="0"/>
              <w:spacing w:line="252" w:lineRule="auto"/>
              <w:rPr>
                <w:snapToGrid w:val="0"/>
              </w:rPr>
            </w:pPr>
            <w:r>
              <w:rPr>
                <w:snapToGrid w:val="0"/>
              </w:rPr>
              <w:t>29 (0.3)</w:t>
            </w:r>
          </w:p>
        </w:tc>
        <w:tc>
          <w:tcPr>
            <w:tcW w:w="1076" w:type="dxa"/>
            <w:tcBorders>
              <w:top w:val="nil"/>
              <w:left w:val="nil"/>
              <w:bottom w:val="single" w:sz="8" w:space="0" w:color="auto"/>
              <w:right w:val="single" w:sz="8" w:space="0" w:color="auto"/>
            </w:tcBorders>
            <w:tcMar>
              <w:top w:w="0" w:type="dxa"/>
              <w:left w:w="28" w:type="dxa"/>
              <w:bottom w:w="0" w:type="dxa"/>
              <w:right w:w="28" w:type="dxa"/>
            </w:tcMar>
            <w:hideMark/>
          </w:tcPr>
          <w:p w14:paraId="73F8E2C1" w14:textId="77777777" w:rsidR="00FD3F08" w:rsidRDefault="00FD3F08" w:rsidP="00153C8A">
            <w:pPr>
              <w:pStyle w:val="TableText0"/>
              <w:keepNext w:val="0"/>
              <w:widowControl w:val="0"/>
              <w:spacing w:line="252" w:lineRule="auto"/>
              <w:rPr>
                <w:snapToGrid w:val="0"/>
              </w:rPr>
            </w:pPr>
            <w:r>
              <w:rPr>
                <w:snapToGrid w:val="0"/>
              </w:rPr>
              <w:t>0.1 (−0.2 to 0.3)</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2E200D23" w14:textId="77777777" w:rsidR="00FD3F08" w:rsidRDefault="00FD3F08" w:rsidP="00153C8A">
            <w:pPr>
              <w:pStyle w:val="TableText0"/>
              <w:keepNext w:val="0"/>
              <w:widowControl w:val="0"/>
              <w:spacing w:line="252" w:lineRule="auto"/>
              <w:rPr>
                <w:snapToGrid w:val="0"/>
              </w:rPr>
            </w:pPr>
            <w:r>
              <w:rPr>
                <w:snapToGrid w:val="0"/>
              </w:rPr>
              <w:t>0.51</w:t>
            </w:r>
          </w:p>
        </w:tc>
        <w:tc>
          <w:tcPr>
            <w:tcW w:w="1072" w:type="dxa"/>
            <w:tcBorders>
              <w:top w:val="nil"/>
              <w:left w:val="nil"/>
              <w:bottom w:val="single" w:sz="8" w:space="0" w:color="auto"/>
              <w:right w:val="single" w:sz="8" w:space="0" w:color="auto"/>
            </w:tcBorders>
            <w:tcMar>
              <w:top w:w="0" w:type="dxa"/>
              <w:left w:w="28" w:type="dxa"/>
              <w:bottom w:w="0" w:type="dxa"/>
              <w:right w:w="28" w:type="dxa"/>
            </w:tcMar>
          </w:tcPr>
          <w:p w14:paraId="1EA4B77B" w14:textId="77777777" w:rsidR="00FD3F08" w:rsidRPr="004A7A07" w:rsidRDefault="00FD3F08" w:rsidP="00153C8A">
            <w:pPr>
              <w:pStyle w:val="TableText0"/>
              <w:keepNext w:val="0"/>
              <w:widowControl w:val="0"/>
              <w:spacing w:line="252" w:lineRule="auto"/>
              <w:rPr>
                <w:snapToGrid w:val="0"/>
              </w:rPr>
            </w:pPr>
            <w:r w:rsidRPr="004A7A07">
              <w:rPr>
                <w:snapToGrid w:val="0"/>
              </w:rPr>
              <w:t>0.99 (0.54 to 1.79)</w:t>
            </w:r>
          </w:p>
        </w:tc>
      </w:tr>
      <w:tr w:rsidR="00E51F42" w14:paraId="71AA3C05" w14:textId="77777777" w:rsidTr="000A2670">
        <w:tc>
          <w:tcPr>
            <w:tcW w:w="193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4B2CF96A" w14:textId="77777777" w:rsidR="00FD3F08" w:rsidRDefault="00FD3F08" w:rsidP="00153C8A">
            <w:pPr>
              <w:pStyle w:val="TableText0"/>
              <w:keepNext w:val="0"/>
              <w:widowControl w:val="0"/>
              <w:spacing w:line="252" w:lineRule="auto"/>
              <w:ind w:firstLine="227"/>
              <w:rPr>
                <w:snapToGrid w:val="0"/>
              </w:rPr>
            </w:pPr>
            <w:r>
              <w:rPr>
                <w:snapToGrid w:val="0"/>
              </w:rPr>
              <w:t>Pericarditis</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17693CD0" w14:textId="77777777" w:rsidR="00FD3F08" w:rsidRDefault="00FD3F08" w:rsidP="00153C8A">
            <w:pPr>
              <w:pStyle w:val="TableText0"/>
              <w:keepNext w:val="0"/>
              <w:widowControl w:val="0"/>
              <w:spacing w:line="252" w:lineRule="auto"/>
              <w:rPr>
                <w:snapToGrid w:val="0"/>
              </w:rPr>
            </w:pPr>
            <w:r>
              <w:rPr>
                <w:snapToGrid w:val="0"/>
              </w:rPr>
              <w:t>51 (0.9)</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3B4EC138" w14:textId="77777777" w:rsidR="00FD3F08" w:rsidRDefault="00FD3F08" w:rsidP="00153C8A">
            <w:pPr>
              <w:pStyle w:val="TableText0"/>
              <w:keepNext w:val="0"/>
              <w:widowControl w:val="0"/>
              <w:spacing w:line="252" w:lineRule="auto"/>
              <w:rPr>
                <w:snapToGrid w:val="0"/>
              </w:rPr>
            </w:pPr>
            <w:r>
              <w:rPr>
                <w:snapToGrid w:val="0"/>
              </w:rPr>
              <w:t>23 (0.2)</w:t>
            </w:r>
          </w:p>
        </w:tc>
        <w:tc>
          <w:tcPr>
            <w:tcW w:w="1077" w:type="dxa"/>
            <w:tcBorders>
              <w:top w:val="nil"/>
              <w:left w:val="nil"/>
              <w:bottom w:val="single" w:sz="8" w:space="0" w:color="auto"/>
              <w:right w:val="single" w:sz="8" w:space="0" w:color="auto"/>
            </w:tcBorders>
            <w:tcMar>
              <w:top w:w="0" w:type="dxa"/>
              <w:left w:w="28" w:type="dxa"/>
              <w:bottom w:w="0" w:type="dxa"/>
              <w:right w:w="28" w:type="dxa"/>
            </w:tcMar>
          </w:tcPr>
          <w:p w14:paraId="57574A06" w14:textId="77777777" w:rsidR="00FD3F08" w:rsidRPr="00ED1052" w:rsidRDefault="00FD3F08" w:rsidP="00153C8A">
            <w:pPr>
              <w:pStyle w:val="TableText0"/>
              <w:keepNext w:val="0"/>
              <w:widowControl w:val="0"/>
              <w:spacing w:line="252" w:lineRule="auto"/>
              <w:rPr>
                <w:rFonts w:cs="Times New Roman"/>
                <w:b/>
                <w:bCs/>
              </w:rPr>
            </w:pPr>
            <w:r w:rsidRPr="00ED1052">
              <w:rPr>
                <w:rFonts w:cs="Times New Roman"/>
                <w:b/>
                <w:bCs/>
              </w:rPr>
              <w:t>0.65 (0.39 to 0.91)</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4ABFA95D" w14:textId="77777777" w:rsidR="00FD3F08" w:rsidRDefault="00FD3F08" w:rsidP="00153C8A">
            <w:pPr>
              <w:pStyle w:val="TableText0"/>
              <w:keepNext w:val="0"/>
              <w:widowControl w:val="0"/>
              <w:spacing w:line="252" w:lineRule="auto"/>
              <w:rPr>
                <w:snapToGrid w:val="0"/>
              </w:rPr>
            </w:pPr>
            <w:r>
              <w:rPr>
                <w:snapToGrid w:val="0"/>
              </w:rPr>
              <w:t>&lt;0.001</w:t>
            </w:r>
          </w:p>
        </w:tc>
        <w:tc>
          <w:tcPr>
            <w:tcW w:w="1080" w:type="dxa"/>
            <w:tcBorders>
              <w:top w:val="nil"/>
              <w:left w:val="nil"/>
              <w:bottom w:val="single" w:sz="8" w:space="0" w:color="auto"/>
              <w:right w:val="single" w:sz="8" w:space="0" w:color="auto"/>
            </w:tcBorders>
            <w:tcMar>
              <w:top w:w="0" w:type="dxa"/>
              <w:left w:w="28" w:type="dxa"/>
              <w:bottom w:w="0" w:type="dxa"/>
              <w:right w:w="28" w:type="dxa"/>
            </w:tcMar>
          </w:tcPr>
          <w:p w14:paraId="35D11ED1" w14:textId="77777777" w:rsidR="00FD3F08" w:rsidRPr="00ED1052" w:rsidRDefault="00FD3F08" w:rsidP="00153C8A">
            <w:pPr>
              <w:pStyle w:val="TableText0"/>
              <w:keepNext w:val="0"/>
              <w:widowControl w:val="0"/>
              <w:spacing w:line="252" w:lineRule="auto"/>
              <w:rPr>
                <w:rFonts w:cs="Times New Roman"/>
                <w:b/>
                <w:bCs/>
              </w:rPr>
            </w:pPr>
            <w:r w:rsidRPr="00ED1052">
              <w:rPr>
                <w:rFonts w:cs="Times New Roman"/>
                <w:b/>
                <w:bCs/>
              </w:rPr>
              <w:t>3.73 (2.28 to 6.09)</w:t>
            </w:r>
          </w:p>
        </w:tc>
        <w:tc>
          <w:tcPr>
            <w:tcW w:w="1214" w:type="dxa"/>
            <w:tcBorders>
              <w:top w:val="nil"/>
              <w:left w:val="nil"/>
              <w:bottom w:val="single" w:sz="8" w:space="0" w:color="auto"/>
              <w:right w:val="single" w:sz="8" w:space="0" w:color="auto"/>
            </w:tcBorders>
            <w:tcMar>
              <w:top w:w="0" w:type="dxa"/>
              <w:left w:w="28" w:type="dxa"/>
              <w:bottom w:w="0" w:type="dxa"/>
              <w:right w:w="28" w:type="dxa"/>
            </w:tcMar>
          </w:tcPr>
          <w:p w14:paraId="3297FD16" w14:textId="77777777" w:rsidR="00FD3F08" w:rsidRPr="00ED1052" w:rsidRDefault="00FD3F08" w:rsidP="00153C8A">
            <w:pPr>
              <w:pStyle w:val="TableText0"/>
              <w:keepNext w:val="0"/>
              <w:widowControl w:val="0"/>
              <w:spacing w:line="252" w:lineRule="auto"/>
              <w:rPr>
                <w:rFonts w:cs="Times New Roman"/>
                <w:b/>
                <w:bCs/>
              </w:rPr>
            </w:pPr>
            <w:r w:rsidRPr="00ED1052">
              <w:rPr>
                <w:rFonts w:cs="Times New Roman"/>
                <w:b/>
                <w:bCs/>
              </w:rPr>
              <w:t>&lt;0.0001</w:t>
            </w:r>
          </w:p>
        </w:tc>
        <w:tc>
          <w:tcPr>
            <w:tcW w:w="1085" w:type="dxa"/>
            <w:tcBorders>
              <w:top w:val="nil"/>
              <w:left w:val="nil"/>
              <w:bottom w:val="single" w:sz="8" w:space="0" w:color="auto"/>
              <w:right w:val="single" w:sz="8" w:space="0" w:color="auto"/>
            </w:tcBorders>
            <w:tcMar>
              <w:top w:w="0" w:type="dxa"/>
              <w:left w:w="28" w:type="dxa"/>
              <w:bottom w:w="0" w:type="dxa"/>
              <w:right w:w="28" w:type="dxa"/>
            </w:tcMar>
            <w:hideMark/>
          </w:tcPr>
          <w:p w14:paraId="0BD50193" w14:textId="77777777" w:rsidR="00FD3F08" w:rsidRDefault="00FD3F08" w:rsidP="00153C8A">
            <w:pPr>
              <w:pStyle w:val="TableText0"/>
              <w:keepNext w:val="0"/>
              <w:widowControl w:val="0"/>
              <w:spacing w:line="252" w:lineRule="auto"/>
              <w:rPr>
                <w:snapToGrid w:val="0"/>
              </w:rPr>
            </w:pPr>
            <w:r>
              <w:rPr>
                <w:snapToGrid w:val="0"/>
              </w:rPr>
              <w:t>46 (0.8)</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05AA09F2" w14:textId="77777777" w:rsidR="00FD3F08" w:rsidRDefault="00FD3F08" w:rsidP="00153C8A">
            <w:pPr>
              <w:pStyle w:val="TableText0"/>
              <w:keepNext w:val="0"/>
              <w:widowControl w:val="0"/>
              <w:spacing w:line="252" w:lineRule="auto"/>
              <w:rPr>
                <w:snapToGrid w:val="0"/>
              </w:rPr>
            </w:pPr>
            <w:r>
              <w:rPr>
                <w:snapToGrid w:val="0"/>
              </w:rPr>
              <w:t>29 (0.3)</w:t>
            </w:r>
          </w:p>
        </w:tc>
        <w:tc>
          <w:tcPr>
            <w:tcW w:w="1076" w:type="dxa"/>
            <w:tcBorders>
              <w:top w:val="nil"/>
              <w:left w:val="nil"/>
              <w:bottom w:val="single" w:sz="8" w:space="0" w:color="auto"/>
              <w:right w:val="single" w:sz="8" w:space="0" w:color="auto"/>
            </w:tcBorders>
            <w:tcMar>
              <w:top w:w="0" w:type="dxa"/>
              <w:left w:w="28" w:type="dxa"/>
              <w:bottom w:w="0" w:type="dxa"/>
              <w:right w:w="28" w:type="dxa"/>
            </w:tcMar>
            <w:hideMark/>
          </w:tcPr>
          <w:p w14:paraId="674C3C76" w14:textId="77777777" w:rsidR="00FD3F08" w:rsidRPr="00ED1052" w:rsidRDefault="00FD3F08" w:rsidP="00153C8A">
            <w:pPr>
              <w:pStyle w:val="TableText0"/>
              <w:keepNext w:val="0"/>
              <w:widowControl w:val="0"/>
              <w:spacing w:line="252" w:lineRule="auto"/>
              <w:rPr>
                <w:b/>
                <w:bCs/>
                <w:snapToGrid w:val="0"/>
              </w:rPr>
            </w:pPr>
            <w:r w:rsidRPr="00ED1052">
              <w:rPr>
                <w:b/>
                <w:bCs/>
                <w:snapToGrid w:val="0"/>
              </w:rPr>
              <w:t>0.6 (0.3 to 0.9)</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72B879DE" w14:textId="77777777" w:rsidR="00FD3F08" w:rsidRPr="00ED1052" w:rsidRDefault="00FD3F08" w:rsidP="00153C8A">
            <w:pPr>
              <w:pStyle w:val="TableText0"/>
              <w:keepNext w:val="0"/>
              <w:widowControl w:val="0"/>
              <w:spacing w:line="252" w:lineRule="auto"/>
              <w:rPr>
                <w:b/>
                <w:bCs/>
                <w:snapToGrid w:val="0"/>
              </w:rPr>
            </w:pPr>
            <w:r w:rsidRPr="00ED1052">
              <w:rPr>
                <w:b/>
                <w:bCs/>
                <w:snapToGrid w:val="0"/>
              </w:rPr>
              <w:t>&lt;0.001</w:t>
            </w:r>
          </w:p>
        </w:tc>
        <w:tc>
          <w:tcPr>
            <w:tcW w:w="1072" w:type="dxa"/>
            <w:tcBorders>
              <w:top w:val="nil"/>
              <w:left w:val="nil"/>
              <w:bottom w:val="single" w:sz="8" w:space="0" w:color="auto"/>
              <w:right w:val="single" w:sz="8" w:space="0" w:color="auto"/>
            </w:tcBorders>
            <w:tcMar>
              <w:top w:w="0" w:type="dxa"/>
              <w:left w:w="28" w:type="dxa"/>
              <w:bottom w:w="0" w:type="dxa"/>
              <w:right w:w="28" w:type="dxa"/>
            </w:tcMar>
          </w:tcPr>
          <w:p w14:paraId="2A283548" w14:textId="77777777" w:rsidR="00FD3F08" w:rsidRPr="00ED1052" w:rsidRDefault="00FD3F08" w:rsidP="00153C8A">
            <w:pPr>
              <w:pStyle w:val="TableText0"/>
              <w:keepNext w:val="0"/>
              <w:widowControl w:val="0"/>
              <w:spacing w:line="252" w:lineRule="auto"/>
              <w:rPr>
                <w:b/>
                <w:bCs/>
                <w:snapToGrid w:val="0"/>
              </w:rPr>
            </w:pPr>
            <w:r w:rsidRPr="00ED1052">
              <w:rPr>
                <w:b/>
                <w:bCs/>
                <w:snapToGrid w:val="0"/>
              </w:rPr>
              <w:t>2.67 (1.68 to 4.24)</w:t>
            </w:r>
          </w:p>
        </w:tc>
      </w:tr>
      <w:tr w:rsidR="00E51F42" w14:paraId="610E6F14" w14:textId="77777777" w:rsidTr="000A2670">
        <w:tc>
          <w:tcPr>
            <w:tcW w:w="193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47046F73" w14:textId="77777777" w:rsidR="00FD3F08" w:rsidRDefault="00FD3F08" w:rsidP="00153C8A">
            <w:pPr>
              <w:pStyle w:val="TableText0"/>
              <w:keepNext w:val="0"/>
              <w:widowControl w:val="0"/>
              <w:spacing w:line="252" w:lineRule="auto"/>
              <w:ind w:firstLine="227"/>
              <w:rPr>
                <w:snapToGrid w:val="0"/>
              </w:rPr>
            </w:pPr>
            <w:r>
              <w:rPr>
                <w:snapToGrid w:val="0"/>
              </w:rPr>
              <w:t>Vascular complication</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10346446" w14:textId="77777777" w:rsidR="00FD3F08" w:rsidRDefault="00FD3F08" w:rsidP="00153C8A">
            <w:pPr>
              <w:pStyle w:val="TableText0"/>
              <w:keepNext w:val="0"/>
              <w:widowControl w:val="0"/>
              <w:spacing w:line="252" w:lineRule="auto"/>
              <w:rPr>
                <w:snapToGrid w:val="0"/>
              </w:rPr>
            </w:pPr>
            <w:r>
              <w:rPr>
                <w:snapToGrid w:val="0"/>
              </w:rPr>
              <w:t>38 (0.7)</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44F78E92" w14:textId="77777777" w:rsidR="00FD3F08" w:rsidRDefault="00FD3F08" w:rsidP="00153C8A">
            <w:pPr>
              <w:pStyle w:val="TableText0"/>
              <w:keepNext w:val="0"/>
              <w:widowControl w:val="0"/>
              <w:spacing w:line="252" w:lineRule="auto"/>
              <w:rPr>
                <w:snapToGrid w:val="0"/>
              </w:rPr>
            </w:pPr>
            <w:r>
              <w:rPr>
                <w:snapToGrid w:val="0"/>
              </w:rPr>
              <w:t>16 (0.2)</w:t>
            </w:r>
          </w:p>
        </w:tc>
        <w:tc>
          <w:tcPr>
            <w:tcW w:w="1077" w:type="dxa"/>
            <w:tcBorders>
              <w:top w:val="nil"/>
              <w:left w:val="nil"/>
              <w:bottom w:val="single" w:sz="8" w:space="0" w:color="auto"/>
              <w:right w:val="single" w:sz="8" w:space="0" w:color="auto"/>
            </w:tcBorders>
            <w:tcMar>
              <w:top w:w="0" w:type="dxa"/>
              <w:left w:w="28" w:type="dxa"/>
              <w:bottom w:w="0" w:type="dxa"/>
              <w:right w:w="28" w:type="dxa"/>
            </w:tcMar>
          </w:tcPr>
          <w:p w14:paraId="68255945" w14:textId="77777777" w:rsidR="00FD3F08" w:rsidRPr="009E36DA" w:rsidRDefault="00FD3F08" w:rsidP="00153C8A">
            <w:pPr>
              <w:pStyle w:val="TableText0"/>
              <w:keepNext w:val="0"/>
              <w:widowControl w:val="0"/>
              <w:spacing w:line="252" w:lineRule="auto"/>
              <w:rPr>
                <w:rFonts w:cs="Times New Roman"/>
                <w:b/>
                <w:bCs/>
              </w:rPr>
            </w:pPr>
            <w:r w:rsidRPr="009E36DA">
              <w:rPr>
                <w:rFonts w:cs="Times New Roman"/>
                <w:b/>
                <w:bCs/>
              </w:rPr>
              <w:t>0.50 (0.27 to 0.72)</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7BDE8AEC" w14:textId="77777777" w:rsidR="00FD3F08" w:rsidRDefault="00FD3F08" w:rsidP="00153C8A">
            <w:pPr>
              <w:pStyle w:val="TableText0"/>
              <w:keepNext w:val="0"/>
              <w:widowControl w:val="0"/>
              <w:spacing w:line="252" w:lineRule="auto"/>
              <w:rPr>
                <w:snapToGrid w:val="0"/>
              </w:rPr>
            </w:pPr>
            <w:r>
              <w:rPr>
                <w:snapToGrid w:val="0"/>
              </w:rPr>
              <w:t>&lt;0.001</w:t>
            </w:r>
          </w:p>
        </w:tc>
        <w:tc>
          <w:tcPr>
            <w:tcW w:w="1080" w:type="dxa"/>
            <w:tcBorders>
              <w:top w:val="nil"/>
              <w:left w:val="nil"/>
              <w:bottom w:val="single" w:sz="8" w:space="0" w:color="auto"/>
              <w:right w:val="single" w:sz="8" w:space="0" w:color="auto"/>
            </w:tcBorders>
            <w:tcMar>
              <w:top w:w="0" w:type="dxa"/>
              <w:left w:w="28" w:type="dxa"/>
              <w:bottom w:w="0" w:type="dxa"/>
              <w:right w:w="28" w:type="dxa"/>
            </w:tcMar>
          </w:tcPr>
          <w:p w14:paraId="23847E4A" w14:textId="77777777" w:rsidR="00FD3F08" w:rsidRPr="009E36DA" w:rsidRDefault="00FD3F08" w:rsidP="00153C8A">
            <w:pPr>
              <w:pStyle w:val="TableText0"/>
              <w:keepNext w:val="0"/>
              <w:widowControl w:val="0"/>
              <w:spacing w:line="252" w:lineRule="auto"/>
              <w:rPr>
                <w:rFonts w:cs="Times New Roman"/>
                <w:b/>
                <w:bCs/>
              </w:rPr>
            </w:pPr>
            <w:r w:rsidRPr="009E36DA">
              <w:rPr>
                <w:rFonts w:cs="Times New Roman"/>
                <w:b/>
                <w:bCs/>
              </w:rPr>
              <w:t>3.99 (2.23 to 7.16)</w:t>
            </w:r>
          </w:p>
        </w:tc>
        <w:tc>
          <w:tcPr>
            <w:tcW w:w="1214" w:type="dxa"/>
            <w:tcBorders>
              <w:top w:val="nil"/>
              <w:left w:val="nil"/>
              <w:bottom w:val="single" w:sz="8" w:space="0" w:color="auto"/>
              <w:right w:val="single" w:sz="8" w:space="0" w:color="auto"/>
            </w:tcBorders>
            <w:tcMar>
              <w:top w:w="0" w:type="dxa"/>
              <w:left w:w="28" w:type="dxa"/>
              <w:bottom w:w="0" w:type="dxa"/>
              <w:right w:w="28" w:type="dxa"/>
            </w:tcMar>
          </w:tcPr>
          <w:p w14:paraId="2CEDAEC8" w14:textId="77777777" w:rsidR="00FD3F08" w:rsidRPr="009E36DA" w:rsidRDefault="00FD3F08" w:rsidP="00153C8A">
            <w:pPr>
              <w:pStyle w:val="TableText0"/>
              <w:keepNext w:val="0"/>
              <w:widowControl w:val="0"/>
              <w:spacing w:line="252" w:lineRule="auto"/>
              <w:rPr>
                <w:rFonts w:cs="Times New Roman"/>
                <w:b/>
                <w:bCs/>
              </w:rPr>
            </w:pPr>
            <w:r w:rsidRPr="009E36DA">
              <w:rPr>
                <w:rFonts w:cs="Times New Roman"/>
                <w:b/>
                <w:bCs/>
              </w:rPr>
              <w:t>&lt;0.0001</w:t>
            </w:r>
          </w:p>
        </w:tc>
        <w:tc>
          <w:tcPr>
            <w:tcW w:w="1085" w:type="dxa"/>
            <w:tcBorders>
              <w:top w:val="nil"/>
              <w:left w:val="nil"/>
              <w:bottom w:val="single" w:sz="8" w:space="0" w:color="auto"/>
              <w:right w:val="single" w:sz="8" w:space="0" w:color="auto"/>
            </w:tcBorders>
            <w:tcMar>
              <w:top w:w="0" w:type="dxa"/>
              <w:left w:w="28" w:type="dxa"/>
              <w:bottom w:w="0" w:type="dxa"/>
              <w:right w:w="28" w:type="dxa"/>
            </w:tcMar>
            <w:hideMark/>
          </w:tcPr>
          <w:p w14:paraId="3556F697" w14:textId="77777777" w:rsidR="00FD3F08" w:rsidRDefault="00FD3F08" w:rsidP="00153C8A">
            <w:pPr>
              <w:pStyle w:val="TableText0"/>
              <w:keepNext w:val="0"/>
              <w:widowControl w:val="0"/>
              <w:spacing w:line="252" w:lineRule="auto"/>
              <w:rPr>
                <w:snapToGrid w:val="0"/>
              </w:rPr>
            </w:pPr>
            <w:r>
              <w:rPr>
                <w:snapToGrid w:val="0"/>
              </w:rPr>
              <w:t>34 (0.6)</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643EC0B7" w14:textId="77777777" w:rsidR="00FD3F08" w:rsidRDefault="00FD3F08" w:rsidP="00153C8A">
            <w:pPr>
              <w:pStyle w:val="TableText0"/>
              <w:keepNext w:val="0"/>
              <w:widowControl w:val="0"/>
              <w:spacing w:line="252" w:lineRule="auto"/>
              <w:rPr>
                <w:snapToGrid w:val="0"/>
              </w:rPr>
            </w:pPr>
            <w:r>
              <w:rPr>
                <w:snapToGrid w:val="0"/>
              </w:rPr>
              <w:t>19 (0.2)</w:t>
            </w:r>
          </w:p>
        </w:tc>
        <w:tc>
          <w:tcPr>
            <w:tcW w:w="1076" w:type="dxa"/>
            <w:tcBorders>
              <w:top w:val="nil"/>
              <w:left w:val="nil"/>
              <w:bottom w:val="single" w:sz="8" w:space="0" w:color="auto"/>
              <w:right w:val="single" w:sz="8" w:space="0" w:color="auto"/>
            </w:tcBorders>
            <w:tcMar>
              <w:top w:w="0" w:type="dxa"/>
              <w:left w:w="28" w:type="dxa"/>
              <w:bottom w:w="0" w:type="dxa"/>
              <w:right w:w="28" w:type="dxa"/>
            </w:tcMar>
            <w:hideMark/>
          </w:tcPr>
          <w:p w14:paraId="56741FB8" w14:textId="77777777" w:rsidR="00FD3F08" w:rsidRPr="009E36DA" w:rsidRDefault="00FD3F08" w:rsidP="00153C8A">
            <w:pPr>
              <w:pStyle w:val="TableText0"/>
              <w:keepNext w:val="0"/>
              <w:widowControl w:val="0"/>
              <w:spacing w:line="252" w:lineRule="auto"/>
              <w:rPr>
                <w:b/>
                <w:bCs/>
                <w:snapToGrid w:val="0"/>
              </w:rPr>
            </w:pPr>
            <w:r w:rsidRPr="009E36DA">
              <w:rPr>
                <w:b/>
                <w:bCs/>
                <w:snapToGrid w:val="0"/>
              </w:rPr>
              <w:t>0.4 (0.2 to 0.6)</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3FF1BD9F" w14:textId="77777777" w:rsidR="00FD3F08" w:rsidRPr="009E36DA" w:rsidRDefault="00FD3F08" w:rsidP="00153C8A">
            <w:pPr>
              <w:pStyle w:val="TableText0"/>
              <w:keepNext w:val="0"/>
              <w:widowControl w:val="0"/>
              <w:spacing w:line="252" w:lineRule="auto"/>
              <w:rPr>
                <w:b/>
                <w:bCs/>
                <w:snapToGrid w:val="0"/>
              </w:rPr>
            </w:pPr>
            <w:r w:rsidRPr="009E36DA">
              <w:rPr>
                <w:b/>
                <w:bCs/>
                <w:snapToGrid w:val="0"/>
              </w:rPr>
              <w:t>&lt;0.001</w:t>
            </w:r>
          </w:p>
        </w:tc>
        <w:tc>
          <w:tcPr>
            <w:tcW w:w="1072" w:type="dxa"/>
            <w:tcBorders>
              <w:top w:val="nil"/>
              <w:left w:val="nil"/>
              <w:bottom w:val="single" w:sz="8" w:space="0" w:color="auto"/>
              <w:right w:val="single" w:sz="8" w:space="0" w:color="auto"/>
            </w:tcBorders>
            <w:tcMar>
              <w:top w:w="0" w:type="dxa"/>
              <w:left w:w="28" w:type="dxa"/>
              <w:bottom w:w="0" w:type="dxa"/>
              <w:right w:w="28" w:type="dxa"/>
            </w:tcMar>
          </w:tcPr>
          <w:p w14:paraId="38044631" w14:textId="77777777" w:rsidR="00FD3F08" w:rsidRPr="009E36DA" w:rsidRDefault="00FD3F08" w:rsidP="00153C8A">
            <w:pPr>
              <w:pStyle w:val="TableText0"/>
              <w:keepNext w:val="0"/>
              <w:widowControl w:val="0"/>
              <w:spacing w:line="252" w:lineRule="auto"/>
              <w:rPr>
                <w:b/>
                <w:bCs/>
                <w:snapToGrid w:val="0"/>
              </w:rPr>
            </w:pPr>
            <w:r w:rsidRPr="009E36DA">
              <w:rPr>
                <w:b/>
                <w:bCs/>
                <w:snapToGrid w:val="0"/>
              </w:rPr>
              <w:t>3.01 (1.72 to 5.27)</w:t>
            </w:r>
          </w:p>
        </w:tc>
      </w:tr>
      <w:tr w:rsidR="00E51F42" w14:paraId="3DEFD78D" w14:textId="77777777" w:rsidTr="000A2670">
        <w:tc>
          <w:tcPr>
            <w:tcW w:w="193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4DD5A7BB" w14:textId="77777777" w:rsidR="00FD3F08" w:rsidRDefault="00FD3F08" w:rsidP="00153C8A">
            <w:pPr>
              <w:pStyle w:val="TableText0"/>
              <w:keepNext w:val="0"/>
              <w:widowControl w:val="0"/>
              <w:spacing w:line="252" w:lineRule="auto"/>
              <w:ind w:firstLine="227"/>
              <w:rPr>
                <w:snapToGrid w:val="0"/>
              </w:rPr>
            </w:pPr>
            <w:r>
              <w:rPr>
                <w:snapToGrid w:val="0"/>
              </w:rPr>
              <w:t>Hemothorax</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1890A034" w14:textId="77777777" w:rsidR="00FD3F08" w:rsidRDefault="00FD3F08" w:rsidP="00153C8A">
            <w:pPr>
              <w:pStyle w:val="TableText0"/>
              <w:keepNext w:val="0"/>
              <w:widowControl w:val="0"/>
              <w:spacing w:line="252" w:lineRule="auto"/>
              <w:rPr>
                <w:snapToGrid w:val="0"/>
              </w:rPr>
            </w:pPr>
            <w:r>
              <w:rPr>
                <w:snapToGrid w:val="0"/>
              </w:rPr>
              <w:t>0</w:t>
            </w:r>
          </w:p>
        </w:tc>
        <w:tc>
          <w:tcPr>
            <w:tcW w:w="1083" w:type="dxa"/>
            <w:tcBorders>
              <w:top w:val="nil"/>
              <w:left w:val="nil"/>
              <w:bottom w:val="single" w:sz="8" w:space="0" w:color="auto"/>
              <w:right w:val="single" w:sz="8" w:space="0" w:color="auto"/>
            </w:tcBorders>
            <w:tcMar>
              <w:top w:w="0" w:type="dxa"/>
              <w:left w:w="28" w:type="dxa"/>
              <w:bottom w:w="0" w:type="dxa"/>
              <w:right w:w="28" w:type="dxa"/>
            </w:tcMar>
            <w:hideMark/>
          </w:tcPr>
          <w:p w14:paraId="7F5EBA9C" w14:textId="77777777" w:rsidR="00FD3F08" w:rsidRDefault="00FD3F08" w:rsidP="00153C8A">
            <w:pPr>
              <w:pStyle w:val="TableText0"/>
              <w:keepNext w:val="0"/>
              <w:widowControl w:val="0"/>
              <w:spacing w:line="252" w:lineRule="auto"/>
              <w:rPr>
                <w:snapToGrid w:val="0"/>
              </w:rPr>
            </w:pPr>
            <w:r>
              <w:rPr>
                <w:snapToGrid w:val="0"/>
              </w:rPr>
              <w:t>0</w:t>
            </w:r>
          </w:p>
        </w:tc>
        <w:tc>
          <w:tcPr>
            <w:tcW w:w="1077" w:type="dxa"/>
            <w:tcBorders>
              <w:top w:val="nil"/>
              <w:left w:val="nil"/>
              <w:bottom w:val="single" w:sz="8" w:space="0" w:color="auto"/>
              <w:right w:val="single" w:sz="8" w:space="0" w:color="auto"/>
            </w:tcBorders>
            <w:tcMar>
              <w:top w:w="0" w:type="dxa"/>
              <w:left w:w="28" w:type="dxa"/>
              <w:bottom w:w="0" w:type="dxa"/>
              <w:right w:w="28" w:type="dxa"/>
            </w:tcMar>
          </w:tcPr>
          <w:p w14:paraId="7029FD10" w14:textId="77777777" w:rsidR="00FD3F08" w:rsidRDefault="00FD3F08" w:rsidP="00153C8A">
            <w:pPr>
              <w:pStyle w:val="TableText0"/>
              <w:keepNext w:val="0"/>
              <w:widowControl w:val="0"/>
              <w:spacing w:line="252" w:lineRule="auto"/>
            </w:pPr>
            <w:r w:rsidRPr="638D78B1">
              <w:t>0</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15DE3B89" w14:textId="77777777" w:rsidR="00FD3F08" w:rsidRDefault="00FD3F08" w:rsidP="00153C8A">
            <w:pPr>
              <w:pStyle w:val="TableText0"/>
              <w:keepNext w:val="0"/>
              <w:widowControl w:val="0"/>
              <w:spacing w:line="252" w:lineRule="auto"/>
              <w:rPr>
                <w:snapToGrid w:val="0"/>
              </w:rPr>
            </w:pPr>
            <w:r>
              <w:rPr>
                <w:snapToGrid w:val="0"/>
              </w:rPr>
              <w:t>NA</w:t>
            </w:r>
          </w:p>
        </w:tc>
        <w:tc>
          <w:tcPr>
            <w:tcW w:w="1080" w:type="dxa"/>
            <w:tcBorders>
              <w:top w:val="nil"/>
              <w:left w:val="nil"/>
              <w:bottom w:val="single" w:sz="8" w:space="0" w:color="auto"/>
              <w:right w:val="single" w:sz="8" w:space="0" w:color="auto"/>
            </w:tcBorders>
            <w:tcMar>
              <w:top w:w="0" w:type="dxa"/>
              <w:left w:w="28" w:type="dxa"/>
              <w:bottom w:w="0" w:type="dxa"/>
              <w:right w:w="28" w:type="dxa"/>
            </w:tcMar>
          </w:tcPr>
          <w:p w14:paraId="099EBFD4" w14:textId="77777777" w:rsidR="00FD3F08" w:rsidRDefault="00FD3F08" w:rsidP="00153C8A">
            <w:pPr>
              <w:pStyle w:val="TableText0"/>
              <w:keepNext w:val="0"/>
              <w:widowControl w:val="0"/>
              <w:spacing w:line="252" w:lineRule="auto"/>
            </w:pPr>
            <w:r w:rsidRPr="638D78B1">
              <w:t>NE</w:t>
            </w:r>
          </w:p>
        </w:tc>
        <w:tc>
          <w:tcPr>
            <w:tcW w:w="1214" w:type="dxa"/>
            <w:tcBorders>
              <w:top w:val="nil"/>
              <w:left w:val="nil"/>
              <w:bottom w:val="single" w:sz="8" w:space="0" w:color="auto"/>
              <w:right w:val="single" w:sz="8" w:space="0" w:color="auto"/>
            </w:tcBorders>
            <w:tcMar>
              <w:top w:w="0" w:type="dxa"/>
              <w:left w:w="28" w:type="dxa"/>
              <w:bottom w:w="0" w:type="dxa"/>
              <w:right w:w="28" w:type="dxa"/>
            </w:tcMar>
          </w:tcPr>
          <w:p w14:paraId="2A31DF50" w14:textId="77777777" w:rsidR="00FD3F08" w:rsidRDefault="00FD3F08" w:rsidP="00153C8A">
            <w:pPr>
              <w:pStyle w:val="TableText0"/>
              <w:keepNext w:val="0"/>
              <w:widowControl w:val="0"/>
              <w:spacing w:line="252" w:lineRule="auto"/>
            </w:pPr>
            <w:r w:rsidRPr="638D78B1">
              <w:t>NE</w:t>
            </w:r>
          </w:p>
        </w:tc>
        <w:tc>
          <w:tcPr>
            <w:tcW w:w="1085" w:type="dxa"/>
            <w:tcBorders>
              <w:top w:val="nil"/>
              <w:left w:val="nil"/>
              <w:bottom w:val="single" w:sz="8" w:space="0" w:color="auto"/>
              <w:right w:val="single" w:sz="8" w:space="0" w:color="auto"/>
            </w:tcBorders>
            <w:tcMar>
              <w:top w:w="0" w:type="dxa"/>
              <w:left w:w="28" w:type="dxa"/>
              <w:bottom w:w="0" w:type="dxa"/>
              <w:right w:w="28" w:type="dxa"/>
            </w:tcMar>
            <w:hideMark/>
          </w:tcPr>
          <w:p w14:paraId="5650DBD9" w14:textId="77777777" w:rsidR="00FD3F08" w:rsidRDefault="00FD3F08" w:rsidP="00153C8A">
            <w:pPr>
              <w:pStyle w:val="TableText0"/>
              <w:keepNext w:val="0"/>
              <w:widowControl w:val="0"/>
              <w:spacing w:line="252" w:lineRule="auto"/>
              <w:rPr>
                <w:snapToGrid w:val="0"/>
              </w:rPr>
            </w:pPr>
            <w:r>
              <w:rPr>
                <w:snapToGrid w:val="0"/>
              </w:rPr>
              <w:t>NA</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770F0139" w14:textId="77777777" w:rsidR="00FD3F08" w:rsidRDefault="00FD3F08" w:rsidP="00153C8A">
            <w:pPr>
              <w:pStyle w:val="TableText0"/>
              <w:keepNext w:val="0"/>
              <w:widowControl w:val="0"/>
              <w:spacing w:line="252" w:lineRule="auto"/>
              <w:rPr>
                <w:snapToGrid w:val="0"/>
              </w:rPr>
            </w:pPr>
            <w:r>
              <w:rPr>
                <w:snapToGrid w:val="0"/>
              </w:rPr>
              <w:t>NA</w:t>
            </w:r>
          </w:p>
        </w:tc>
        <w:tc>
          <w:tcPr>
            <w:tcW w:w="1076" w:type="dxa"/>
            <w:tcBorders>
              <w:top w:val="nil"/>
              <w:left w:val="nil"/>
              <w:bottom w:val="single" w:sz="8" w:space="0" w:color="auto"/>
              <w:right w:val="single" w:sz="8" w:space="0" w:color="auto"/>
            </w:tcBorders>
            <w:tcMar>
              <w:top w:w="0" w:type="dxa"/>
              <w:left w:w="28" w:type="dxa"/>
              <w:bottom w:w="0" w:type="dxa"/>
              <w:right w:w="28" w:type="dxa"/>
            </w:tcMar>
            <w:hideMark/>
          </w:tcPr>
          <w:p w14:paraId="15AEEF68" w14:textId="77777777" w:rsidR="00FD3F08" w:rsidRDefault="00FD3F08" w:rsidP="00153C8A">
            <w:pPr>
              <w:pStyle w:val="TableText0"/>
              <w:keepNext w:val="0"/>
              <w:widowControl w:val="0"/>
              <w:spacing w:line="252" w:lineRule="auto"/>
              <w:rPr>
                <w:snapToGrid w:val="0"/>
              </w:rPr>
            </w:pPr>
            <w:r>
              <w:rPr>
                <w:snapToGrid w:val="0"/>
              </w:rPr>
              <w:t>NA</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73231A75" w14:textId="77777777" w:rsidR="00FD3F08" w:rsidRDefault="00FD3F08" w:rsidP="00153C8A">
            <w:pPr>
              <w:pStyle w:val="TableText0"/>
              <w:keepNext w:val="0"/>
              <w:widowControl w:val="0"/>
              <w:spacing w:line="252" w:lineRule="auto"/>
              <w:rPr>
                <w:snapToGrid w:val="0"/>
              </w:rPr>
            </w:pPr>
            <w:r>
              <w:rPr>
                <w:snapToGrid w:val="0"/>
              </w:rPr>
              <w:t>NA</w:t>
            </w:r>
          </w:p>
        </w:tc>
        <w:tc>
          <w:tcPr>
            <w:tcW w:w="1072" w:type="dxa"/>
            <w:tcBorders>
              <w:top w:val="nil"/>
              <w:left w:val="nil"/>
              <w:bottom w:val="single" w:sz="8" w:space="0" w:color="auto"/>
              <w:right w:val="single" w:sz="8" w:space="0" w:color="auto"/>
            </w:tcBorders>
            <w:tcMar>
              <w:top w:w="0" w:type="dxa"/>
              <w:left w:w="28" w:type="dxa"/>
              <w:bottom w:w="0" w:type="dxa"/>
              <w:right w:w="28" w:type="dxa"/>
            </w:tcMar>
          </w:tcPr>
          <w:p w14:paraId="24BAE4C1" w14:textId="77777777" w:rsidR="00FD3F08" w:rsidRPr="004A7A07" w:rsidRDefault="00FD3F08" w:rsidP="00153C8A">
            <w:pPr>
              <w:pStyle w:val="TableText0"/>
              <w:keepNext w:val="0"/>
              <w:widowControl w:val="0"/>
              <w:spacing w:line="252" w:lineRule="auto"/>
              <w:rPr>
                <w:snapToGrid w:val="0"/>
              </w:rPr>
            </w:pPr>
            <w:r w:rsidRPr="004A7A07">
              <w:rPr>
                <w:snapToGrid w:val="0"/>
              </w:rPr>
              <w:t>NA</w:t>
            </w:r>
          </w:p>
        </w:tc>
      </w:tr>
      <w:tr w:rsidR="00E51F42" w14:paraId="79980E1D" w14:textId="77777777" w:rsidTr="000A2670">
        <w:tc>
          <w:tcPr>
            <w:tcW w:w="1933"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14:paraId="173493C4" w14:textId="77777777" w:rsidR="00FD3F08" w:rsidRDefault="00FD3F08" w:rsidP="00153C8A">
            <w:pPr>
              <w:pStyle w:val="TableText0"/>
              <w:keepNext w:val="0"/>
              <w:widowControl w:val="0"/>
              <w:spacing w:line="252" w:lineRule="auto"/>
              <w:ind w:firstLine="227"/>
              <w:rPr>
                <w:snapToGrid w:val="0"/>
              </w:rPr>
            </w:pPr>
            <w:r>
              <w:rPr>
                <w:snapToGrid w:val="0"/>
              </w:rPr>
              <w:t>Pneumothorax</w:t>
            </w:r>
          </w:p>
        </w:tc>
        <w:tc>
          <w:tcPr>
            <w:tcW w:w="1083"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7159181" w14:textId="77777777" w:rsidR="00FD3F08" w:rsidRDefault="00FD3F08" w:rsidP="00153C8A">
            <w:pPr>
              <w:pStyle w:val="TableText0"/>
              <w:keepNext w:val="0"/>
              <w:widowControl w:val="0"/>
              <w:spacing w:line="252" w:lineRule="auto"/>
              <w:rPr>
                <w:snapToGrid w:val="0"/>
              </w:rPr>
            </w:pPr>
            <w:r>
              <w:rPr>
                <w:snapToGrid w:val="0"/>
              </w:rPr>
              <w:t>0</w:t>
            </w:r>
          </w:p>
        </w:tc>
        <w:tc>
          <w:tcPr>
            <w:tcW w:w="1083"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717BF0C1" w14:textId="77777777" w:rsidR="00FD3F08" w:rsidRDefault="00FD3F08" w:rsidP="00153C8A">
            <w:pPr>
              <w:pStyle w:val="TableText0"/>
              <w:keepNext w:val="0"/>
              <w:widowControl w:val="0"/>
              <w:spacing w:line="252" w:lineRule="auto"/>
              <w:rPr>
                <w:snapToGrid w:val="0"/>
              </w:rPr>
            </w:pPr>
            <w:r>
              <w:rPr>
                <w:snapToGrid w:val="0"/>
              </w:rPr>
              <w:t>77 (0.8)</w:t>
            </w:r>
          </w:p>
        </w:tc>
        <w:tc>
          <w:tcPr>
            <w:tcW w:w="1077" w:type="dxa"/>
            <w:tcBorders>
              <w:top w:val="nil"/>
              <w:left w:val="nil"/>
              <w:bottom w:val="single" w:sz="8" w:space="0" w:color="auto"/>
              <w:right w:val="single" w:sz="8" w:space="0" w:color="auto"/>
            </w:tcBorders>
            <w:tcMar>
              <w:top w:w="0" w:type="dxa"/>
              <w:left w:w="28" w:type="dxa"/>
              <w:bottom w:w="0" w:type="dxa"/>
              <w:right w:w="28" w:type="dxa"/>
            </w:tcMar>
          </w:tcPr>
          <w:p w14:paraId="3AD015B9" w14:textId="77777777" w:rsidR="00FD3F08" w:rsidRPr="00ED1052" w:rsidRDefault="00FD3F08" w:rsidP="00153C8A">
            <w:pPr>
              <w:pStyle w:val="TableText0"/>
              <w:keepNext w:val="0"/>
              <w:widowControl w:val="0"/>
              <w:spacing w:line="252" w:lineRule="auto"/>
              <w:rPr>
                <w:rFonts w:cs="Times New Roman"/>
                <w:b/>
                <w:bCs/>
              </w:rPr>
            </w:pPr>
            <w:r w:rsidRPr="00ED1052">
              <w:rPr>
                <w:rFonts w:cs="Times New Roman"/>
                <w:b/>
                <w:bCs/>
              </w:rPr>
              <w:t>0.80 (0.62 to 0.98)</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5BDE2C8D" w14:textId="77777777" w:rsidR="00FD3F08" w:rsidRDefault="00FD3F08" w:rsidP="00153C8A">
            <w:pPr>
              <w:pStyle w:val="TableText0"/>
              <w:keepNext w:val="0"/>
              <w:widowControl w:val="0"/>
              <w:spacing w:line="252" w:lineRule="auto"/>
              <w:rPr>
                <w:snapToGrid w:val="0"/>
              </w:rPr>
            </w:pPr>
            <w:r>
              <w:rPr>
                <w:snapToGrid w:val="0"/>
              </w:rPr>
              <w:t>NA</w:t>
            </w:r>
          </w:p>
        </w:tc>
        <w:tc>
          <w:tcPr>
            <w:tcW w:w="1080" w:type="dxa"/>
            <w:tcBorders>
              <w:top w:val="nil"/>
              <w:left w:val="nil"/>
              <w:bottom w:val="single" w:sz="8" w:space="0" w:color="auto"/>
              <w:right w:val="single" w:sz="8" w:space="0" w:color="auto"/>
            </w:tcBorders>
            <w:tcMar>
              <w:top w:w="0" w:type="dxa"/>
              <w:left w:w="28" w:type="dxa"/>
              <w:bottom w:w="0" w:type="dxa"/>
              <w:right w:w="28" w:type="dxa"/>
            </w:tcMar>
          </w:tcPr>
          <w:p w14:paraId="75600EF6" w14:textId="77777777" w:rsidR="00FD3F08" w:rsidRPr="00ED1052" w:rsidRDefault="00FD3F08" w:rsidP="00153C8A">
            <w:pPr>
              <w:pStyle w:val="TableText0"/>
              <w:keepNext w:val="0"/>
              <w:widowControl w:val="0"/>
              <w:spacing w:line="252" w:lineRule="auto"/>
              <w:rPr>
                <w:rFonts w:cs="Times New Roman"/>
                <w:b/>
                <w:bCs/>
              </w:rPr>
            </w:pPr>
            <w:r w:rsidRPr="00ED1052">
              <w:rPr>
                <w:rFonts w:cs="Times New Roman"/>
                <w:b/>
                <w:bCs/>
              </w:rPr>
              <w:t>0.01 (0.00 to 0.18)</w:t>
            </w:r>
          </w:p>
        </w:tc>
        <w:tc>
          <w:tcPr>
            <w:tcW w:w="1214" w:type="dxa"/>
            <w:tcBorders>
              <w:top w:val="nil"/>
              <w:left w:val="nil"/>
              <w:bottom w:val="single" w:sz="8" w:space="0" w:color="auto"/>
              <w:right w:val="single" w:sz="8" w:space="0" w:color="auto"/>
            </w:tcBorders>
            <w:tcMar>
              <w:top w:w="0" w:type="dxa"/>
              <w:left w:w="28" w:type="dxa"/>
              <w:bottom w:w="0" w:type="dxa"/>
              <w:right w:w="28" w:type="dxa"/>
            </w:tcMar>
          </w:tcPr>
          <w:p w14:paraId="012AE93C" w14:textId="77777777" w:rsidR="00FD3F08" w:rsidRPr="00ED1052" w:rsidRDefault="00FD3F08" w:rsidP="00153C8A">
            <w:pPr>
              <w:pStyle w:val="TableText0"/>
              <w:keepNext w:val="0"/>
              <w:widowControl w:val="0"/>
              <w:spacing w:line="252" w:lineRule="auto"/>
              <w:rPr>
                <w:rFonts w:cs="Times New Roman"/>
                <w:b/>
                <w:bCs/>
              </w:rPr>
            </w:pPr>
            <w:r w:rsidRPr="00ED1052">
              <w:rPr>
                <w:rFonts w:cs="Times New Roman"/>
                <w:b/>
                <w:bCs/>
              </w:rPr>
              <w:t>0.0014</w:t>
            </w:r>
          </w:p>
        </w:tc>
        <w:tc>
          <w:tcPr>
            <w:tcW w:w="1085" w:type="dxa"/>
            <w:tcBorders>
              <w:top w:val="nil"/>
              <w:left w:val="nil"/>
              <w:bottom w:val="single" w:sz="8" w:space="0" w:color="auto"/>
              <w:right w:val="single" w:sz="8" w:space="0" w:color="auto"/>
            </w:tcBorders>
            <w:tcMar>
              <w:top w:w="0" w:type="dxa"/>
              <w:left w:w="28" w:type="dxa"/>
              <w:bottom w:w="0" w:type="dxa"/>
              <w:right w:w="28" w:type="dxa"/>
            </w:tcMar>
            <w:hideMark/>
          </w:tcPr>
          <w:p w14:paraId="66424BA1" w14:textId="77777777" w:rsidR="00FD3F08" w:rsidRDefault="00FD3F08" w:rsidP="00153C8A">
            <w:pPr>
              <w:pStyle w:val="TableText0"/>
              <w:keepNext w:val="0"/>
              <w:widowControl w:val="0"/>
              <w:spacing w:line="252" w:lineRule="auto"/>
              <w:rPr>
                <w:snapToGrid w:val="0"/>
              </w:rPr>
            </w:pPr>
            <w:r>
              <w:rPr>
                <w:snapToGrid w:val="0"/>
              </w:rPr>
              <w:t>NA</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185C5F78" w14:textId="77777777" w:rsidR="00FD3F08" w:rsidRDefault="00FD3F08" w:rsidP="00153C8A">
            <w:pPr>
              <w:pStyle w:val="TableText0"/>
              <w:keepNext w:val="0"/>
              <w:widowControl w:val="0"/>
              <w:spacing w:line="252" w:lineRule="auto"/>
              <w:rPr>
                <w:snapToGrid w:val="0"/>
              </w:rPr>
            </w:pPr>
            <w:r>
              <w:rPr>
                <w:snapToGrid w:val="0"/>
              </w:rPr>
              <w:t>77 (0.8)</w:t>
            </w:r>
          </w:p>
        </w:tc>
        <w:tc>
          <w:tcPr>
            <w:tcW w:w="1076" w:type="dxa"/>
            <w:tcBorders>
              <w:top w:val="nil"/>
              <w:left w:val="nil"/>
              <w:bottom w:val="single" w:sz="8" w:space="0" w:color="auto"/>
              <w:right w:val="single" w:sz="8" w:space="0" w:color="auto"/>
            </w:tcBorders>
            <w:tcMar>
              <w:top w:w="0" w:type="dxa"/>
              <w:left w:w="28" w:type="dxa"/>
              <w:bottom w:w="0" w:type="dxa"/>
              <w:right w:w="28" w:type="dxa"/>
            </w:tcMar>
            <w:hideMark/>
          </w:tcPr>
          <w:p w14:paraId="2AC746D4" w14:textId="77777777" w:rsidR="00FD3F08" w:rsidRDefault="00FD3F08" w:rsidP="00153C8A">
            <w:pPr>
              <w:pStyle w:val="TableText0"/>
              <w:keepNext w:val="0"/>
              <w:widowControl w:val="0"/>
              <w:spacing w:line="252" w:lineRule="auto"/>
              <w:rPr>
                <w:snapToGrid w:val="0"/>
              </w:rPr>
            </w:pPr>
            <w:r>
              <w:rPr>
                <w:snapToGrid w:val="0"/>
              </w:rPr>
              <w:t>NA</w:t>
            </w:r>
          </w:p>
        </w:tc>
        <w:tc>
          <w:tcPr>
            <w:tcW w:w="1082" w:type="dxa"/>
            <w:tcBorders>
              <w:top w:val="nil"/>
              <w:left w:val="nil"/>
              <w:bottom w:val="single" w:sz="8" w:space="0" w:color="auto"/>
              <w:right w:val="single" w:sz="8" w:space="0" w:color="auto"/>
            </w:tcBorders>
            <w:tcMar>
              <w:top w:w="0" w:type="dxa"/>
              <w:left w:w="28" w:type="dxa"/>
              <w:bottom w:w="0" w:type="dxa"/>
              <w:right w:w="28" w:type="dxa"/>
            </w:tcMar>
            <w:hideMark/>
          </w:tcPr>
          <w:p w14:paraId="39F4EA63" w14:textId="77777777" w:rsidR="00FD3F08" w:rsidRDefault="00FD3F08" w:rsidP="00153C8A">
            <w:pPr>
              <w:pStyle w:val="TableText0"/>
              <w:keepNext w:val="0"/>
              <w:widowControl w:val="0"/>
              <w:spacing w:line="252" w:lineRule="auto"/>
              <w:rPr>
                <w:snapToGrid w:val="0"/>
              </w:rPr>
            </w:pPr>
            <w:r>
              <w:rPr>
                <w:snapToGrid w:val="0"/>
              </w:rPr>
              <w:t>NA</w:t>
            </w:r>
          </w:p>
        </w:tc>
        <w:tc>
          <w:tcPr>
            <w:tcW w:w="1072" w:type="dxa"/>
            <w:tcBorders>
              <w:top w:val="nil"/>
              <w:left w:val="nil"/>
              <w:bottom w:val="single" w:sz="8" w:space="0" w:color="auto"/>
              <w:right w:val="single" w:sz="8" w:space="0" w:color="auto"/>
            </w:tcBorders>
            <w:tcMar>
              <w:top w:w="0" w:type="dxa"/>
              <w:left w:w="28" w:type="dxa"/>
              <w:bottom w:w="0" w:type="dxa"/>
              <w:right w:w="28" w:type="dxa"/>
            </w:tcMar>
          </w:tcPr>
          <w:p w14:paraId="03D0BAB9" w14:textId="77777777" w:rsidR="00FD3F08" w:rsidRDefault="00FD3F08" w:rsidP="00153C8A">
            <w:pPr>
              <w:pStyle w:val="TableText0"/>
              <w:keepNext w:val="0"/>
              <w:widowControl w:val="0"/>
              <w:spacing w:line="252" w:lineRule="auto"/>
              <w:rPr>
                <w:snapToGrid w:val="0"/>
              </w:rPr>
            </w:pPr>
            <w:r>
              <w:rPr>
                <w:snapToGrid w:val="0"/>
              </w:rPr>
              <w:t>NA</w:t>
            </w:r>
          </w:p>
        </w:tc>
      </w:tr>
    </w:tbl>
    <w:p w14:paraId="5962769B" w14:textId="77777777" w:rsidR="00FD3F08" w:rsidRDefault="00FD3F08" w:rsidP="00FD3F08">
      <w:pPr>
        <w:pStyle w:val="Tablenotes"/>
      </w:pPr>
      <w:r>
        <w:t>Abbreviations: AMI, acute myocardial infarction; NA, not applicable. NE, not estimable from the data reported; LPM, leadless pacemaker; TVPM, transvenous pacemaker; CI=confidence interval; RD=risk difference.</w:t>
      </w:r>
    </w:p>
    <w:p w14:paraId="316CECC1" w14:textId="77777777" w:rsidR="00FD3F08" w:rsidRDefault="00FD3F08" w:rsidP="00FD3F08">
      <w:pPr>
        <w:pStyle w:val="Tablenotes"/>
      </w:pPr>
      <w:r>
        <w:t>a</w:t>
      </w:r>
      <w:r>
        <w:tab/>
        <w:t>Cells with 10 or less patients were suppressed to protect beneficiary privacy as required by the US Centres of Medicare &amp; Medicaid Services.</w:t>
      </w:r>
    </w:p>
    <w:p w14:paraId="3AC376CA" w14:textId="77777777" w:rsidR="00FD3F08" w:rsidRDefault="00FD3F08" w:rsidP="00FD3F08">
      <w:pPr>
        <w:pStyle w:val="Tablenotes"/>
      </w:pPr>
      <w:r>
        <w:t>b</w:t>
      </w:r>
      <w:r>
        <w:tab/>
        <w:t xml:space="preserve">Includes </w:t>
      </w:r>
      <w:r w:rsidRPr="008A4ED7">
        <w:t>complications related to the mechanical integrity of the device or codes explicitly stating device relatedness (</w:t>
      </w:r>
      <w:proofErr w:type="spellStart"/>
      <w:r w:rsidRPr="008A4ED7">
        <w:t>eg</w:t>
      </w:r>
      <w:proofErr w:type="spellEnd"/>
      <w:r w:rsidRPr="008A4ED7">
        <w:t>, device dislodgement, device infection, device pocket complication). See Table 1 in the Supplement for details</w:t>
      </w:r>
      <w:r>
        <w:t>.</w:t>
      </w:r>
    </w:p>
    <w:p w14:paraId="77B0F294" w14:textId="77777777" w:rsidR="00FD3F08" w:rsidRDefault="00FD3F08" w:rsidP="00FD3F08">
      <w:pPr>
        <w:pStyle w:val="Tablenotes"/>
      </w:pPr>
      <w:r>
        <w:t>c</w:t>
      </w:r>
      <w:r>
        <w:tab/>
        <w:t>Calculated.</w:t>
      </w:r>
    </w:p>
    <w:p w14:paraId="5A5717BE" w14:textId="77777777" w:rsidR="00FD3F08" w:rsidRDefault="00FD3F08" w:rsidP="00FD3F08">
      <w:pPr>
        <w:pStyle w:val="Tablenotes"/>
        <w:rPr>
          <w:szCs w:val="18"/>
        </w:rPr>
      </w:pPr>
      <w:r w:rsidRPr="638D78B1">
        <w:rPr>
          <w:szCs w:val="18"/>
        </w:rPr>
        <w:t>d</w:t>
      </w:r>
      <w:r>
        <w:tab/>
      </w:r>
      <w:r w:rsidRPr="638D78B1">
        <w:rPr>
          <w:szCs w:val="18"/>
        </w:rPr>
        <w:t xml:space="preserve">Risk difference and associated 95% CIs calculated using the University of Illinois, Chicago risk reduction calculator. araw.mede.uic.edu/cgi-bin/nntcalc.pl </w:t>
      </w:r>
    </w:p>
    <w:p w14:paraId="5A36B727" w14:textId="22E1AE4E" w:rsidR="00FD3F08" w:rsidRDefault="00FD3F08" w:rsidP="00FD3F08">
      <w:pPr>
        <w:pStyle w:val="Tablenotes"/>
        <w:rPr>
          <w:szCs w:val="18"/>
        </w:rPr>
      </w:pPr>
      <w:r w:rsidRPr="638D78B1">
        <w:rPr>
          <w:szCs w:val="18"/>
        </w:rPr>
        <w:t>e</w:t>
      </w:r>
      <w:r>
        <w:tab/>
      </w:r>
      <w:r w:rsidRPr="638D78B1">
        <w:rPr>
          <w:szCs w:val="18"/>
        </w:rPr>
        <w:t xml:space="preserve">Relative risk and associated 95%CIs and p-values calculated using </w:t>
      </w:r>
      <w:proofErr w:type="spellStart"/>
      <w:r w:rsidRPr="638D78B1">
        <w:rPr>
          <w:szCs w:val="18"/>
        </w:rPr>
        <w:t>MedCalc</w:t>
      </w:r>
      <w:proofErr w:type="spellEnd"/>
      <w:r w:rsidRPr="638D78B1">
        <w:rPr>
          <w:szCs w:val="18"/>
        </w:rPr>
        <w:t xml:space="preserve"> Software Ltd. Relative risk calculator. </w:t>
      </w:r>
      <w:hyperlink r:id="rId16" w:history="1">
        <w:r w:rsidRPr="638D78B1">
          <w:rPr>
            <w:szCs w:val="18"/>
          </w:rPr>
          <w:t>https://medcalc.org/calc/relative_</w:t>
        </w:r>
        <w:r w:rsidRPr="638D78B1">
          <w:rPr>
            <w:rStyle w:val="Hyperlink"/>
            <w:szCs w:val="18"/>
          </w:rPr>
          <w:t>risk.php</w:t>
        </w:r>
      </w:hyperlink>
      <w:r w:rsidRPr="638D78B1">
        <w:rPr>
          <w:szCs w:val="18"/>
        </w:rPr>
        <w:t xml:space="preserve"> (Version 20.106) </w:t>
      </w:r>
    </w:p>
    <w:p w14:paraId="001D38ED" w14:textId="77777777" w:rsidR="00FD3F08" w:rsidRDefault="00FD3F08" w:rsidP="00FD3F08">
      <w:pPr>
        <w:pStyle w:val="Tablenotes"/>
      </w:pPr>
      <w:r w:rsidRPr="00474A2D">
        <w:rPr>
          <w:b/>
          <w:bCs/>
        </w:rPr>
        <w:t>Bold</w:t>
      </w:r>
      <w:r>
        <w:t xml:space="preserve"> denotes statistical significance</w:t>
      </w:r>
    </w:p>
    <w:p w14:paraId="7C1D82D5" w14:textId="2D2DD90C" w:rsidR="00FD3F08" w:rsidRDefault="00FD3F08" w:rsidP="00FD3F08">
      <w:pPr>
        <w:pStyle w:val="Tablenotes"/>
      </w:pPr>
      <w:r>
        <w:t xml:space="preserve">Source: </w:t>
      </w:r>
      <w:r w:rsidR="0080272A">
        <w:t>commentary report</w:t>
      </w:r>
      <w:r>
        <w:t xml:space="preserve"> </w:t>
      </w:r>
      <w:bookmarkEnd w:id="11"/>
    </w:p>
    <w:p w14:paraId="505D2AE0" w14:textId="77777777" w:rsidR="00FD3F08" w:rsidRDefault="00FD3F08" w:rsidP="00645477">
      <w:pPr>
        <w:rPr>
          <w:lang w:val="en-NZ"/>
        </w:rPr>
      </w:pPr>
    </w:p>
    <w:p w14:paraId="6E1232E9" w14:textId="77777777" w:rsidR="00DC6832" w:rsidRDefault="00DC6832" w:rsidP="00645477">
      <w:pPr>
        <w:rPr>
          <w:lang w:val="en-NZ"/>
        </w:rPr>
        <w:sectPr w:rsidR="00DC6832" w:rsidSect="00FD3F08">
          <w:pgSz w:w="16838" w:h="11906" w:orient="landscape"/>
          <w:pgMar w:top="1440" w:right="1440" w:bottom="1440" w:left="1440" w:header="708" w:footer="708" w:gutter="0"/>
          <w:cols w:space="708"/>
          <w:docGrid w:linePitch="360"/>
        </w:sectPr>
      </w:pPr>
    </w:p>
    <w:p w14:paraId="4F8B6166" w14:textId="1B7BF48F" w:rsidR="0035612B" w:rsidRDefault="0035612B" w:rsidP="00645477">
      <w:pPr>
        <w:rPr>
          <w:lang w:val="en-NZ"/>
        </w:rPr>
      </w:pPr>
      <w:r>
        <w:rPr>
          <w:lang w:val="en-NZ"/>
        </w:rPr>
        <w:lastRenderedPageBreak/>
        <w:t>The most important complication is cardiac perforation</w:t>
      </w:r>
      <w:r w:rsidR="00F26008">
        <w:rPr>
          <w:lang w:val="en-NZ"/>
        </w:rPr>
        <w:t xml:space="preserve">. Patients receiving a </w:t>
      </w:r>
      <w:r w:rsidR="00E57B1C">
        <w:t>Micra VR TPS</w:t>
      </w:r>
      <w:r w:rsidRPr="00442A3F">
        <w:t xml:space="preserve"> </w:t>
      </w:r>
      <w:r>
        <w:rPr>
          <w:lang w:val="en-NZ"/>
        </w:rPr>
        <w:t xml:space="preserve">patients were </w:t>
      </w:r>
      <w:r w:rsidR="00D26E4C">
        <w:rPr>
          <w:lang w:val="en-NZ"/>
        </w:rPr>
        <w:t xml:space="preserve">reported to be </w:t>
      </w:r>
      <w:r w:rsidR="003F0450">
        <w:rPr>
          <w:lang w:val="en-NZ"/>
        </w:rPr>
        <w:t>twice as</w:t>
      </w:r>
      <w:r w:rsidR="00C43173">
        <w:rPr>
          <w:lang w:val="en-NZ"/>
        </w:rPr>
        <w:t xml:space="preserve"> likely to experience this complication </w:t>
      </w:r>
      <w:r>
        <w:rPr>
          <w:lang w:val="en-NZ"/>
        </w:rPr>
        <w:t xml:space="preserve">than </w:t>
      </w:r>
      <w:r w:rsidR="00C43173">
        <w:rPr>
          <w:lang w:val="en-NZ"/>
        </w:rPr>
        <w:t xml:space="preserve">those </w:t>
      </w:r>
      <w:r w:rsidR="00624A6A">
        <w:rPr>
          <w:lang w:val="en-NZ"/>
        </w:rPr>
        <w:t>receiving</w:t>
      </w:r>
      <w:r w:rsidR="00C43173">
        <w:rPr>
          <w:lang w:val="en-NZ"/>
        </w:rPr>
        <w:t xml:space="preserve"> a </w:t>
      </w:r>
      <w:r>
        <w:rPr>
          <w:lang w:val="en-NZ"/>
        </w:rPr>
        <w:t>TVPM (0.8% vs 0.4%</w:t>
      </w:r>
      <w:r w:rsidR="007A2A13">
        <w:rPr>
          <w:lang w:val="en-NZ"/>
        </w:rPr>
        <w:t>;</w:t>
      </w:r>
      <w:r>
        <w:rPr>
          <w:lang w:val="en-NZ"/>
        </w:rPr>
        <w:t xml:space="preserve"> RR </w:t>
      </w:r>
      <w:r w:rsidR="003F0450">
        <w:rPr>
          <w:lang w:val="en-NZ"/>
        </w:rPr>
        <w:t>1.98</w:t>
      </w:r>
      <w:r>
        <w:rPr>
          <w:lang w:val="en-NZ"/>
        </w:rPr>
        <w:t>, 95%</w:t>
      </w:r>
      <w:r w:rsidR="00081D0E">
        <w:rPr>
          <w:lang w:val="en-NZ"/>
        </w:rPr>
        <w:t xml:space="preserve"> </w:t>
      </w:r>
      <w:r>
        <w:rPr>
          <w:lang w:val="en-NZ"/>
        </w:rPr>
        <w:t xml:space="preserve">CI </w:t>
      </w:r>
      <w:r w:rsidR="003F0450">
        <w:rPr>
          <w:lang w:val="en-NZ"/>
        </w:rPr>
        <w:t>1.30</w:t>
      </w:r>
      <w:r w:rsidR="007A2A13">
        <w:rPr>
          <w:lang w:val="en-NZ"/>
        </w:rPr>
        <w:t xml:space="preserve"> to </w:t>
      </w:r>
      <w:r w:rsidR="003F0450">
        <w:rPr>
          <w:lang w:val="en-NZ"/>
        </w:rPr>
        <w:t>3.03</w:t>
      </w:r>
      <w:r w:rsidR="00452C46">
        <w:rPr>
          <w:lang w:val="en-NZ"/>
        </w:rPr>
        <w:t>;</w:t>
      </w:r>
      <w:r>
        <w:rPr>
          <w:lang w:val="en-NZ"/>
        </w:rPr>
        <w:t xml:space="preserve"> </w:t>
      </w:r>
      <w:r w:rsidR="006A473F">
        <w:rPr>
          <w:lang w:val="en-NZ"/>
        </w:rPr>
        <w:t xml:space="preserve">P </w:t>
      </w:r>
      <w:r>
        <w:rPr>
          <w:lang w:val="en-NZ"/>
        </w:rPr>
        <w:t>=</w:t>
      </w:r>
      <w:r w:rsidR="006A473F">
        <w:rPr>
          <w:lang w:val="en-NZ"/>
        </w:rPr>
        <w:t xml:space="preserve"> </w:t>
      </w:r>
      <w:r>
        <w:rPr>
          <w:lang w:val="en-NZ"/>
        </w:rPr>
        <w:t>0.</w:t>
      </w:r>
      <w:r w:rsidR="003F0450">
        <w:rPr>
          <w:lang w:val="en-NZ"/>
        </w:rPr>
        <w:t>0016</w:t>
      </w:r>
      <w:r>
        <w:rPr>
          <w:lang w:val="en-NZ"/>
        </w:rPr>
        <w:t>).</w:t>
      </w:r>
    </w:p>
    <w:p w14:paraId="31246E0E" w14:textId="15951E5B" w:rsidR="0035612B" w:rsidRDefault="0035612B" w:rsidP="00645477">
      <w:pPr>
        <w:rPr>
          <w:lang w:val="en-NZ"/>
        </w:rPr>
      </w:pPr>
      <w:r w:rsidRPr="000B1FF0">
        <w:rPr>
          <w:lang w:val="en-NZ"/>
        </w:rPr>
        <w:t xml:space="preserve">In November 2021 the </w:t>
      </w:r>
      <w:r w:rsidR="00632BE6">
        <w:rPr>
          <w:lang w:val="en-NZ"/>
        </w:rPr>
        <w:t xml:space="preserve">United States </w:t>
      </w:r>
      <w:r w:rsidRPr="000B1FF0">
        <w:rPr>
          <w:lang w:val="en-NZ"/>
        </w:rPr>
        <w:t>F</w:t>
      </w:r>
      <w:r w:rsidR="00632BE6">
        <w:rPr>
          <w:lang w:val="en-NZ"/>
        </w:rPr>
        <w:t xml:space="preserve">ood </w:t>
      </w:r>
      <w:r w:rsidR="008E7730">
        <w:rPr>
          <w:lang w:val="en-NZ"/>
        </w:rPr>
        <w:t>&amp;</w:t>
      </w:r>
      <w:r w:rsidR="00632BE6">
        <w:rPr>
          <w:lang w:val="en-NZ"/>
        </w:rPr>
        <w:t xml:space="preserve"> </w:t>
      </w:r>
      <w:r w:rsidRPr="000B1FF0">
        <w:rPr>
          <w:lang w:val="en-NZ"/>
        </w:rPr>
        <w:t>D</w:t>
      </w:r>
      <w:r w:rsidR="00632BE6">
        <w:rPr>
          <w:lang w:val="en-NZ"/>
        </w:rPr>
        <w:t xml:space="preserve">rug </w:t>
      </w:r>
      <w:r w:rsidRPr="000B1FF0">
        <w:rPr>
          <w:lang w:val="en-NZ"/>
        </w:rPr>
        <w:t>A</w:t>
      </w:r>
      <w:r w:rsidR="00632BE6">
        <w:rPr>
          <w:lang w:val="en-NZ"/>
        </w:rPr>
        <w:t>dministration</w:t>
      </w:r>
      <w:r w:rsidRPr="000B1FF0">
        <w:rPr>
          <w:lang w:val="en-NZ"/>
        </w:rPr>
        <w:t xml:space="preserve"> </w:t>
      </w:r>
      <w:r w:rsidR="00B42CEC">
        <w:rPr>
          <w:lang w:val="en-NZ"/>
        </w:rPr>
        <w:t xml:space="preserve">(FDA) </w:t>
      </w:r>
      <w:r w:rsidRPr="000B1FF0">
        <w:rPr>
          <w:lang w:val="en-NZ"/>
        </w:rPr>
        <w:t xml:space="preserve">published a letter to </w:t>
      </w:r>
      <w:r w:rsidR="00B42CEC" w:rsidRPr="000B1FF0">
        <w:rPr>
          <w:lang w:val="en-NZ"/>
        </w:rPr>
        <w:t>healthcare pr</w:t>
      </w:r>
      <w:r w:rsidRPr="000B1FF0">
        <w:rPr>
          <w:lang w:val="en-NZ"/>
        </w:rPr>
        <w:t>oviders</w:t>
      </w:r>
      <w:r w:rsidRPr="000B1FF0">
        <w:rPr>
          <w:vertAlign w:val="superscript"/>
          <w:lang w:val="en-NZ"/>
        </w:rPr>
        <w:footnoteReference w:id="10"/>
      </w:r>
      <w:r w:rsidRPr="000B1FF0">
        <w:rPr>
          <w:lang w:val="en-NZ"/>
        </w:rPr>
        <w:t xml:space="preserve"> detailing the risk of major complications related to cardiac perforation during implantation</w:t>
      </w:r>
      <w:r w:rsidR="00C74EDF">
        <w:rPr>
          <w:lang w:val="en-NZ"/>
        </w:rPr>
        <w:t xml:space="preserve"> of the </w:t>
      </w:r>
      <w:r w:rsidR="00C74EDF">
        <w:t>Micra VR TPS</w:t>
      </w:r>
      <w:r w:rsidR="00B42CEC">
        <w:t>. The letter</w:t>
      </w:r>
      <w:r w:rsidRPr="000B1FF0">
        <w:rPr>
          <w:lang w:val="en-NZ"/>
        </w:rPr>
        <w:t xml:space="preserve"> </w:t>
      </w:r>
      <w:r w:rsidR="00B42CEC" w:rsidRPr="000B1FF0">
        <w:rPr>
          <w:lang w:val="en-NZ"/>
        </w:rPr>
        <w:t>sta</w:t>
      </w:r>
      <w:r w:rsidR="00B42CEC">
        <w:rPr>
          <w:lang w:val="en-NZ"/>
        </w:rPr>
        <w:t>ted</w:t>
      </w:r>
      <w:r w:rsidR="00B42CEC" w:rsidRPr="000B1FF0">
        <w:rPr>
          <w:lang w:val="en-NZ"/>
        </w:rPr>
        <w:t xml:space="preserve"> </w:t>
      </w:r>
      <w:r w:rsidRPr="000B1FF0">
        <w:rPr>
          <w:lang w:val="en-NZ"/>
        </w:rPr>
        <w:t>that “</w:t>
      </w:r>
      <w:r w:rsidR="00B42CEC">
        <w:rPr>
          <w:i/>
          <w:iCs/>
          <w:lang w:val="en-NZ"/>
        </w:rPr>
        <w:t>t</w:t>
      </w:r>
      <w:r w:rsidR="00B42CEC" w:rsidRPr="000B1FF0">
        <w:rPr>
          <w:i/>
          <w:iCs/>
          <w:lang w:val="en-NZ"/>
        </w:rPr>
        <w:t xml:space="preserve">he </w:t>
      </w:r>
      <w:r w:rsidRPr="000B1FF0">
        <w:rPr>
          <w:i/>
          <w:iCs/>
          <w:lang w:val="en-NZ"/>
        </w:rPr>
        <w:t>Medtronic Micra leadless pacemaker premarket clinical studies suggested major complications related to cardiac perforation appeared to be more severe for patients who received a leadless pacing system compared to patients who received a transvenous pacemaker… cardiac perforations associated with Micra leadless pacemakers are more likely to be associated with serious complications, such as cardiac tamponade or death, than with traditional pacemakers</w:t>
      </w:r>
      <w:r w:rsidRPr="000B1FF0">
        <w:rPr>
          <w:lang w:val="en-NZ"/>
        </w:rPr>
        <w:t>.” The FDA intend to evaluate post-market studies to provide additional information in the future.</w:t>
      </w:r>
    </w:p>
    <w:p w14:paraId="5D9EED6B" w14:textId="798228EE" w:rsidR="0035612B" w:rsidRPr="009C031E" w:rsidRDefault="0035612B" w:rsidP="00645477">
      <w:pPr>
        <w:pStyle w:val="Heading3nonumbers"/>
      </w:pPr>
      <w:r w:rsidRPr="009C031E">
        <w:t xml:space="preserve">Post-procedural complications at </w:t>
      </w:r>
      <w:r w:rsidR="00A077A2">
        <w:t xml:space="preserve">two </w:t>
      </w:r>
      <w:r w:rsidRPr="009C031E">
        <w:t>years</w:t>
      </w:r>
    </w:p>
    <w:p w14:paraId="35071603" w14:textId="71443444" w:rsidR="0035612B" w:rsidRPr="00442A3F" w:rsidRDefault="00A077A2" w:rsidP="0035612B">
      <w:r>
        <w:rPr>
          <w:lang w:val="en-NZ"/>
        </w:rPr>
        <w:t>T</w:t>
      </w:r>
      <w:r w:rsidR="0035612B">
        <w:rPr>
          <w:lang w:val="en-NZ"/>
        </w:rPr>
        <w:t xml:space="preserve">he ADAR reported </w:t>
      </w:r>
      <w:r w:rsidR="00E6660E">
        <w:rPr>
          <w:lang w:val="en-NZ"/>
        </w:rPr>
        <w:t xml:space="preserve">results </w:t>
      </w:r>
      <w:r>
        <w:rPr>
          <w:lang w:val="en-NZ"/>
        </w:rPr>
        <w:t>at two years after device implantation</w:t>
      </w:r>
      <w:r w:rsidR="00E6660E" w:rsidRPr="00E6660E">
        <w:rPr>
          <w:lang w:val="en-NZ"/>
        </w:rPr>
        <w:t xml:space="preserve"> </w:t>
      </w:r>
      <w:r w:rsidR="00E6660E">
        <w:rPr>
          <w:lang w:val="en-NZ"/>
        </w:rPr>
        <w:t>from the CED study</w:t>
      </w:r>
      <w:r w:rsidR="0035612B">
        <w:rPr>
          <w:lang w:val="en-NZ"/>
        </w:rPr>
        <w:t xml:space="preserve">, but </w:t>
      </w:r>
      <w:r w:rsidR="00E6660E">
        <w:rPr>
          <w:lang w:val="en-NZ"/>
        </w:rPr>
        <w:t xml:space="preserve">these were provided as </w:t>
      </w:r>
      <w:r w:rsidR="0035612B">
        <w:rPr>
          <w:lang w:val="en-NZ"/>
        </w:rPr>
        <w:t xml:space="preserve">an overall composite </w:t>
      </w:r>
      <w:r w:rsidR="003A10D6">
        <w:rPr>
          <w:lang w:val="en-NZ"/>
        </w:rPr>
        <w:t xml:space="preserve">outcome </w:t>
      </w:r>
      <w:r w:rsidR="0035612B">
        <w:rPr>
          <w:lang w:val="en-NZ"/>
        </w:rPr>
        <w:t>made up of several individual complication</w:t>
      </w:r>
      <w:r w:rsidR="00F822CE">
        <w:rPr>
          <w:lang w:val="en-NZ"/>
        </w:rPr>
        <w:t>s</w:t>
      </w:r>
      <w:r w:rsidR="0035612B">
        <w:rPr>
          <w:lang w:val="en-NZ"/>
        </w:rPr>
        <w:t xml:space="preserve">. </w:t>
      </w:r>
      <w:r w:rsidR="00A27E64">
        <w:t>T</w:t>
      </w:r>
      <w:r w:rsidR="0035612B" w:rsidRPr="00442A3F">
        <w:t xml:space="preserve">here were </w:t>
      </w:r>
      <w:r w:rsidR="00A27E64" w:rsidRPr="0059620E">
        <w:t>sig</w:t>
      </w:r>
      <w:r w:rsidR="00762E7D" w:rsidRPr="0059620E">
        <w:t xml:space="preserve">nificantly more </w:t>
      </w:r>
      <w:r w:rsidR="0035612B" w:rsidRPr="00442A3F">
        <w:t>complication</w:t>
      </w:r>
      <w:r w:rsidR="006B043A">
        <w:t>s in the TVPM group compared to the</w:t>
      </w:r>
      <w:r w:rsidR="0035612B" w:rsidRPr="00442A3F">
        <w:t xml:space="preserve"> </w:t>
      </w:r>
      <w:r w:rsidR="006B57C9">
        <w:t>Micra VR TPS</w:t>
      </w:r>
      <w:r w:rsidR="0035612B" w:rsidRPr="00442A3F">
        <w:t xml:space="preserve"> </w:t>
      </w:r>
      <w:r w:rsidR="0035612B">
        <w:t>at two years</w:t>
      </w:r>
      <w:r w:rsidR="005E6BD3">
        <w:t xml:space="preserve"> with adjusted rates of </w:t>
      </w:r>
      <w:r w:rsidR="006D368E">
        <w:t>6,5% and 4.6% respectively</w:t>
      </w:r>
      <w:r w:rsidR="0035612B">
        <w:t xml:space="preserve"> (</w:t>
      </w:r>
      <w:r w:rsidR="003A10D6">
        <w:t xml:space="preserve">hazard ratio </w:t>
      </w:r>
      <w:r w:rsidR="0035612B">
        <w:t>0.69, 95%</w:t>
      </w:r>
      <w:r w:rsidR="003A10D6">
        <w:t xml:space="preserve"> </w:t>
      </w:r>
      <w:r w:rsidR="0035612B">
        <w:t>CI</w:t>
      </w:r>
      <w:r w:rsidR="003A10D6">
        <w:t xml:space="preserve"> </w:t>
      </w:r>
      <w:r w:rsidR="0035612B">
        <w:t>0.60</w:t>
      </w:r>
      <w:r w:rsidR="003A10D6">
        <w:t xml:space="preserve"> to </w:t>
      </w:r>
      <w:r w:rsidR="0035612B">
        <w:t>0.81</w:t>
      </w:r>
      <w:r w:rsidR="00FD1A44">
        <w:t>, p&lt;0.0001</w:t>
      </w:r>
      <w:r w:rsidR="0035612B">
        <w:t xml:space="preserve">). </w:t>
      </w:r>
      <w:r w:rsidR="003A10D6">
        <w:t>However,</w:t>
      </w:r>
      <w:r w:rsidR="0035612B">
        <w:t xml:space="preserve"> it would have been more helpful to </w:t>
      </w:r>
      <w:r w:rsidR="003A10D6">
        <w:t>focus</w:t>
      </w:r>
      <w:r w:rsidR="0035612B">
        <w:t xml:space="preserve"> on complications by type rather than overall</w:t>
      </w:r>
      <w:r w:rsidR="00DA0F17">
        <w:t xml:space="preserve"> complication rates</w:t>
      </w:r>
      <w:r w:rsidR="0035612B">
        <w:t xml:space="preserve">. </w:t>
      </w:r>
      <w:r w:rsidR="007D486C">
        <w:t>The results</w:t>
      </w:r>
      <w:r w:rsidR="007D6CAA">
        <w:t xml:space="preserve"> are reported in </w:t>
      </w:r>
      <w:r w:rsidR="00F61B9B">
        <w:fldChar w:fldCharType="begin"/>
      </w:r>
      <w:r w:rsidR="00F61B9B">
        <w:instrText xml:space="preserve"> REF _Ref87957761 \h </w:instrText>
      </w:r>
      <w:r w:rsidR="00F61B9B">
        <w:fldChar w:fldCharType="separate"/>
      </w:r>
      <w:r w:rsidR="0084187F" w:rsidRPr="00CE28E3">
        <w:t>Table</w:t>
      </w:r>
      <w:r w:rsidR="0084187F">
        <w:t> </w:t>
      </w:r>
      <w:r w:rsidR="0084187F">
        <w:rPr>
          <w:noProof/>
        </w:rPr>
        <w:t>8</w:t>
      </w:r>
      <w:r w:rsidR="00F61B9B">
        <w:fldChar w:fldCharType="end"/>
      </w:r>
      <w:r w:rsidR="007D486C">
        <w:t>:</w:t>
      </w:r>
    </w:p>
    <w:p w14:paraId="76530A56" w14:textId="2BC290B6" w:rsidR="0035612B" w:rsidRPr="00DE22DD" w:rsidRDefault="0035612B" w:rsidP="00153C8A">
      <w:pPr>
        <w:pStyle w:val="ListParagraph"/>
        <w:rPr>
          <w:lang w:val="en-NZ"/>
        </w:rPr>
      </w:pPr>
    </w:p>
    <w:p w14:paraId="0440B5CD" w14:textId="77777777" w:rsidR="000E4873" w:rsidRDefault="000E4873" w:rsidP="00645477">
      <w:pPr>
        <w:pStyle w:val="Heading3nonumbers"/>
        <w:sectPr w:rsidR="000E4873" w:rsidSect="00DC6832">
          <w:pgSz w:w="11906" w:h="16838"/>
          <w:pgMar w:top="1440" w:right="1440" w:bottom="1440" w:left="1440" w:header="708" w:footer="708" w:gutter="0"/>
          <w:cols w:space="708"/>
          <w:docGrid w:linePitch="360"/>
        </w:sectPr>
      </w:pPr>
    </w:p>
    <w:p w14:paraId="418B277B" w14:textId="0ADBDBEC" w:rsidR="000E4873" w:rsidRDefault="000E4873" w:rsidP="000E4873">
      <w:pPr>
        <w:pStyle w:val="Caption"/>
        <w:rPr>
          <w:rFonts w:cs="Arial"/>
          <w:snapToGrid w:val="0"/>
          <w:szCs w:val="16"/>
        </w:rPr>
      </w:pPr>
      <w:bookmarkStart w:id="12" w:name="_Ref87957761"/>
      <w:r w:rsidRPr="00CE28E3">
        <w:lastRenderedPageBreak/>
        <w:t>Table</w:t>
      </w:r>
      <w:r>
        <w:t> </w:t>
      </w:r>
      <w:r>
        <w:fldChar w:fldCharType="begin"/>
      </w:r>
      <w:r>
        <w:instrText>SEQ Table \* ARABIC</w:instrText>
      </w:r>
      <w:r>
        <w:fldChar w:fldCharType="separate"/>
      </w:r>
      <w:r w:rsidR="0084187F">
        <w:rPr>
          <w:noProof/>
        </w:rPr>
        <w:t>8</w:t>
      </w:r>
      <w:r>
        <w:fldChar w:fldCharType="end"/>
      </w:r>
      <w:bookmarkEnd w:id="12"/>
      <w:r w:rsidRPr="00CE28E3">
        <w:tab/>
      </w:r>
      <w:r>
        <w:rPr>
          <w:rFonts w:cs="Arial"/>
          <w:snapToGrid w:val="0"/>
          <w:szCs w:val="16"/>
        </w:rPr>
        <w:t xml:space="preserve">Adjusted and unadjusted rates of device-related complications at 2-years in CED: LPM vs TVPM </w:t>
      </w:r>
    </w:p>
    <w:tbl>
      <w:tblPr>
        <w:tblStyle w:val="TableGrid1"/>
        <w:tblW w:w="5000" w:type="pct"/>
        <w:tblCellMar>
          <w:left w:w="28" w:type="dxa"/>
          <w:right w:w="28" w:type="dxa"/>
        </w:tblCellMar>
        <w:tblLook w:val="04A0" w:firstRow="1" w:lastRow="0" w:firstColumn="1" w:lastColumn="0" w:noHBand="0" w:noVBand="1"/>
      </w:tblPr>
      <w:tblGrid>
        <w:gridCol w:w="2189"/>
        <w:gridCol w:w="1183"/>
        <w:gridCol w:w="1130"/>
        <w:gridCol w:w="47"/>
        <w:gridCol w:w="1130"/>
        <w:gridCol w:w="1183"/>
        <w:gridCol w:w="1091"/>
        <w:gridCol w:w="86"/>
        <w:gridCol w:w="1091"/>
        <w:gridCol w:w="1186"/>
        <w:gridCol w:w="1381"/>
        <w:gridCol w:w="1492"/>
        <w:gridCol w:w="759"/>
      </w:tblGrid>
      <w:tr w:rsidR="00334DAB" w:rsidRPr="0087277A" w14:paraId="2A418AF4" w14:textId="77777777" w:rsidTr="0039015B">
        <w:trPr>
          <w:cnfStyle w:val="100000000000" w:firstRow="1" w:lastRow="0" w:firstColumn="0" w:lastColumn="0" w:oddVBand="0" w:evenVBand="0" w:oddHBand="0" w:evenHBand="0" w:firstRowFirstColumn="0" w:firstRowLastColumn="0" w:lastRowFirstColumn="0" w:lastRowLastColumn="0"/>
          <w:tblHeader/>
        </w:trPr>
        <w:tc>
          <w:tcPr>
            <w:tcW w:w="785" w:type="pct"/>
            <w:tcBorders>
              <w:top w:val="single" w:sz="4" w:space="0" w:color="auto"/>
              <w:bottom w:val="nil"/>
            </w:tcBorders>
            <w:shd w:val="clear" w:color="auto" w:fill="auto"/>
          </w:tcPr>
          <w:p w14:paraId="12766165" w14:textId="77777777" w:rsidR="000E4873" w:rsidRPr="0087277A" w:rsidRDefault="000E4873" w:rsidP="00153C8A">
            <w:pPr>
              <w:pStyle w:val="TableHeading"/>
              <w:keepNext w:val="0"/>
              <w:widowControl w:val="0"/>
              <w:rPr>
                <w:snapToGrid w:val="0"/>
              </w:rPr>
            </w:pPr>
            <w:r>
              <w:rPr>
                <w:snapToGrid w:val="0"/>
              </w:rPr>
              <w:t>Events</w:t>
            </w:r>
          </w:p>
        </w:tc>
        <w:tc>
          <w:tcPr>
            <w:tcW w:w="846" w:type="pct"/>
            <w:gridSpan w:val="3"/>
            <w:tcBorders>
              <w:bottom w:val="single" w:sz="4" w:space="0" w:color="auto"/>
              <w:right w:val="nil"/>
            </w:tcBorders>
          </w:tcPr>
          <w:p w14:paraId="62830CA6" w14:textId="77777777" w:rsidR="000E4873" w:rsidRPr="008E3A77" w:rsidRDefault="000E4873" w:rsidP="00153C8A">
            <w:pPr>
              <w:pStyle w:val="TableHeading"/>
              <w:keepNext w:val="0"/>
              <w:widowControl w:val="0"/>
              <w:rPr>
                <w:snapToGrid w:val="0"/>
              </w:rPr>
            </w:pPr>
            <w:r>
              <w:rPr>
                <w:snapToGrid w:val="0"/>
              </w:rPr>
              <w:t>LPM (n=6,219)</w:t>
            </w:r>
          </w:p>
        </w:tc>
        <w:tc>
          <w:tcPr>
            <w:tcW w:w="405" w:type="pct"/>
            <w:tcBorders>
              <w:left w:val="nil"/>
              <w:bottom w:val="single" w:sz="4" w:space="0" w:color="auto"/>
            </w:tcBorders>
          </w:tcPr>
          <w:p w14:paraId="5889158B" w14:textId="77777777" w:rsidR="000E4873" w:rsidRPr="008E3A77" w:rsidRDefault="000E4873" w:rsidP="00153C8A">
            <w:pPr>
              <w:pStyle w:val="TableHeading"/>
              <w:keepNext w:val="0"/>
              <w:widowControl w:val="0"/>
              <w:rPr>
                <w:snapToGrid w:val="0"/>
              </w:rPr>
            </w:pPr>
          </w:p>
        </w:tc>
        <w:tc>
          <w:tcPr>
            <w:tcW w:w="846" w:type="pct"/>
            <w:gridSpan w:val="3"/>
            <w:tcBorders>
              <w:bottom w:val="single" w:sz="4" w:space="0" w:color="auto"/>
              <w:right w:val="nil"/>
            </w:tcBorders>
          </w:tcPr>
          <w:p w14:paraId="1E0C5C26" w14:textId="77777777" w:rsidR="000E4873" w:rsidRDefault="000E4873" w:rsidP="00153C8A">
            <w:pPr>
              <w:pStyle w:val="TableHeading"/>
              <w:keepNext w:val="0"/>
              <w:widowControl w:val="0"/>
              <w:rPr>
                <w:snapToGrid w:val="0"/>
              </w:rPr>
            </w:pPr>
            <w:r>
              <w:rPr>
                <w:snapToGrid w:val="0"/>
              </w:rPr>
              <w:t>TVPM (n=10,212)</w:t>
            </w:r>
          </w:p>
        </w:tc>
        <w:tc>
          <w:tcPr>
            <w:tcW w:w="391" w:type="pct"/>
            <w:tcBorders>
              <w:left w:val="nil"/>
              <w:bottom w:val="single" w:sz="4" w:space="0" w:color="auto"/>
            </w:tcBorders>
          </w:tcPr>
          <w:p w14:paraId="5B37F1CC" w14:textId="77777777" w:rsidR="000E4873" w:rsidRDefault="000E4873" w:rsidP="00153C8A">
            <w:pPr>
              <w:pStyle w:val="TableHeading"/>
              <w:keepNext w:val="0"/>
              <w:widowControl w:val="0"/>
              <w:rPr>
                <w:snapToGrid w:val="0"/>
              </w:rPr>
            </w:pPr>
          </w:p>
        </w:tc>
        <w:tc>
          <w:tcPr>
            <w:tcW w:w="1727" w:type="pct"/>
            <w:gridSpan w:val="4"/>
            <w:tcBorders>
              <w:bottom w:val="single" w:sz="4" w:space="0" w:color="auto"/>
            </w:tcBorders>
          </w:tcPr>
          <w:p w14:paraId="0C4410B4" w14:textId="77777777" w:rsidR="000E4873" w:rsidRDefault="000E4873" w:rsidP="00153C8A">
            <w:pPr>
              <w:pStyle w:val="TableHeading"/>
              <w:keepNext w:val="0"/>
              <w:widowControl w:val="0"/>
              <w:rPr>
                <w:snapToGrid w:val="0"/>
              </w:rPr>
            </w:pPr>
            <w:r>
              <w:rPr>
                <w:snapToGrid w:val="0"/>
              </w:rPr>
              <w:t>LPM vs TVPM</w:t>
            </w:r>
          </w:p>
        </w:tc>
      </w:tr>
      <w:tr w:rsidR="00E51F42" w:rsidRPr="0087277A" w14:paraId="21291DD7" w14:textId="77777777" w:rsidTr="006F47EB">
        <w:trPr>
          <w:cnfStyle w:val="100000000000" w:firstRow="1" w:lastRow="0" w:firstColumn="0" w:lastColumn="0" w:oddVBand="0" w:evenVBand="0" w:oddHBand="0" w:evenHBand="0" w:firstRowFirstColumn="0" w:firstRowLastColumn="0" w:lastRowFirstColumn="0" w:lastRowLastColumn="0"/>
          <w:tblHeader/>
        </w:trPr>
        <w:tc>
          <w:tcPr>
            <w:tcW w:w="785" w:type="pct"/>
            <w:tcBorders>
              <w:top w:val="nil"/>
            </w:tcBorders>
            <w:shd w:val="clear" w:color="auto" w:fill="auto"/>
          </w:tcPr>
          <w:p w14:paraId="2F7C8A02" w14:textId="77777777" w:rsidR="000E4873" w:rsidRPr="0087277A" w:rsidRDefault="000E4873" w:rsidP="00153C8A">
            <w:pPr>
              <w:pStyle w:val="TableHeading"/>
              <w:keepNext w:val="0"/>
              <w:widowControl w:val="0"/>
              <w:rPr>
                <w:snapToGrid w:val="0"/>
              </w:rPr>
            </w:pPr>
          </w:p>
        </w:tc>
        <w:tc>
          <w:tcPr>
            <w:tcW w:w="424" w:type="pct"/>
            <w:tcBorders>
              <w:bottom w:val="single" w:sz="4" w:space="0" w:color="auto"/>
            </w:tcBorders>
          </w:tcPr>
          <w:p w14:paraId="57C7409F" w14:textId="77777777" w:rsidR="000E4873" w:rsidRDefault="000E4873" w:rsidP="00153C8A">
            <w:pPr>
              <w:pStyle w:val="TableHeading"/>
              <w:keepNext w:val="0"/>
              <w:widowControl w:val="0"/>
              <w:rPr>
                <w:snapToGrid w:val="0"/>
              </w:rPr>
            </w:pPr>
            <w:r>
              <w:rPr>
                <w:snapToGrid w:val="0"/>
              </w:rPr>
              <w:t>Observed</w:t>
            </w:r>
          </w:p>
          <w:p w14:paraId="1207020F" w14:textId="77777777" w:rsidR="000E4873" w:rsidRDefault="000E4873" w:rsidP="00153C8A">
            <w:pPr>
              <w:pStyle w:val="TableHeading"/>
              <w:keepNext w:val="0"/>
              <w:widowControl w:val="0"/>
              <w:rPr>
                <w:snapToGrid w:val="0"/>
              </w:rPr>
            </w:pPr>
            <w:r>
              <w:rPr>
                <w:snapToGrid w:val="0"/>
              </w:rPr>
              <w:t>Events (</w:t>
            </w:r>
            <w:proofErr w:type="gramStart"/>
            <w:r>
              <w:rPr>
                <w:snapToGrid w:val="0"/>
              </w:rPr>
              <w:t>%)</w:t>
            </w:r>
            <w:r w:rsidRPr="008E3A77">
              <w:rPr>
                <w:snapToGrid w:val="0"/>
                <w:vertAlign w:val="superscript"/>
              </w:rPr>
              <w:t>a</w:t>
            </w:r>
            <w:proofErr w:type="gramEnd"/>
          </w:p>
        </w:tc>
        <w:tc>
          <w:tcPr>
            <w:tcW w:w="405" w:type="pct"/>
            <w:tcBorders>
              <w:bottom w:val="single" w:sz="4" w:space="0" w:color="auto"/>
            </w:tcBorders>
          </w:tcPr>
          <w:p w14:paraId="31E6BB50" w14:textId="77777777" w:rsidR="000E4873" w:rsidRPr="00B36F3E" w:rsidRDefault="000E4873" w:rsidP="00153C8A">
            <w:pPr>
              <w:pStyle w:val="TableHeading"/>
              <w:keepNext w:val="0"/>
              <w:widowControl w:val="0"/>
              <w:rPr>
                <w:snapToGrid w:val="0"/>
              </w:rPr>
            </w:pPr>
            <w:r w:rsidRPr="00C173DB">
              <w:rPr>
                <w:bCs/>
                <w:color w:val="000000"/>
                <w:lang w:eastAsia="zh-CN" w:bidi="he-IL"/>
              </w:rPr>
              <w:t>2-Year Unadjusted CIF Estimates (95%CI)</w:t>
            </w:r>
          </w:p>
        </w:tc>
        <w:tc>
          <w:tcPr>
            <w:tcW w:w="422" w:type="pct"/>
            <w:gridSpan w:val="2"/>
            <w:tcBorders>
              <w:bottom w:val="single" w:sz="4" w:space="0" w:color="auto"/>
            </w:tcBorders>
          </w:tcPr>
          <w:p w14:paraId="7BACB8F0" w14:textId="77777777" w:rsidR="000E4873" w:rsidRDefault="000E4873" w:rsidP="00153C8A">
            <w:pPr>
              <w:pStyle w:val="TableHeading"/>
              <w:keepNext w:val="0"/>
              <w:widowControl w:val="0"/>
              <w:rPr>
                <w:snapToGrid w:val="0"/>
              </w:rPr>
            </w:pPr>
            <w:r w:rsidRPr="008E3A77">
              <w:rPr>
                <w:snapToGrid w:val="0"/>
              </w:rPr>
              <w:t xml:space="preserve">2-Year Weighted CIF </w:t>
            </w:r>
          </w:p>
          <w:p w14:paraId="2C3FB6F7" w14:textId="77777777" w:rsidR="000E4873" w:rsidRDefault="000E4873" w:rsidP="00153C8A">
            <w:pPr>
              <w:pStyle w:val="TableHeading"/>
              <w:keepNext w:val="0"/>
              <w:widowControl w:val="0"/>
              <w:rPr>
                <w:snapToGrid w:val="0"/>
              </w:rPr>
            </w:pPr>
            <w:r w:rsidRPr="008E3A77">
              <w:rPr>
                <w:snapToGrid w:val="0"/>
              </w:rPr>
              <w:t>Estimates (95% CI)</w:t>
            </w:r>
          </w:p>
        </w:tc>
        <w:tc>
          <w:tcPr>
            <w:tcW w:w="424" w:type="pct"/>
            <w:tcBorders>
              <w:bottom w:val="single" w:sz="4" w:space="0" w:color="auto"/>
            </w:tcBorders>
          </w:tcPr>
          <w:p w14:paraId="235AEB3D" w14:textId="77777777" w:rsidR="000E4873" w:rsidRDefault="000E4873" w:rsidP="00153C8A">
            <w:pPr>
              <w:pStyle w:val="TableHeading"/>
              <w:keepNext w:val="0"/>
              <w:widowControl w:val="0"/>
              <w:rPr>
                <w:snapToGrid w:val="0"/>
              </w:rPr>
            </w:pPr>
            <w:r>
              <w:rPr>
                <w:snapToGrid w:val="0"/>
              </w:rPr>
              <w:t>Observed</w:t>
            </w:r>
          </w:p>
          <w:p w14:paraId="71FF3DE7" w14:textId="77777777" w:rsidR="000E4873" w:rsidRPr="0087277A" w:rsidRDefault="000E4873" w:rsidP="00153C8A">
            <w:pPr>
              <w:pStyle w:val="TableHeading"/>
              <w:keepNext w:val="0"/>
              <w:widowControl w:val="0"/>
              <w:rPr>
                <w:snapToGrid w:val="0"/>
              </w:rPr>
            </w:pPr>
            <w:r>
              <w:rPr>
                <w:snapToGrid w:val="0"/>
              </w:rPr>
              <w:t>Events (</w:t>
            </w:r>
            <w:proofErr w:type="gramStart"/>
            <w:r>
              <w:rPr>
                <w:snapToGrid w:val="0"/>
              </w:rPr>
              <w:t>%)</w:t>
            </w:r>
            <w:r w:rsidRPr="008E3A77">
              <w:rPr>
                <w:snapToGrid w:val="0"/>
                <w:vertAlign w:val="superscript"/>
              </w:rPr>
              <w:t>a</w:t>
            </w:r>
            <w:proofErr w:type="gramEnd"/>
          </w:p>
        </w:tc>
        <w:tc>
          <w:tcPr>
            <w:tcW w:w="391" w:type="pct"/>
            <w:tcBorders>
              <w:bottom w:val="single" w:sz="4" w:space="0" w:color="auto"/>
            </w:tcBorders>
          </w:tcPr>
          <w:p w14:paraId="67F6B057" w14:textId="77777777" w:rsidR="000E4873" w:rsidRPr="00B36F3E" w:rsidRDefault="000E4873" w:rsidP="00153C8A">
            <w:pPr>
              <w:pStyle w:val="TableHeading"/>
              <w:keepNext w:val="0"/>
              <w:widowControl w:val="0"/>
              <w:rPr>
                <w:snapToGrid w:val="0"/>
              </w:rPr>
            </w:pPr>
            <w:r w:rsidRPr="00C173DB">
              <w:rPr>
                <w:bCs/>
                <w:color w:val="000000"/>
                <w:lang w:eastAsia="zh-CN" w:bidi="he-IL"/>
              </w:rPr>
              <w:t>2-Year Unadjusted CIF Estimates (95%CI)</w:t>
            </w:r>
          </w:p>
        </w:tc>
        <w:tc>
          <w:tcPr>
            <w:tcW w:w="422" w:type="pct"/>
            <w:gridSpan w:val="2"/>
            <w:tcBorders>
              <w:bottom w:val="single" w:sz="4" w:space="0" w:color="auto"/>
            </w:tcBorders>
          </w:tcPr>
          <w:p w14:paraId="7DD7E952" w14:textId="77777777" w:rsidR="000E4873" w:rsidRDefault="000E4873" w:rsidP="00153C8A">
            <w:pPr>
              <w:pStyle w:val="TableHeading"/>
              <w:keepNext w:val="0"/>
              <w:widowControl w:val="0"/>
              <w:rPr>
                <w:snapToGrid w:val="0"/>
              </w:rPr>
            </w:pPr>
            <w:r w:rsidRPr="008E3A77">
              <w:rPr>
                <w:snapToGrid w:val="0"/>
              </w:rPr>
              <w:t xml:space="preserve">2-Year Weighted CIF </w:t>
            </w:r>
          </w:p>
          <w:p w14:paraId="5F1EE852" w14:textId="77777777" w:rsidR="000E4873" w:rsidRPr="0087277A" w:rsidRDefault="000E4873" w:rsidP="00153C8A">
            <w:pPr>
              <w:pStyle w:val="TableHeading"/>
              <w:keepNext w:val="0"/>
              <w:widowControl w:val="0"/>
              <w:rPr>
                <w:snapToGrid w:val="0"/>
              </w:rPr>
            </w:pPr>
            <w:r w:rsidRPr="008E3A77">
              <w:rPr>
                <w:snapToGrid w:val="0"/>
              </w:rPr>
              <w:t>Estimates (95% CI)</w:t>
            </w:r>
          </w:p>
        </w:tc>
        <w:tc>
          <w:tcPr>
            <w:tcW w:w="425" w:type="pct"/>
            <w:tcBorders>
              <w:bottom w:val="single" w:sz="4" w:space="0" w:color="auto"/>
            </w:tcBorders>
          </w:tcPr>
          <w:p w14:paraId="3FC3839B" w14:textId="77777777" w:rsidR="000E4873" w:rsidRPr="00C173DB" w:rsidRDefault="000E4873" w:rsidP="00153C8A">
            <w:pPr>
              <w:pStyle w:val="TableHeading"/>
              <w:keepNext w:val="0"/>
              <w:widowControl w:val="0"/>
              <w:rPr>
                <w:snapToGrid w:val="0"/>
              </w:rPr>
            </w:pPr>
            <w:r w:rsidRPr="00C173DB">
              <w:rPr>
                <w:snapToGrid w:val="0"/>
              </w:rPr>
              <w:t>Unadjusted p-value</w:t>
            </w:r>
          </w:p>
        </w:tc>
        <w:tc>
          <w:tcPr>
            <w:tcW w:w="495" w:type="pct"/>
            <w:tcBorders>
              <w:bottom w:val="single" w:sz="4" w:space="0" w:color="auto"/>
            </w:tcBorders>
          </w:tcPr>
          <w:p w14:paraId="4A9CA7C7" w14:textId="77777777" w:rsidR="000E4873" w:rsidRDefault="000E4873" w:rsidP="00153C8A">
            <w:pPr>
              <w:pStyle w:val="TableHeading"/>
              <w:keepNext w:val="0"/>
              <w:widowControl w:val="0"/>
              <w:rPr>
                <w:snapToGrid w:val="0"/>
              </w:rPr>
            </w:pPr>
            <w:r>
              <w:rPr>
                <w:snapToGrid w:val="0"/>
              </w:rPr>
              <w:t>Adjusted HR (95% CI)</w:t>
            </w:r>
          </w:p>
        </w:tc>
        <w:tc>
          <w:tcPr>
            <w:tcW w:w="535" w:type="pct"/>
            <w:tcBorders>
              <w:bottom w:val="single" w:sz="4" w:space="0" w:color="auto"/>
            </w:tcBorders>
          </w:tcPr>
          <w:p w14:paraId="76DD484B" w14:textId="77777777" w:rsidR="000E4873" w:rsidRPr="0087277A" w:rsidRDefault="000E4873" w:rsidP="00153C8A">
            <w:pPr>
              <w:pStyle w:val="TableHeading"/>
              <w:keepNext w:val="0"/>
              <w:widowControl w:val="0"/>
              <w:rPr>
                <w:snapToGrid w:val="0"/>
              </w:rPr>
            </w:pPr>
            <w:r>
              <w:rPr>
                <w:snapToGrid w:val="0"/>
              </w:rPr>
              <w:t>Adjusted RRR (95% CI)</w:t>
            </w:r>
          </w:p>
        </w:tc>
        <w:tc>
          <w:tcPr>
            <w:tcW w:w="272" w:type="pct"/>
            <w:tcBorders>
              <w:bottom w:val="single" w:sz="4" w:space="0" w:color="auto"/>
            </w:tcBorders>
          </w:tcPr>
          <w:p w14:paraId="222B5EA2" w14:textId="77777777" w:rsidR="000E4873" w:rsidRPr="0087277A" w:rsidRDefault="000E4873" w:rsidP="00153C8A">
            <w:pPr>
              <w:pStyle w:val="TableHeading"/>
              <w:keepNext w:val="0"/>
              <w:widowControl w:val="0"/>
              <w:rPr>
                <w:snapToGrid w:val="0"/>
              </w:rPr>
            </w:pPr>
            <w:r>
              <w:rPr>
                <w:snapToGrid w:val="0"/>
              </w:rPr>
              <w:t>Adjusted P value</w:t>
            </w:r>
          </w:p>
        </w:tc>
      </w:tr>
      <w:tr w:rsidR="00E51F42" w:rsidRPr="00DF699A" w14:paraId="33744329" w14:textId="77777777" w:rsidTr="0039015B">
        <w:tc>
          <w:tcPr>
            <w:tcW w:w="785" w:type="pct"/>
            <w:shd w:val="clear" w:color="auto" w:fill="auto"/>
            <w:vAlign w:val="bottom"/>
          </w:tcPr>
          <w:p w14:paraId="7092771D" w14:textId="77777777" w:rsidR="000E4873" w:rsidRPr="00DF699A" w:rsidRDefault="000E4873" w:rsidP="00153C8A">
            <w:pPr>
              <w:pStyle w:val="TableText0"/>
              <w:keepNext w:val="0"/>
              <w:widowControl w:val="0"/>
              <w:rPr>
                <w:b/>
                <w:bCs/>
                <w:snapToGrid w:val="0"/>
              </w:rPr>
            </w:pPr>
            <w:r w:rsidRPr="00DF699A">
              <w:rPr>
                <w:b/>
                <w:bCs/>
                <w:snapToGrid w:val="0"/>
              </w:rPr>
              <w:t>Overall complications</w:t>
            </w:r>
          </w:p>
        </w:tc>
        <w:tc>
          <w:tcPr>
            <w:tcW w:w="424" w:type="pct"/>
          </w:tcPr>
          <w:p w14:paraId="3DF08C8B" w14:textId="77777777" w:rsidR="000E4873" w:rsidRPr="00DF699A" w:rsidRDefault="000E4873" w:rsidP="00153C8A">
            <w:pPr>
              <w:pStyle w:val="TableText0"/>
              <w:keepNext w:val="0"/>
              <w:widowControl w:val="0"/>
              <w:rPr>
                <w:b/>
                <w:bCs/>
                <w:snapToGrid w:val="0"/>
              </w:rPr>
            </w:pPr>
            <w:r w:rsidRPr="00C662E2">
              <w:t>285 (4.6%)</w:t>
            </w: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C97D2" w14:textId="77777777" w:rsidR="000E4873" w:rsidRPr="00B36F3E" w:rsidRDefault="000E4873" w:rsidP="00153C8A">
            <w:pPr>
              <w:pStyle w:val="TableText0"/>
              <w:keepNext w:val="0"/>
              <w:widowControl w:val="0"/>
            </w:pPr>
            <w:r w:rsidRPr="00C173DB">
              <w:rPr>
                <w:rFonts w:cs="Times New Roman"/>
                <w:color w:val="000000"/>
                <w:lang w:eastAsia="zh-CN" w:bidi="he-IL"/>
              </w:rPr>
              <w:t>4.9% (4.4% - 5.5%)</w:t>
            </w:r>
          </w:p>
        </w:tc>
        <w:tc>
          <w:tcPr>
            <w:tcW w:w="422" w:type="pct"/>
            <w:gridSpan w:val="2"/>
          </w:tcPr>
          <w:p w14:paraId="25693FA3" w14:textId="77777777" w:rsidR="000E4873" w:rsidRPr="00DF699A" w:rsidRDefault="000E4873" w:rsidP="00153C8A">
            <w:pPr>
              <w:pStyle w:val="TableText0"/>
              <w:keepNext w:val="0"/>
              <w:widowControl w:val="0"/>
              <w:rPr>
                <w:b/>
                <w:bCs/>
                <w:snapToGrid w:val="0"/>
              </w:rPr>
            </w:pPr>
            <w:r w:rsidRPr="00C662E2">
              <w:t>4.6% (4.2%</w:t>
            </w:r>
            <w:r>
              <w:t>,</w:t>
            </w:r>
            <w:r w:rsidRPr="00C662E2">
              <w:t xml:space="preserve"> 4.9%)</w:t>
            </w:r>
          </w:p>
        </w:tc>
        <w:tc>
          <w:tcPr>
            <w:tcW w:w="424" w:type="pct"/>
          </w:tcPr>
          <w:p w14:paraId="51BB1CB7" w14:textId="77777777" w:rsidR="000E4873" w:rsidRPr="00DF699A" w:rsidRDefault="000E4873" w:rsidP="00153C8A">
            <w:pPr>
              <w:pStyle w:val="TableText0"/>
              <w:keepNext w:val="0"/>
              <w:widowControl w:val="0"/>
              <w:rPr>
                <w:b/>
                <w:bCs/>
                <w:snapToGrid w:val="0"/>
              </w:rPr>
            </w:pPr>
            <w:r w:rsidRPr="00C662E2">
              <w:t>631 (6.2%)</w:t>
            </w:r>
          </w:p>
        </w:tc>
        <w:tc>
          <w:tcPr>
            <w:tcW w:w="3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983C8" w14:textId="77777777" w:rsidR="000E4873" w:rsidRPr="00B36F3E" w:rsidRDefault="000E4873" w:rsidP="00153C8A">
            <w:pPr>
              <w:pStyle w:val="TableText0"/>
              <w:keepNext w:val="0"/>
              <w:widowControl w:val="0"/>
            </w:pPr>
            <w:r w:rsidRPr="00C173DB">
              <w:rPr>
                <w:rFonts w:cs="Times New Roman"/>
                <w:color w:val="000000"/>
                <w:lang w:eastAsia="zh-CN" w:bidi="he-IL"/>
              </w:rPr>
              <w:t>6.5% (5.9% - 7.1%)</w:t>
            </w:r>
          </w:p>
        </w:tc>
        <w:tc>
          <w:tcPr>
            <w:tcW w:w="422" w:type="pct"/>
            <w:gridSpan w:val="2"/>
          </w:tcPr>
          <w:p w14:paraId="29514754" w14:textId="77777777" w:rsidR="000E4873" w:rsidRPr="00DF699A" w:rsidRDefault="000E4873" w:rsidP="00153C8A">
            <w:pPr>
              <w:pStyle w:val="TableText0"/>
              <w:keepNext w:val="0"/>
              <w:widowControl w:val="0"/>
              <w:rPr>
                <w:b/>
                <w:bCs/>
                <w:snapToGrid w:val="0"/>
              </w:rPr>
            </w:pPr>
            <w:r w:rsidRPr="00C662E2">
              <w:t>6.5% (6.1%</w:t>
            </w:r>
            <w:r>
              <w:t xml:space="preserve">, </w:t>
            </w:r>
            <w:r w:rsidRPr="00C662E2">
              <w:t>6.9%)</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2E2A39C8" w14:textId="77777777" w:rsidR="000E4873" w:rsidRPr="00C173DB" w:rsidRDefault="000E4873" w:rsidP="00153C8A">
            <w:pPr>
              <w:pStyle w:val="TableText0"/>
              <w:keepNext w:val="0"/>
              <w:widowControl w:val="0"/>
              <w:rPr>
                <w:b/>
                <w:bCs/>
              </w:rPr>
            </w:pPr>
            <w:r w:rsidRPr="00C173DB">
              <w:rPr>
                <w:rFonts w:cs="Times New Roman"/>
                <w:color w:val="000000"/>
                <w:lang w:eastAsia="zh-CN" w:bidi="he-IL"/>
              </w:rPr>
              <w:t>0.0001</w:t>
            </w:r>
          </w:p>
        </w:tc>
        <w:tc>
          <w:tcPr>
            <w:tcW w:w="495" w:type="pct"/>
          </w:tcPr>
          <w:p w14:paraId="24F78673" w14:textId="77777777" w:rsidR="000E4873" w:rsidRPr="00170451" w:rsidRDefault="000E4873" w:rsidP="00153C8A">
            <w:pPr>
              <w:pStyle w:val="TableText0"/>
              <w:keepNext w:val="0"/>
              <w:widowControl w:val="0"/>
              <w:rPr>
                <w:b/>
                <w:bCs/>
              </w:rPr>
            </w:pPr>
            <w:r w:rsidRPr="00170451">
              <w:rPr>
                <w:b/>
                <w:bCs/>
              </w:rPr>
              <w:t>0.69 (0.60, 0.81)</w:t>
            </w:r>
          </w:p>
        </w:tc>
        <w:tc>
          <w:tcPr>
            <w:tcW w:w="535" w:type="pct"/>
          </w:tcPr>
          <w:p w14:paraId="46EDA69E" w14:textId="77777777" w:rsidR="000E4873" w:rsidRPr="00DF699A" w:rsidRDefault="000E4873" w:rsidP="00153C8A">
            <w:pPr>
              <w:pStyle w:val="TableText0"/>
              <w:keepNext w:val="0"/>
              <w:widowControl w:val="0"/>
              <w:rPr>
                <w:b/>
                <w:bCs/>
                <w:snapToGrid w:val="0"/>
              </w:rPr>
            </w:pPr>
            <w:r w:rsidRPr="00170451">
              <w:rPr>
                <w:b/>
                <w:bCs/>
              </w:rPr>
              <w:t>31% (19%, 40%)</w:t>
            </w:r>
          </w:p>
        </w:tc>
        <w:tc>
          <w:tcPr>
            <w:tcW w:w="272" w:type="pct"/>
          </w:tcPr>
          <w:p w14:paraId="261DE81F" w14:textId="77777777" w:rsidR="000E4873" w:rsidRPr="00DF699A" w:rsidRDefault="000E4873" w:rsidP="00153C8A">
            <w:pPr>
              <w:pStyle w:val="TableText0"/>
              <w:keepNext w:val="0"/>
              <w:widowControl w:val="0"/>
              <w:rPr>
                <w:b/>
                <w:bCs/>
                <w:snapToGrid w:val="0"/>
              </w:rPr>
            </w:pPr>
            <w:r w:rsidRPr="00170451">
              <w:rPr>
                <w:b/>
                <w:bCs/>
              </w:rPr>
              <w:t>&lt;.0001</w:t>
            </w:r>
          </w:p>
        </w:tc>
      </w:tr>
      <w:tr w:rsidR="00E51F42" w:rsidRPr="0087277A" w14:paraId="43EAF8D7" w14:textId="77777777" w:rsidTr="0039015B">
        <w:tc>
          <w:tcPr>
            <w:tcW w:w="785" w:type="pct"/>
            <w:shd w:val="clear" w:color="auto" w:fill="auto"/>
            <w:vAlign w:val="bottom"/>
          </w:tcPr>
          <w:p w14:paraId="20823F38" w14:textId="77777777" w:rsidR="000E4873" w:rsidRDefault="000E4873" w:rsidP="00153C8A">
            <w:pPr>
              <w:pStyle w:val="TableText0"/>
              <w:keepNext w:val="0"/>
              <w:widowControl w:val="0"/>
              <w:rPr>
                <w:snapToGrid w:val="0"/>
              </w:rPr>
            </w:pPr>
            <w:r>
              <w:rPr>
                <w:snapToGrid w:val="0"/>
              </w:rPr>
              <w:t>Embolism and thrombosis</w:t>
            </w:r>
          </w:p>
        </w:tc>
        <w:tc>
          <w:tcPr>
            <w:tcW w:w="424" w:type="pct"/>
          </w:tcPr>
          <w:p w14:paraId="3FC000E4" w14:textId="77777777" w:rsidR="000E4873" w:rsidRPr="0087277A" w:rsidRDefault="000E4873" w:rsidP="00153C8A">
            <w:pPr>
              <w:pStyle w:val="TableText0"/>
              <w:keepNext w:val="0"/>
              <w:widowControl w:val="0"/>
            </w:pPr>
            <w:r>
              <w:t>≤10*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3EEF17C" w14:textId="77777777" w:rsidR="000E4873" w:rsidRPr="00B36F3E" w:rsidRDefault="000E4873" w:rsidP="00153C8A">
            <w:pPr>
              <w:pStyle w:val="TableText0"/>
              <w:keepNext w:val="0"/>
              <w:widowControl w:val="0"/>
            </w:pPr>
            <w:r>
              <w:t>NA</w:t>
            </w:r>
            <w:r w:rsidRPr="00C173DB">
              <w:rPr>
                <w:rFonts w:cs="Times New Roman"/>
                <w:color w:val="000000"/>
                <w:lang w:eastAsia="zh-CN" w:bidi="he-IL"/>
              </w:rPr>
              <w:t>*</w:t>
            </w:r>
          </w:p>
        </w:tc>
        <w:tc>
          <w:tcPr>
            <w:tcW w:w="422" w:type="pct"/>
            <w:gridSpan w:val="2"/>
          </w:tcPr>
          <w:p w14:paraId="40B306E7" w14:textId="77777777" w:rsidR="000E4873" w:rsidRPr="0087277A" w:rsidRDefault="000E4873" w:rsidP="00153C8A">
            <w:pPr>
              <w:pStyle w:val="TableText0"/>
              <w:keepNext w:val="0"/>
              <w:widowControl w:val="0"/>
              <w:rPr>
                <w:snapToGrid w:val="0"/>
              </w:rPr>
            </w:pPr>
            <w:r>
              <w:t>NA</w:t>
            </w:r>
            <w:r w:rsidRPr="00C662E2">
              <w:t>*</w:t>
            </w:r>
          </w:p>
        </w:tc>
        <w:tc>
          <w:tcPr>
            <w:tcW w:w="424" w:type="pct"/>
          </w:tcPr>
          <w:p w14:paraId="2F1C9221" w14:textId="77777777" w:rsidR="000E4873" w:rsidRPr="0087277A" w:rsidRDefault="000E4873" w:rsidP="00153C8A">
            <w:pPr>
              <w:pStyle w:val="TableText0"/>
              <w:keepNext w:val="0"/>
              <w:widowControl w:val="0"/>
              <w:rPr>
                <w:snapToGrid w:val="0"/>
              </w:rPr>
            </w:pPr>
            <w:r w:rsidRPr="00C662E2">
              <w:t>23 (0.2%)</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61EB707" w14:textId="77777777" w:rsidR="000E4873" w:rsidRPr="00B36F3E" w:rsidRDefault="000E4873" w:rsidP="00153C8A">
            <w:pPr>
              <w:pStyle w:val="TableText0"/>
              <w:keepNext w:val="0"/>
              <w:widowControl w:val="0"/>
            </w:pPr>
            <w:r w:rsidRPr="00C173DB">
              <w:rPr>
                <w:rFonts w:cs="Times New Roman"/>
                <w:color w:val="000000"/>
                <w:lang w:eastAsia="zh-CN" w:bidi="he-IL"/>
              </w:rPr>
              <w:t>0.2% (0.2% - 0.3%)</w:t>
            </w:r>
          </w:p>
        </w:tc>
        <w:tc>
          <w:tcPr>
            <w:tcW w:w="422" w:type="pct"/>
            <w:gridSpan w:val="2"/>
          </w:tcPr>
          <w:p w14:paraId="13608CD8" w14:textId="77777777" w:rsidR="000E4873" w:rsidRPr="0087277A" w:rsidRDefault="000E4873" w:rsidP="00153C8A">
            <w:pPr>
              <w:pStyle w:val="TableText0"/>
              <w:keepNext w:val="0"/>
              <w:widowControl w:val="0"/>
              <w:rPr>
                <w:snapToGrid w:val="0"/>
              </w:rPr>
            </w:pPr>
            <w:r w:rsidRPr="00C662E2">
              <w:t>0.2% (0.2%</w:t>
            </w:r>
            <w:r>
              <w:t xml:space="preserve">, </w:t>
            </w:r>
            <w:r w:rsidRPr="00C662E2">
              <w:t>0.2%)</w:t>
            </w:r>
          </w:p>
        </w:tc>
        <w:tc>
          <w:tcPr>
            <w:tcW w:w="425" w:type="pct"/>
            <w:tcBorders>
              <w:top w:val="nil"/>
              <w:left w:val="nil"/>
              <w:bottom w:val="single" w:sz="4" w:space="0" w:color="auto"/>
              <w:right w:val="single" w:sz="4" w:space="0" w:color="auto"/>
            </w:tcBorders>
            <w:shd w:val="clear" w:color="auto" w:fill="auto"/>
            <w:vAlign w:val="center"/>
          </w:tcPr>
          <w:p w14:paraId="7A07F356" w14:textId="77777777" w:rsidR="000E4873" w:rsidRPr="00C173DB" w:rsidRDefault="000E4873" w:rsidP="00153C8A">
            <w:pPr>
              <w:pStyle w:val="TableText0"/>
              <w:keepNext w:val="0"/>
              <w:widowControl w:val="0"/>
            </w:pPr>
            <w:r w:rsidRPr="00C173DB">
              <w:rPr>
                <w:rFonts w:cs="Times New Roman"/>
                <w:color w:val="000000"/>
                <w:lang w:eastAsia="zh-CN" w:bidi="he-IL"/>
              </w:rPr>
              <w:t>0.23</w:t>
            </w:r>
          </w:p>
        </w:tc>
        <w:tc>
          <w:tcPr>
            <w:tcW w:w="495" w:type="pct"/>
          </w:tcPr>
          <w:p w14:paraId="1E0F2547" w14:textId="77777777" w:rsidR="000E4873" w:rsidRPr="00C662E2" w:rsidRDefault="000E4873" w:rsidP="00153C8A">
            <w:pPr>
              <w:pStyle w:val="TableText0"/>
              <w:keepNext w:val="0"/>
              <w:widowControl w:val="0"/>
            </w:pPr>
            <w:r>
              <w:t>0.54 (0.25, 1.17)</w:t>
            </w:r>
          </w:p>
        </w:tc>
        <w:tc>
          <w:tcPr>
            <w:tcW w:w="535" w:type="pct"/>
          </w:tcPr>
          <w:p w14:paraId="4615D229" w14:textId="77777777" w:rsidR="000E4873" w:rsidRPr="00DF699A" w:rsidRDefault="000E4873" w:rsidP="00153C8A">
            <w:pPr>
              <w:pStyle w:val="TableText0"/>
              <w:keepNext w:val="0"/>
              <w:widowControl w:val="0"/>
              <w:rPr>
                <w:snapToGrid w:val="0"/>
              </w:rPr>
            </w:pPr>
            <w:r w:rsidRPr="00C662E2">
              <w:t>46% (-17%</w:t>
            </w:r>
            <w:r>
              <w:t xml:space="preserve">, </w:t>
            </w:r>
            <w:r w:rsidRPr="00C662E2">
              <w:t>75%)</w:t>
            </w:r>
          </w:p>
        </w:tc>
        <w:tc>
          <w:tcPr>
            <w:tcW w:w="272" w:type="pct"/>
          </w:tcPr>
          <w:p w14:paraId="4E2C3FAB" w14:textId="77777777" w:rsidR="000E4873" w:rsidRPr="0087277A" w:rsidRDefault="000E4873" w:rsidP="00153C8A">
            <w:pPr>
              <w:pStyle w:val="TableText0"/>
              <w:keepNext w:val="0"/>
              <w:widowControl w:val="0"/>
              <w:rPr>
                <w:snapToGrid w:val="0"/>
              </w:rPr>
            </w:pPr>
            <w:r w:rsidRPr="00C662E2">
              <w:t>0.12</w:t>
            </w:r>
          </w:p>
        </w:tc>
      </w:tr>
      <w:tr w:rsidR="00E51F42" w:rsidRPr="0087277A" w14:paraId="663C215A" w14:textId="77777777" w:rsidTr="0039015B">
        <w:tc>
          <w:tcPr>
            <w:tcW w:w="785" w:type="pct"/>
            <w:shd w:val="clear" w:color="auto" w:fill="auto"/>
            <w:vAlign w:val="bottom"/>
          </w:tcPr>
          <w:p w14:paraId="394867B7" w14:textId="77777777" w:rsidR="000E4873" w:rsidRPr="0087277A" w:rsidRDefault="000E4873" w:rsidP="00153C8A">
            <w:pPr>
              <w:pStyle w:val="TableText0"/>
              <w:keepNext w:val="0"/>
              <w:widowControl w:val="0"/>
              <w:ind w:firstLine="227"/>
              <w:rPr>
                <w:snapToGrid w:val="0"/>
              </w:rPr>
            </w:pPr>
            <w:r>
              <w:rPr>
                <w:snapToGrid w:val="0"/>
              </w:rPr>
              <w:t>Thrombosis due to cardiac device</w:t>
            </w:r>
          </w:p>
        </w:tc>
        <w:tc>
          <w:tcPr>
            <w:tcW w:w="424" w:type="pct"/>
          </w:tcPr>
          <w:p w14:paraId="29BF9EBD" w14:textId="77777777" w:rsidR="000E4873" w:rsidRPr="0087277A" w:rsidRDefault="000E4873" w:rsidP="00153C8A">
            <w:pPr>
              <w:pStyle w:val="TableText0"/>
              <w:keepNext w:val="0"/>
              <w:widowControl w:val="0"/>
              <w:rPr>
                <w:snapToGrid w:val="0"/>
              </w:rPr>
            </w:pPr>
            <w:r>
              <w:t>≤10</w:t>
            </w:r>
            <w:r w:rsidRPr="00C662E2">
              <w:t>*</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37398889" w14:textId="77777777" w:rsidR="000E4873" w:rsidRPr="00B36F3E" w:rsidRDefault="000E4873" w:rsidP="00153C8A">
            <w:pPr>
              <w:pStyle w:val="TableText0"/>
              <w:keepNext w:val="0"/>
              <w:widowControl w:val="0"/>
            </w:pPr>
            <w:r>
              <w:t>NA</w:t>
            </w:r>
            <w:r w:rsidRPr="00C173DB">
              <w:rPr>
                <w:rFonts w:cs="Times New Roman"/>
                <w:color w:val="000000"/>
                <w:lang w:eastAsia="zh-CN" w:bidi="he-IL"/>
              </w:rPr>
              <w:t>*</w:t>
            </w:r>
          </w:p>
        </w:tc>
        <w:tc>
          <w:tcPr>
            <w:tcW w:w="422" w:type="pct"/>
            <w:gridSpan w:val="2"/>
          </w:tcPr>
          <w:p w14:paraId="3537BB60" w14:textId="77777777" w:rsidR="000E4873" w:rsidRPr="0087277A" w:rsidRDefault="000E4873" w:rsidP="00153C8A">
            <w:pPr>
              <w:pStyle w:val="TableText0"/>
              <w:keepNext w:val="0"/>
              <w:widowControl w:val="0"/>
              <w:rPr>
                <w:snapToGrid w:val="0"/>
              </w:rPr>
            </w:pPr>
            <w:r>
              <w:t>NA</w:t>
            </w:r>
            <w:r w:rsidRPr="00C662E2">
              <w:t>*</w:t>
            </w:r>
          </w:p>
        </w:tc>
        <w:tc>
          <w:tcPr>
            <w:tcW w:w="424" w:type="pct"/>
          </w:tcPr>
          <w:p w14:paraId="361C0FEB" w14:textId="77777777" w:rsidR="000E4873" w:rsidRPr="0087277A" w:rsidRDefault="000E4873" w:rsidP="00153C8A">
            <w:pPr>
              <w:pStyle w:val="TableText0"/>
              <w:keepNext w:val="0"/>
              <w:widowControl w:val="0"/>
              <w:rPr>
                <w:snapToGrid w:val="0"/>
              </w:rPr>
            </w:pPr>
            <w:r>
              <w:t>≤10</w:t>
            </w:r>
            <w:r w:rsidRPr="00C662E2">
              <w:t>*</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6D9B6D21" w14:textId="77777777" w:rsidR="000E4873" w:rsidRPr="00B36F3E" w:rsidRDefault="000E4873" w:rsidP="00153C8A">
            <w:pPr>
              <w:pStyle w:val="TableText0"/>
              <w:keepNext w:val="0"/>
              <w:widowControl w:val="0"/>
            </w:pPr>
            <w:r>
              <w:t>NA</w:t>
            </w:r>
            <w:r w:rsidRPr="00C173DB">
              <w:rPr>
                <w:rFonts w:cs="Times New Roman"/>
                <w:color w:val="000000"/>
                <w:lang w:eastAsia="zh-CN" w:bidi="he-IL"/>
              </w:rPr>
              <w:t>*</w:t>
            </w:r>
          </w:p>
        </w:tc>
        <w:tc>
          <w:tcPr>
            <w:tcW w:w="422" w:type="pct"/>
            <w:gridSpan w:val="2"/>
          </w:tcPr>
          <w:p w14:paraId="7EB6851E" w14:textId="77777777" w:rsidR="000E4873" w:rsidRPr="0087277A" w:rsidRDefault="000E4873" w:rsidP="00153C8A">
            <w:pPr>
              <w:pStyle w:val="TableText0"/>
              <w:keepNext w:val="0"/>
              <w:widowControl w:val="0"/>
              <w:rPr>
                <w:snapToGrid w:val="0"/>
              </w:rPr>
            </w:pPr>
            <w:r>
              <w:t>NA*</w:t>
            </w:r>
          </w:p>
        </w:tc>
        <w:tc>
          <w:tcPr>
            <w:tcW w:w="425" w:type="pct"/>
            <w:tcBorders>
              <w:top w:val="nil"/>
              <w:left w:val="nil"/>
              <w:bottom w:val="single" w:sz="4" w:space="0" w:color="auto"/>
              <w:right w:val="single" w:sz="4" w:space="0" w:color="auto"/>
            </w:tcBorders>
            <w:shd w:val="clear" w:color="auto" w:fill="auto"/>
            <w:vAlign w:val="center"/>
          </w:tcPr>
          <w:p w14:paraId="3B1DD319" w14:textId="77777777" w:rsidR="000E4873" w:rsidRPr="00C173DB" w:rsidRDefault="000E4873" w:rsidP="00153C8A">
            <w:pPr>
              <w:pStyle w:val="TableText0"/>
              <w:keepNext w:val="0"/>
              <w:widowControl w:val="0"/>
            </w:pPr>
            <w:r w:rsidRPr="00C173DB">
              <w:rPr>
                <w:rFonts w:cs="Times New Roman"/>
                <w:color w:val="000000"/>
                <w:lang w:eastAsia="zh-CN" w:bidi="he-IL"/>
              </w:rPr>
              <w:t>0.29</w:t>
            </w:r>
          </w:p>
        </w:tc>
        <w:tc>
          <w:tcPr>
            <w:tcW w:w="495" w:type="pct"/>
          </w:tcPr>
          <w:p w14:paraId="02384206" w14:textId="77777777" w:rsidR="000E4873" w:rsidRPr="00C662E2" w:rsidRDefault="000E4873" w:rsidP="00153C8A">
            <w:pPr>
              <w:pStyle w:val="TableText0"/>
              <w:keepNext w:val="0"/>
              <w:widowControl w:val="0"/>
            </w:pPr>
            <w:r>
              <w:t>0.49 (0.20, 1.19)</w:t>
            </w:r>
          </w:p>
        </w:tc>
        <w:tc>
          <w:tcPr>
            <w:tcW w:w="535" w:type="pct"/>
          </w:tcPr>
          <w:p w14:paraId="43498EC9" w14:textId="77777777" w:rsidR="000E4873" w:rsidRPr="00DF699A" w:rsidRDefault="000E4873" w:rsidP="00153C8A">
            <w:pPr>
              <w:pStyle w:val="TableText0"/>
              <w:keepNext w:val="0"/>
              <w:widowControl w:val="0"/>
              <w:rPr>
                <w:snapToGrid w:val="0"/>
              </w:rPr>
            </w:pPr>
            <w:r w:rsidRPr="00C662E2">
              <w:t>51% (-19%</w:t>
            </w:r>
            <w:r>
              <w:t xml:space="preserve">, </w:t>
            </w:r>
            <w:r w:rsidRPr="00C662E2">
              <w:t>80%)</w:t>
            </w:r>
          </w:p>
        </w:tc>
        <w:tc>
          <w:tcPr>
            <w:tcW w:w="272" w:type="pct"/>
          </w:tcPr>
          <w:p w14:paraId="77F78E1C" w14:textId="77777777" w:rsidR="000E4873" w:rsidRPr="0087277A" w:rsidRDefault="000E4873" w:rsidP="00153C8A">
            <w:pPr>
              <w:pStyle w:val="TableText0"/>
              <w:keepNext w:val="0"/>
              <w:widowControl w:val="0"/>
              <w:rPr>
                <w:snapToGrid w:val="0"/>
              </w:rPr>
            </w:pPr>
            <w:r w:rsidRPr="00C662E2">
              <w:t>0.12</w:t>
            </w:r>
          </w:p>
        </w:tc>
      </w:tr>
      <w:tr w:rsidR="00E51F42" w:rsidRPr="0087277A" w14:paraId="66C75A61" w14:textId="77777777" w:rsidTr="0039015B">
        <w:tc>
          <w:tcPr>
            <w:tcW w:w="785" w:type="pct"/>
            <w:shd w:val="clear" w:color="auto" w:fill="auto"/>
            <w:vAlign w:val="bottom"/>
          </w:tcPr>
          <w:p w14:paraId="62827912" w14:textId="77777777" w:rsidR="000E4873" w:rsidRPr="0087277A" w:rsidRDefault="000E4873" w:rsidP="00153C8A">
            <w:pPr>
              <w:pStyle w:val="TableText0"/>
              <w:keepNext w:val="0"/>
              <w:widowControl w:val="0"/>
              <w:ind w:firstLine="227"/>
              <w:rPr>
                <w:snapToGrid w:val="0"/>
              </w:rPr>
            </w:pPr>
            <w:r>
              <w:rPr>
                <w:snapToGrid w:val="0"/>
              </w:rPr>
              <w:t>Embolism due to cardiac device</w:t>
            </w:r>
          </w:p>
        </w:tc>
        <w:tc>
          <w:tcPr>
            <w:tcW w:w="424" w:type="pct"/>
          </w:tcPr>
          <w:p w14:paraId="426BA040" w14:textId="77777777" w:rsidR="000E4873" w:rsidRPr="0087277A" w:rsidRDefault="000E4873" w:rsidP="00153C8A">
            <w:pPr>
              <w:pStyle w:val="TableText0"/>
              <w:keepNext w:val="0"/>
              <w:widowControl w:val="0"/>
              <w:rPr>
                <w:snapToGrid w:val="0"/>
              </w:rPr>
            </w:pPr>
            <w:r>
              <w:t>≤10</w:t>
            </w:r>
            <w:r w:rsidRPr="00C662E2">
              <w:t>*</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35EF82A1" w14:textId="77777777" w:rsidR="000E4873" w:rsidRPr="00B36F3E" w:rsidRDefault="000E4873" w:rsidP="00153C8A">
            <w:pPr>
              <w:pStyle w:val="TableText0"/>
              <w:keepNext w:val="0"/>
              <w:widowControl w:val="0"/>
            </w:pPr>
            <w:r>
              <w:t>NA</w:t>
            </w:r>
            <w:r w:rsidRPr="00C173DB">
              <w:rPr>
                <w:rFonts w:cs="Times New Roman"/>
                <w:color w:val="000000"/>
                <w:lang w:eastAsia="zh-CN" w:bidi="he-IL"/>
              </w:rPr>
              <w:t>*</w:t>
            </w:r>
          </w:p>
        </w:tc>
        <w:tc>
          <w:tcPr>
            <w:tcW w:w="422" w:type="pct"/>
            <w:gridSpan w:val="2"/>
          </w:tcPr>
          <w:p w14:paraId="407329FD" w14:textId="77777777" w:rsidR="000E4873" w:rsidRPr="0087277A" w:rsidRDefault="000E4873" w:rsidP="00153C8A">
            <w:pPr>
              <w:pStyle w:val="TableText0"/>
              <w:keepNext w:val="0"/>
              <w:widowControl w:val="0"/>
              <w:rPr>
                <w:snapToGrid w:val="0"/>
              </w:rPr>
            </w:pPr>
            <w:r>
              <w:t>NA</w:t>
            </w:r>
            <w:r w:rsidRPr="00C662E2">
              <w:t>*</w:t>
            </w:r>
          </w:p>
        </w:tc>
        <w:tc>
          <w:tcPr>
            <w:tcW w:w="424" w:type="pct"/>
          </w:tcPr>
          <w:p w14:paraId="1D1E9E09" w14:textId="77777777" w:rsidR="000E4873" w:rsidRPr="0087277A" w:rsidRDefault="000E4873" w:rsidP="00153C8A">
            <w:pPr>
              <w:pStyle w:val="TableText0"/>
              <w:keepNext w:val="0"/>
              <w:widowControl w:val="0"/>
              <w:rPr>
                <w:snapToGrid w:val="0"/>
              </w:rPr>
            </w:pPr>
            <w:r>
              <w:t>≤10</w:t>
            </w:r>
            <w:r w:rsidRPr="00C662E2">
              <w:t>*</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AA191EB" w14:textId="77777777" w:rsidR="000E4873" w:rsidRPr="00B36F3E" w:rsidRDefault="000E4873" w:rsidP="00153C8A">
            <w:pPr>
              <w:pStyle w:val="TableText0"/>
              <w:keepNext w:val="0"/>
              <w:widowControl w:val="0"/>
            </w:pPr>
            <w:r>
              <w:rPr>
                <w:color w:val="000000"/>
                <w:lang w:bidi="he-IL"/>
              </w:rPr>
              <w:t>NA</w:t>
            </w:r>
            <w:r w:rsidRPr="00C173DB">
              <w:rPr>
                <w:rFonts w:cs="Times New Roman"/>
                <w:color w:val="000000"/>
                <w:lang w:eastAsia="zh-CN" w:bidi="he-IL"/>
              </w:rPr>
              <w:t>*</w:t>
            </w:r>
          </w:p>
        </w:tc>
        <w:tc>
          <w:tcPr>
            <w:tcW w:w="422" w:type="pct"/>
            <w:gridSpan w:val="2"/>
          </w:tcPr>
          <w:p w14:paraId="6367A542" w14:textId="77777777" w:rsidR="000E4873" w:rsidRPr="0087277A" w:rsidRDefault="000E4873" w:rsidP="00153C8A">
            <w:pPr>
              <w:pStyle w:val="TableText0"/>
              <w:keepNext w:val="0"/>
              <w:widowControl w:val="0"/>
              <w:rPr>
                <w:snapToGrid w:val="0"/>
              </w:rPr>
            </w:pPr>
            <w:r>
              <w:t>NA</w:t>
            </w:r>
          </w:p>
        </w:tc>
        <w:tc>
          <w:tcPr>
            <w:tcW w:w="425" w:type="pct"/>
            <w:tcBorders>
              <w:top w:val="nil"/>
              <w:left w:val="nil"/>
              <w:bottom w:val="single" w:sz="4" w:space="0" w:color="auto"/>
              <w:right w:val="single" w:sz="4" w:space="0" w:color="auto"/>
            </w:tcBorders>
            <w:shd w:val="clear" w:color="auto" w:fill="auto"/>
            <w:vAlign w:val="center"/>
          </w:tcPr>
          <w:p w14:paraId="1A3BBA5B" w14:textId="77777777" w:rsidR="000E4873" w:rsidRPr="00C173DB" w:rsidRDefault="000E4873" w:rsidP="00153C8A">
            <w:pPr>
              <w:pStyle w:val="TableText0"/>
              <w:keepNext w:val="0"/>
              <w:widowControl w:val="0"/>
            </w:pPr>
            <w:r w:rsidRPr="00C173DB">
              <w:rPr>
                <w:rFonts w:cs="Times New Roman"/>
                <w:color w:val="000000"/>
                <w:lang w:eastAsia="zh-CN" w:bidi="he-IL"/>
              </w:rPr>
              <w:t>0.89</w:t>
            </w:r>
          </w:p>
        </w:tc>
        <w:tc>
          <w:tcPr>
            <w:tcW w:w="495" w:type="pct"/>
          </w:tcPr>
          <w:p w14:paraId="006905B0" w14:textId="77777777" w:rsidR="000E4873" w:rsidRPr="00C662E2" w:rsidRDefault="000E4873" w:rsidP="00153C8A">
            <w:pPr>
              <w:pStyle w:val="TableText0"/>
              <w:keepNext w:val="0"/>
              <w:widowControl w:val="0"/>
            </w:pPr>
            <w:r>
              <w:t>0.86 (0.15, 5.02)</w:t>
            </w:r>
          </w:p>
        </w:tc>
        <w:tc>
          <w:tcPr>
            <w:tcW w:w="535" w:type="pct"/>
          </w:tcPr>
          <w:p w14:paraId="580BCF22" w14:textId="77777777" w:rsidR="000E4873" w:rsidRPr="00DF699A" w:rsidRDefault="000E4873" w:rsidP="00153C8A">
            <w:pPr>
              <w:pStyle w:val="TableText0"/>
              <w:keepNext w:val="0"/>
              <w:widowControl w:val="0"/>
              <w:rPr>
                <w:snapToGrid w:val="0"/>
              </w:rPr>
            </w:pPr>
            <w:r w:rsidRPr="00C662E2">
              <w:t>14% (-402%</w:t>
            </w:r>
            <w:r>
              <w:t xml:space="preserve">, </w:t>
            </w:r>
            <w:r w:rsidRPr="00C662E2">
              <w:t>85%)</w:t>
            </w:r>
          </w:p>
        </w:tc>
        <w:tc>
          <w:tcPr>
            <w:tcW w:w="272" w:type="pct"/>
          </w:tcPr>
          <w:p w14:paraId="58162CE9" w14:textId="77777777" w:rsidR="000E4873" w:rsidRPr="0087277A" w:rsidRDefault="000E4873" w:rsidP="00153C8A">
            <w:pPr>
              <w:pStyle w:val="TableText0"/>
              <w:keepNext w:val="0"/>
              <w:widowControl w:val="0"/>
              <w:rPr>
                <w:snapToGrid w:val="0"/>
              </w:rPr>
            </w:pPr>
            <w:r w:rsidRPr="00C662E2">
              <w:t>0.87</w:t>
            </w:r>
          </w:p>
        </w:tc>
      </w:tr>
      <w:tr w:rsidR="00E51F42" w:rsidRPr="0087277A" w14:paraId="0B09C027" w14:textId="77777777" w:rsidTr="00443AF1">
        <w:tc>
          <w:tcPr>
            <w:tcW w:w="785" w:type="pct"/>
            <w:shd w:val="clear" w:color="auto" w:fill="auto"/>
            <w:vAlign w:val="bottom"/>
          </w:tcPr>
          <w:p w14:paraId="6DB86F40" w14:textId="77777777" w:rsidR="000E4873" w:rsidRDefault="000E4873" w:rsidP="00153C8A">
            <w:pPr>
              <w:pStyle w:val="TableText0"/>
              <w:keepNext w:val="0"/>
              <w:widowControl w:val="0"/>
              <w:rPr>
                <w:snapToGrid w:val="0"/>
              </w:rPr>
            </w:pPr>
            <w:r>
              <w:rPr>
                <w:snapToGrid w:val="0"/>
              </w:rPr>
              <w:t>Device-related complications</w:t>
            </w:r>
          </w:p>
        </w:tc>
        <w:tc>
          <w:tcPr>
            <w:tcW w:w="424" w:type="pct"/>
          </w:tcPr>
          <w:p w14:paraId="5790ED73" w14:textId="77777777" w:rsidR="000E4873" w:rsidRPr="0087277A" w:rsidRDefault="000E4873" w:rsidP="00153C8A">
            <w:pPr>
              <w:pStyle w:val="TableText0"/>
              <w:keepNext w:val="0"/>
              <w:widowControl w:val="0"/>
              <w:rPr>
                <w:snapToGrid w:val="0"/>
              </w:rPr>
            </w:pPr>
            <w:r w:rsidRPr="00412E36">
              <w:t>155 (2.5%)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6DF230B6" w14:textId="77777777" w:rsidR="000E4873" w:rsidRPr="00B36F3E" w:rsidRDefault="000E4873" w:rsidP="00153C8A">
            <w:pPr>
              <w:pStyle w:val="TableText0"/>
              <w:keepNext w:val="0"/>
              <w:widowControl w:val="0"/>
            </w:pPr>
            <w:r w:rsidRPr="00C173DB">
              <w:rPr>
                <w:rFonts w:cs="Times New Roman"/>
                <w:color w:val="000000"/>
                <w:lang w:eastAsia="zh-CN" w:bidi="he-IL"/>
              </w:rPr>
              <w:t>2.5% (2.1% - 2.9%)</w:t>
            </w:r>
          </w:p>
        </w:tc>
        <w:tc>
          <w:tcPr>
            <w:tcW w:w="422" w:type="pct"/>
            <w:gridSpan w:val="2"/>
            <w:tcBorders>
              <w:bottom w:val="single" w:sz="4" w:space="0" w:color="auto"/>
            </w:tcBorders>
          </w:tcPr>
          <w:p w14:paraId="7F43B172" w14:textId="77777777" w:rsidR="000E4873" w:rsidRPr="0087277A" w:rsidRDefault="000E4873" w:rsidP="00153C8A">
            <w:pPr>
              <w:pStyle w:val="TableText0"/>
              <w:keepNext w:val="0"/>
              <w:widowControl w:val="0"/>
              <w:rPr>
                <w:snapToGrid w:val="0"/>
              </w:rPr>
            </w:pPr>
            <w:r w:rsidRPr="00412E36">
              <w:t>2.4% (2.2</w:t>
            </w:r>
            <w:r>
              <w:t xml:space="preserve">%, </w:t>
            </w:r>
            <w:r w:rsidRPr="00412E36">
              <w:t>2.5%)</w:t>
            </w:r>
          </w:p>
        </w:tc>
        <w:tc>
          <w:tcPr>
            <w:tcW w:w="424" w:type="pct"/>
          </w:tcPr>
          <w:p w14:paraId="62FB6204" w14:textId="77777777" w:rsidR="000E4873" w:rsidRPr="0087277A" w:rsidRDefault="000E4873" w:rsidP="00153C8A">
            <w:pPr>
              <w:pStyle w:val="TableText0"/>
              <w:keepNext w:val="0"/>
              <w:widowControl w:val="0"/>
              <w:rPr>
                <w:snapToGrid w:val="0"/>
              </w:rPr>
            </w:pPr>
            <w:r w:rsidRPr="00412E36">
              <w:t>500 (4.9%)</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60EC1A2E" w14:textId="77777777" w:rsidR="000E4873" w:rsidRPr="00B36F3E" w:rsidRDefault="000E4873" w:rsidP="00153C8A">
            <w:pPr>
              <w:pStyle w:val="TableText0"/>
              <w:keepNext w:val="0"/>
              <w:widowControl w:val="0"/>
            </w:pPr>
            <w:r w:rsidRPr="00C173DB">
              <w:rPr>
                <w:rFonts w:cs="Times New Roman"/>
                <w:color w:val="000000"/>
                <w:lang w:eastAsia="zh-CN" w:bidi="he-IL"/>
              </w:rPr>
              <w:t>4.8% (4.6% - 5.0%)</w:t>
            </w:r>
          </w:p>
        </w:tc>
        <w:tc>
          <w:tcPr>
            <w:tcW w:w="422" w:type="pct"/>
            <w:gridSpan w:val="2"/>
            <w:tcBorders>
              <w:bottom w:val="single" w:sz="4" w:space="0" w:color="auto"/>
            </w:tcBorders>
          </w:tcPr>
          <w:p w14:paraId="5CB531AC" w14:textId="77777777" w:rsidR="000E4873" w:rsidRPr="0087277A" w:rsidRDefault="000E4873" w:rsidP="00153C8A">
            <w:pPr>
              <w:pStyle w:val="TableText0"/>
              <w:keepNext w:val="0"/>
              <w:widowControl w:val="0"/>
              <w:rPr>
                <w:snapToGrid w:val="0"/>
              </w:rPr>
            </w:pPr>
            <w:r w:rsidRPr="00412E36">
              <w:t>4.8% (4.7</w:t>
            </w:r>
            <w:r>
              <w:t xml:space="preserve">%, </w:t>
            </w:r>
            <w:r w:rsidRPr="00412E36">
              <w:t>5.0%)</w:t>
            </w:r>
          </w:p>
        </w:tc>
        <w:tc>
          <w:tcPr>
            <w:tcW w:w="425" w:type="pct"/>
            <w:tcBorders>
              <w:top w:val="nil"/>
              <w:left w:val="nil"/>
              <w:bottom w:val="single" w:sz="4" w:space="0" w:color="auto"/>
              <w:right w:val="single" w:sz="4" w:space="0" w:color="auto"/>
            </w:tcBorders>
            <w:shd w:val="clear" w:color="auto" w:fill="auto"/>
            <w:vAlign w:val="center"/>
          </w:tcPr>
          <w:p w14:paraId="2E3F80F5" w14:textId="77777777" w:rsidR="000E4873" w:rsidRPr="00C173DB" w:rsidRDefault="000E4873" w:rsidP="00153C8A">
            <w:pPr>
              <w:pStyle w:val="TableText0"/>
              <w:keepNext w:val="0"/>
              <w:widowControl w:val="0"/>
              <w:rPr>
                <w:b/>
                <w:bCs/>
              </w:rPr>
            </w:pPr>
            <w:r w:rsidRPr="00C173DB">
              <w:rPr>
                <w:rFonts w:cs="Times New Roman"/>
                <w:color w:val="000000"/>
                <w:lang w:eastAsia="zh-CN" w:bidi="he-IL"/>
              </w:rPr>
              <w:t>&lt;.0001</w:t>
            </w:r>
          </w:p>
        </w:tc>
        <w:tc>
          <w:tcPr>
            <w:tcW w:w="495" w:type="pct"/>
            <w:tcBorders>
              <w:bottom w:val="single" w:sz="4" w:space="0" w:color="auto"/>
            </w:tcBorders>
          </w:tcPr>
          <w:p w14:paraId="5542F8F1" w14:textId="77777777" w:rsidR="000E4873" w:rsidRPr="00170451" w:rsidRDefault="000E4873" w:rsidP="00153C8A">
            <w:pPr>
              <w:pStyle w:val="TableText0"/>
              <w:keepNext w:val="0"/>
              <w:widowControl w:val="0"/>
              <w:rPr>
                <w:b/>
                <w:bCs/>
              </w:rPr>
            </w:pPr>
            <w:r w:rsidRPr="00170451">
              <w:rPr>
                <w:b/>
                <w:bCs/>
              </w:rPr>
              <w:t>0.48 (0.40, 0.58)</w:t>
            </w:r>
          </w:p>
        </w:tc>
        <w:tc>
          <w:tcPr>
            <w:tcW w:w="535" w:type="pct"/>
            <w:tcBorders>
              <w:bottom w:val="single" w:sz="4" w:space="0" w:color="auto"/>
            </w:tcBorders>
          </w:tcPr>
          <w:p w14:paraId="05550966" w14:textId="77777777" w:rsidR="000E4873" w:rsidRPr="00170451" w:rsidRDefault="000E4873" w:rsidP="00153C8A">
            <w:pPr>
              <w:pStyle w:val="TableText0"/>
              <w:keepNext w:val="0"/>
              <w:widowControl w:val="0"/>
              <w:rPr>
                <w:b/>
                <w:bCs/>
                <w:snapToGrid w:val="0"/>
              </w:rPr>
            </w:pPr>
            <w:r w:rsidRPr="00170451">
              <w:rPr>
                <w:b/>
                <w:bCs/>
              </w:rPr>
              <w:t>52% (42%, 60%)</w:t>
            </w:r>
          </w:p>
        </w:tc>
        <w:tc>
          <w:tcPr>
            <w:tcW w:w="272" w:type="pct"/>
            <w:tcBorders>
              <w:bottom w:val="single" w:sz="4" w:space="0" w:color="auto"/>
            </w:tcBorders>
          </w:tcPr>
          <w:p w14:paraId="2A564B59" w14:textId="77777777" w:rsidR="000E4873" w:rsidRPr="00170451" w:rsidRDefault="000E4873" w:rsidP="00153C8A">
            <w:pPr>
              <w:pStyle w:val="TableText0"/>
              <w:keepNext w:val="0"/>
              <w:widowControl w:val="0"/>
              <w:rPr>
                <w:b/>
                <w:bCs/>
                <w:snapToGrid w:val="0"/>
              </w:rPr>
            </w:pPr>
            <w:r w:rsidRPr="00170451">
              <w:rPr>
                <w:b/>
                <w:bCs/>
              </w:rPr>
              <w:t>&lt;.0001</w:t>
            </w:r>
          </w:p>
        </w:tc>
      </w:tr>
      <w:tr w:rsidR="00443AF1" w:rsidRPr="0087277A" w14:paraId="7FB7145A" w14:textId="77777777" w:rsidTr="00443AF1">
        <w:trPr>
          <w:trHeight w:val="20"/>
        </w:trPr>
        <w:tc>
          <w:tcPr>
            <w:tcW w:w="785" w:type="pct"/>
            <w:shd w:val="clear" w:color="auto" w:fill="auto"/>
            <w:vAlign w:val="bottom"/>
          </w:tcPr>
          <w:p w14:paraId="3C6F9855" w14:textId="77777777" w:rsidR="000E4873" w:rsidRPr="009445DF" w:rsidRDefault="000E4873" w:rsidP="00153C8A">
            <w:pPr>
              <w:pStyle w:val="TableText0"/>
              <w:keepNext w:val="0"/>
              <w:widowControl w:val="0"/>
              <w:ind w:firstLine="227"/>
              <w:rPr>
                <w:snapToGrid w:val="0"/>
              </w:rPr>
            </w:pPr>
            <w:r w:rsidRPr="009445DF">
              <w:rPr>
                <w:snapToGrid w:val="0"/>
              </w:rPr>
              <w:t>Breakdown</w:t>
            </w:r>
          </w:p>
        </w:tc>
        <w:tc>
          <w:tcPr>
            <w:tcW w:w="424" w:type="pct"/>
          </w:tcPr>
          <w:p w14:paraId="2033CDD2" w14:textId="77777777" w:rsidR="000E4873" w:rsidRPr="009445DF" w:rsidRDefault="000E4873" w:rsidP="00153C8A">
            <w:pPr>
              <w:pStyle w:val="TableText0"/>
              <w:keepNext w:val="0"/>
              <w:widowControl w:val="0"/>
              <w:rPr>
                <w:snapToGrid w:val="0"/>
              </w:rPr>
            </w:pPr>
            <w:r w:rsidRPr="009445DF">
              <w:t>80 (1.3%)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E6BBC10" w14:textId="77777777" w:rsidR="000E4873" w:rsidRPr="009445DF" w:rsidRDefault="000E4873" w:rsidP="00153C8A">
            <w:pPr>
              <w:pStyle w:val="TableText0"/>
              <w:keepNext w:val="0"/>
              <w:widowControl w:val="0"/>
            </w:pPr>
            <w:r w:rsidRPr="009445DF">
              <w:rPr>
                <w:rFonts w:cs="Times New Roman"/>
                <w:color w:val="000000" w:themeColor="text1"/>
                <w:lang w:eastAsia="zh-CN" w:bidi="he-IL"/>
              </w:rPr>
              <w:t>1.4% (1.1%-1.8%)</w:t>
            </w:r>
          </w:p>
        </w:tc>
        <w:tc>
          <w:tcPr>
            <w:tcW w:w="422" w:type="pct"/>
            <w:gridSpan w:val="2"/>
            <w:tcBorders>
              <w:bottom w:val="single" w:sz="4" w:space="0" w:color="auto"/>
            </w:tcBorders>
            <w:shd w:val="solid" w:color="000000" w:fill="000000"/>
          </w:tcPr>
          <w:p w14:paraId="061ABCA9" w14:textId="7B5FB9DD" w:rsidR="000E4873" w:rsidRPr="009445DF" w:rsidRDefault="00443AF1" w:rsidP="00153C8A">
            <w:pPr>
              <w:pStyle w:val="TableText0"/>
              <w:keepNext w:val="0"/>
              <w:widowControl w:val="0"/>
              <w:rPr>
                <w:snapToGrid w:val="0"/>
                <w:highlight w:val="green"/>
              </w:rPr>
            </w:pPr>
            <w:r w:rsidRPr="00443AF1">
              <w:rPr>
                <w:color w:val="000000"/>
                <w:spacing w:val="49"/>
                <w:fitText w:val="318" w:id="-1429520121"/>
                <w14:textFill>
                  <w14:solidFill>
                    <w14:srgbClr w14:val="000000">
                      <w14:alpha w14:val="100000"/>
                    </w14:srgbClr>
                  </w14:solidFill>
                </w14:textFill>
              </w:rPr>
              <w:t>|||</w:t>
            </w:r>
            <w:r w:rsidRPr="00443AF1">
              <w:rPr>
                <w:color w:val="000000"/>
                <w:spacing w:val="1"/>
                <w:fitText w:val="318" w:id="-1429520121"/>
                <w14:textFill>
                  <w14:solidFill>
                    <w14:srgbClr w14:val="000000">
                      <w14:alpha w14:val="100000"/>
                    </w14:srgbClr>
                  </w14:solidFill>
                </w14:textFill>
              </w:rPr>
              <w:t>|</w:t>
            </w:r>
          </w:p>
        </w:tc>
        <w:tc>
          <w:tcPr>
            <w:tcW w:w="424" w:type="pct"/>
          </w:tcPr>
          <w:p w14:paraId="4AC442D6" w14:textId="77777777" w:rsidR="000E4873" w:rsidRPr="009445DF" w:rsidRDefault="000E4873" w:rsidP="00153C8A">
            <w:pPr>
              <w:pStyle w:val="TableText0"/>
              <w:keepNext w:val="0"/>
              <w:widowControl w:val="0"/>
              <w:rPr>
                <w:snapToGrid w:val="0"/>
              </w:rPr>
            </w:pPr>
            <w:r w:rsidRPr="009445DF">
              <w:t>191 (1.9%)</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6644E25B" w14:textId="77777777" w:rsidR="000E4873" w:rsidRPr="009445DF" w:rsidRDefault="000E4873" w:rsidP="00153C8A">
            <w:pPr>
              <w:pStyle w:val="TableText0"/>
              <w:keepNext w:val="0"/>
              <w:widowControl w:val="0"/>
            </w:pPr>
            <w:r w:rsidRPr="009445DF">
              <w:rPr>
                <w:rFonts w:cs="Times New Roman"/>
                <w:color w:val="000000" w:themeColor="text1"/>
                <w:lang w:eastAsia="zh-CN" w:bidi="he-IL"/>
              </w:rPr>
              <w:t>2.0% (1.8%-2.3%)</w:t>
            </w:r>
          </w:p>
        </w:tc>
        <w:tc>
          <w:tcPr>
            <w:tcW w:w="422" w:type="pct"/>
            <w:gridSpan w:val="2"/>
            <w:tcBorders>
              <w:bottom w:val="single" w:sz="4" w:space="0" w:color="auto"/>
            </w:tcBorders>
            <w:shd w:val="solid" w:color="000000" w:fill="000000"/>
          </w:tcPr>
          <w:p w14:paraId="7BACBC5C" w14:textId="281085DC" w:rsidR="000E4873" w:rsidRPr="009445DF" w:rsidRDefault="00443AF1" w:rsidP="00153C8A">
            <w:pPr>
              <w:pStyle w:val="TableText0"/>
              <w:keepNext w:val="0"/>
              <w:widowControl w:val="0"/>
              <w:rPr>
                <w:snapToGrid w:val="0"/>
                <w:highlight w:val="green"/>
              </w:rPr>
            </w:pPr>
            <w:r w:rsidRPr="00443AF1">
              <w:rPr>
                <w:color w:val="000000"/>
                <w:spacing w:val="49"/>
                <w:fitText w:val="318" w:id="-1429520120"/>
                <w14:textFill>
                  <w14:solidFill>
                    <w14:srgbClr w14:val="000000">
                      <w14:alpha w14:val="100000"/>
                    </w14:srgbClr>
                  </w14:solidFill>
                </w14:textFill>
              </w:rPr>
              <w:t>|||</w:t>
            </w:r>
            <w:r w:rsidRPr="00443AF1">
              <w:rPr>
                <w:color w:val="000000"/>
                <w:spacing w:val="1"/>
                <w:fitText w:val="318" w:id="-1429520120"/>
                <w14:textFill>
                  <w14:solidFill>
                    <w14:srgbClr w14:val="000000">
                      <w14:alpha w14:val="100000"/>
                    </w14:srgbClr>
                  </w14:solidFill>
                </w14:textFill>
              </w:rPr>
              <w:t>|</w:t>
            </w:r>
          </w:p>
        </w:tc>
        <w:tc>
          <w:tcPr>
            <w:tcW w:w="425" w:type="pct"/>
            <w:tcBorders>
              <w:top w:val="nil"/>
              <w:left w:val="nil"/>
              <w:bottom w:val="single" w:sz="4" w:space="0" w:color="auto"/>
              <w:right w:val="single" w:sz="4" w:space="0" w:color="auto"/>
            </w:tcBorders>
            <w:shd w:val="clear" w:color="auto" w:fill="auto"/>
            <w:vAlign w:val="center"/>
          </w:tcPr>
          <w:p w14:paraId="2CC30691" w14:textId="77777777" w:rsidR="000E4873" w:rsidRPr="009445DF" w:rsidRDefault="000E4873" w:rsidP="00153C8A">
            <w:pPr>
              <w:pStyle w:val="TableText0"/>
              <w:keepNext w:val="0"/>
              <w:widowControl w:val="0"/>
              <w:rPr>
                <w:b/>
                <w:bCs/>
              </w:rPr>
            </w:pPr>
            <w:r w:rsidRPr="009445DF">
              <w:rPr>
                <w:rFonts w:cs="Times New Roman"/>
                <w:color w:val="000000" w:themeColor="text1"/>
                <w:lang w:eastAsia="zh-CN" w:bidi="he-IL"/>
              </w:rPr>
              <w:t>0.01</w:t>
            </w:r>
          </w:p>
        </w:tc>
        <w:tc>
          <w:tcPr>
            <w:tcW w:w="495" w:type="pct"/>
            <w:tcBorders>
              <w:bottom w:val="single" w:sz="4" w:space="0" w:color="auto"/>
            </w:tcBorders>
            <w:shd w:val="solid" w:color="000000" w:fill="000000"/>
          </w:tcPr>
          <w:p w14:paraId="50DFA6F1" w14:textId="0A687E32" w:rsidR="000E4873" w:rsidRPr="009445DF" w:rsidRDefault="00443AF1" w:rsidP="00153C8A">
            <w:pPr>
              <w:pStyle w:val="TableText0"/>
              <w:keepNext w:val="0"/>
              <w:widowControl w:val="0"/>
              <w:rPr>
                <w:b/>
                <w:bCs/>
                <w:highlight w:val="green"/>
              </w:rPr>
            </w:pPr>
            <w:r w:rsidRPr="00443AF1">
              <w:rPr>
                <w:b/>
                <w:bCs/>
                <w:color w:val="000000"/>
                <w:spacing w:val="56"/>
                <w:fitText w:val="352" w:id="-1429520119"/>
                <w14:textFill>
                  <w14:solidFill>
                    <w14:srgbClr w14:val="000000">
                      <w14:alpha w14:val="100000"/>
                    </w14:srgbClr>
                  </w14:solidFill>
                </w14:textFill>
              </w:rPr>
              <w:t>|||</w:t>
            </w:r>
            <w:r w:rsidRPr="00443AF1">
              <w:rPr>
                <w:b/>
                <w:bCs/>
                <w:color w:val="000000"/>
                <w:spacing w:val="1"/>
                <w:fitText w:val="352" w:id="-1429520119"/>
                <w14:textFill>
                  <w14:solidFill>
                    <w14:srgbClr w14:val="000000">
                      <w14:alpha w14:val="100000"/>
                    </w14:srgbClr>
                  </w14:solidFill>
                </w14:textFill>
              </w:rPr>
              <w:t>|</w:t>
            </w:r>
          </w:p>
        </w:tc>
        <w:tc>
          <w:tcPr>
            <w:tcW w:w="535" w:type="pct"/>
            <w:tcBorders>
              <w:bottom w:val="single" w:sz="4" w:space="0" w:color="auto"/>
            </w:tcBorders>
            <w:shd w:val="solid" w:color="000000" w:fill="000000"/>
          </w:tcPr>
          <w:p w14:paraId="2F144338" w14:textId="513D30F6" w:rsidR="000E4873" w:rsidRPr="009445DF" w:rsidRDefault="00443AF1" w:rsidP="00153C8A">
            <w:pPr>
              <w:pStyle w:val="TableText0"/>
              <w:keepNext w:val="0"/>
              <w:widowControl w:val="0"/>
              <w:rPr>
                <w:b/>
                <w:bCs/>
                <w:snapToGrid w:val="0"/>
                <w:highlight w:val="green"/>
              </w:rPr>
            </w:pPr>
            <w:r w:rsidRPr="00443AF1">
              <w:rPr>
                <w:b/>
                <w:bCs/>
                <w:color w:val="000000"/>
                <w:spacing w:val="56"/>
                <w:fitText w:val="352" w:id="-1429520118"/>
                <w14:textFill>
                  <w14:solidFill>
                    <w14:srgbClr w14:val="000000">
                      <w14:alpha w14:val="100000"/>
                    </w14:srgbClr>
                  </w14:solidFill>
                </w14:textFill>
              </w:rPr>
              <w:t>|||</w:t>
            </w:r>
            <w:r w:rsidRPr="00443AF1">
              <w:rPr>
                <w:b/>
                <w:bCs/>
                <w:color w:val="000000"/>
                <w:spacing w:val="1"/>
                <w:fitText w:val="352" w:id="-1429520118"/>
                <w14:textFill>
                  <w14:solidFill>
                    <w14:srgbClr w14:val="000000">
                      <w14:alpha w14:val="100000"/>
                    </w14:srgbClr>
                  </w14:solidFill>
                </w14:textFill>
              </w:rPr>
              <w:t>|</w:t>
            </w:r>
          </w:p>
        </w:tc>
        <w:tc>
          <w:tcPr>
            <w:tcW w:w="272" w:type="pct"/>
            <w:tcBorders>
              <w:bottom w:val="single" w:sz="4" w:space="0" w:color="auto"/>
            </w:tcBorders>
            <w:shd w:val="solid" w:color="000000" w:fill="000000"/>
          </w:tcPr>
          <w:p w14:paraId="376382C0" w14:textId="2F2DD326" w:rsidR="000E4873" w:rsidRPr="009445DF" w:rsidRDefault="00443AF1" w:rsidP="00153C8A">
            <w:pPr>
              <w:pStyle w:val="TableText0"/>
              <w:keepNext w:val="0"/>
              <w:widowControl w:val="0"/>
              <w:rPr>
                <w:b/>
                <w:bCs/>
                <w:snapToGrid w:val="0"/>
                <w:highlight w:val="green"/>
              </w:rPr>
            </w:pPr>
            <w:r w:rsidRPr="00443AF1">
              <w:rPr>
                <w:b/>
                <w:bCs/>
                <w:color w:val="000000"/>
                <w:spacing w:val="56"/>
                <w:fitText w:val="352" w:id="-1429520117"/>
                <w14:textFill>
                  <w14:solidFill>
                    <w14:srgbClr w14:val="000000">
                      <w14:alpha w14:val="100000"/>
                    </w14:srgbClr>
                  </w14:solidFill>
                </w14:textFill>
              </w:rPr>
              <w:t>|||</w:t>
            </w:r>
            <w:r w:rsidRPr="00443AF1">
              <w:rPr>
                <w:b/>
                <w:bCs/>
                <w:color w:val="000000"/>
                <w:spacing w:val="1"/>
                <w:fitText w:val="352" w:id="-1429520117"/>
                <w14:textFill>
                  <w14:solidFill>
                    <w14:srgbClr w14:val="000000">
                      <w14:alpha w14:val="100000"/>
                    </w14:srgbClr>
                  </w14:solidFill>
                </w14:textFill>
              </w:rPr>
              <w:t>|</w:t>
            </w:r>
          </w:p>
        </w:tc>
      </w:tr>
      <w:tr w:rsidR="00E51F42" w:rsidRPr="0087277A" w14:paraId="746A4592" w14:textId="77777777" w:rsidTr="00443AF1">
        <w:tc>
          <w:tcPr>
            <w:tcW w:w="785" w:type="pct"/>
            <w:shd w:val="clear" w:color="auto" w:fill="auto"/>
            <w:vAlign w:val="bottom"/>
          </w:tcPr>
          <w:p w14:paraId="198FA0AD" w14:textId="77777777" w:rsidR="000E4873" w:rsidRPr="009445DF" w:rsidRDefault="000E4873" w:rsidP="00153C8A">
            <w:pPr>
              <w:pStyle w:val="TableText0"/>
              <w:keepNext w:val="0"/>
              <w:widowControl w:val="0"/>
              <w:ind w:firstLine="227"/>
              <w:rPr>
                <w:snapToGrid w:val="0"/>
              </w:rPr>
            </w:pPr>
            <w:r w:rsidRPr="009445DF">
              <w:rPr>
                <w:snapToGrid w:val="0"/>
              </w:rPr>
              <w:t>Dislodgement</w:t>
            </w:r>
          </w:p>
        </w:tc>
        <w:tc>
          <w:tcPr>
            <w:tcW w:w="424" w:type="pct"/>
          </w:tcPr>
          <w:p w14:paraId="3613CBB7" w14:textId="77777777" w:rsidR="000E4873" w:rsidRPr="009445DF" w:rsidRDefault="000E4873" w:rsidP="00153C8A">
            <w:pPr>
              <w:pStyle w:val="TableText0"/>
              <w:keepNext w:val="0"/>
              <w:widowControl w:val="0"/>
              <w:rPr>
                <w:snapToGrid w:val="0"/>
              </w:rPr>
            </w:pPr>
            <w:r w:rsidRPr="009445DF">
              <w:t>23 (0.4%)</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307AEE2B" w14:textId="77777777" w:rsidR="000E4873" w:rsidRPr="009445DF" w:rsidRDefault="000E4873" w:rsidP="00153C8A">
            <w:pPr>
              <w:pStyle w:val="TableText0"/>
              <w:keepNext w:val="0"/>
              <w:widowControl w:val="0"/>
            </w:pPr>
            <w:r w:rsidRPr="009445DF">
              <w:rPr>
                <w:rFonts w:cs="Times New Roman"/>
                <w:color w:val="000000" w:themeColor="text1"/>
                <w:lang w:eastAsia="zh-CN" w:bidi="he-IL"/>
              </w:rPr>
              <w:t>0.4% (0.3%-0.6%)</w:t>
            </w:r>
          </w:p>
        </w:tc>
        <w:tc>
          <w:tcPr>
            <w:tcW w:w="422" w:type="pct"/>
            <w:gridSpan w:val="2"/>
            <w:tcBorders>
              <w:bottom w:val="single" w:sz="4" w:space="0" w:color="auto"/>
            </w:tcBorders>
            <w:shd w:val="solid" w:color="000000" w:fill="000000"/>
          </w:tcPr>
          <w:p w14:paraId="770FB46B" w14:textId="24A7C0E4" w:rsidR="000E4873" w:rsidRPr="009445DF" w:rsidRDefault="00443AF1" w:rsidP="00153C8A">
            <w:pPr>
              <w:pStyle w:val="TableText0"/>
              <w:keepNext w:val="0"/>
              <w:widowControl w:val="0"/>
              <w:rPr>
                <w:snapToGrid w:val="0"/>
                <w:highlight w:val="green"/>
              </w:rPr>
            </w:pPr>
            <w:r w:rsidRPr="00443AF1">
              <w:rPr>
                <w:color w:val="000000"/>
                <w:spacing w:val="49"/>
                <w:fitText w:val="318" w:id="-1429520116"/>
                <w14:textFill>
                  <w14:solidFill>
                    <w14:srgbClr w14:val="000000">
                      <w14:alpha w14:val="100000"/>
                    </w14:srgbClr>
                  </w14:solidFill>
                </w14:textFill>
              </w:rPr>
              <w:t>|||</w:t>
            </w:r>
            <w:r w:rsidRPr="00443AF1">
              <w:rPr>
                <w:color w:val="000000"/>
                <w:spacing w:val="1"/>
                <w:fitText w:val="318" w:id="-1429520116"/>
                <w14:textFill>
                  <w14:solidFill>
                    <w14:srgbClr w14:val="000000">
                      <w14:alpha w14:val="100000"/>
                    </w14:srgbClr>
                  </w14:solidFill>
                </w14:textFill>
              </w:rPr>
              <w:t>|</w:t>
            </w:r>
          </w:p>
        </w:tc>
        <w:tc>
          <w:tcPr>
            <w:tcW w:w="424" w:type="pct"/>
          </w:tcPr>
          <w:p w14:paraId="3089740B" w14:textId="77777777" w:rsidR="000E4873" w:rsidRPr="009445DF" w:rsidRDefault="000E4873" w:rsidP="00153C8A">
            <w:pPr>
              <w:pStyle w:val="TableText0"/>
              <w:keepNext w:val="0"/>
              <w:widowControl w:val="0"/>
              <w:rPr>
                <w:snapToGrid w:val="0"/>
              </w:rPr>
            </w:pPr>
            <w:r w:rsidRPr="009445DF">
              <w:t>121 (1.2%)</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435978D" w14:textId="77777777" w:rsidR="000E4873" w:rsidRPr="009445DF" w:rsidRDefault="000E4873" w:rsidP="00153C8A">
            <w:pPr>
              <w:pStyle w:val="TableText0"/>
              <w:keepNext w:val="0"/>
              <w:widowControl w:val="0"/>
            </w:pPr>
            <w:r w:rsidRPr="009445DF">
              <w:rPr>
                <w:rFonts w:cs="Times New Roman"/>
                <w:color w:val="000000" w:themeColor="text1"/>
                <w:lang w:eastAsia="zh-CN" w:bidi="he-IL"/>
              </w:rPr>
              <w:t>1.2% (1.0%-1.4%)</w:t>
            </w:r>
          </w:p>
        </w:tc>
        <w:tc>
          <w:tcPr>
            <w:tcW w:w="422" w:type="pct"/>
            <w:gridSpan w:val="2"/>
            <w:tcBorders>
              <w:bottom w:val="single" w:sz="4" w:space="0" w:color="auto"/>
            </w:tcBorders>
            <w:shd w:val="solid" w:color="000000" w:fill="000000"/>
          </w:tcPr>
          <w:p w14:paraId="3703AFA0" w14:textId="231FE7EF" w:rsidR="000E4873" w:rsidRPr="009445DF" w:rsidRDefault="00443AF1" w:rsidP="00153C8A">
            <w:pPr>
              <w:pStyle w:val="TableText0"/>
              <w:keepNext w:val="0"/>
              <w:widowControl w:val="0"/>
              <w:rPr>
                <w:snapToGrid w:val="0"/>
                <w:highlight w:val="green"/>
              </w:rPr>
            </w:pPr>
            <w:r w:rsidRPr="00443AF1">
              <w:rPr>
                <w:color w:val="000000"/>
                <w:spacing w:val="49"/>
                <w:fitText w:val="318" w:id="-1429520115"/>
                <w14:textFill>
                  <w14:solidFill>
                    <w14:srgbClr w14:val="000000">
                      <w14:alpha w14:val="100000"/>
                    </w14:srgbClr>
                  </w14:solidFill>
                </w14:textFill>
              </w:rPr>
              <w:t>|||</w:t>
            </w:r>
            <w:r w:rsidRPr="00443AF1">
              <w:rPr>
                <w:color w:val="000000"/>
                <w:spacing w:val="1"/>
                <w:fitText w:val="318" w:id="-1429520115"/>
                <w14:textFill>
                  <w14:solidFill>
                    <w14:srgbClr w14:val="000000">
                      <w14:alpha w14:val="100000"/>
                    </w14:srgbClr>
                  </w14:solidFill>
                </w14:textFill>
              </w:rPr>
              <w:t>|</w:t>
            </w:r>
          </w:p>
        </w:tc>
        <w:tc>
          <w:tcPr>
            <w:tcW w:w="425" w:type="pct"/>
            <w:tcBorders>
              <w:top w:val="nil"/>
              <w:left w:val="nil"/>
              <w:bottom w:val="single" w:sz="4" w:space="0" w:color="auto"/>
              <w:right w:val="single" w:sz="4" w:space="0" w:color="auto"/>
            </w:tcBorders>
            <w:shd w:val="clear" w:color="auto" w:fill="auto"/>
            <w:vAlign w:val="center"/>
          </w:tcPr>
          <w:p w14:paraId="237557D5" w14:textId="77777777" w:rsidR="000E4873" w:rsidRPr="009445DF" w:rsidRDefault="000E4873" w:rsidP="00153C8A">
            <w:pPr>
              <w:pStyle w:val="TableText0"/>
              <w:keepNext w:val="0"/>
              <w:widowControl w:val="0"/>
              <w:rPr>
                <w:b/>
                <w:bCs/>
              </w:rPr>
            </w:pPr>
            <w:r w:rsidRPr="009445DF">
              <w:rPr>
                <w:rFonts w:cs="Times New Roman"/>
                <w:color w:val="000000" w:themeColor="text1"/>
                <w:lang w:eastAsia="zh-CN" w:bidi="he-IL"/>
              </w:rPr>
              <w:t>&lt;.0001</w:t>
            </w:r>
          </w:p>
        </w:tc>
        <w:tc>
          <w:tcPr>
            <w:tcW w:w="495" w:type="pct"/>
            <w:tcBorders>
              <w:bottom w:val="single" w:sz="4" w:space="0" w:color="auto"/>
            </w:tcBorders>
            <w:shd w:val="solid" w:color="000000" w:fill="000000"/>
          </w:tcPr>
          <w:p w14:paraId="67B73D86" w14:textId="788A39AC" w:rsidR="000E4873" w:rsidRPr="009445DF" w:rsidRDefault="00443AF1" w:rsidP="00153C8A">
            <w:pPr>
              <w:pStyle w:val="TableText0"/>
              <w:keepNext w:val="0"/>
              <w:widowControl w:val="0"/>
              <w:rPr>
                <w:b/>
                <w:bCs/>
                <w:highlight w:val="green"/>
              </w:rPr>
            </w:pPr>
            <w:r w:rsidRPr="00443AF1">
              <w:rPr>
                <w:b/>
                <w:bCs/>
                <w:color w:val="000000"/>
                <w:spacing w:val="56"/>
                <w:fitText w:val="352" w:id="-1429520114"/>
                <w14:textFill>
                  <w14:solidFill>
                    <w14:srgbClr w14:val="000000">
                      <w14:alpha w14:val="100000"/>
                    </w14:srgbClr>
                  </w14:solidFill>
                </w14:textFill>
              </w:rPr>
              <w:t>|||</w:t>
            </w:r>
            <w:r w:rsidRPr="00443AF1">
              <w:rPr>
                <w:b/>
                <w:bCs/>
                <w:color w:val="000000"/>
                <w:spacing w:val="1"/>
                <w:fitText w:val="352" w:id="-1429520114"/>
                <w14:textFill>
                  <w14:solidFill>
                    <w14:srgbClr w14:val="000000">
                      <w14:alpha w14:val="100000"/>
                    </w14:srgbClr>
                  </w14:solidFill>
                </w14:textFill>
              </w:rPr>
              <w:t>|</w:t>
            </w:r>
          </w:p>
        </w:tc>
        <w:tc>
          <w:tcPr>
            <w:tcW w:w="535" w:type="pct"/>
            <w:tcBorders>
              <w:bottom w:val="single" w:sz="4" w:space="0" w:color="auto"/>
            </w:tcBorders>
            <w:shd w:val="solid" w:color="000000" w:fill="000000"/>
          </w:tcPr>
          <w:p w14:paraId="7BC031E4" w14:textId="5466B709" w:rsidR="000E4873" w:rsidRPr="009445DF" w:rsidRDefault="00443AF1" w:rsidP="00153C8A">
            <w:pPr>
              <w:pStyle w:val="TableText0"/>
              <w:keepNext w:val="0"/>
              <w:widowControl w:val="0"/>
              <w:rPr>
                <w:b/>
                <w:bCs/>
                <w:snapToGrid w:val="0"/>
                <w:highlight w:val="green"/>
              </w:rPr>
            </w:pPr>
            <w:r w:rsidRPr="00443AF1">
              <w:rPr>
                <w:b/>
                <w:bCs/>
                <w:color w:val="000000"/>
                <w:spacing w:val="56"/>
                <w:fitText w:val="352" w:id="-1429520113"/>
                <w14:textFill>
                  <w14:solidFill>
                    <w14:srgbClr w14:val="000000">
                      <w14:alpha w14:val="100000"/>
                    </w14:srgbClr>
                  </w14:solidFill>
                </w14:textFill>
              </w:rPr>
              <w:t>|||</w:t>
            </w:r>
            <w:r w:rsidRPr="00443AF1">
              <w:rPr>
                <w:b/>
                <w:bCs/>
                <w:color w:val="000000"/>
                <w:spacing w:val="1"/>
                <w:fitText w:val="352" w:id="-1429520113"/>
                <w14:textFill>
                  <w14:solidFill>
                    <w14:srgbClr w14:val="000000">
                      <w14:alpha w14:val="100000"/>
                    </w14:srgbClr>
                  </w14:solidFill>
                </w14:textFill>
              </w:rPr>
              <w:t>|</w:t>
            </w:r>
          </w:p>
        </w:tc>
        <w:tc>
          <w:tcPr>
            <w:tcW w:w="272" w:type="pct"/>
            <w:tcBorders>
              <w:bottom w:val="single" w:sz="4" w:space="0" w:color="auto"/>
            </w:tcBorders>
            <w:shd w:val="solid" w:color="000000" w:fill="000000"/>
          </w:tcPr>
          <w:p w14:paraId="1746ED78" w14:textId="55D4D806" w:rsidR="000E4873" w:rsidRPr="009445DF" w:rsidRDefault="00443AF1" w:rsidP="00153C8A">
            <w:pPr>
              <w:pStyle w:val="TableText0"/>
              <w:keepNext w:val="0"/>
              <w:widowControl w:val="0"/>
              <w:rPr>
                <w:b/>
                <w:bCs/>
                <w:snapToGrid w:val="0"/>
                <w:highlight w:val="green"/>
              </w:rPr>
            </w:pPr>
            <w:r w:rsidRPr="00443AF1">
              <w:rPr>
                <w:b/>
                <w:bCs/>
                <w:color w:val="000000"/>
                <w:spacing w:val="56"/>
                <w:fitText w:val="352" w:id="-1429520112"/>
                <w14:textFill>
                  <w14:solidFill>
                    <w14:srgbClr w14:val="000000">
                      <w14:alpha w14:val="100000"/>
                    </w14:srgbClr>
                  </w14:solidFill>
                </w14:textFill>
              </w:rPr>
              <w:t>|||</w:t>
            </w:r>
            <w:r w:rsidRPr="00443AF1">
              <w:rPr>
                <w:b/>
                <w:bCs/>
                <w:color w:val="000000"/>
                <w:spacing w:val="1"/>
                <w:fitText w:val="352" w:id="-1429520112"/>
                <w14:textFill>
                  <w14:solidFill>
                    <w14:srgbClr w14:val="000000">
                      <w14:alpha w14:val="100000"/>
                    </w14:srgbClr>
                  </w14:solidFill>
                </w14:textFill>
              </w:rPr>
              <w:t>|</w:t>
            </w:r>
          </w:p>
        </w:tc>
      </w:tr>
      <w:tr w:rsidR="00E51F42" w:rsidRPr="0087277A" w14:paraId="7796AF90" w14:textId="77777777" w:rsidTr="00443AF1">
        <w:tc>
          <w:tcPr>
            <w:tcW w:w="785" w:type="pct"/>
            <w:shd w:val="clear" w:color="auto" w:fill="auto"/>
            <w:vAlign w:val="bottom"/>
          </w:tcPr>
          <w:p w14:paraId="7AE0A04F" w14:textId="77777777" w:rsidR="000E4873" w:rsidRPr="009445DF" w:rsidRDefault="000E4873" w:rsidP="00153C8A">
            <w:pPr>
              <w:pStyle w:val="TableText0"/>
              <w:keepNext w:val="0"/>
              <w:widowControl w:val="0"/>
              <w:ind w:firstLine="227"/>
              <w:rPr>
                <w:snapToGrid w:val="0"/>
              </w:rPr>
            </w:pPr>
            <w:r w:rsidRPr="009445DF">
              <w:rPr>
                <w:snapToGrid w:val="0"/>
              </w:rPr>
              <w:t>Other mechanical complications</w:t>
            </w:r>
          </w:p>
        </w:tc>
        <w:tc>
          <w:tcPr>
            <w:tcW w:w="424" w:type="pct"/>
          </w:tcPr>
          <w:p w14:paraId="1672FAF3" w14:textId="77777777" w:rsidR="000E4873" w:rsidRPr="009445DF" w:rsidRDefault="000E4873" w:rsidP="00153C8A">
            <w:pPr>
              <w:pStyle w:val="TableText0"/>
              <w:keepNext w:val="0"/>
              <w:widowControl w:val="0"/>
              <w:rPr>
                <w:snapToGrid w:val="0"/>
              </w:rPr>
            </w:pPr>
            <w:r w:rsidRPr="009445DF">
              <w:t>55 (0.9%)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41206AE" w14:textId="77777777" w:rsidR="000E4873" w:rsidRPr="009445DF" w:rsidRDefault="000E4873" w:rsidP="00153C8A">
            <w:pPr>
              <w:pStyle w:val="TableText0"/>
              <w:keepNext w:val="0"/>
              <w:widowControl w:val="0"/>
            </w:pPr>
            <w:r w:rsidRPr="009445DF">
              <w:rPr>
                <w:rFonts w:cs="Times New Roman"/>
                <w:color w:val="000000" w:themeColor="text1"/>
                <w:lang w:eastAsia="zh-CN" w:bidi="he-IL"/>
              </w:rPr>
              <w:t>0.9% (0.7%-1.2%)</w:t>
            </w:r>
          </w:p>
        </w:tc>
        <w:tc>
          <w:tcPr>
            <w:tcW w:w="422" w:type="pct"/>
            <w:gridSpan w:val="2"/>
            <w:tcBorders>
              <w:bottom w:val="single" w:sz="4" w:space="0" w:color="auto"/>
            </w:tcBorders>
            <w:shd w:val="solid" w:color="000000" w:fill="000000"/>
          </w:tcPr>
          <w:p w14:paraId="52972936" w14:textId="54113FF5" w:rsidR="000E4873" w:rsidRPr="009445DF" w:rsidRDefault="00443AF1" w:rsidP="00153C8A">
            <w:pPr>
              <w:pStyle w:val="TableText0"/>
              <w:keepNext w:val="0"/>
              <w:widowControl w:val="0"/>
              <w:rPr>
                <w:snapToGrid w:val="0"/>
                <w:highlight w:val="green"/>
              </w:rPr>
            </w:pPr>
            <w:r w:rsidRPr="00443AF1">
              <w:rPr>
                <w:color w:val="000000"/>
                <w:spacing w:val="49"/>
                <w:fitText w:val="318" w:id="-1429520128"/>
                <w14:textFill>
                  <w14:solidFill>
                    <w14:srgbClr w14:val="000000">
                      <w14:alpha w14:val="100000"/>
                    </w14:srgbClr>
                  </w14:solidFill>
                </w14:textFill>
              </w:rPr>
              <w:t>|||</w:t>
            </w:r>
            <w:r w:rsidRPr="00443AF1">
              <w:rPr>
                <w:color w:val="000000"/>
                <w:spacing w:val="1"/>
                <w:fitText w:val="318" w:id="-1429520128"/>
                <w14:textFill>
                  <w14:solidFill>
                    <w14:srgbClr w14:val="000000">
                      <w14:alpha w14:val="100000"/>
                    </w14:srgbClr>
                  </w14:solidFill>
                </w14:textFill>
              </w:rPr>
              <w:t>|</w:t>
            </w:r>
          </w:p>
        </w:tc>
        <w:tc>
          <w:tcPr>
            <w:tcW w:w="424" w:type="pct"/>
          </w:tcPr>
          <w:p w14:paraId="0C14DAF5" w14:textId="77777777" w:rsidR="000E4873" w:rsidRPr="009445DF" w:rsidRDefault="000E4873" w:rsidP="00153C8A">
            <w:pPr>
              <w:pStyle w:val="TableText0"/>
              <w:keepNext w:val="0"/>
              <w:widowControl w:val="0"/>
              <w:rPr>
                <w:snapToGrid w:val="0"/>
              </w:rPr>
            </w:pPr>
            <w:r w:rsidRPr="009445DF">
              <w:t>104 (1.0%)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1720906B" w14:textId="77777777" w:rsidR="000E4873" w:rsidRPr="009445DF" w:rsidRDefault="000E4873" w:rsidP="00153C8A">
            <w:pPr>
              <w:pStyle w:val="TableText0"/>
              <w:keepNext w:val="0"/>
              <w:widowControl w:val="0"/>
            </w:pPr>
            <w:r w:rsidRPr="009445DF">
              <w:rPr>
                <w:rFonts w:cs="Times New Roman"/>
                <w:color w:val="000000" w:themeColor="text1"/>
                <w:lang w:eastAsia="zh-CN" w:bidi="he-IL"/>
              </w:rPr>
              <w:t>1.1% (0.9%-1.3%)</w:t>
            </w:r>
          </w:p>
        </w:tc>
        <w:tc>
          <w:tcPr>
            <w:tcW w:w="422" w:type="pct"/>
            <w:gridSpan w:val="2"/>
            <w:tcBorders>
              <w:bottom w:val="single" w:sz="4" w:space="0" w:color="auto"/>
            </w:tcBorders>
            <w:shd w:val="solid" w:color="000000" w:fill="000000"/>
          </w:tcPr>
          <w:p w14:paraId="5751212D" w14:textId="021B8532" w:rsidR="000E4873" w:rsidRPr="009445DF" w:rsidRDefault="00443AF1" w:rsidP="00153C8A">
            <w:pPr>
              <w:pStyle w:val="TableText0"/>
              <w:keepNext w:val="0"/>
              <w:widowControl w:val="0"/>
              <w:rPr>
                <w:snapToGrid w:val="0"/>
                <w:highlight w:val="green"/>
              </w:rPr>
            </w:pPr>
            <w:r w:rsidRPr="00443AF1">
              <w:rPr>
                <w:color w:val="000000"/>
                <w:spacing w:val="49"/>
                <w:fitText w:val="318" w:id="-1429520127"/>
                <w14:textFill>
                  <w14:solidFill>
                    <w14:srgbClr w14:val="000000">
                      <w14:alpha w14:val="100000"/>
                    </w14:srgbClr>
                  </w14:solidFill>
                </w14:textFill>
              </w:rPr>
              <w:t>|||</w:t>
            </w:r>
            <w:r w:rsidRPr="00443AF1">
              <w:rPr>
                <w:color w:val="000000"/>
                <w:spacing w:val="1"/>
                <w:fitText w:val="318" w:id="-1429520127"/>
                <w14:textFill>
                  <w14:solidFill>
                    <w14:srgbClr w14:val="000000">
                      <w14:alpha w14:val="100000"/>
                    </w14:srgbClr>
                  </w14:solidFill>
                </w14:textFill>
              </w:rPr>
              <w:t>|</w:t>
            </w:r>
          </w:p>
        </w:tc>
        <w:tc>
          <w:tcPr>
            <w:tcW w:w="425" w:type="pct"/>
            <w:tcBorders>
              <w:top w:val="nil"/>
              <w:left w:val="nil"/>
              <w:bottom w:val="single" w:sz="4" w:space="0" w:color="auto"/>
              <w:right w:val="single" w:sz="4" w:space="0" w:color="auto"/>
            </w:tcBorders>
            <w:shd w:val="clear" w:color="auto" w:fill="auto"/>
            <w:vAlign w:val="center"/>
          </w:tcPr>
          <w:p w14:paraId="5E72A00D" w14:textId="77777777" w:rsidR="000E4873" w:rsidRPr="009445DF" w:rsidRDefault="000E4873" w:rsidP="00153C8A">
            <w:pPr>
              <w:pStyle w:val="TableText0"/>
              <w:keepNext w:val="0"/>
              <w:widowControl w:val="0"/>
            </w:pPr>
            <w:r w:rsidRPr="009445DF">
              <w:rPr>
                <w:rFonts w:cs="Times New Roman"/>
                <w:color w:val="000000" w:themeColor="text1"/>
                <w:lang w:eastAsia="zh-CN" w:bidi="he-IL"/>
              </w:rPr>
              <w:t>0.45</w:t>
            </w:r>
          </w:p>
        </w:tc>
        <w:tc>
          <w:tcPr>
            <w:tcW w:w="495" w:type="pct"/>
            <w:tcBorders>
              <w:bottom w:val="single" w:sz="4" w:space="0" w:color="auto"/>
            </w:tcBorders>
            <w:shd w:val="solid" w:color="000000" w:fill="000000"/>
          </w:tcPr>
          <w:p w14:paraId="6E72F15B" w14:textId="0674A652" w:rsidR="000E4873" w:rsidRPr="009445DF" w:rsidRDefault="00443AF1" w:rsidP="00153C8A">
            <w:pPr>
              <w:pStyle w:val="TableText0"/>
              <w:keepNext w:val="0"/>
              <w:widowControl w:val="0"/>
              <w:rPr>
                <w:highlight w:val="green"/>
              </w:rPr>
            </w:pPr>
            <w:r w:rsidRPr="00443AF1">
              <w:rPr>
                <w:color w:val="000000"/>
                <w:spacing w:val="49"/>
                <w:fitText w:val="318" w:id="-1429520126"/>
                <w14:textFill>
                  <w14:solidFill>
                    <w14:srgbClr w14:val="000000">
                      <w14:alpha w14:val="100000"/>
                    </w14:srgbClr>
                  </w14:solidFill>
                </w14:textFill>
              </w:rPr>
              <w:t>|||</w:t>
            </w:r>
            <w:r w:rsidRPr="00443AF1">
              <w:rPr>
                <w:color w:val="000000"/>
                <w:spacing w:val="1"/>
                <w:fitText w:val="318" w:id="-1429520126"/>
                <w14:textFill>
                  <w14:solidFill>
                    <w14:srgbClr w14:val="000000">
                      <w14:alpha w14:val="100000"/>
                    </w14:srgbClr>
                  </w14:solidFill>
                </w14:textFill>
              </w:rPr>
              <w:t>|</w:t>
            </w:r>
          </w:p>
        </w:tc>
        <w:tc>
          <w:tcPr>
            <w:tcW w:w="535" w:type="pct"/>
            <w:tcBorders>
              <w:bottom w:val="single" w:sz="4" w:space="0" w:color="auto"/>
            </w:tcBorders>
            <w:shd w:val="solid" w:color="000000" w:fill="000000"/>
          </w:tcPr>
          <w:p w14:paraId="4AA219B5" w14:textId="333F7652" w:rsidR="000E4873" w:rsidRPr="009445DF" w:rsidRDefault="00443AF1" w:rsidP="00153C8A">
            <w:pPr>
              <w:pStyle w:val="TableText0"/>
              <w:keepNext w:val="0"/>
              <w:widowControl w:val="0"/>
              <w:rPr>
                <w:snapToGrid w:val="0"/>
                <w:highlight w:val="green"/>
              </w:rPr>
            </w:pPr>
            <w:r w:rsidRPr="00443AF1">
              <w:rPr>
                <w:color w:val="000000"/>
                <w:spacing w:val="49"/>
                <w:fitText w:val="318" w:id="-1429520125"/>
                <w14:textFill>
                  <w14:solidFill>
                    <w14:srgbClr w14:val="000000">
                      <w14:alpha w14:val="100000"/>
                    </w14:srgbClr>
                  </w14:solidFill>
                </w14:textFill>
              </w:rPr>
              <w:t>|||</w:t>
            </w:r>
            <w:r w:rsidRPr="00443AF1">
              <w:rPr>
                <w:color w:val="000000"/>
                <w:spacing w:val="1"/>
                <w:fitText w:val="318" w:id="-1429520125"/>
                <w14:textFill>
                  <w14:solidFill>
                    <w14:srgbClr w14:val="000000">
                      <w14:alpha w14:val="100000"/>
                    </w14:srgbClr>
                  </w14:solidFill>
                </w14:textFill>
              </w:rPr>
              <w:t>|</w:t>
            </w:r>
          </w:p>
        </w:tc>
        <w:tc>
          <w:tcPr>
            <w:tcW w:w="272" w:type="pct"/>
            <w:tcBorders>
              <w:bottom w:val="single" w:sz="4" w:space="0" w:color="auto"/>
            </w:tcBorders>
            <w:shd w:val="solid" w:color="000000" w:fill="000000"/>
          </w:tcPr>
          <w:p w14:paraId="47C11317" w14:textId="150EA549" w:rsidR="000E4873" w:rsidRPr="009445DF" w:rsidRDefault="00443AF1" w:rsidP="00153C8A">
            <w:pPr>
              <w:pStyle w:val="TableText0"/>
              <w:keepNext w:val="0"/>
              <w:widowControl w:val="0"/>
              <w:rPr>
                <w:snapToGrid w:val="0"/>
                <w:highlight w:val="green"/>
              </w:rPr>
            </w:pPr>
            <w:r w:rsidRPr="00443AF1">
              <w:rPr>
                <w:color w:val="000000"/>
                <w:spacing w:val="49"/>
                <w:fitText w:val="318" w:id="-1429520124"/>
                <w14:textFill>
                  <w14:solidFill>
                    <w14:srgbClr w14:val="000000">
                      <w14:alpha w14:val="100000"/>
                    </w14:srgbClr>
                  </w14:solidFill>
                </w14:textFill>
              </w:rPr>
              <w:t>|||</w:t>
            </w:r>
            <w:r w:rsidRPr="00443AF1">
              <w:rPr>
                <w:color w:val="000000"/>
                <w:spacing w:val="1"/>
                <w:fitText w:val="318" w:id="-1429520124"/>
                <w14:textFill>
                  <w14:solidFill>
                    <w14:srgbClr w14:val="000000">
                      <w14:alpha w14:val="100000"/>
                    </w14:srgbClr>
                  </w14:solidFill>
                </w14:textFill>
              </w:rPr>
              <w:t>|</w:t>
            </w:r>
          </w:p>
        </w:tc>
      </w:tr>
      <w:tr w:rsidR="00E51F42" w:rsidRPr="0087277A" w14:paraId="5331982D" w14:textId="77777777" w:rsidTr="00443AF1">
        <w:tc>
          <w:tcPr>
            <w:tcW w:w="785" w:type="pct"/>
            <w:shd w:val="clear" w:color="auto" w:fill="auto"/>
            <w:vAlign w:val="bottom"/>
          </w:tcPr>
          <w:p w14:paraId="68180BA8" w14:textId="77777777" w:rsidR="000E4873" w:rsidRPr="009445DF" w:rsidRDefault="000E4873" w:rsidP="00153C8A">
            <w:pPr>
              <w:pStyle w:val="TableText0"/>
              <w:keepNext w:val="0"/>
              <w:widowControl w:val="0"/>
              <w:ind w:firstLine="227"/>
              <w:rPr>
                <w:snapToGrid w:val="0"/>
              </w:rPr>
            </w:pPr>
            <w:r w:rsidRPr="009445DF">
              <w:rPr>
                <w:snapToGrid w:val="0"/>
              </w:rPr>
              <w:t>Infection</w:t>
            </w:r>
          </w:p>
        </w:tc>
        <w:tc>
          <w:tcPr>
            <w:tcW w:w="424" w:type="pct"/>
          </w:tcPr>
          <w:p w14:paraId="7D8410BB" w14:textId="77777777" w:rsidR="000E4873" w:rsidRPr="009445DF" w:rsidRDefault="000E4873" w:rsidP="00153C8A">
            <w:pPr>
              <w:pStyle w:val="TableText0"/>
              <w:keepNext w:val="0"/>
              <w:widowControl w:val="0"/>
              <w:rPr>
                <w:snapToGrid w:val="0"/>
              </w:rPr>
            </w:pPr>
            <w:r w:rsidRPr="009445DF">
              <w:t>≤10*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E82DAEE" w14:textId="77777777" w:rsidR="000E4873" w:rsidRPr="009445DF" w:rsidRDefault="000E4873" w:rsidP="00153C8A">
            <w:pPr>
              <w:pStyle w:val="TableText0"/>
              <w:keepNext w:val="0"/>
              <w:widowControl w:val="0"/>
            </w:pPr>
            <w:r w:rsidRPr="009445DF">
              <w:t>NA</w:t>
            </w:r>
          </w:p>
        </w:tc>
        <w:tc>
          <w:tcPr>
            <w:tcW w:w="422" w:type="pct"/>
            <w:gridSpan w:val="2"/>
            <w:tcBorders>
              <w:bottom w:val="single" w:sz="4" w:space="0" w:color="auto"/>
            </w:tcBorders>
            <w:shd w:val="solid" w:color="000000" w:fill="000000"/>
          </w:tcPr>
          <w:p w14:paraId="0D15C630" w14:textId="544BA69C" w:rsidR="000E4873" w:rsidRPr="009445DF" w:rsidRDefault="00443AF1" w:rsidP="00153C8A">
            <w:pPr>
              <w:pStyle w:val="TableText0"/>
              <w:keepNext w:val="0"/>
              <w:widowControl w:val="0"/>
              <w:rPr>
                <w:snapToGrid w:val="0"/>
                <w:highlight w:val="green"/>
              </w:rPr>
            </w:pPr>
            <w:r w:rsidRPr="00443AF1">
              <w:rPr>
                <w:color w:val="000000"/>
                <w:spacing w:val="49"/>
                <w:fitText w:val="318" w:id="-1429520123"/>
                <w14:textFill>
                  <w14:solidFill>
                    <w14:srgbClr w14:val="000000">
                      <w14:alpha w14:val="100000"/>
                    </w14:srgbClr>
                  </w14:solidFill>
                </w14:textFill>
              </w:rPr>
              <w:t>|||</w:t>
            </w:r>
            <w:r w:rsidRPr="00443AF1">
              <w:rPr>
                <w:color w:val="000000"/>
                <w:spacing w:val="1"/>
                <w:fitText w:val="318" w:id="-1429520123"/>
                <w14:textFill>
                  <w14:solidFill>
                    <w14:srgbClr w14:val="000000">
                      <w14:alpha w14:val="100000"/>
                    </w14:srgbClr>
                  </w14:solidFill>
                </w14:textFill>
              </w:rPr>
              <w:t>|</w:t>
            </w:r>
          </w:p>
        </w:tc>
        <w:tc>
          <w:tcPr>
            <w:tcW w:w="424" w:type="pct"/>
          </w:tcPr>
          <w:p w14:paraId="1760DE3B" w14:textId="77777777" w:rsidR="000E4873" w:rsidRPr="009445DF" w:rsidRDefault="000E4873" w:rsidP="00153C8A">
            <w:pPr>
              <w:pStyle w:val="TableText0"/>
              <w:keepNext w:val="0"/>
              <w:widowControl w:val="0"/>
              <w:rPr>
                <w:snapToGrid w:val="0"/>
              </w:rPr>
            </w:pPr>
            <w:r w:rsidRPr="009445DF">
              <w:t>60 (0.6%)</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A3A3926" w14:textId="77777777" w:rsidR="000E4873" w:rsidRPr="009445DF" w:rsidRDefault="000E4873" w:rsidP="00153C8A">
            <w:pPr>
              <w:pStyle w:val="TableText0"/>
              <w:keepNext w:val="0"/>
              <w:widowControl w:val="0"/>
            </w:pPr>
            <w:r w:rsidRPr="009445DF">
              <w:rPr>
                <w:rFonts w:cs="Times New Roman"/>
                <w:color w:val="000000" w:themeColor="text1"/>
                <w:lang w:eastAsia="zh-CN" w:bidi="he-IL"/>
              </w:rPr>
              <w:t>0.6% (0.5%-0.8%)</w:t>
            </w:r>
          </w:p>
        </w:tc>
        <w:tc>
          <w:tcPr>
            <w:tcW w:w="422" w:type="pct"/>
            <w:gridSpan w:val="2"/>
            <w:tcBorders>
              <w:bottom w:val="single" w:sz="4" w:space="0" w:color="auto"/>
            </w:tcBorders>
            <w:shd w:val="solid" w:color="000000" w:fill="000000"/>
          </w:tcPr>
          <w:p w14:paraId="26AF5E18" w14:textId="0F43AED5" w:rsidR="000E4873" w:rsidRPr="009445DF" w:rsidRDefault="00443AF1" w:rsidP="00153C8A">
            <w:pPr>
              <w:pStyle w:val="TableText0"/>
              <w:keepNext w:val="0"/>
              <w:widowControl w:val="0"/>
              <w:rPr>
                <w:snapToGrid w:val="0"/>
                <w:highlight w:val="green"/>
              </w:rPr>
            </w:pPr>
            <w:r w:rsidRPr="00443AF1">
              <w:rPr>
                <w:color w:val="000000"/>
                <w:spacing w:val="49"/>
                <w:fitText w:val="318" w:id="-1429520122"/>
                <w14:textFill>
                  <w14:solidFill>
                    <w14:srgbClr w14:val="000000">
                      <w14:alpha w14:val="100000"/>
                    </w14:srgbClr>
                  </w14:solidFill>
                </w14:textFill>
              </w:rPr>
              <w:t>|||</w:t>
            </w:r>
            <w:r w:rsidRPr="00443AF1">
              <w:rPr>
                <w:color w:val="000000"/>
                <w:spacing w:val="1"/>
                <w:fitText w:val="318" w:id="-1429520122"/>
                <w14:textFill>
                  <w14:solidFill>
                    <w14:srgbClr w14:val="000000">
                      <w14:alpha w14:val="100000"/>
                    </w14:srgbClr>
                  </w14:solidFill>
                </w14:textFill>
              </w:rPr>
              <w:t>|</w:t>
            </w:r>
          </w:p>
        </w:tc>
        <w:tc>
          <w:tcPr>
            <w:tcW w:w="425" w:type="pct"/>
            <w:tcBorders>
              <w:top w:val="nil"/>
              <w:left w:val="nil"/>
              <w:bottom w:val="single" w:sz="4" w:space="0" w:color="auto"/>
              <w:right w:val="single" w:sz="4" w:space="0" w:color="auto"/>
            </w:tcBorders>
            <w:shd w:val="clear" w:color="auto" w:fill="auto"/>
            <w:vAlign w:val="center"/>
          </w:tcPr>
          <w:p w14:paraId="30B978CA" w14:textId="77777777" w:rsidR="000E4873" w:rsidRPr="009445DF" w:rsidRDefault="000E4873" w:rsidP="00153C8A">
            <w:pPr>
              <w:pStyle w:val="TableText0"/>
              <w:keepNext w:val="0"/>
              <w:widowControl w:val="0"/>
              <w:rPr>
                <w:b/>
                <w:bCs/>
              </w:rPr>
            </w:pPr>
            <w:r w:rsidRPr="009445DF">
              <w:rPr>
                <w:rFonts w:cs="Times New Roman"/>
                <w:color w:val="000000" w:themeColor="text1"/>
                <w:lang w:eastAsia="zh-CN" w:bidi="he-IL"/>
              </w:rPr>
              <w:t>&lt;.0001</w:t>
            </w:r>
          </w:p>
        </w:tc>
        <w:tc>
          <w:tcPr>
            <w:tcW w:w="495" w:type="pct"/>
            <w:tcBorders>
              <w:bottom w:val="single" w:sz="4" w:space="0" w:color="auto"/>
            </w:tcBorders>
            <w:shd w:val="solid" w:color="000000" w:fill="000000"/>
          </w:tcPr>
          <w:p w14:paraId="565BAE74" w14:textId="07D7DCFC" w:rsidR="000E4873" w:rsidRPr="009445DF" w:rsidRDefault="00443AF1" w:rsidP="00153C8A">
            <w:pPr>
              <w:pStyle w:val="TableText0"/>
              <w:keepNext w:val="0"/>
              <w:widowControl w:val="0"/>
              <w:rPr>
                <w:b/>
                <w:bCs/>
                <w:highlight w:val="green"/>
              </w:rPr>
            </w:pPr>
            <w:r w:rsidRPr="00443AF1">
              <w:rPr>
                <w:b/>
                <w:bCs/>
                <w:color w:val="000000"/>
                <w:spacing w:val="56"/>
                <w:fitText w:val="352" w:id="-1429520121"/>
                <w14:textFill>
                  <w14:solidFill>
                    <w14:srgbClr w14:val="000000">
                      <w14:alpha w14:val="100000"/>
                    </w14:srgbClr>
                  </w14:solidFill>
                </w14:textFill>
              </w:rPr>
              <w:t>|||</w:t>
            </w:r>
            <w:r w:rsidRPr="00443AF1">
              <w:rPr>
                <w:b/>
                <w:bCs/>
                <w:color w:val="000000"/>
                <w:spacing w:val="1"/>
                <w:fitText w:val="352" w:id="-1429520121"/>
                <w14:textFill>
                  <w14:solidFill>
                    <w14:srgbClr w14:val="000000">
                      <w14:alpha w14:val="100000"/>
                    </w14:srgbClr>
                  </w14:solidFill>
                </w14:textFill>
              </w:rPr>
              <w:t>|</w:t>
            </w:r>
          </w:p>
        </w:tc>
        <w:tc>
          <w:tcPr>
            <w:tcW w:w="535" w:type="pct"/>
            <w:tcBorders>
              <w:bottom w:val="single" w:sz="4" w:space="0" w:color="auto"/>
            </w:tcBorders>
            <w:shd w:val="solid" w:color="000000" w:fill="000000"/>
          </w:tcPr>
          <w:p w14:paraId="16408683" w14:textId="64C8CCD7" w:rsidR="000E4873" w:rsidRPr="009445DF" w:rsidRDefault="00443AF1" w:rsidP="00153C8A">
            <w:pPr>
              <w:pStyle w:val="TableText0"/>
              <w:keepNext w:val="0"/>
              <w:widowControl w:val="0"/>
              <w:rPr>
                <w:b/>
                <w:bCs/>
                <w:snapToGrid w:val="0"/>
                <w:highlight w:val="green"/>
              </w:rPr>
            </w:pPr>
            <w:r w:rsidRPr="00443AF1">
              <w:rPr>
                <w:b/>
                <w:bCs/>
                <w:color w:val="000000"/>
                <w:spacing w:val="56"/>
                <w:fitText w:val="352" w:id="-1429520120"/>
                <w14:textFill>
                  <w14:solidFill>
                    <w14:srgbClr w14:val="000000">
                      <w14:alpha w14:val="100000"/>
                    </w14:srgbClr>
                  </w14:solidFill>
                </w14:textFill>
              </w:rPr>
              <w:t>|||</w:t>
            </w:r>
            <w:r w:rsidRPr="00443AF1">
              <w:rPr>
                <w:b/>
                <w:bCs/>
                <w:color w:val="000000"/>
                <w:spacing w:val="1"/>
                <w:fitText w:val="352" w:id="-1429520120"/>
                <w14:textFill>
                  <w14:solidFill>
                    <w14:srgbClr w14:val="000000">
                      <w14:alpha w14:val="100000"/>
                    </w14:srgbClr>
                  </w14:solidFill>
                </w14:textFill>
              </w:rPr>
              <w:t>|</w:t>
            </w:r>
          </w:p>
        </w:tc>
        <w:tc>
          <w:tcPr>
            <w:tcW w:w="272" w:type="pct"/>
            <w:tcBorders>
              <w:bottom w:val="single" w:sz="4" w:space="0" w:color="auto"/>
            </w:tcBorders>
            <w:shd w:val="solid" w:color="000000" w:fill="000000"/>
          </w:tcPr>
          <w:p w14:paraId="4475186C" w14:textId="14F19DFB" w:rsidR="000E4873" w:rsidRPr="009445DF" w:rsidRDefault="00443AF1" w:rsidP="00153C8A">
            <w:pPr>
              <w:pStyle w:val="TableText0"/>
              <w:keepNext w:val="0"/>
              <w:widowControl w:val="0"/>
              <w:rPr>
                <w:b/>
                <w:bCs/>
                <w:snapToGrid w:val="0"/>
                <w:highlight w:val="green"/>
              </w:rPr>
            </w:pPr>
            <w:r w:rsidRPr="00443AF1">
              <w:rPr>
                <w:b/>
                <w:bCs/>
                <w:color w:val="000000"/>
                <w:spacing w:val="56"/>
                <w:fitText w:val="352" w:id="-1429520119"/>
                <w14:textFill>
                  <w14:solidFill>
                    <w14:srgbClr w14:val="000000">
                      <w14:alpha w14:val="100000"/>
                    </w14:srgbClr>
                  </w14:solidFill>
                </w14:textFill>
              </w:rPr>
              <w:t>|||</w:t>
            </w:r>
            <w:r w:rsidRPr="00443AF1">
              <w:rPr>
                <w:b/>
                <w:bCs/>
                <w:color w:val="000000"/>
                <w:spacing w:val="1"/>
                <w:fitText w:val="352" w:id="-1429520119"/>
                <w14:textFill>
                  <w14:solidFill>
                    <w14:srgbClr w14:val="000000">
                      <w14:alpha w14:val="100000"/>
                    </w14:srgbClr>
                  </w14:solidFill>
                </w14:textFill>
              </w:rPr>
              <w:t>|</w:t>
            </w:r>
          </w:p>
        </w:tc>
      </w:tr>
      <w:tr w:rsidR="00812236" w:rsidRPr="0087277A" w14:paraId="36A33053" w14:textId="77777777" w:rsidTr="00443AF1">
        <w:tc>
          <w:tcPr>
            <w:tcW w:w="785" w:type="pct"/>
            <w:shd w:val="clear" w:color="auto" w:fill="auto"/>
            <w:vAlign w:val="bottom"/>
          </w:tcPr>
          <w:p w14:paraId="5C0A650F" w14:textId="77777777" w:rsidR="000E4873" w:rsidRPr="009445DF" w:rsidRDefault="000E4873" w:rsidP="00153C8A">
            <w:pPr>
              <w:pStyle w:val="TableText0"/>
              <w:keepNext w:val="0"/>
              <w:widowControl w:val="0"/>
              <w:ind w:firstLine="227"/>
              <w:rPr>
                <w:snapToGrid w:val="0"/>
              </w:rPr>
            </w:pPr>
            <w:r w:rsidRPr="009445DF">
              <w:rPr>
                <w:snapToGrid w:val="0"/>
              </w:rPr>
              <w:t>Device pain</w:t>
            </w:r>
          </w:p>
        </w:tc>
        <w:tc>
          <w:tcPr>
            <w:tcW w:w="424" w:type="pct"/>
          </w:tcPr>
          <w:p w14:paraId="15D3DCB9" w14:textId="77777777" w:rsidR="000E4873" w:rsidRPr="009445DF" w:rsidRDefault="000E4873" w:rsidP="00153C8A">
            <w:pPr>
              <w:pStyle w:val="TableText0"/>
              <w:keepNext w:val="0"/>
              <w:widowControl w:val="0"/>
              <w:rPr>
                <w:snapToGrid w:val="0"/>
              </w:rPr>
            </w:pPr>
            <w:r w:rsidRPr="009445DF">
              <w:t>0 (0.0%)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BC76ABD" w14:textId="77777777" w:rsidR="000E4873" w:rsidRPr="009445DF" w:rsidRDefault="000E4873" w:rsidP="00153C8A">
            <w:pPr>
              <w:pStyle w:val="TableText0"/>
              <w:keepNext w:val="0"/>
              <w:widowControl w:val="0"/>
            </w:pPr>
            <w:r w:rsidRPr="009445DF">
              <w:rPr>
                <w:rFonts w:cs="Times New Roman"/>
                <w:color w:val="000000" w:themeColor="text1"/>
                <w:lang w:eastAsia="zh-CN" w:bidi="he-IL"/>
              </w:rPr>
              <w:t>0.0% (0.0-0.1%)</w:t>
            </w:r>
          </w:p>
        </w:tc>
        <w:tc>
          <w:tcPr>
            <w:tcW w:w="422" w:type="pct"/>
            <w:gridSpan w:val="2"/>
            <w:tcBorders>
              <w:bottom w:val="single" w:sz="4" w:space="0" w:color="auto"/>
            </w:tcBorders>
            <w:shd w:val="solid" w:color="000000" w:fill="000000"/>
          </w:tcPr>
          <w:p w14:paraId="2C56C414" w14:textId="53D89882" w:rsidR="000E4873" w:rsidRPr="009445DF" w:rsidRDefault="00443AF1" w:rsidP="00153C8A">
            <w:pPr>
              <w:pStyle w:val="TableText0"/>
              <w:keepNext w:val="0"/>
              <w:widowControl w:val="0"/>
              <w:rPr>
                <w:snapToGrid w:val="0"/>
                <w:highlight w:val="green"/>
              </w:rPr>
            </w:pPr>
            <w:r w:rsidRPr="00443AF1">
              <w:rPr>
                <w:color w:val="000000"/>
                <w:spacing w:val="49"/>
                <w:fitText w:val="318" w:id="-1429520118"/>
                <w14:textFill>
                  <w14:solidFill>
                    <w14:srgbClr w14:val="000000">
                      <w14:alpha w14:val="100000"/>
                    </w14:srgbClr>
                  </w14:solidFill>
                </w14:textFill>
              </w:rPr>
              <w:t>|||</w:t>
            </w:r>
            <w:r w:rsidRPr="00443AF1">
              <w:rPr>
                <w:color w:val="000000"/>
                <w:spacing w:val="1"/>
                <w:fitText w:val="318" w:id="-1429520118"/>
                <w14:textFill>
                  <w14:solidFill>
                    <w14:srgbClr w14:val="000000">
                      <w14:alpha w14:val="100000"/>
                    </w14:srgbClr>
                  </w14:solidFill>
                </w14:textFill>
              </w:rPr>
              <w:t>|</w:t>
            </w:r>
          </w:p>
        </w:tc>
        <w:tc>
          <w:tcPr>
            <w:tcW w:w="424" w:type="pct"/>
          </w:tcPr>
          <w:p w14:paraId="17AD1101" w14:textId="77777777" w:rsidR="000E4873" w:rsidRPr="009445DF" w:rsidRDefault="000E4873" w:rsidP="00153C8A">
            <w:pPr>
              <w:pStyle w:val="TableText0"/>
              <w:keepNext w:val="0"/>
              <w:widowControl w:val="0"/>
              <w:rPr>
                <w:snapToGrid w:val="0"/>
              </w:rPr>
            </w:pPr>
            <w:r w:rsidRPr="009445DF">
              <w:t>*</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65720FC1" w14:textId="77777777" w:rsidR="000E4873" w:rsidRPr="009445DF" w:rsidRDefault="000E4873" w:rsidP="009E6CF9">
            <w:pPr>
              <w:pStyle w:val="TableText0"/>
              <w:keepNext w:val="0"/>
              <w:widowControl w:val="0"/>
            </w:pPr>
            <w:r w:rsidRPr="009445DF">
              <w:rPr>
                <w:rFonts w:cs="Times New Roman"/>
                <w:color w:val="000000" w:themeColor="text1"/>
                <w:lang w:eastAsia="zh-CN" w:bidi="he-IL"/>
              </w:rPr>
              <w:t>*</w:t>
            </w:r>
          </w:p>
        </w:tc>
        <w:tc>
          <w:tcPr>
            <w:tcW w:w="422" w:type="pct"/>
            <w:gridSpan w:val="2"/>
            <w:tcBorders>
              <w:bottom w:val="single" w:sz="4" w:space="0" w:color="auto"/>
            </w:tcBorders>
            <w:shd w:val="solid" w:color="000000" w:fill="000000"/>
          </w:tcPr>
          <w:p w14:paraId="63D34863" w14:textId="3BC5F27E" w:rsidR="000E4873" w:rsidRPr="009445DF" w:rsidRDefault="00443AF1" w:rsidP="00153C8A">
            <w:pPr>
              <w:pStyle w:val="TableText0"/>
              <w:keepNext w:val="0"/>
              <w:widowControl w:val="0"/>
              <w:rPr>
                <w:snapToGrid w:val="0"/>
                <w:highlight w:val="green"/>
              </w:rPr>
            </w:pPr>
            <w:r w:rsidRPr="00443AF1">
              <w:rPr>
                <w:color w:val="000000"/>
                <w:spacing w:val="49"/>
                <w:fitText w:val="318" w:id="-1429520117"/>
                <w14:textFill>
                  <w14:solidFill>
                    <w14:srgbClr w14:val="000000">
                      <w14:alpha w14:val="100000"/>
                    </w14:srgbClr>
                  </w14:solidFill>
                </w14:textFill>
              </w:rPr>
              <w:t>|||</w:t>
            </w:r>
            <w:r w:rsidRPr="00443AF1">
              <w:rPr>
                <w:color w:val="000000"/>
                <w:spacing w:val="1"/>
                <w:fitText w:val="318" w:id="-1429520117"/>
                <w14:textFill>
                  <w14:solidFill>
                    <w14:srgbClr w14:val="000000">
                      <w14:alpha w14:val="100000"/>
                    </w14:srgbClr>
                  </w14:solidFill>
                </w14:textFill>
              </w:rPr>
              <w:t>|</w:t>
            </w:r>
          </w:p>
        </w:tc>
        <w:tc>
          <w:tcPr>
            <w:tcW w:w="425" w:type="pct"/>
            <w:tcBorders>
              <w:top w:val="nil"/>
              <w:left w:val="nil"/>
              <w:bottom w:val="single" w:sz="4" w:space="0" w:color="auto"/>
              <w:right w:val="single" w:sz="4" w:space="0" w:color="auto"/>
            </w:tcBorders>
            <w:shd w:val="clear" w:color="auto" w:fill="auto"/>
            <w:vAlign w:val="center"/>
          </w:tcPr>
          <w:p w14:paraId="3B8CDFAC" w14:textId="77777777" w:rsidR="000E4873" w:rsidRPr="009445DF" w:rsidRDefault="000E4873" w:rsidP="00153C8A">
            <w:pPr>
              <w:pStyle w:val="TableText0"/>
              <w:keepNext w:val="0"/>
              <w:widowControl w:val="0"/>
              <w:rPr>
                <w:b/>
                <w:bCs/>
              </w:rPr>
            </w:pPr>
            <w:r w:rsidRPr="009445DF">
              <w:rPr>
                <w:rFonts w:cs="Times New Roman"/>
                <w:color w:val="000000" w:themeColor="text1"/>
                <w:lang w:eastAsia="zh-CN" w:bidi="he-IL"/>
              </w:rPr>
              <w:t>&lt;.0001</w:t>
            </w:r>
          </w:p>
        </w:tc>
        <w:tc>
          <w:tcPr>
            <w:tcW w:w="495" w:type="pct"/>
            <w:tcBorders>
              <w:bottom w:val="single" w:sz="4" w:space="0" w:color="auto"/>
            </w:tcBorders>
            <w:shd w:val="solid" w:color="000000" w:fill="000000"/>
          </w:tcPr>
          <w:p w14:paraId="266D9DEE" w14:textId="13D6DF59" w:rsidR="000E4873" w:rsidRPr="009445DF" w:rsidRDefault="00443AF1" w:rsidP="00153C8A">
            <w:pPr>
              <w:pStyle w:val="TableText0"/>
              <w:keepNext w:val="0"/>
              <w:widowControl w:val="0"/>
              <w:rPr>
                <w:b/>
                <w:bCs/>
                <w:highlight w:val="green"/>
              </w:rPr>
            </w:pPr>
            <w:r w:rsidRPr="00443AF1">
              <w:rPr>
                <w:b/>
                <w:bCs/>
                <w:color w:val="000000"/>
                <w:spacing w:val="56"/>
                <w:fitText w:val="352" w:id="-1429520116"/>
                <w14:textFill>
                  <w14:solidFill>
                    <w14:srgbClr w14:val="000000">
                      <w14:alpha w14:val="100000"/>
                    </w14:srgbClr>
                  </w14:solidFill>
                </w14:textFill>
              </w:rPr>
              <w:t>|||</w:t>
            </w:r>
            <w:r w:rsidRPr="00443AF1">
              <w:rPr>
                <w:b/>
                <w:bCs/>
                <w:color w:val="000000"/>
                <w:spacing w:val="1"/>
                <w:fitText w:val="352" w:id="-1429520116"/>
                <w14:textFill>
                  <w14:solidFill>
                    <w14:srgbClr w14:val="000000">
                      <w14:alpha w14:val="100000"/>
                    </w14:srgbClr>
                  </w14:solidFill>
                </w14:textFill>
              </w:rPr>
              <w:t>|</w:t>
            </w:r>
          </w:p>
        </w:tc>
        <w:tc>
          <w:tcPr>
            <w:tcW w:w="535" w:type="pct"/>
            <w:tcBorders>
              <w:bottom w:val="single" w:sz="4" w:space="0" w:color="auto"/>
            </w:tcBorders>
            <w:shd w:val="solid" w:color="000000" w:fill="000000"/>
          </w:tcPr>
          <w:p w14:paraId="56508222" w14:textId="64B43136" w:rsidR="000E4873" w:rsidRPr="009445DF" w:rsidRDefault="00443AF1" w:rsidP="00153C8A">
            <w:pPr>
              <w:pStyle w:val="TableText0"/>
              <w:keepNext w:val="0"/>
              <w:widowControl w:val="0"/>
              <w:rPr>
                <w:b/>
                <w:bCs/>
                <w:snapToGrid w:val="0"/>
                <w:highlight w:val="green"/>
              </w:rPr>
            </w:pPr>
            <w:r w:rsidRPr="00443AF1">
              <w:rPr>
                <w:b/>
                <w:bCs/>
                <w:color w:val="000000"/>
                <w:spacing w:val="56"/>
                <w:fitText w:val="352" w:id="-1429520115"/>
                <w14:textFill>
                  <w14:solidFill>
                    <w14:srgbClr w14:val="000000">
                      <w14:alpha w14:val="100000"/>
                    </w14:srgbClr>
                  </w14:solidFill>
                </w14:textFill>
              </w:rPr>
              <w:t>|||</w:t>
            </w:r>
            <w:r w:rsidRPr="00443AF1">
              <w:rPr>
                <w:b/>
                <w:bCs/>
                <w:color w:val="000000"/>
                <w:spacing w:val="1"/>
                <w:fitText w:val="352" w:id="-1429520115"/>
                <w14:textFill>
                  <w14:solidFill>
                    <w14:srgbClr w14:val="000000">
                      <w14:alpha w14:val="100000"/>
                    </w14:srgbClr>
                  </w14:solidFill>
                </w14:textFill>
              </w:rPr>
              <w:t>|</w:t>
            </w:r>
          </w:p>
        </w:tc>
        <w:tc>
          <w:tcPr>
            <w:tcW w:w="272" w:type="pct"/>
            <w:tcBorders>
              <w:bottom w:val="single" w:sz="4" w:space="0" w:color="auto"/>
            </w:tcBorders>
            <w:shd w:val="solid" w:color="000000" w:fill="000000"/>
          </w:tcPr>
          <w:p w14:paraId="699D47E9" w14:textId="00311536" w:rsidR="000E4873" w:rsidRPr="009445DF" w:rsidRDefault="00443AF1" w:rsidP="00153C8A">
            <w:pPr>
              <w:pStyle w:val="TableText0"/>
              <w:keepNext w:val="0"/>
              <w:widowControl w:val="0"/>
              <w:rPr>
                <w:b/>
                <w:bCs/>
                <w:snapToGrid w:val="0"/>
                <w:highlight w:val="green"/>
              </w:rPr>
            </w:pPr>
            <w:r w:rsidRPr="00443AF1">
              <w:rPr>
                <w:b/>
                <w:bCs/>
                <w:color w:val="000000"/>
                <w:spacing w:val="56"/>
                <w:fitText w:val="352" w:id="-1429520114"/>
                <w14:textFill>
                  <w14:solidFill>
                    <w14:srgbClr w14:val="000000">
                      <w14:alpha w14:val="100000"/>
                    </w14:srgbClr>
                  </w14:solidFill>
                </w14:textFill>
              </w:rPr>
              <w:t>|||</w:t>
            </w:r>
            <w:r w:rsidRPr="00443AF1">
              <w:rPr>
                <w:b/>
                <w:bCs/>
                <w:color w:val="000000"/>
                <w:spacing w:val="1"/>
                <w:fitText w:val="352" w:id="-1429520114"/>
                <w14:textFill>
                  <w14:solidFill>
                    <w14:srgbClr w14:val="000000">
                      <w14:alpha w14:val="100000"/>
                    </w14:srgbClr>
                  </w14:solidFill>
                </w14:textFill>
              </w:rPr>
              <w:t>|</w:t>
            </w:r>
          </w:p>
        </w:tc>
      </w:tr>
      <w:tr w:rsidR="00E51F42" w:rsidRPr="0087277A" w14:paraId="5EC8A561" w14:textId="77777777" w:rsidTr="00443AF1">
        <w:tc>
          <w:tcPr>
            <w:tcW w:w="785" w:type="pct"/>
            <w:shd w:val="clear" w:color="auto" w:fill="auto"/>
            <w:vAlign w:val="bottom"/>
          </w:tcPr>
          <w:p w14:paraId="1B3077E5" w14:textId="77777777" w:rsidR="000E4873" w:rsidRPr="009445DF" w:rsidRDefault="000E4873" w:rsidP="00153C8A">
            <w:pPr>
              <w:pStyle w:val="TableText0"/>
              <w:keepNext w:val="0"/>
              <w:widowControl w:val="0"/>
              <w:ind w:firstLine="227"/>
              <w:rPr>
                <w:snapToGrid w:val="0"/>
              </w:rPr>
            </w:pPr>
            <w:r w:rsidRPr="009445DF">
              <w:rPr>
                <w:snapToGrid w:val="0"/>
              </w:rPr>
              <w:t>Device stenosis</w:t>
            </w:r>
          </w:p>
        </w:tc>
        <w:tc>
          <w:tcPr>
            <w:tcW w:w="424" w:type="pct"/>
          </w:tcPr>
          <w:p w14:paraId="2D744B95" w14:textId="77777777" w:rsidR="000E4873" w:rsidRPr="009445DF" w:rsidRDefault="000E4873" w:rsidP="00153C8A">
            <w:pPr>
              <w:pStyle w:val="TableText0"/>
              <w:keepNext w:val="0"/>
              <w:widowControl w:val="0"/>
              <w:rPr>
                <w:snapToGrid w:val="0"/>
              </w:rPr>
            </w:pPr>
            <w:r w:rsidRPr="009445DF">
              <w:t>24 (0.4%)</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6184603A" w14:textId="77777777" w:rsidR="000E4873" w:rsidRPr="009445DF" w:rsidRDefault="000E4873" w:rsidP="00153C8A">
            <w:pPr>
              <w:pStyle w:val="TableText0"/>
              <w:keepNext w:val="0"/>
              <w:widowControl w:val="0"/>
            </w:pPr>
            <w:r w:rsidRPr="009445DF">
              <w:rPr>
                <w:rFonts w:cs="Times New Roman"/>
                <w:color w:val="000000" w:themeColor="text1"/>
                <w:lang w:eastAsia="zh-CN" w:bidi="he-IL"/>
              </w:rPr>
              <w:t>0.4% (0.3%-0.6%)</w:t>
            </w:r>
          </w:p>
        </w:tc>
        <w:tc>
          <w:tcPr>
            <w:tcW w:w="422" w:type="pct"/>
            <w:gridSpan w:val="2"/>
            <w:tcBorders>
              <w:bottom w:val="single" w:sz="4" w:space="0" w:color="auto"/>
            </w:tcBorders>
            <w:shd w:val="solid" w:color="000000" w:fill="000000"/>
          </w:tcPr>
          <w:p w14:paraId="2E6C8DC1" w14:textId="258CFCA9" w:rsidR="000E4873" w:rsidRPr="009445DF" w:rsidRDefault="00443AF1" w:rsidP="00153C8A">
            <w:pPr>
              <w:pStyle w:val="TableText0"/>
              <w:keepNext w:val="0"/>
              <w:widowControl w:val="0"/>
              <w:rPr>
                <w:snapToGrid w:val="0"/>
                <w:highlight w:val="green"/>
              </w:rPr>
            </w:pPr>
            <w:r w:rsidRPr="00443AF1">
              <w:rPr>
                <w:color w:val="000000"/>
                <w:spacing w:val="49"/>
                <w:fitText w:val="318" w:id="-1429520113"/>
                <w14:textFill>
                  <w14:solidFill>
                    <w14:srgbClr w14:val="000000">
                      <w14:alpha w14:val="100000"/>
                    </w14:srgbClr>
                  </w14:solidFill>
                </w14:textFill>
              </w:rPr>
              <w:t>|||</w:t>
            </w:r>
            <w:r w:rsidRPr="00443AF1">
              <w:rPr>
                <w:color w:val="000000"/>
                <w:spacing w:val="1"/>
                <w:fitText w:val="318" w:id="-1429520113"/>
                <w14:textFill>
                  <w14:solidFill>
                    <w14:srgbClr w14:val="000000">
                      <w14:alpha w14:val="100000"/>
                    </w14:srgbClr>
                  </w14:solidFill>
                </w14:textFill>
              </w:rPr>
              <w:t>|</w:t>
            </w:r>
          </w:p>
        </w:tc>
        <w:tc>
          <w:tcPr>
            <w:tcW w:w="424" w:type="pct"/>
          </w:tcPr>
          <w:p w14:paraId="1586E22F" w14:textId="77777777" w:rsidR="000E4873" w:rsidRPr="009445DF" w:rsidRDefault="000E4873" w:rsidP="00153C8A">
            <w:pPr>
              <w:pStyle w:val="TableText0"/>
              <w:keepNext w:val="0"/>
              <w:widowControl w:val="0"/>
              <w:rPr>
                <w:snapToGrid w:val="0"/>
              </w:rPr>
            </w:pPr>
            <w:r w:rsidRPr="009445DF">
              <w:t>30 (0.3%)</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29FD9F9" w14:textId="77777777" w:rsidR="000E4873" w:rsidRPr="009445DF" w:rsidRDefault="000E4873" w:rsidP="00153C8A">
            <w:pPr>
              <w:pStyle w:val="TableText0"/>
              <w:keepNext w:val="0"/>
              <w:widowControl w:val="0"/>
            </w:pPr>
            <w:r w:rsidRPr="009445DF">
              <w:rPr>
                <w:rFonts w:cs="Times New Roman"/>
                <w:color w:val="000000" w:themeColor="text1"/>
                <w:lang w:eastAsia="zh-CN" w:bidi="he-IL"/>
              </w:rPr>
              <w:t>0.3% (0.2%-0.5%)</w:t>
            </w:r>
          </w:p>
        </w:tc>
        <w:tc>
          <w:tcPr>
            <w:tcW w:w="422" w:type="pct"/>
            <w:gridSpan w:val="2"/>
            <w:tcBorders>
              <w:bottom w:val="single" w:sz="4" w:space="0" w:color="auto"/>
            </w:tcBorders>
            <w:shd w:val="solid" w:color="000000" w:fill="000000"/>
          </w:tcPr>
          <w:p w14:paraId="797A086F" w14:textId="10342B2E" w:rsidR="000E4873" w:rsidRPr="009445DF" w:rsidRDefault="00443AF1" w:rsidP="00153C8A">
            <w:pPr>
              <w:pStyle w:val="TableText0"/>
              <w:keepNext w:val="0"/>
              <w:widowControl w:val="0"/>
              <w:rPr>
                <w:snapToGrid w:val="0"/>
                <w:highlight w:val="green"/>
              </w:rPr>
            </w:pPr>
            <w:r w:rsidRPr="00443AF1">
              <w:rPr>
                <w:color w:val="000000"/>
                <w:spacing w:val="49"/>
                <w:fitText w:val="318" w:id="-1429520112"/>
                <w14:textFill>
                  <w14:solidFill>
                    <w14:srgbClr w14:val="000000">
                      <w14:alpha w14:val="100000"/>
                    </w14:srgbClr>
                  </w14:solidFill>
                </w14:textFill>
              </w:rPr>
              <w:t>|||</w:t>
            </w:r>
            <w:r w:rsidRPr="00443AF1">
              <w:rPr>
                <w:color w:val="000000"/>
                <w:spacing w:val="1"/>
                <w:fitText w:val="318" w:id="-1429520112"/>
                <w14:textFill>
                  <w14:solidFill>
                    <w14:srgbClr w14:val="000000">
                      <w14:alpha w14:val="100000"/>
                    </w14:srgbClr>
                  </w14:solidFill>
                </w14:textFill>
              </w:rPr>
              <w:t>|</w:t>
            </w:r>
          </w:p>
        </w:tc>
        <w:tc>
          <w:tcPr>
            <w:tcW w:w="425" w:type="pct"/>
            <w:tcBorders>
              <w:top w:val="nil"/>
              <w:left w:val="nil"/>
              <w:bottom w:val="single" w:sz="4" w:space="0" w:color="auto"/>
              <w:right w:val="single" w:sz="4" w:space="0" w:color="auto"/>
            </w:tcBorders>
            <w:shd w:val="clear" w:color="auto" w:fill="auto"/>
            <w:vAlign w:val="center"/>
          </w:tcPr>
          <w:p w14:paraId="59A28894" w14:textId="77777777" w:rsidR="000E4873" w:rsidRPr="009445DF" w:rsidRDefault="000E4873" w:rsidP="00153C8A">
            <w:pPr>
              <w:pStyle w:val="TableText0"/>
              <w:keepNext w:val="0"/>
              <w:widowControl w:val="0"/>
            </w:pPr>
            <w:r w:rsidRPr="009445DF">
              <w:rPr>
                <w:rFonts w:cs="Times New Roman"/>
                <w:color w:val="000000" w:themeColor="text1"/>
                <w:lang w:eastAsia="zh-CN" w:bidi="he-IL"/>
              </w:rPr>
              <w:t>0.27</w:t>
            </w:r>
          </w:p>
        </w:tc>
        <w:tc>
          <w:tcPr>
            <w:tcW w:w="495" w:type="pct"/>
            <w:tcBorders>
              <w:bottom w:val="single" w:sz="4" w:space="0" w:color="auto"/>
            </w:tcBorders>
            <w:shd w:val="solid" w:color="000000" w:fill="000000"/>
          </w:tcPr>
          <w:p w14:paraId="4B5E7227" w14:textId="60686FC9" w:rsidR="000E4873" w:rsidRPr="009445DF" w:rsidRDefault="00443AF1" w:rsidP="00153C8A">
            <w:pPr>
              <w:pStyle w:val="TableText0"/>
              <w:keepNext w:val="0"/>
              <w:widowControl w:val="0"/>
              <w:rPr>
                <w:highlight w:val="green"/>
              </w:rPr>
            </w:pPr>
            <w:r w:rsidRPr="00443AF1">
              <w:rPr>
                <w:color w:val="000000"/>
                <w:spacing w:val="49"/>
                <w:fitText w:val="318" w:id="-1429520128"/>
                <w14:textFill>
                  <w14:solidFill>
                    <w14:srgbClr w14:val="000000">
                      <w14:alpha w14:val="100000"/>
                    </w14:srgbClr>
                  </w14:solidFill>
                </w14:textFill>
              </w:rPr>
              <w:t>|||</w:t>
            </w:r>
            <w:r w:rsidRPr="00443AF1">
              <w:rPr>
                <w:color w:val="000000"/>
                <w:spacing w:val="1"/>
                <w:fitText w:val="318" w:id="-1429520128"/>
                <w14:textFill>
                  <w14:solidFill>
                    <w14:srgbClr w14:val="000000">
                      <w14:alpha w14:val="100000"/>
                    </w14:srgbClr>
                  </w14:solidFill>
                </w14:textFill>
              </w:rPr>
              <w:t>|</w:t>
            </w:r>
          </w:p>
        </w:tc>
        <w:tc>
          <w:tcPr>
            <w:tcW w:w="535" w:type="pct"/>
            <w:tcBorders>
              <w:bottom w:val="single" w:sz="4" w:space="0" w:color="auto"/>
            </w:tcBorders>
            <w:shd w:val="solid" w:color="000000" w:fill="000000"/>
          </w:tcPr>
          <w:p w14:paraId="014E1A96" w14:textId="660AAF25" w:rsidR="000E4873" w:rsidRPr="009445DF" w:rsidRDefault="00443AF1" w:rsidP="00153C8A">
            <w:pPr>
              <w:pStyle w:val="TableText0"/>
              <w:keepNext w:val="0"/>
              <w:widowControl w:val="0"/>
              <w:rPr>
                <w:snapToGrid w:val="0"/>
                <w:highlight w:val="green"/>
              </w:rPr>
            </w:pPr>
            <w:r w:rsidRPr="00443AF1">
              <w:rPr>
                <w:color w:val="000000"/>
                <w:spacing w:val="49"/>
                <w:fitText w:val="318" w:id="-1429520127"/>
                <w14:textFill>
                  <w14:solidFill>
                    <w14:srgbClr w14:val="000000">
                      <w14:alpha w14:val="100000"/>
                    </w14:srgbClr>
                  </w14:solidFill>
                </w14:textFill>
              </w:rPr>
              <w:t>|||</w:t>
            </w:r>
            <w:r w:rsidRPr="00443AF1">
              <w:rPr>
                <w:color w:val="000000"/>
                <w:spacing w:val="1"/>
                <w:fitText w:val="318" w:id="-1429520127"/>
                <w14:textFill>
                  <w14:solidFill>
                    <w14:srgbClr w14:val="000000">
                      <w14:alpha w14:val="100000"/>
                    </w14:srgbClr>
                  </w14:solidFill>
                </w14:textFill>
              </w:rPr>
              <w:t>|</w:t>
            </w:r>
          </w:p>
        </w:tc>
        <w:tc>
          <w:tcPr>
            <w:tcW w:w="272" w:type="pct"/>
            <w:tcBorders>
              <w:bottom w:val="single" w:sz="4" w:space="0" w:color="auto"/>
            </w:tcBorders>
            <w:shd w:val="solid" w:color="000000" w:fill="000000"/>
          </w:tcPr>
          <w:p w14:paraId="2C5EACDB" w14:textId="07929D7C" w:rsidR="000E4873" w:rsidRPr="009445DF" w:rsidRDefault="00443AF1" w:rsidP="00153C8A">
            <w:pPr>
              <w:pStyle w:val="TableText0"/>
              <w:keepNext w:val="0"/>
              <w:widowControl w:val="0"/>
              <w:rPr>
                <w:snapToGrid w:val="0"/>
                <w:highlight w:val="green"/>
              </w:rPr>
            </w:pPr>
            <w:r w:rsidRPr="00443AF1">
              <w:rPr>
                <w:color w:val="000000"/>
                <w:spacing w:val="49"/>
                <w:fitText w:val="318" w:id="-1429520126"/>
                <w14:textFill>
                  <w14:solidFill>
                    <w14:srgbClr w14:val="000000">
                      <w14:alpha w14:val="100000"/>
                    </w14:srgbClr>
                  </w14:solidFill>
                </w14:textFill>
              </w:rPr>
              <w:t>|||</w:t>
            </w:r>
            <w:r w:rsidRPr="00443AF1">
              <w:rPr>
                <w:color w:val="000000"/>
                <w:spacing w:val="1"/>
                <w:fitText w:val="318" w:id="-1429520126"/>
                <w14:textFill>
                  <w14:solidFill>
                    <w14:srgbClr w14:val="000000">
                      <w14:alpha w14:val="100000"/>
                    </w14:srgbClr>
                  </w14:solidFill>
                </w14:textFill>
              </w:rPr>
              <w:t>|</w:t>
            </w:r>
          </w:p>
        </w:tc>
      </w:tr>
      <w:tr w:rsidR="00E51F42" w:rsidRPr="0087277A" w14:paraId="55BF0153" w14:textId="77777777" w:rsidTr="00443AF1">
        <w:tc>
          <w:tcPr>
            <w:tcW w:w="785" w:type="pct"/>
            <w:shd w:val="clear" w:color="auto" w:fill="auto"/>
            <w:vAlign w:val="bottom"/>
          </w:tcPr>
          <w:p w14:paraId="51916F4A" w14:textId="77777777" w:rsidR="000E4873" w:rsidRPr="009445DF" w:rsidRDefault="000E4873" w:rsidP="00153C8A">
            <w:pPr>
              <w:pStyle w:val="TableText0"/>
              <w:keepNext w:val="0"/>
              <w:widowControl w:val="0"/>
              <w:ind w:firstLine="227"/>
              <w:rPr>
                <w:snapToGrid w:val="0"/>
              </w:rPr>
            </w:pPr>
            <w:r w:rsidRPr="009445DF">
              <w:rPr>
                <w:snapToGrid w:val="0"/>
              </w:rPr>
              <w:t>Pocket complications</w:t>
            </w:r>
          </w:p>
        </w:tc>
        <w:tc>
          <w:tcPr>
            <w:tcW w:w="424" w:type="pct"/>
          </w:tcPr>
          <w:p w14:paraId="53673A81" w14:textId="77777777" w:rsidR="000E4873" w:rsidRPr="009445DF" w:rsidRDefault="000E4873" w:rsidP="00153C8A">
            <w:pPr>
              <w:pStyle w:val="TableText0"/>
              <w:keepNext w:val="0"/>
              <w:widowControl w:val="0"/>
              <w:rPr>
                <w:snapToGrid w:val="0"/>
              </w:rPr>
            </w:pPr>
            <w:r w:rsidRPr="009445DF">
              <w:t>N/A</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3A3C51C9" w14:textId="77777777" w:rsidR="000E4873" w:rsidRPr="009445DF" w:rsidRDefault="000E4873" w:rsidP="00153C8A">
            <w:pPr>
              <w:pStyle w:val="TableText0"/>
              <w:keepNext w:val="0"/>
              <w:widowControl w:val="0"/>
            </w:pPr>
            <w:r w:rsidRPr="009445DF">
              <w:rPr>
                <w:rFonts w:cs="Times New Roman"/>
                <w:color w:val="000000" w:themeColor="text1"/>
                <w:lang w:eastAsia="zh-CN" w:bidi="he-IL"/>
              </w:rPr>
              <w:t>N/A</w:t>
            </w:r>
          </w:p>
        </w:tc>
        <w:tc>
          <w:tcPr>
            <w:tcW w:w="422" w:type="pct"/>
            <w:gridSpan w:val="2"/>
            <w:shd w:val="solid" w:color="000000" w:fill="000000"/>
          </w:tcPr>
          <w:p w14:paraId="371A6D94" w14:textId="2CDB8F82" w:rsidR="000E4873" w:rsidRPr="009445DF" w:rsidRDefault="00443AF1" w:rsidP="00153C8A">
            <w:pPr>
              <w:pStyle w:val="TableText0"/>
              <w:keepNext w:val="0"/>
              <w:widowControl w:val="0"/>
              <w:rPr>
                <w:snapToGrid w:val="0"/>
                <w:highlight w:val="green"/>
              </w:rPr>
            </w:pPr>
            <w:r w:rsidRPr="00443AF1">
              <w:rPr>
                <w:color w:val="000000"/>
                <w:spacing w:val="49"/>
                <w:fitText w:val="318" w:id="-1429520125"/>
                <w14:textFill>
                  <w14:solidFill>
                    <w14:srgbClr w14:val="000000">
                      <w14:alpha w14:val="100000"/>
                    </w14:srgbClr>
                  </w14:solidFill>
                </w14:textFill>
              </w:rPr>
              <w:t>|||</w:t>
            </w:r>
            <w:r w:rsidRPr="00443AF1">
              <w:rPr>
                <w:color w:val="000000"/>
                <w:spacing w:val="1"/>
                <w:fitText w:val="318" w:id="-1429520125"/>
                <w14:textFill>
                  <w14:solidFill>
                    <w14:srgbClr w14:val="000000">
                      <w14:alpha w14:val="100000"/>
                    </w14:srgbClr>
                  </w14:solidFill>
                </w14:textFill>
              </w:rPr>
              <w:t>|</w:t>
            </w:r>
          </w:p>
        </w:tc>
        <w:tc>
          <w:tcPr>
            <w:tcW w:w="424" w:type="pct"/>
          </w:tcPr>
          <w:p w14:paraId="0BEA8D47" w14:textId="77777777" w:rsidR="000E4873" w:rsidRPr="009445DF" w:rsidRDefault="000E4873" w:rsidP="00153C8A">
            <w:pPr>
              <w:pStyle w:val="TableText0"/>
              <w:keepNext w:val="0"/>
              <w:widowControl w:val="0"/>
              <w:rPr>
                <w:snapToGrid w:val="0"/>
              </w:rPr>
            </w:pPr>
            <w:r w:rsidRPr="009445DF">
              <w:t>131 (1.3%)</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03A8D59" w14:textId="77777777" w:rsidR="000E4873" w:rsidRPr="009445DF" w:rsidRDefault="000E4873" w:rsidP="00153C8A">
            <w:pPr>
              <w:pStyle w:val="TableText0"/>
              <w:keepNext w:val="0"/>
              <w:widowControl w:val="0"/>
            </w:pPr>
            <w:r w:rsidRPr="009445DF">
              <w:rPr>
                <w:rFonts w:cs="Times New Roman"/>
                <w:color w:val="000000" w:themeColor="text1"/>
                <w:lang w:eastAsia="zh-CN" w:bidi="he-IL"/>
              </w:rPr>
              <w:t>1.4% (1.2%-1.6%)</w:t>
            </w:r>
          </w:p>
        </w:tc>
        <w:tc>
          <w:tcPr>
            <w:tcW w:w="422" w:type="pct"/>
            <w:gridSpan w:val="2"/>
            <w:shd w:val="solid" w:color="000000" w:fill="000000"/>
          </w:tcPr>
          <w:p w14:paraId="214D5DC9" w14:textId="7472A499" w:rsidR="000E4873" w:rsidRPr="009445DF" w:rsidRDefault="00443AF1" w:rsidP="00153C8A">
            <w:pPr>
              <w:pStyle w:val="TableText0"/>
              <w:keepNext w:val="0"/>
              <w:widowControl w:val="0"/>
              <w:rPr>
                <w:snapToGrid w:val="0"/>
                <w:highlight w:val="green"/>
              </w:rPr>
            </w:pPr>
            <w:r w:rsidRPr="00443AF1">
              <w:rPr>
                <w:color w:val="000000"/>
                <w:spacing w:val="49"/>
                <w:fitText w:val="318" w:id="-1429520124"/>
                <w14:textFill>
                  <w14:solidFill>
                    <w14:srgbClr w14:val="000000">
                      <w14:alpha w14:val="100000"/>
                    </w14:srgbClr>
                  </w14:solidFill>
                </w14:textFill>
              </w:rPr>
              <w:t>|||</w:t>
            </w:r>
            <w:r w:rsidRPr="00443AF1">
              <w:rPr>
                <w:color w:val="000000"/>
                <w:spacing w:val="1"/>
                <w:fitText w:val="318" w:id="-1429520124"/>
                <w14:textFill>
                  <w14:solidFill>
                    <w14:srgbClr w14:val="000000">
                      <w14:alpha w14:val="100000"/>
                    </w14:srgbClr>
                  </w14:solidFill>
                </w14:textFill>
              </w:rPr>
              <w:t>|</w:t>
            </w:r>
          </w:p>
        </w:tc>
        <w:tc>
          <w:tcPr>
            <w:tcW w:w="425" w:type="pct"/>
            <w:tcBorders>
              <w:top w:val="nil"/>
              <w:left w:val="nil"/>
              <w:bottom w:val="single" w:sz="4" w:space="0" w:color="auto"/>
              <w:right w:val="single" w:sz="4" w:space="0" w:color="auto"/>
            </w:tcBorders>
            <w:shd w:val="clear" w:color="auto" w:fill="auto"/>
            <w:vAlign w:val="center"/>
          </w:tcPr>
          <w:p w14:paraId="3013A251" w14:textId="77777777" w:rsidR="000E4873" w:rsidRPr="009445DF" w:rsidRDefault="000E4873" w:rsidP="00153C8A">
            <w:pPr>
              <w:pStyle w:val="TableText0"/>
              <w:keepNext w:val="0"/>
              <w:widowControl w:val="0"/>
            </w:pPr>
            <w:r w:rsidRPr="009445DF">
              <w:rPr>
                <w:rFonts w:cs="Times New Roman"/>
                <w:color w:val="000000" w:themeColor="text1"/>
                <w:lang w:eastAsia="zh-CN" w:bidi="he-IL"/>
              </w:rPr>
              <w:t>N/A</w:t>
            </w:r>
          </w:p>
        </w:tc>
        <w:tc>
          <w:tcPr>
            <w:tcW w:w="495" w:type="pct"/>
            <w:shd w:val="solid" w:color="000000" w:fill="000000"/>
          </w:tcPr>
          <w:p w14:paraId="7C46BD09" w14:textId="171A6BA3" w:rsidR="000E4873" w:rsidRPr="009445DF" w:rsidRDefault="00443AF1" w:rsidP="00153C8A">
            <w:pPr>
              <w:pStyle w:val="TableText0"/>
              <w:keepNext w:val="0"/>
              <w:widowControl w:val="0"/>
              <w:rPr>
                <w:highlight w:val="green"/>
              </w:rPr>
            </w:pPr>
            <w:r w:rsidRPr="00443AF1">
              <w:rPr>
                <w:color w:val="000000"/>
                <w:spacing w:val="49"/>
                <w:fitText w:val="318" w:id="-1429520123"/>
                <w14:textFill>
                  <w14:solidFill>
                    <w14:srgbClr w14:val="000000">
                      <w14:alpha w14:val="100000"/>
                    </w14:srgbClr>
                  </w14:solidFill>
                </w14:textFill>
              </w:rPr>
              <w:t>|||</w:t>
            </w:r>
            <w:r w:rsidRPr="00443AF1">
              <w:rPr>
                <w:color w:val="000000"/>
                <w:spacing w:val="1"/>
                <w:fitText w:val="318" w:id="-1429520123"/>
                <w14:textFill>
                  <w14:solidFill>
                    <w14:srgbClr w14:val="000000">
                      <w14:alpha w14:val="100000"/>
                    </w14:srgbClr>
                  </w14:solidFill>
                </w14:textFill>
              </w:rPr>
              <w:t>|</w:t>
            </w:r>
          </w:p>
        </w:tc>
        <w:tc>
          <w:tcPr>
            <w:tcW w:w="535" w:type="pct"/>
            <w:shd w:val="solid" w:color="000000" w:fill="000000"/>
          </w:tcPr>
          <w:p w14:paraId="40CF0AA4" w14:textId="4EBF77B8" w:rsidR="000E4873" w:rsidRPr="009445DF" w:rsidRDefault="00443AF1" w:rsidP="00153C8A">
            <w:pPr>
              <w:pStyle w:val="TableText0"/>
              <w:keepNext w:val="0"/>
              <w:widowControl w:val="0"/>
              <w:rPr>
                <w:snapToGrid w:val="0"/>
                <w:highlight w:val="green"/>
              </w:rPr>
            </w:pPr>
            <w:r w:rsidRPr="00443AF1">
              <w:rPr>
                <w:color w:val="000000"/>
                <w:spacing w:val="49"/>
                <w:fitText w:val="318" w:id="-1429520122"/>
                <w14:textFill>
                  <w14:solidFill>
                    <w14:srgbClr w14:val="000000">
                      <w14:alpha w14:val="100000"/>
                    </w14:srgbClr>
                  </w14:solidFill>
                </w14:textFill>
              </w:rPr>
              <w:t>|||</w:t>
            </w:r>
            <w:r w:rsidRPr="00443AF1">
              <w:rPr>
                <w:color w:val="000000"/>
                <w:spacing w:val="1"/>
                <w:fitText w:val="318" w:id="-1429520122"/>
                <w14:textFill>
                  <w14:solidFill>
                    <w14:srgbClr w14:val="000000">
                      <w14:alpha w14:val="100000"/>
                    </w14:srgbClr>
                  </w14:solidFill>
                </w14:textFill>
              </w:rPr>
              <w:t>|</w:t>
            </w:r>
          </w:p>
        </w:tc>
        <w:tc>
          <w:tcPr>
            <w:tcW w:w="272" w:type="pct"/>
            <w:shd w:val="solid" w:color="000000" w:fill="000000"/>
          </w:tcPr>
          <w:p w14:paraId="61D7FF88" w14:textId="29EE677C" w:rsidR="000E4873" w:rsidRPr="009445DF" w:rsidRDefault="00443AF1" w:rsidP="00153C8A">
            <w:pPr>
              <w:pStyle w:val="TableText0"/>
              <w:keepNext w:val="0"/>
              <w:widowControl w:val="0"/>
              <w:rPr>
                <w:snapToGrid w:val="0"/>
                <w:highlight w:val="green"/>
              </w:rPr>
            </w:pPr>
            <w:r w:rsidRPr="00443AF1">
              <w:rPr>
                <w:color w:val="000000"/>
                <w:spacing w:val="49"/>
                <w:fitText w:val="318" w:id="-1429520121"/>
                <w14:textFill>
                  <w14:solidFill>
                    <w14:srgbClr w14:val="000000">
                      <w14:alpha w14:val="100000"/>
                    </w14:srgbClr>
                  </w14:solidFill>
                </w14:textFill>
              </w:rPr>
              <w:t>|||</w:t>
            </w:r>
            <w:r w:rsidRPr="00443AF1">
              <w:rPr>
                <w:color w:val="000000"/>
                <w:spacing w:val="1"/>
                <w:fitText w:val="318" w:id="-1429520121"/>
                <w14:textFill>
                  <w14:solidFill>
                    <w14:srgbClr w14:val="000000">
                      <w14:alpha w14:val="100000"/>
                    </w14:srgbClr>
                  </w14:solidFill>
                </w14:textFill>
              </w:rPr>
              <w:t>|</w:t>
            </w:r>
          </w:p>
        </w:tc>
      </w:tr>
      <w:tr w:rsidR="00E51F42" w:rsidRPr="0087277A" w14:paraId="01806A17" w14:textId="77777777" w:rsidTr="0039015B">
        <w:tc>
          <w:tcPr>
            <w:tcW w:w="785" w:type="pct"/>
            <w:shd w:val="clear" w:color="auto" w:fill="auto"/>
            <w:vAlign w:val="bottom"/>
          </w:tcPr>
          <w:p w14:paraId="715FF610" w14:textId="77777777" w:rsidR="000E4873" w:rsidRDefault="000E4873" w:rsidP="00153C8A">
            <w:pPr>
              <w:pStyle w:val="TableText0"/>
              <w:keepNext w:val="0"/>
              <w:widowControl w:val="0"/>
              <w:rPr>
                <w:snapToGrid w:val="0"/>
              </w:rPr>
            </w:pPr>
            <w:r>
              <w:rPr>
                <w:snapToGrid w:val="0"/>
              </w:rPr>
              <w:lastRenderedPageBreak/>
              <w:t>Other complications</w:t>
            </w:r>
          </w:p>
        </w:tc>
        <w:tc>
          <w:tcPr>
            <w:tcW w:w="424" w:type="pct"/>
          </w:tcPr>
          <w:p w14:paraId="096FB5B5" w14:textId="77777777" w:rsidR="000E4873" w:rsidRPr="0087277A" w:rsidRDefault="000E4873" w:rsidP="00153C8A">
            <w:pPr>
              <w:pStyle w:val="TableText0"/>
              <w:keepNext w:val="0"/>
              <w:widowControl w:val="0"/>
              <w:rPr>
                <w:snapToGrid w:val="0"/>
              </w:rPr>
            </w:pPr>
            <w:r w:rsidRPr="00FD3A6B">
              <w:t>141 (2.3%)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1D9A97D4" w14:textId="77777777" w:rsidR="000E4873" w:rsidRPr="00B36F3E" w:rsidRDefault="000E4873" w:rsidP="00153C8A">
            <w:pPr>
              <w:pStyle w:val="TableText0"/>
              <w:keepNext w:val="0"/>
              <w:widowControl w:val="0"/>
            </w:pPr>
            <w:r w:rsidRPr="00C173DB">
              <w:rPr>
                <w:rFonts w:cs="Times New Roman"/>
                <w:color w:val="000000"/>
                <w:lang w:eastAsia="zh-CN" w:bidi="he-IL"/>
              </w:rPr>
              <w:t>2.2% (2.0% - 2.5%)</w:t>
            </w:r>
          </w:p>
        </w:tc>
        <w:tc>
          <w:tcPr>
            <w:tcW w:w="422" w:type="pct"/>
            <w:gridSpan w:val="2"/>
          </w:tcPr>
          <w:p w14:paraId="4EBF66E6" w14:textId="77777777" w:rsidR="000E4873" w:rsidRPr="0087277A" w:rsidRDefault="000E4873" w:rsidP="00153C8A">
            <w:pPr>
              <w:pStyle w:val="TableText0"/>
              <w:keepNext w:val="0"/>
              <w:widowControl w:val="0"/>
              <w:rPr>
                <w:snapToGrid w:val="0"/>
              </w:rPr>
            </w:pPr>
            <w:r w:rsidRPr="00FD3A6B">
              <w:t>2.1% (2.0%</w:t>
            </w:r>
            <w:r>
              <w:t xml:space="preserve">, </w:t>
            </w:r>
            <w:r w:rsidRPr="00FD3A6B">
              <w:t>2.3%)</w:t>
            </w:r>
          </w:p>
        </w:tc>
        <w:tc>
          <w:tcPr>
            <w:tcW w:w="424" w:type="pct"/>
          </w:tcPr>
          <w:p w14:paraId="1FDB58F4" w14:textId="77777777" w:rsidR="000E4873" w:rsidRPr="0087277A" w:rsidRDefault="000E4873" w:rsidP="00153C8A">
            <w:pPr>
              <w:pStyle w:val="TableText0"/>
              <w:keepNext w:val="0"/>
              <w:widowControl w:val="0"/>
              <w:rPr>
                <w:snapToGrid w:val="0"/>
              </w:rPr>
            </w:pPr>
            <w:r w:rsidRPr="00FD3A6B">
              <w:t>142 (1.4%)</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CF0427C" w14:textId="77777777" w:rsidR="000E4873" w:rsidRPr="00B36F3E" w:rsidRDefault="000E4873" w:rsidP="00153C8A">
            <w:pPr>
              <w:pStyle w:val="TableText0"/>
              <w:keepNext w:val="0"/>
              <w:widowControl w:val="0"/>
            </w:pPr>
            <w:r w:rsidRPr="00C173DB">
              <w:rPr>
                <w:rFonts w:cs="Times New Roman"/>
                <w:color w:val="000000"/>
                <w:lang w:eastAsia="zh-CN" w:bidi="he-IL"/>
              </w:rPr>
              <w:t>1.4% (1.2% - 1.6%)</w:t>
            </w:r>
          </w:p>
        </w:tc>
        <w:tc>
          <w:tcPr>
            <w:tcW w:w="422" w:type="pct"/>
            <w:gridSpan w:val="2"/>
          </w:tcPr>
          <w:p w14:paraId="68337193" w14:textId="77777777" w:rsidR="000E4873" w:rsidRPr="0087277A" w:rsidRDefault="000E4873" w:rsidP="00153C8A">
            <w:pPr>
              <w:pStyle w:val="TableText0"/>
              <w:keepNext w:val="0"/>
              <w:widowControl w:val="0"/>
              <w:rPr>
                <w:snapToGrid w:val="0"/>
              </w:rPr>
            </w:pPr>
            <w:r w:rsidRPr="00FD3A6B">
              <w:t>1.4% (1.3%</w:t>
            </w:r>
            <w:r>
              <w:t xml:space="preserve">, </w:t>
            </w:r>
            <w:r w:rsidRPr="00FD3A6B">
              <w:t>1.6%)</w:t>
            </w:r>
          </w:p>
        </w:tc>
        <w:tc>
          <w:tcPr>
            <w:tcW w:w="425" w:type="pct"/>
            <w:tcBorders>
              <w:top w:val="nil"/>
              <w:left w:val="nil"/>
              <w:bottom w:val="single" w:sz="4" w:space="0" w:color="auto"/>
              <w:right w:val="single" w:sz="4" w:space="0" w:color="auto"/>
            </w:tcBorders>
            <w:shd w:val="clear" w:color="auto" w:fill="auto"/>
            <w:vAlign w:val="center"/>
          </w:tcPr>
          <w:p w14:paraId="18990F23" w14:textId="77777777" w:rsidR="000E4873" w:rsidRPr="00C173DB" w:rsidRDefault="000E4873" w:rsidP="00153C8A">
            <w:pPr>
              <w:pStyle w:val="TableText0"/>
              <w:keepNext w:val="0"/>
              <w:widowControl w:val="0"/>
              <w:rPr>
                <w:b/>
                <w:bCs/>
              </w:rPr>
            </w:pPr>
            <w:r w:rsidRPr="00C173DB">
              <w:rPr>
                <w:rFonts w:cs="Times New Roman"/>
                <w:color w:val="000000"/>
                <w:lang w:eastAsia="zh-CN" w:bidi="he-IL"/>
              </w:rPr>
              <w:t>&lt;.0001</w:t>
            </w:r>
          </w:p>
        </w:tc>
        <w:tc>
          <w:tcPr>
            <w:tcW w:w="495" w:type="pct"/>
          </w:tcPr>
          <w:p w14:paraId="42E6796C" w14:textId="77777777" w:rsidR="000E4873" w:rsidRPr="00170451" w:rsidRDefault="000E4873" w:rsidP="00153C8A">
            <w:pPr>
              <w:pStyle w:val="TableText0"/>
              <w:keepNext w:val="0"/>
              <w:widowControl w:val="0"/>
              <w:rPr>
                <w:b/>
                <w:bCs/>
              </w:rPr>
            </w:pPr>
            <w:r w:rsidRPr="00170451">
              <w:rPr>
                <w:b/>
                <w:bCs/>
              </w:rPr>
              <w:t>1.48 (1.15, 1.91)</w:t>
            </w:r>
          </w:p>
        </w:tc>
        <w:tc>
          <w:tcPr>
            <w:tcW w:w="535" w:type="pct"/>
          </w:tcPr>
          <w:p w14:paraId="1ECCF78F" w14:textId="77777777" w:rsidR="000E4873" w:rsidRPr="00170451" w:rsidRDefault="000E4873" w:rsidP="00153C8A">
            <w:pPr>
              <w:pStyle w:val="TableText0"/>
              <w:keepNext w:val="0"/>
              <w:widowControl w:val="0"/>
              <w:rPr>
                <w:b/>
                <w:bCs/>
                <w:snapToGrid w:val="0"/>
              </w:rPr>
            </w:pPr>
            <w:r w:rsidRPr="00170451">
              <w:rPr>
                <w:b/>
                <w:bCs/>
              </w:rPr>
              <w:t>-48% (-91%, -15%)</w:t>
            </w:r>
          </w:p>
        </w:tc>
        <w:tc>
          <w:tcPr>
            <w:tcW w:w="272" w:type="pct"/>
          </w:tcPr>
          <w:p w14:paraId="3841DBD4" w14:textId="77777777" w:rsidR="000E4873" w:rsidRPr="00170451" w:rsidRDefault="000E4873" w:rsidP="00153C8A">
            <w:pPr>
              <w:pStyle w:val="TableText0"/>
              <w:keepNext w:val="0"/>
              <w:widowControl w:val="0"/>
              <w:rPr>
                <w:b/>
                <w:bCs/>
                <w:snapToGrid w:val="0"/>
              </w:rPr>
            </w:pPr>
            <w:r w:rsidRPr="00170451">
              <w:rPr>
                <w:b/>
                <w:bCs/>
              </w:rPr>
              <w:t>0.002</w:t>
            </w:r>
          </w:p>
        </w:tc>
      </w:tr>
      <w:tr w:rsidR="00E51F42" w:rsidRPr="0087277A" w14:paraId="216BBF6A" w14:textId="77777777" w:rsidTr="0039015B">
        <w:tc>
          <w:tcPr>
            <w:tcW w:w="785" w:type="pct"/>
            <w:shd w:val="clear" w:color="auto" w:fill="auto"/>
            <w:vAlign w:val="bottom"/>
          </w:tcPr>
          <w:p w14:paraId="4566C855" w14:textId="77777777" w:rsidR="000E4873" w:rsidRDefault="000E4873" w:rsidP="00153C8A">
            <w:pPr>
              <w:pStyle w:val="TableText0"/>
              <w:keepNext w:val="0"/>
              <w:widowControl w:val="0"/>
              <w:ind w:firstLine="227"/>
              <w:rPr>
                <w:snapToGrid w:val="0"/>
              </w:rPr>
            </w:pPr>
            <w:r>
              <w:rPr>
                <w:snapToGrid w:val="0"/>
              </w:rPr>
              <w:t>Pericarditis</w:t>
            </w:r>
          </w:p>
        </w:tc>
        <w:tc>
          <w:tcPr>
            <w:tcW w:w="424" w:type="pct"/>
          </w:tcPr>
          <w:p w14:paraId="1320301C" w14:textId="77777777" w:rsidR="000E4873" w:rsidRPr="0087277A" w:rsidRDefault="000E4873" w:rsidP="00153C8A">
            <w:pPr>
              <w:pStyle w:val="TableText0"/>
              <w:keepNext w:val="0"/>
              <w:widowControl w:val="0"/>
              <w:rPr>
                <w:snapToGrid w:val="0"/>
              </w:rPr>
            </w:pPr>
            <w:r w:rsidRPr="00FD3A6B">
              <w:t>100 (1.6%)</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14:paraId="54E263BC" w14:textId="77777777" w:rsidR="000E4873" w:rsidRPr="00B36F3E" w:rsidRDefault="000E4873" w:rsidP="00153C8A">
            <w:pPr>
              <w:pStyle w:val="TableText0"/>
              <w:keepNext w:val="0"/>
              <w:widowControl w:val="0"/>
            </w:pPr>
            <w:r w:rsidRPr="00C173DB">
              <w:rPr>
                <w:rFonts w:cs="Times New Roman"/>
                <w:color w:val="000000"/>
                <w:lang w:eastAsia="zh-CN" w:bidi="he-IL"/>
              </w:rPr>
              <w:t>1.7% (1.4% - 2.0%)</w:t>
            </w:r>
          </w:p>
        </w:tc>
        <w:tc>
          <w:tcPr>
            <w:tcW w:w="422" w:type="pct"/>
            <w:gridSpan w:val="2"/>
          </w:tcPr>
          <w:p w14:paraId="0C18FAAB" w14:textId="77777777" w:rsidR="000E4873" w:rsidRPr="0087277A" w:rsidRDefault="000E4873" w:rsidP="00153C8A">
            <w:pPr>
              <w:pStyle w:val="TableText0"/>
              <w:keepNext w:val="0"/>
              <w:widowControl w:val="0"/>
              <w:rPr>
                <w:snapToGrid w:val="0"/>
              </w:rPr>
            </w:pPr>
            <w:r w:rsidRPr="00FD3A6B">
              <w:t>1.6% (1.4%</w:t>
            </w:r>
            <w:r>
              <w:t xml:space="preserve">, </w:t>
            </w:r>
            <w:r w:rsidRPr="00FD3A6B">
              <w:t>1.9%)</w:t>
            </w:r>
          </w:p>
        </w:tc>
        <w:tc>
          <w:tcPr>
            <w:tcW w:w="424" w:type="pct"/>
          </w:tcPr>
          <w:p w14:paraId="35551DA8" w14:textId="77777777" w:rsidR="000E4873" w:rsidRPr="0087277A" w:rsidRDefault="000E4873" w:rsidP="00153C8A">
            <w:pPr>
              <w:pStyle w:val="TableText0"/>
              <w:keepNext w:val="0"/>
              <w:widowControl w:val="0"/>
              <w:rPr>
                <w:snapToGrid w:val="0"/>
              </w:rPr>
            </w:pPr>
            <w:r w:rsidRPr="00FD3A6B">
              <w:t>76 (0.7%)</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1D5F7DF7" w14:textId="77777777" w:rsidR="000E4873" w:rsidRPr="00B36F3E" w:rsidRDefault="000E4873" w:rsidP="00153C8A">
            <w:pPr>
              <w:pStyle w:val="TableText0"/>
              <w:keepNext w:val="0"/>
              <w:widowControl w:val="0"/>
            </w:pPr>
            <w:r w:rsidRPr="00C173DB">
              <w:rPr>
                <w:rFonts w:cs="Times New Roman"/>
                <w:color w:val="000000"/>
                <w:lang w:eastAsia="zh-CN" w:bidi="he-IL"/>
              </w:rPr>
              <w:t>0.8% (0.6% - 1.0%)</w:t>
            </w:r>
          </w:p>
        </w:tc>
        <w:tc>
          <w:tcPr>
            <w:tcW w:w="422" w:type="pct"/>
            <w:gridSpan w:val="2"/>
          </w:tcPr>
          <w:p w14:paraId="73702E97" w14:textId="77777777" w:rsidR="000E4873" w:rsidRPr="0087277A" w:rsidRDefault="000E4873" w:rsidP="00153C8A">
            <w:pPr>
              <w:pStyle w:val="TableText0"/>
              <w:keepNext w:val="0"/>
              <w:widowControl w:val="0"/>
              <w:rPr>
                <w:snapToGrid w:val="0"/>
              </w:rPr>
            </w:pPr>
            <w:r w:rsidRPr="00FD3A6B">
              <w:t>0.8% (0.7%</w:t>
            </w:r>
            <w:r>
              <w:t xml:space="preserve">, </w:t>
            </w:r>
            <w:r w:rsidRPr="00FD3A6B">
              <w:t>0.9%)</w:t>
            </w:r>
          </w:p>
        </w:tc>
        <w:tc>
          <w:tcPr>
            <w:tcW w:w="425" w:type="pct"/>
            <w:tcBorders>
              <w:top w:val="nil"/>
              <w:left w:val="nil"/>
              <w:bottom w:val="single" w:sz="4" w:space="0" w:color="auto"/>
              <w:right w:val="single" w:sz="4" w:space="0" w:color="auto"/>
            </w:tcBorders>
            <w:shd w:val="clear" w:color="auto" w:fill="auto"/>
            <w:vAlign w:val="center"/>
          </w:tcPr>
          <w:p w14:paraId="31B84A19" w14:textId="77777777" w:rsidR="000E4873" w:rsidRPr="00C173DB" w:rsidRDefault="000E4873" w:rsidP="00153C8A">
            <w:pPr>
              <w:pStyle w:val="TableText0"/>
              <w:keepNext w:val="0"/>
              <w:widowControl w:val="0"/>
              <w:rPr>
                <w:b/>
                <w:bCs/>
              </w:rPr>
            </w:pPr>
            <w:r w:rsidRPr="00C173DB">
              <w:rPr>
                <w:rFonts w:cs="Times New Roman"/>
                <w:color w:val="000000"/>
                <w:lang w:eastAsia="zh-CN" w:bidi="he-IL"/>
              </w:rPr>
              <w:t>&lt;.0001</w:t>
            </w:r>
          </w:p>
        </w:tc>
        <w:tc>
          <w:tcPr>
            <w:tcW w:w="495" w:type="pct"/>
          </w:tcPr>
          <w:p w14:paraId="05FF62A6" w14:textId="77777777" w:rsidR="000E4873" w:rsidRPr="00170451" w:rsidRDefault="000E4873" w:rsidP="00153C8A">
            <w:pPr>
              <w:pStyle w:val="TableText0"/>
              <w:keepNext w:val="0"/>
              <w:widowControl w:val="0"/>
              <w:rPr>
                <w:b/>
                <w:bCs/>
              </w:rPr>
            </w:pPr>
            <w:r w:rsidRPr="00170451">
              <w:rPr>
                <w:b/>
                <w:bCs/>
              </w:rPr>
              <w:t>2.05 (1.50, 2.80)</w:t>
            </w:r>
          </w:p>
        </w:tc>
        <w:tc>
          <w:tcPr>
            <w:tcW w:w="535" w:type="pct"/>
          </w:tcPr>
          <w:p w14:paraId="31782B4F" w14:textId="77777777" w:rsidR="000E4873" w:rsidRPr="00170451" w:rsidRDefault="000E4873" w:rsidP="00153C8A">
            <w:pPr>
              <w:pStyle w:val="TableText0"/>
              <w:keepNext w:val="0"/>
              <w:widowControl w:val="0"/>
              <w:rPr>
                <w:b/>
                <w:bCs/>
                <w:snapToGrid w:val="0"/>
              </w:rPr>
            </w:pPr>
            <w:r w:rsidRPr="00170451">
              <w:rPr>
                <w:b/>
                <w:bCs/>
              </w:rPr>
              <w:t>-105% (-180%, -50%)</w:t>
            </w:r>
          </w:p>
        </w:tc>
        <w:tc>
          <w:tcPr>
            <w:tcW w:w="272" w:type="pct"/>
          </w:tcPr>
          <w:p w14:paraId="6A224798" w14:textId="77777777" w:rsidR="000E4873" w:rsidRPr="00170451" w:rsidRDefault="000E4873" w:rsidP="00153C8A">
            <w:pPr>
              <w:pStyle w:val="TableText0"/>
              <w:keepNext w:val="0"/>
              <w:widowControl w:val="0"/>
              <w:rPr>
                <w:b/>
                <w:bCs/>
                <w:snapToGrid w:val="0"/>
              </w:rPr>
            </w:pPr>
            <w:r w:rsidRPr="00170451">
              <w:rPr>
                <w:b/>
                <w:bCs/>
              </w:rPr>
              <w:t>&lt;.0001</w:t>
            </w:r>
          </w:p>
        </w:tc>
      </w:tr>
      <w:tr w:rsidR="00E51F42" w:rsidRPr="0087277A" w14:paraId="17A45B3E" w14:textId="77777777" w:rsidTr="0039015B">
        <w:tc>
          <w:tcPr>
            <w:tcW w:w="785" w:type="pct"/>
            <w:tcBorders>
              <w:bottom w:val="single" w:sz="4" w:space="0" w:color="auto"/>
            </w:tcBorders>
            <w:shd w:val="clear" w:color="auto" w:fill="auto"/>
            <w:vAlign w:val="bottom"/>
          </w:tcPr>
          <w:p w14:paraId="604C09D0" w14:textId="77777777" w:rsidR="000E4873" w:rsidRPr="0087277A" w:rsidRDefault="000E4873" w:rsidP="00153C8A">
            <w:pPr>
              <w:pStyle w:val="TableText0"/>
              <w:keepNext w:val="0"/>
              <w:widowControl w:val="0"/>
              <w:ind w:firstLine="227"/>
              <w:rPr>
                <w:snapToGrid w:val="0"/>
              </w:rPr>
            </w:pPr>
            <w:r>
              <w:rPr>
                <w:snapToGrid w:val="0"/>
              </w:rPr>
              <w:t>Hemothorax</w:t>
            </w:r>
          </w:p>
        </w:tc>
        <w:tc>
          <w:tcPr>
            <w:tcW w:w="424" w:type="pct"/>
            <w:tcBorders>
              <w:bottom w:val="single" w:sz="4" w:space="0" w:color="auto"/>
            </w:tcBorders>
          </w:tcPr>
          <w:p w14:paraId="602163CD" w14:textId="77777777" w:rsidR="000E4873" w:rsidRPr="0087277A" w:rsidRDefault="000E4873" w:rsidP="00153C8A">
            <w:pPr>
              <w:pStyle w:val="TableText0"/>
              <w:keepNext w:val="0"/>
              <w:widowControl w:val="0"/>
              <w:rPr>
                <w:snapToGrid w:val="0"/>
              </w:rPr>
            </w:pPr>
            <w:r w:rsidRPr="00FD3A6B">
              <w:t>43 (0.7%)</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14:paraId="7BFE973F" w14:textId="77777777" w:rsidR="000E4873" w:rsidRPr="00B36F3E" w:rsidRDefault="000E4873" w:rsidP="00153C8A">
            <w:pPr>
              <w:pStyle w:val="TableText0"/>
              <w:keepNext w:val="0"/>
              <w:widowControl w:val="0"/>
            </w:pPr>
            <w:r w:rsidRPr="00C173DB">
              <w:rPr>
                <w:rFonts w:cs="Times New Roman"/>
                <w:color w:val="000000"/>
                <w:lang w:eastAsia="zh-CN" w:bidi="he-IL"/>
              </w:rPr>
              <w:t>0.7% (0.6% - 1.0%)</w:t>
            </w:r>
          </w:p>
        </w:tc>
        <w:tc>
          <w:tcPr>
            <w:tcW w:w="422" w:type="pct"/>
            <w:gridSpan w:val="2"/>
            <w:tcBorders>
              <w:bottom w:val="single" w:sz="4" w:space="0" w:color="auto"/>
            </w:tcBorders>
          </w:tcPr>
          <w:p w14:paraId="70FD3BAD" w14:textId="77777777" w:rsidR="000E4873" w:rsidRPr="0087277A" w:rsidRDefault="000E4873" w:rsidP="00153C8A">
            <w:pPr>
              <w:pStyle w:val="TableText0"/>
              <w:keepNext w:val="0"/>
              <w:widowControl w:val="0"/>
              <w:rPr>
                <w:snapToGrid w:val="0"/>
              </w:rPr>
            </w:pPr>
            <w:r w:rsidRPr="00FD3A6B">
              <w:t>0.6% (0.5%</w:t>
            </w:r>
            <w:r>
              <w:t xml:space="preserve">, </w:t>
            </w:r>
            <w:r w:rsidRPr="00FD3A6B">
              <w:t>0.8%)</w:t>
            </w:r>
          </w:p>
        </w:tc>
        <w:tc>
          <w:tcPr>
            <w:tcW w:w="424" w:type="pct"/>
            <w:tcBorders>
              <w:bottom w:val="single" w:sz="4" w:space="0" w:color="auto"/>
            </w:tcBorders>
          </w:tcPr>
          <w:p w14:paraId="3DE75C5A" w14:textId="77777777" w:rsidR="000E4873" w:rsidRPr="0087277A" w:rsidRDefault="000E4873" w:rsidP="00153C8A">
            <w:pPr>
              <w:pStyle w:val="TableText0"/>
              <w:keepNext w:val="0"/>
              <w:widowControl w:val="0"/>
              <w:rPr>
                <w:snapToGrid w:val="0"/>
              </w:rPr>
            </w:pPr>
            <w:r w:rsidRPr="00FD3A6B">
              <w:t>71 (0.7%)</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6FCEAFF3" w14:textId="77777777" w:rsidR="000E4873" w:rsidRPr="00B36F3E" w:rsidRDefault="000E4873" w:rsidP="00153C8A">
            <w:pPr>
              <w:pStyle w:val="TableText0"/>
              <w:keepNext w:val="0"/>
              <w:widowControl w:val="0"/>
            </w:pPr>
            <w:r w:rsidRPr="00C173DB">
              <w:rPr>
                <w:rFonts w:cs="Times New Roman"/>
                <w:color w:val="000000"/>
                <w:lang w:eastAsia="zh-CN" w:bidi="he-IL"/>
              </w:rPr>
              <w:t>0.7% (0.6% - 0.9%)</w:t>
            </w:r>
          </w:p>
        </w:tc>
        <w:tc>
          <w:tcPr>
            <w:tcW w:w="422" w:type="pct"/>
            <w:gridSpan w:val="2"/>
            <w:tcBorders>
              <w:bottom w:val="single" w:sz="4" w:space="0" w:color="auto"/>
            </w:tcBorders>
          </w:tcPr>
          <w:p w14:paraId="6740F383" w14:textId="77777777" w:rsidR="000E4873" w:rsidRPr="0087277A" w:rsidRDefault="000E4873" w:rsidP="00153C8A">
            <w:pPr>
              <w:pStyle w:val="TableText0"/>
              <w:keepNext w:val="0"/>
              <w:widowControl w:val="0"/>
              <w:rPr>
                <w:snapToGrid w:val="0"/>
              </w:rPr>
            </w:pPr>
            <w:r w:rsidRPr="00FD3A6B">
              <w:t>0.7% (0.6%</w:t>
            </w:r>
            <w:r>
              <w:t xml:space="preserve">, </w:t>
            </w:r>
            <w:r w:rsidRPr="00FD3A6B">
              <w:t>0.9%)</w:t>
            </w:r>
          </w:p>
        </w:tc>
        <w:tc>
          <w:tcPr>
            <w:tcW w:w="425" w:type="pct"/>
            <w:tcBorders>
              <w:top w:val="nil"/>
              <w:left w:val="nil"/>
              <w:bottom w:val="single" w:sz="4" w:space="0" w:color="auto"/>
              <w:right w:val="single" w:sz="4" w:space="0" w:color="auto"/>
            </w:tcBorders>
            <w:shd w:val="clear" w:color="auto" w:fill="auto"/>
            <w:vAlign w:val="center"/>
          </w:tcPr>
          <w:p w14:paraId="41CADAB5" w14:textId="77777777" w:rsidR="000E4873" w:rsidRPr="00C173DB" w:rsidRDefault="000E4873" w:rsidP="00153C8A">
            <w:pPr>
              <w:pStyle w:val="TableText0"/>
              <w:keepNext w:val="0"/>
              <w:widowControl w:val="0"/>
            </w:pPr>
            <w:r w:rsidRPr="00C173DB">
              <w:rPr>
                <w:rFonts w:cs="Times New Roman"/>
                <w:color w:val="000000"/>
                <w:lang w:eastAsia="zh-CN" w:bidi="he-IL"/>
              </w:rPr>
              <w:t>0.97</w:t>
            </w:r>
          </w:p>
        </w:tc>
        <w:tc>
          <w:tcPr>
            <w:tcW w:w="495" w:type="pct"/>
            <w:tcBorders>
              <w:bottom w:val="single" w:sz="4" w:space="0" w:color="auto"/>
            </w:tcBorders>
          </w:tcPr>
          <w:p w14:paraId="1E351DBC" w14:textId="77777777" w:rsidR="000E4873" w:rsidRPr="00FD3A6B" w:rsidRDefault="000E4873" w:rsidP="00153C8A">
            <w:pPr>
              <w:pStyle w:val="TableText0"/>
              <w:keepNext w:val="0"/>
              <w:widowControl w:val="0"/>
            </w:pPr>
            <w:r>
              <w:t>0.87 (0.57, 1.33)</w:t>
            </w:r>
          </w:p>
        </w:tc>
        <w:tc>
          <w:tcPr>
            <w:tcW w:w="535" w:type="pct"/>
            <w:tcBorders>
              <w:bottom w:val="single" w:sz="4" w:space="0" w:color="auto"/>
            </w:tcBorders>
          </w:tcPr>
          <w:p w14:paraId="76C26FD0" w14:textId="77777777" w:rsidR="000E4873" w:rsidRPr="0087277A" w:rsidRDefault="000E4873" w:rsidP="00153C8A">
            <w:pPr>
              <w:pStyle w:val="TableText0"/>
              <w:keepNext w:val="0"/>
              <w:widowControl w:val="0"/>
              <w:rPr>
                <w:snapToGrid w:val="0"/>
              </w:rPr>
            </w:pPr>
            <w:r w:rsidRPr="00FD3A6B">
              <w:t>13% (-33%</w:t>
            </w:r>
            <w:r>
              <w:t xml:space="preserve">, </w:t>
            </w:r>
            <w:r w:rsidRPr="00FD3A6B">
              <w:t>43%)</w:t>
            </w:r>
          </w:p>
        </w:tc>
        <w:tc>
          <w:tcPr>
            <w:tcW w:w="272" w:type="pct"/>
            <w:tcBorders>
              <w:bottom w:val="single" w:sz="4" w:space="0" w:color="auto"/>
            </w:tcBorders>
          </w:tcPr>
          <w:p w14:paraId="1C487973" w14:textId="77777777" w:rsidR="000E4873" w:rsidRPr="0087277A" w:rsidRDefault="000E4873" w:rsidP="00153C8A">
            <w:pPr>
              <w:pStyle w:val="TableText0"/>
              <w:keepNext w:val="0"/>
              <w:widowControl w:val="0"/>
              <w:rPr>
                <w:snapToGrid w:val="0"/>
              </w:rPr>
            </w:pPr>
            <w:r w:rsidRPr="00FD3A6B">
              <w:t>0.51</w:t>
            </w:r>
          </w:p>
        </w:tc>
      </w:tr>
    </w:tbl>
    <w:p w14:paraId="630B6A87" w14:textId="77777777" w:rsidR="000E4873" w:rsidRPr="001B7549" w:rsidRDefault="000E4873" w:rsidP="000E4873">
      <w:pPr>
        <w:pStyle w:val="Tablenotes"/>
      </w:pPr>
      <w:r w:rsidRPr="001B7549">
        <w:t xml:space="preserve">Abbreviations: N/A, not applicable. LPM, leadless pacemaker; TVPM, transvenous pacemaker; CI=confidence interval; CIF, cumulative incidence function; RRR, relative risk reduction. </w:t>
      </w:r>
    </w:p>
    <w:p w14:paraId="48029708" w14:textId="77777777" w:rsidR="000E4873" w:rsidRPr="001B7549" w:rsidRDefault="000E4873" w:rsidP="000E4873">
      <w:pPr>
        <w:pStyle w:val="Tablenotes"/>
      </w:pPr>
      <w:r w:rsidRPr="001B7549">
        <w:t>a</w:t>
      </w:r>
      <w:r w:rsidRPr="001B7549">
        <w:tab/>
        <w:t>Raw percentage defined as number of events divided by number of patients.</w:t>
      </w:r>
    </w:p>
    <w:p w14:paraId="2668ED84" w14:textId="77777777" w:rsidR="000E4873" w:rsidRPr="001B7549" w:rsidRDefault="000E4873" w:rsidP="000E4873">
      <w:pPr>
        <w:pStyle w:val="Tablenotes"/>
      </w:pPr>
      <w:r w:rsidRPr="001B7549">
        <w:t>*</w:t>
      </w:r>
      <w:r w:rsidRPr="001B7549">
        <w:tab/>
        <w:t>Cells with 10 or less patients were suppressed to protect beneficiary privacy as required by the US Cent</w:t>
      </w:r>
      <w:r>
        <w:t>re</w:t>
      </w:r>
      <w:r w:rsidRPr="001B7549">
        <w:t>s of Medicare &amp; Medicaid Services.</w:t>
      </w:r>
    </w:p>
    <w:p w14:paraId="226CB21A" w14:textId="3F0B2F7A" w:rsidR="000E4873" w:rsidRDefault="000E4873" w:rsidP="000E4873">
      <w:pPr>
        <w:pStyle w:val="Tablenotes"/>
      </w:pPr>
      <w:r w:rsidRPr="001B7549">
        <w:t xml:space="preserve">Source: </w:t>
      </w:r>
      <w:r w:rsidR="0080272A">
        <w:t>Commentary report</w:t>
      </w:r>
    </w:p>
    <w:p w14:paraId="3EF95E6C" w14:textId="77777777" w:rsidR="000E4873" w:rsidRDefault="000E4873" w:rsidP="000E4873"/>
    <w:p w14:paraId="01646226" w14:textId="77777777" w:rsidR="008A7E53" w:rsidRDefault="008A7E53" w:rsidP="00645477">
      <w:pPr>
        <w:pStyle w:val="Heading3nonumbers"/>
        <w:sectPr w:rsidR="008A7E53" w:rsidSect="000E4873">
          <w:pgSz w:w="16838" w:h="11906" w:orient="landscape"/>
          <w:pgMar w:top="1440" w:right="1440" w:bottom="1440" w:left="1440" w:header="708" w:footer="708" w:gutter="0"/>
          <w:cols w:space="708"/>
          <w:docGrid w:linePitch="360"/>
        </w:sectPr>
      </w:pPr>
    </w:p>
    <w:p w14:paraId="259660A9" w14:textId="6F8A467C" w:rsidR="0035612B" w:rsidRPr="000E755D" w:rsidRDefault="0035612B" w:rsidP="00645477">
      <w:pPr>
        <w:pStyle w:val="Heading3nonumbers"/>
      </w:pPr>
      <w:r w:rsidRPr="000E755D">
        <w:lastRenderedPageBreak/>
        <w:t xml:space="preserve">Re-interventions at </w:t>
      </w:r>
      <w:r w:rsidR="005916DA">
        <w:t>two</w:t>
      </w:r>
      <w:r w:rsidR="005916DA" w:rsidRPr="000E755D">
        <w:t xml:space="preserve"> </w:t>
      </w:r>
      <w:r w:rsidRPr="000E755D">
        <w:t>years</w:t>
      </w:r>
    </w:p>
    <w:p w14:paraId="31D4BD70" w14:textId="7964D1BF" w:rsidR="0085445D" w:rsidRPr="0085445D" w:rsidRDefault="0085445D" w:rsidP="0085445D">
      <w:r w:rsidRPr="0085445D">
        <w:t>Patients implanted with a LPM had significantly fewer overall reinterventions over 2-years compared with patients implanted with a TVPM</w:t>
      </w:r>
      <w:r w:rsidR="00452FC6">
        <w:t xml:space="preserve"> (</w:t>
      </w:r>
      <w:r w:rsidR="00452FC6">
        <w:fldChar w:fldCharType="begin"/>
      </w:r>
      <w:r w:rsidR="00452FC6">
        <w:instrText xml:space="preserve"> REF _Ref88136821 \h </w:instrText>
      </w:r>
      <w:r w:rsidR="00452FC6">
        <w:fldChar w:fldCharType="separate"/>
      </w:r>
      <w:r w:rsidR="0084187F" w:rsidRPr="00CE28E3">
        <w:t>Table</w:t>
      </w:r>
      <w:r w:rsidR="0084187F">
        <w:t> </w:t>
      </w:r>
      <w:r w:rsidR="0084187F">
        <w:rPr>
          <w:noProof/>
        </w:rPr>
        <w:t>9</w:t>
      </w:r>
      <w:r w:rsidR="00452FC6">
        <w:fldChar w:fldCharType="end"/>
      </w:r>
      <w:r w:rsidR="00452FC6">
        <w:t>)</w:t>
      </w:r>
      <w:r w:rsidRPr="0085445D">
        <w:t xml:space="preserve">, with the adjusted rates of 3.1% vs. 4.9%, respectively (p=0.003). </w:t>
      </w:r>
      <w:r w:rsidR="008101C0">
        <w:t xml:space="preserve">It should be noted that </w:t>
      </w:r>
      <w:r w:rsidR="00AC1D1D">
        <w:t xml:space="preserve">reinterventions </w:t>
      </w:r>
      <w:r w:rsidR="00697DD4">
        <w:t>were combined in</w:t>
      </w:r>
      <w:r w:rsidR="00AC1D1D">
        <w:t xml:space="preserve"> a composite score</w:t>
      </w:r>
      <w:r w:rsidR="003569CC">
        <w:t xml:space="preserve"> that included </w:t>
      </w:r>
      <w:r w:rsidR="004F2064">
        <w:t>revision</w:t>
      </w:r>
      <w:r w:rsidR="00190109">
        <w:t xml:space="preserve">, replacement, </w:t>
      </w:r>
      <w:proofErr w:type="gramStart"/>
      <w:r w:rsidR="00190109">
        <w:t>upgrade</w:t>
      </w:r>
      <w:proofErr w:type="gramEnd"/>
      <w:r w:rsidR="00F90238">
        <w:t xml:space="preserve"> and removal. </w:t>
      </w:r>
      <w:r w:rsidRPr="0085445D">
        <w:t xml:space="preserve">In terms of </w:t>
      </w:r>
      <w:r w:rsidR="00F90238">
        <w:t>the individual outcomes</w:t>
      </w:r>
      <w:r w:rsidRPr="0085445D">
        <w:t>, LPM patients experienced significantly fewer revisions (</w:t>
      </w:r>
      <w:r w:rsidR="00F90238">
        <w:t xml:space="preserve">adjusted </w:t>
      </w:r>
      <w:r w:rsidRPr="0085445D">
        <w:t>HR [95% CI]: 0.20 [0.08, 0.50], p=0.01), removals (0.05 [0.01, 0.20], &lt;.0001) and upgrades to CRT (0.70 [0.51, 0.96], p=0.025); whereas fewer replacements were observed in TVPM patients (2.50 [1.40, 4.46], p=0.002).</w:t>
      </w:r>
      <w:r w:rsidR="00E6778B">
        <w:t xml:space="preserve"> The </w:t>
      </w:r>
      <w:r w:rsidR="00F43175">
        <w:t>applicant does not explain why almost three times as many patients in the LPM group had a replacement</w:t>
      </w:r>
      <w:r w:rsidR="007150AC">
        <w:t xml:space="preserve"> compared to TVPM patients. There is no definition of </w:t>
      </w:r>
      <w:r w:rsidR="004F2064">
        <w:t>replacement,</w:t>
      </w:r>
      <w:r w:rsidR="00F43175">
        <w:t xml:space="preserve"> or any details related to this including whether the original (presumably faulty) LPM remained in situ w</w:t>
      </w:r>
      <w:r w:rsidR="00B31FC0">
        <w:t xml:space="preserve">hile a second device was </w:t>
      </w:r>
      <w:r w:rsidR="007150AC">
        <w:t>deployed.</w:t>
      </w:r>
    </w:p>
    <w:p w14:paraId="28D49637" w14:textId="77777777" w:rsidR="00C1386E" w:rsidRDefault="00C1386E" w:rsidP="00645477"/>
    <w:p w14:paraId="63D15F40" w14:textId="77777777" w:rsidR="00C1386E" w:rsidRDefault="00C1386E" w:rsidP="00645477">
      <w:pPr>
        <w:sectPr w:rsidR="00C1386E" w:rsidSect="008A7E53">
          <w:pgSz w:w="11906" w:h="16838"/>
          <w:pgMar w:top="1440" w:right="1440" w:bottom="1440" w:left="1440" w:header="708" w:footer="708" w:gutter="0"/>
          <w:cols w:space="708"/>
          <w:docGrid w:linePitch="360"/>
        </w:sectPr>
      </w:pPr>
    </w:p>
    <w:p w14:paraId="723FF908" w14:textId="00FC8396" w:rsidR="00C1386E" w:rsidRPr="00CE28E3" w:rsidRDefault="00C1386E" w:rsidP="00C1386E">
      <w:pPr>
        <w:pStyle w:val="Caption"/>
        <w:rPr>
          <w:rFonts w:cs="Arial"/>
          <w:snapToGrid w:val="0"/>
          <w:szCs w:val="16"/>
        </w:rPr>
      </w:pPr>
      <w:bookmarkStart w:id="13" w:name="_Ref88136821"/>
      <w:r w:rsidRPr="00CE28E3">
        <w:lastRenderedPageBreak/>
        <w:t>Table</w:t>
      </w:r>
      <w:r>
        <w:t> </w:t>
      </w:r>
      <w:r>
        <w:fldChar w:fldCharType="begin"/>
      </w:r>
      <w:r>
        <w:instrText>SEQ Table \* ARABIC</w:instrText>
      </w:r>
      <w:r>
        <w:fldChar w:fldCharType="separate"/>
      </w:r>
      <w:r w:rsidR="0084187F">
        <w:rPr>
          <w:noProof/>
        </w:rPr>
        <w:t>9</w:t>
      </w:r>
      <w:r>
        <w:fldChar w:fldCharType="end"/>
      </w:r>
      <w:bookmarkEnd w:id="13"/>
      <w:r w:rsidRPr="00CE28E3">
        <w:tab/>
      </w:r>
      <w:r>
        <w:t xml:space="preserve">Unadjusted and </w:t>
      </w:r>
      <w:r>
        <w:rPr>
          <w:rFonts w:cs="Arial"/>
          <w:snapToGrid w:val="0"/>
          <w:szCs w:val="16"/>
        </w:rPr>
        <w:t xml:space="preserve">Adjusted rates of reintervention rates at 2-years in CED: LPM vs TVPM </w:t>
      </w:r>
    </w:p>
    <w:tbl>
      <w:tblPr>
        <w:tblStyle w:val="TableGrid1"/>
        <w:tblW w:w="5334" w:type="pct"/>
        <w:tblCellMar>
          <w:left w:w="28" w:type="dxa"/>
          <w:right w:w="28" w:type="dxa"/>
        </w:tblCellMar>
        <w:tblLook w:val="04A0" w:firstRow="1" w:lastRow="0" w:firstColumn="1" w:lastColumn="0" w:noHBand="0" w:noVBand="1"/>
      </w:tblPr>
      <w:tblGrid>
        <w:gridCol w:w="2282"/>
        <w:gridCol w:w="884"/>
        <w:gridCol w:w="1506"/>
        <w:gridCol w:w="1420"/>
        <w:gridCol w:w="991"/>
        <w:gridCol w:w="1562"/>
        <w:gridCol w:w="1631"/>
        <w:gridCol w:w="949"/>
        <w:gridCol w:w="1411"/>
        <w:gridCol w:w="1420"/>
        <w:gridCol w:w="824"/>
      </w:tblGrid>
      <w:tr w:rsidR="00334DAB" w:rsidRPr="0087277A" w14:paraId="02D11220" w14:textId="77777777" w:rsidTr="006F47EB">
        <w:trPr>
          <w:cnfStyle w:val="100000000000" w:firstRow="1" w:lastRow="0" w:firstColumn="0" w:lastColumn="0" w:oddVBand="0" w:evenVBand="0" w:oddHBand="0" w:evenHBand="0" w:firstRowFirstColumn="0" w:firstRowLastColumn="0" w:lastRowFirstColumn="0" w:lastRowLastColumn="0"/>
          <w:tblHeader/>
        </w:trPr>
        <w:tc>
          <w:tcPr>
            <w:tcW w:w="767" w:type="pct"/>
            <w:tcBorders>
              <w:top w:val="single" w:sz="4" w:space="0" w:color="auto"/>
            </w:tcBorders>
            <w:shd w:val="clear" w:color="auto" w:fill="auto"/>
          </w:tcPr>
          <w:p w14:paraId="1B419F7F" w14:textId="77777777" w:rsidR="00C1386E" w:rsidRPr="0087277A" w:rsidRDefault="00C1386E" w:rsidP="006F47EB">
            <w:pPr>
              <w:pStyle w:val="TableHeading"/>
              <w:rPr>
                <w:snapToGrid w:val="0"/>
              </w:rPr>
            </w:pPr>
            <w:r>
              <w:rPr>
                <w:snapToGrid w:val="0"/>
              </w:rPr>
              <w:t>Events</w:t>
            </w:r>
          </w:p>
        </w:tc>
        <w:tc>
          <w:tcPr>
            <w:tcW w:w="1280" w:type="pct"/>
            <w:gridSpan w:val="3"/>
            <w:tcBorders>
              <w:bottom w:val="single" w:sz="4" w:space="0" w:color="auto"/>
            </w:tcBorders>
          </w:tcPr>
          <w:p w14:paraId="3F907AB7" w14:textId="77777777" w:rsidR="00C1386E" w:rsidRPr="008E3A77" w:rsidRDefault="00C1386E" w:rsidP="006F47EB">
            <w:pPr>
              <w:pStyle w:val="TableHeading"/>
              <w:rPr>
                <w:snapToGrid w:val="0"/>
              </w:rPr>
            </w:pPr>
            <w:r>
              <w:rPr>
                <w:snapToGrid w:val="0"/>
              </w:rPr>
              <w:t>LPM (n=6,219)</w:t>
            </w:r>
          </w:p>
        </w:tc>
        <w:tc>
          <w:tcPr>
            <w:tcW w:w="1406" w:type="pct"/>
            <w:gridSpan w:val="3"/>
            <w:tcBorders>
              <w:bottom w:val="single" w:sz="4" w:space="0" w:color="auto"/>
            </w:tcBorders>
          </w:tcPr>
          <w:p w14:paraId="24C0A56F" w14:textId="77777777" w:rsidR="00C1386E" w:rsidRPr="008E3A77" w:rsidRDefault="00C1386E" w:rsidP="006F47EB">
            <w:pPr>
              <w:pStyle w:val="TableHeading"/>
              <w:rPr>
                <w:snapToGrid w:val="0"/>
              </w:rPr>
            </w:pPr>
            <w:r>
              <w:rPr>
                <w:snapToGrid w:val="0"/>
              </w:rPr>
              <w:t>TVPM (n=10,212)</w:t>
            </w:r>
          </w:p>
        </w:tc>
        <w:tc>
          <w:tcPr>
            <w:tcW w:w="1547" w:type="pct"/>
            <w:gridSpan w:val="4"/>
            <w:tcBorders>
              <w:bottom w:val="single" w:sz="4" w:space="0" w:color="auto"/>
            </w:tcBorders>
          </w:tcPr>
          <w:p w14:paraId="0D975CD5" w14:textId="77777777" w:rsidR="00C1386E" w:rsidRDefault="00C1386E" w:rsidP="006F47EB">
            <w:pPr>
              <w:pStyle w:val="TableHeading"/>
              <w:rPr>
                <w:snapToGrid w:val="0"/>
              </w:rPr>
            </w:pPr>
            <w:r>
              <w:rPr>
                <w:snapToGrid w:val="0"/>
              </w:rPr>
              <w:t>LPM vs TVPM</w:t>
            </w:r>
          </w:p>
        </w:tc>
      </w:tr>
      <w:tr w:rsidR="00334DAB" w:rsidRPr="0087277A" w14:paraId="7ED2C3DA" w14:textId="77777777" w:rsidTr="00087DB9">
        <w:trPr>
          <w:cnfStyle w:val="100000000000" w:firstRow="1" w:lastRow="0" w:firstColumn="0" w:lastColumn="0" w:oddVBand="0" w:evenVBand="0" w:oddHBand="0" w:evenHBand="0" w:firstRowFirstColumn="0" w:firstRowLastColumn="0" w:lastRowFirstColumn="0" w:lastRowLastColumn="0"/>
          <w:tblHeader/>
        </w:trPr>
        <w:tc>
          <w:tcPr>
            <w:tcW w:w="767" w:type="pct"/>
            <w:tcBorders>
              <w:top w:val="nil"/>
            </w:tcBorders>
            <w:shd w:val="clear" w:color="auto" w:fill="auto"/>
          </w:tcPr>
          <w:p w14:paraId="29B118B0" w14:textId="77777777" w:rsidR="00C1386E" w:rsidRPr="0087277A" w:rsidRDefault="00C1386E" w:rsidP="006F47EB">
            <w:pPr>
              <w:pStyle w:val="TableHeading"/>
              <w:rPr>
                <w:snapToGrid w:val="0"/>
              </w:rPr>
            </w:pPr>
          </w:p>
        </w:tc>
        <w:tc>
          <w:tcPr>
            <w:tcW w:w="297" w:type="pct"/>
            <w:tcBorders>
              <w:bottom w:val="single" w:sz="4" w:space="0" w:color="auto"/>
            </w:tcBorders>
          </w:tcPr>
          <w:p w14:paraId="0A0CE139" w14:textId="77777777" w:rsidR="00C1386E" w:rsidRDefault="00C1386E" w:rsidP="006F47EB">
            <w:pPr>
              <w:pStyle w:val="TableHeading"/>
              <w:rPr>
                <w:snapToGrid w:val="0"/>
              </w:rPr>
            </w:pPr>
            <w:r>
              <w:rPr>
                <w:snapToGrid w:val="0"/>
              </w:rPr>
              <w:t>Observed</w:t>
            </w:r>
          </w:p>
          <w:p w14:paraId="2B29048D" w14:textId="77777777" w:rsidR="00C1386E" w:rsidRDefault="00C1386E" w:rsidP="006F47EB">
            <w:pPr>
              <w:pStyle w:val="TableHeading"/>
              <w:rPr>
                <w:snapToGrid w:val="0"/>
              </w:rPr>
            </w:pPr>
            <w:r>
              <w:rPr>
                <w:snapToGrid w:val="0"/>
              </w:rPr>
              <w:t>Events (</w:t>
            </w:r>
            <w:proofErr w:type="gramStart"/>
            <w:r>
              <w:rPr>
                <w:snapToGrid w:val="0"/>
              </w:rPr>
              <w:t>%)</w:t>
            </w:r>
            <w:r w:rsidRPr="008E3A77">
              <w:rPr>
                <w:snapToGrid w:val="0"/>
                <w:vertAlign w:val="superscript"/>
              </w:rPr>
              <w:t>a</w:t>
            </w:r>
            <w:proofErr w:type="gramEnd"/>
          </w:p>
        </w:tc>
        <w:tc>
          <w:tcPr>
            <w:tcW w:w="506" w:type="pct"/>
            <w:tcBorders>
              <w:bottom w:val="single" w:sz="4" w:space="0" w:color="auto"/>
            </w:tcBorders>
          </w:tcPr>
          <w:p w14:paraId="5FA05B94" w14:textId="77777777" w:rsidR="00C1386E" w:rsidRDefault="00C1386E" w:rsidP="006F47EB">
            <w:pPr>
              <w:pStyle w:val="TableHeading"/>
              <w:rPr>
                <w:snapToGrid w:val="0"/>
              </w:rPr>
            </w:pPr>
            <w:r w:rsidRPr="008E3A77">
              <w:rPr>
                <w:snapToGrid w:val="0"/>
              </w:rPr>
              <w:t xml:space="preserve">2-Year </w:t>
            </w:r>
            <w:r>
              <w:rPr>
                <w:snapToGrid w:val="0"/>
              </w:rPr>
              <w:t>unadjusted</w:t>
            </w:r>
            <w:r w:rsidRPr="008E3A77">
              <w:rPr>
                <w:snapToGrid w:val="0"/>
              </w:rPr>
              <w:t xml:space="preserve"> CIF </w:t>
            </w:r>
          </w:p>
          <w:p w14:paraId="25E62C1C" w14:textId="77777777" w:rsidR="00C1386E" w:rsidRPr="008E3A77" w:rsidRDefault="00C1386E" w:rsidP="006F47EB">
            <w:pPr>
              <w:pStyle w:val="TableHeading"/>
              <w:rPr>
                <w:snapToGrid w:val="0"/>
              </w:rPr>
            </w:pPr>
            <w:r w:rsidRPr="008E3A77">
              <w:rPr>
                <w:snapToGrid w:val="0"/>
              </w:rPr>
              <w:t>Estimates (95% CI)</w:t>
            </w:r>
          </w:p>
        </w:tc>
        <w:tc>
          <w:tcPr>
            <w:tcW w:w="477" w:type="pct"/>
            <w:tcBorders>
              <w:bottom w:val="single" w:sz="4" w:space="0" w:color="auto"/>
            </w:tcBorders>
          </w:tcPr>
          <w:p w14:paraId="0A3704DE" w14:textId="77777777" w:rsidR="00C1386E" w:rsidRDefault="00C1386E" w:rsidP="006F47EB">
            <w:pPr>
              <w:pStyle w:val="TableHeading"/>
              <w:rPr>
                <w:snapToGrid w:val="0"/>
              </w:rPr>
            </w:pPr>
            <w:r w:rsidRPr="008E3A77">
              <w:rPr>
                <w:snapToGrid w:val="0"/>
              </w:rPr>
              <w:t xml:space="preserve">2-Year Weighted CIF </w:t>
            </w:r>
          </w:p>
          <w:p w14:paraId="7BC27231" w14:textId="77777777" w:rsidR="00C1386E" w:rsidRDefault="00C1386E" w:rsidP="006F47EB">
            <w:pPr>
              <w:pStyle w:val="TableHeading"/>
              <w:rPr>
                <w:snapToGrid w:val="0"/>
              </w:rPr>
            </w:pPr>
            <w:r w:rsidRPr="008E3A77">
              <w:rPr>
                <w:snapToGrid w:val="0"/>
              </w:rPr>
              <w:t>Estimates (95% CI)</w:t>
            </w:r>
          </w:p>
        </w:tc>
        <w:tc>
          <w:tcPr>
            <w:tcW w:w="333" w:type="pct"/>
            <w:tcBorders>
              <w:bottom w:val="single" w:sz="4" w:space="0" w:color="auto"/>
            </w:tcBorders>
          </w:tcPr>
          <w:p w14:paraId="6DA3AED2" w14:textId="77777777" w:rsidR="00C1386E" w:rsidRDefault="00C1386E" w:rsidP="006F47EB">
            <w:pPr>
              <w:pStyle w:val="TableHeading"/>
              <w:rPr>
                <w:snapToGrid w:val="0"/>
              </w:rPr>
            </w:pPr>
            <w:r>
              <w:rPr>
                <w:snapToGrid w:val="0"/>
              </w:rPr>
              <w:t>Observed</w:t>
            </w:r>
          </w:p>
          <w:p w14:paraId="3B769338" w14:textId="77777777" w:rsidR="00C1386E" w:rsidRPr="0087277A" w:rsidRDefault="00C1386E" w:rsidP="006F47EB">
            <w:pPr>
              <w:pStyle w:val="TableHeading"/>
              <w:rPr>
                <w:snapToGrid w:val="0"/>
              </w:rPr>
            </w:pPr>
            <w:r>
              <w:rPr>
                <w:snapToGrid w:val="0"/>
              </w:rPr>
              <w:t>Events (</w:t>
            </w:r>
            <w:proofErr w:type="gramStart"/>
            <w:r>
              <w:rPr>
                <w:snapToGrid w:val="0"/>
              </w:rPr>
              <w:t>%)</w:t>
            </w:r>
            <w:r w:rsidRPr="008E3A77">
              <w:rPr>
                <w:snapToGrid w:val="0"/>
                <w:vertAlign w:val="superscript"/>
              </w:rPr>
              <w:t>a</w:t>
            </w:r>
            <w:proofErr w:type="gramEnd"/>
          </w:p>
        </w:tc>
        <w:tc>
          <w:tcPr>
            <w:tcW w:w="525" w:type="pct"/>
            <w:tcBorders>
              <w:bottom w:val="single" w:sz="4" w:space="0" w:color="auto"/>
            </w:tcBorders>
          </w:tcPr>
          <w:p w14:paraId="4EFA9898" w14:textId="77777777" w:rsidR="00C1386E" w:rsidRDefault="00C1386E" w:rsidP="006F47EB">
            <w:pPr>
              <w:pStyle w:val="TableHeading"/>
              <w:rPr>
                <w:snapToGrid w:val="0"/>
              </w:rPr>
            </w:pPr>
            <w:r w:rsidRPr="008E3A77">
              <w:rPr>
                <w:snapToGrid w:val="0"/>
              </w:rPr>
              <w:t xml:space="preserve">2-Year </w:t>
            </w:r>
            <w:r>
              <w:rPr>
                <w:snapToGrid w:val="0"/>
              </w:rPr>
              <w:t>unadjusted</w:t>
            </w:r>
            <w:r w:rsidRPr="008E3A77">
              <w:rPr>
                <w:snapToGrid w:val="0"/>
              </w:rPr>
              <w:t xml:space="preserve"> CIF </w:t>
            </w:r>
          </w:p>
          <w:p w14:paraId="7EBCE378" w14:textId="77777777" w:rsidR="00C1386E" w:rsidRPr="008E3A77" w:rsidRDefault="00C1386E" w:rsidP="006F47EB">
            <w:pPr>
              <w:pStyle w:val="TableHeading"/>
              <w:rPr>
                <w:snapToGrid w:val="0"/>
              </w:rPr>
            </w:pPr>
            <w:r w:rsidRPr="008E3A77">
              <w:rPr>
                <w:snapToGrid w:val="0"/>
              </w:rPr>
              <w:t>Estimates (95% CI)</w:t>
            </w:r>
          </w:p>
        </w:tc>
        <w:tc>
          <w:tcPr>
            <w:tcW w:w="548" w:type="pct"/>
            <w:tcBorders>
              <w:bottom w:val="single" w:sz="4" w:space="0" w:color="auto"/>
            </w:tcBorders>
          </w:tcPr>
          <w:p w14:paraId="2F6F7425" w14:textId="77777777" w:rsidR="00C1386E" w:rsidRDefault="00C1386E" w:rsidP="006F47EB">
            <w:pPr>
              <w:pStyle w:val="TableHeading"/>
              <w:rPr>
                <w:snapToGrid w:val="0"/>
              </w:rPr>
            </w:pPr>
            <w:r w:rsidRPr="008E3A77">
              <w:rPr>
                <w:snapToGrid w:val="0"/>
              </w:rPr>
              <w:t xml:space="preserve">2-Year Weighted CIF </w:t>
            </w:r>
          </w:p>
          <w:p w14:paraId="61C78B87" w14:textId="77777777" w:rsidR="00C1386E" w:rsidRPr="0087277A" w:rsidRDefault="00C1386E" w:rsidP="006F47EB">
            <w:pPr>
              <w:pStyle w:val="TableHeading"/>
              <w:rPr>
                <w:snapToGrid w:val="0"/>
              </w:rPr>
            </w:pPr>
            <w:r w:rsidRPr="008E3A77">
              <w:rPr>
                <w:snapToGrid w:val="0"/>
              </w:rPr>
              <w:t>Estimates (95% CI)</w:t>
            </w:r>
          </w:p>
        </w:tc>
        <w:tc>
          <w:tcPr>
            <w:tcW w:w="319" w:type="pct"/>
            <w:tcBorders>
              <w:bottom w:val="single" w:sz="4" w:space="0" w:color="auto"/>
            </w:tcBorders>
          </w:tcPr>
          <w:p w14:paraId="3F409CF3" w14:textId="77777777" w:rsidR="00C1386E" w:rsidRDefault="00C1386E" w:rsidP="006F47EB">
            <w:pPr>
              <w:pStyle w:val="TableHeading"/>
              <w:rPr>
                <w:snapToGrid w:val="0"/>
              </w:rPr>
            </w:pPr>
            <w:r>
              <w:rPr>
                <w:snapToGrid w:val="0"/>
              </w:rPr>
              <w:t>Unadjusted p-value</w:t>
            </w:r>
          </w:p>
        </w:tc>
        <w:tc>
          <w:tcPr>
            <w:tcW w:w="474" w:type="pct"/>
            <w:tcBorders>
              <w:bottom w:val="single" w:sz="4" w:space="0" w:color="auto"/>
            </w:tcBorders>
          </w:tcPr>
          <w:p w14:paraId="2CD1E720" w14:textId="77777777" w:rsidR="00C1386E" w:rsidRDefault="00C1386E" w:rsidP="006F47EB">
            <w:pPr>
              <w:pStyle w:val="TableHeading"/>
              <w:rPr>
                <w:snapToGrid w:val="0"/>
              </w:rPr>
            </w:pPr>
            <w:r>
              <w:rPr>
                <w:snapToGrid w:val="0"/>
              </w:rPr>
              <w:t>Adjusted HR (95% CI)</w:t>
            </w:r>
          </w:p>
        </w:tc>
        <w:tc>
          <w:tcPr>
            <w:tcW w:w="477" w:type="pct"/>
            <w:tcBorders>
              <w:bottom w:val="single" w:sz="4" w:space="0" w:color="auto"/>
            </w:tcBorders>
          </w:tcPr>
          <w:p w14:paraId="0B9C9018" w14:textId="77777777" w:rsidR="00C1386E" w:rsidRPr="0087277A" w:rsidRDefault="00C1386E" w:rsidP="006F47EB">
            <w:pPr>
              <w:pStyle w:val="TableHeading"/>
              <w:rPr>
                <w:snapToGrid w:val="0"/>
              </w:rPr>
            </w:pPr>
            <w:r>
              <w:rPr>
                <w:snapToGrid w:val="0"/>
              </w:rPr>
              <w:t>Adjusted RRR (95% CI)</w:t>
            </w:r>
          </w:p>
        </w:tc>
        <w:tc>
          <w:tcPr>
            <w:tcW w:w="277" w:type="pct"/>
            <w:tcBorders>
              <w:bottom w:val="single" w:sz="4" w:space="0" w:color="auto"/>
            </w:tcBorders>
          </w:tcPr>
          <w:p w14:paraId="1050978D" w14:textId="77777777" w:rsidR="00C1386E" w:rsidRPr="0087277A" w:rsidRDefault="00C1386E" w:rsidP="006F47EB">
            <w:pPr>
              <w:pStyle w:val="TableHeading"/>
              <w:rPr>
                <w:snapToGrid w:val="0"/>
              </w:rPr>
            </w:pPr>
            <w:r>
              <w:rPr>
                <w:snapToGrid w:val="0"/>
              </w:rPr>
              <w:t>Adjusted P value</w:t>
            </w:r>
          </w:p>
        </w:tc>
      </w:tr>
      <w:tr w:rsidR="00334DAB" w:rsidRPr="00DF699A" w14:paraId="08895F20" w14:textId="77777777" w:rsidTr="00087DB9">
        <w:tc>
          <w:tcPr>
            <w:tcW w:w="767" w:type="pct"/>
            <w:tcBorders>
              <w:bottom w:val="single" w:sz="4" w:space="0" w:color="auto"/>
            </w:tcBorders>
            <w:shd w:val="clear" w:color="auto" w:fill="auto"/>
            <w:vAlign w:val="bottom"/>
          </w:tcPr>
          <w:p w14:paraId="76B074E8" w14:textId="77777777" w:rsidR="00C1386E" w:rsidRPr="00DF699A" w:rsidRDefault="00C1386E" w:rsidP="006F47EB">
            <w:pPr>
              <w:pStyle w:val="TableText0"/>
              <w:rPr>
                <w:b/>
                <w:bCs/>
                <w:snapToGrid w:val="0"/>
              </w:rPr>
            </w:pPr>
            <w:r>
              <w:rPr>
                <w:b/>
                <w:bCs/>
                <w:snapToGrid w:val="0"/>
              </w:rPr>
              <w:t>Any re-intervention</w:t>
            </w:r>
          </w:p>
        </w:tc>
        <w:tc>
          <w:tcPr>
            <w:tcW w:w="297" w:type="pct"/>
            <w:tcBorders>
              <w:bottom w:val="single" w:sz="4" w:space="0" w:color="auto"/>
            </w:tcBorders>
          </w:tcPr>
          <w:p w14:paraId="6A81EC14" w14:textId="77777777" w:rsidR="00C1386E" w:rsidRPr="00DF699A" w:rsidRDefault="00C1386E" w:rsidP="006F47EB">
            <w:pPr>
              <w:pStyle w:val="TableText0"/>
              <w:rPr>
                <w:b/>
                <w:bCs/>
                <w:snapToGrid w:val="0"/>
              </w:rPr>
            </w:pPr>
            <w:r w:rsidRPr="000A31CB">
              <w:t>169 (2.7%)</w:t>
            </w:r>
          </w:p>
        </w:tc>
        <w:tc>
          <w:tcPr>
            <w:tcW w:w="506" w:type="pct"/>
            <w:tcBorders>
              <w:bottom w:val="single" w:sz="4" w:space="0" w:color="auto"/>
            </w:tcBorders>
          </w:tcPr>
          <w:p w14:paraId="154AA897" w14:textId="77777777" w:rsidR="00C1386E" w:rsidRPr="000A31CB" w:rsidRDefault="00C1386E" w:rsidP="006F47EB">
            <w:pPr>
              <w:pStyle w:val="TableText0"/>
            </w:pPr>
            <w:r w:rsidRPr="00A275ED">
              <w:rPr>
                <w:rFonts w:cs="Times New Roman"/>
                <w:b/>
                <w:bCs/>
                <w:color w:val="000000"/>
                <w:lang w:eastAsia="zh-CN" w:bidi="he-IL"/>
              </w:rPr>
              <w:t>3.0% (2.4%-3.8%)</w:t>
            </w:r>
          </w:p>
        </w:tc>
        <w:tc>
          <w:tcPr>
            <w:tcW w:w="477" w:type="pct"/>
            <w:tcBorders>
              <w:bottom w:val="single" w:sz="4" w:space="0" w:color="auto"/>
            </w:tcBorders>
          </w:tcPr>
          <w:p w14:paraId="6C325CDA" w14:textId="77777777" w:rsidR="00C1386E" w:rsidRPr="00DF699A" w:rsidRDefault="00C1386E" w:rsidP="006F47EB">
            <w:pPr>
              <w:pStyle w:val="TableText0"/>
              <w:rPr>
                <w:b/>
                <w:bCs/>
                <w:snapToGrid w:val="0"/>
              </w:rPr>
            </w:pPr>
            <w:r w:rsidRPr="000A31CB">
              <w:t>3.1% (2.8%-3.4%)</w:t>
            </w:r>
          </w:p>
        </w:tc>
        <w:tc>
          <w:tcPr>
            <w:tcW w:w="333" w:type="pct"/>
            <w:tcBorders>
              <w:bottom w:val="single" w:sz="4" w:space="0" w:color="auto"/>
            </w:tcBorders>
          </w:tcPr>
          <w:p w14:paraId="632119A5" w14:textId="77777777" w:rsidR="00C1386E" w:rsidRPr="00DF699A" w:rsidRDefault="00C1386E" w:rsidP="006F47EB">
            <w:pPr>
              <w:pStyle w:val="TableText0"/>
              <w:rPr>
                <w:b/>
                <w:bCs/>
                <w:snapToGrid w:val="0"/>
              </w:rPr>
            </w:pPr>
            <w:r w:rsidRPr="000A31CB">
              <w:t>494 (4.4%)</w:t>
            </w:r>
          </w:p>
        </w:tc>
        <w:tc>
          <w:tcPr>
            <w:tcW w:w="525" w:type="pct"/>
            <w:tcBorders>
              <w:bottom w:val="single" w:sz="4" w:space="0" w:color="auto"/>
            </w:tcBorders>
          </w:tcPr>
          <w:p w14:paraId="07E1B1ED" w14:textId="77777777" w:rsidR="00C1386E" w:rsidRPr="000A31CB" w:rsidRDefault="00C1386E" w:rsidP="006F47EB">
            <w:pPr>
              <w:pStyle w:val="TableText0"/>
            </w:pPr>
            <w:r w:rsidRPr="00A275ED">
              <w:rPr>
                <w:rFonts w:cs="Times New Roman"/>
                <w:b/>
                <w:bCs/>
                <w:color w:val="000000"/>
                <w:lang w:eastAsia="zh-CN" w:bidi="he-IL"/>
              </w:rPr>
              <w:t>4.8% (4.2%-5.3%)</w:t>
            </w:r>
          </w:p>
        </w:tc>
        <w:tc>
          <w:tcPr>
            <w:tcW w:w="548" w:type="pct"/>
            <w:tcBorders>
              <w:bottom w:val="single" w:sz="4" w:space="0" w:color="auto"/>
            </w:tcBorders>
          </w:tcPr>
          <w:p w14:paraId="7873828C" w14:textId="77777777" w:rsidR="00C1386E" w:rsidRPr="00DF699A" w:rsidRDefault="00C1386E" w:rsidP="006F47EB">
            <w:pPr>
              <w:pStyle w:val="TableText0"/>
              <w:rPr>
                <w:b/>
                <w:bCs/>
                <w:snapToGrid w:val="0"/>
              </w:rPr>
            </w:pPr>
            <w:r w:rsidRPr="000A31CB">
              <w:t>4.9% (4.5%-5.4%)</w:t>
            </w:r>
          </w:p>
        </w:tc>
        <w:tc>
          <w:tcPr>
            <w:tcW w:w="319" w:type="pct"/>
            <w:tcBorders>
              <w:bottom w:val="single" w:sz="4" w:space="0" w:color="auto"/>
            </w:tcBorders>
          </w:tcPr>
          <w:p w14:paraId="02643092" w14:textId="77777777" w:rsidR="00C1386E" w:rsidRPr="007253EE" w:rsidRDefault="00C1386E" w:rsidP="006F47EB">
            <w:pPr>
              <w:pStyle w:val="TableText0"/>
              <w:rPr>
                <w:b/>
                <w:bCs/>
              </w:rPr>
            </w:pPr>
            <w:r w:rsidRPr="00A275ED">
              <w:rPr>
                <w:rFonts w:cs="Times New Roman"/>
                <w:b/>
                <w:bCs/>
                <w:color w:val="000000"/>
                <w:lang w:eastAsia="zh-CN" w:bidi="he-IL"/>
              </w:rPr>
              <w:t>0.006</w:t>
            </w:r>
          </w:p>
        </w:tc>
        <w:tc>
          <w:tcPr>
            <w:tcW w:w="474" w:type="pct"/>
            <w:tcBorders>
              <w:bottom w:val="single" w:sz="4" w:space="0" w:color="auto"/>
            </w:tcBorders>
          </w:tcPr>
          <w:p w14:paraId="58A80051" w14:textId="77777777" w:rsidR="00C1386E" w:rsidRPr="007253EE" w:rsidRDefault="00C1386E" w:rsidP="006F47EB">
            <w:pPr>
              <w:pStyle w:val="TableText0"/>
              <w:rPr>
                <w:b/>
                <w:bCs/>
              </w:rPr>
            </w:pPr>
            <w:r w:rsidRPr="007253EE">
              <w:rPr>
                <w:b/>
                <w:bCs/>
              </w:rPr>
              <w:t>0.62 (0.45, 0.85)</w:t>
            </w:r>
          </w:p>
        </w:tc>
        <w:tc>
          <w:tcPr>
            <w:tcW w:w="477" w:type="pct"/>
            <w:tcBorders>
              <w:bottom w:val="single" w:sz="4" w:space="0" w:color="auto"/>
            </w:tcBorders>
          </w:tcPr>
          <w:p w14:paraId="402114DF" w14:textId="77777777" w:rsidR="00C1386E" w:rsidRPr="00DF699A" w:rsidRDefault="00C1386E" w:rsidP="006F47EB">
            <w:pPr>
              <w:pStyle w:val="TableText0"/>
              <w:rPr>
                <w:b/>
                <w:bCs/>
                <w:snapToGrid w:val="0"/>
              </w:rPr>
            </w:pPr>
            <w:r w:rsidRPr="007253EE">
              <w:rPr>
                <w:b/>
                <w:bCs/>
              </w:rPr>
              <w:t>38% (15%-55%)</w:t>
            </w:r>
          </w:p>
        </w:tc>
        <w:tc>
          <w:tcPr>
            <w:tcW w:w="277" w:type="pct"/>
            <w:tcBorders>
              <w:bottom w:val="single" w:sz="4" w:space="0" w:color="auto"/>
            </w:tcBorders>
          </w:tcPr>
          <w:p w14:paraId="502A79A4" w14:textId="77777777" w:rsidR="00C1386E" w:rsidRPr="00DF699A" w:rsidRDefault="00C1386E" w:rsidP="006F47EB">
            <w:pPr>
              <w:pStyle w:val="TableText0"/>
              <w:rPr>
                <w:b/>
                <w:bCs/>
                <w:snapToGrid w:val="0"/>
              </w:rPr>
            </w:pPr>
            <w:r w:rsidRPr="007253EE">
              <w:rPr>
                <w:b/>
                <w:bCs/>
              </w:rPr>
              <w:t>0.003</w:t>
            </w:r>
          </w:p>
        </w:tc>
      </w:tr>
      <w:tr w:rsidR="00334DAB" w:rsidRPr="0087277A" w14:paraId="1373D4CC" w14:textId="77777777" w:rsidTr="00087DB9">
        <w:tc>
          <w:tcPr>
            <w:tcW w:w="767" w:type="pct"/>
            <w:tcBorders>
              <w:right w:val="nil"/>
            </w:tcBorders>
            <w:shd w:val="clear" w:color="auto" w:fill="auto"/>
            <w:vAlign w:val="bottom"/>
          </w:tcPr>
          <w:p w14:paraId="1912FA3C" w14:textId="77777777" w:rsidR="00C1386E" w:rsidRDefault="00C1386E" w:rsidP="006F47EB">
            <w:pPr>
              <w:pStyle w:val="TableText0"/>
              <w:rPr>
                <w:snapToGrid w:val="0"/>
              </w:rPr>
            </w:pPr>
            <w:r>
              <w:rPr>
                <w:snapToGrid w:val="0"/>
              </w:rPr>
              <w:t>System re-intervention</w:t>
            </w:r>
          </w:p>
        </w:tc>
        <w:tc>
          <w:tcPr>
            <w:tcW w:w="297" w:type="pct"/>
            <w:tcBorders>
              <w:left w:val="nil"/>
              <w:right w:val="nil"/>
            </w:tcBorders>
          </w:tcPr>
          <w:p w14:paraId="08169EB3" w14:textId="77777777" w:rsidR="00C1386E" w:rsidRPr="0087277A" w:rsidRDefault="00C1386E" w:rsidP="006F47EB">
            <w:pPr>
              <w:pStyle w:val="TableText0"/>
              <w:rPr>
                <w:snapToGrid w:val="0"/>
              </w:rPr>
            </w:pPr>
          </w:p>
        </w:tc>
        <w:tc>
          <w:tcPr>
            <w:tcW w:w="506" w:type="pct"/>
            <w:tcBorders>
              <w:left w:val="nil"/>
              <w:right w:val="nil"/>
            </w:tcBorders>
          </w:tcPr>
          <w:p w14:paraId="66D2F6C4" w14:textId="77777777" w:rsidR="00C1386E" w:rsidRPr="000A31CB" w:rsidRDefault="00C1386E" w:rsidP="006F47EB">
            <w:pPr>
              <w:pStyle w:val="TableText0"/>
            </w:pPr>
          </w:p>
        </w:tc>
        <w:tc>
          <w:tcPr>
            <w:tcW w:w="477" w:type="pct"/>
            <w:tcBorders>
              <w:left w:val="nil"/>
              <w:right w:val="nil"/>
            </w:tcBorders>
          </w:tcPr>
          <w:p w14:paraId="4651B0D1" w14:textId="77777777" w:rsidR="00C1386E" w:rsidRPr="0087277A" w:rsidRDefault="00C1386E" w:rsidP="006F47EB">
            <w:pPr>
              <w:pStyle w:val="TableText0"/>
              <w:rPr>
                <w:snapToGrid w:val="0"/>
              </w:rPr>
            </w:pPr>
            <w:r w:rsidRPr="000A31CB">
              <w:t xml:space="preserve"> </w:t>
            </w:r>
          </w:p>
        </w:tc>
        <w:tc>
          <w:tcPr>
            <w:tcW w:w="333" w:type="pct"/>
            <w:tcBorders>
              <w:left w:val="nil"/>
              <w:right w:val="nil"/>
            </w:tcBorders>
          </w:tcPr>
          <w:p w14:paraId="46F9262E" w14:textId="77777777" w:rsidR="00C1386E" w:rsidRPr="0087277A" w:rsidRDefault="00C1386E" w:rsidP="006F47EB">
            <w:pPr>
              <w:pStyle w:val="TableText0"/>
              <w:rPr>
                <w:snapToGrid w:val="0"/>
              </w:rPr>
            </w:pPr>
          </w:p>
        </w:tc>
        <w:tc>
          <w:tcPr>
            <w:tcW w:w="525" w:type="pct"/>
            <w:tcBorders>
              <w:left w:val="nil"/>
              <w:right w:val="nil"/>
            </w:tcBorders>
          </w:tcPr>
          <w:p w14:paraId="5F3A8DE6" w14:textId="77777777" w:rsidR="00C1386E" w:rsidRPr="000A31CB" w:rsidRDefault="00C1386E" w:rsidP="006F47EB">
            <w:pPr>
              <w:pStyle w:val="TableText0"/>
            </w:pPr>
          </w:p>
        </w:tc>
        <w:tc>
          <w:tcPr>
            <w:tcW w:w="548" w:type="pct"/>
            <w:tcBorders>
              <w:left w:val="nil"/>
              <w:right w:val="nil"/>
            </w:tcBorders>
          </w:tcPr>
          <w:p w14:paraId="64628C91" w14:textId="77777777" w:rsidR="00C1386E" w:rsidRPr="0087277A" w:rsidRDefault="00C1386E" w:rsidP="006F47EB">
            <w:pPr>
              <w:pStyle w:val="TableText0"/>
              <w:rPr>
                <w:snapToGrid w:val="0"/>
              </w:rPr>
            </w:pPr>
            <w:r w:rsidRPr="000A31CB">
              <w:t xml:space="preserve"> </w:t>
            </w:r>
          </w:p>
        </w:tc>
        <w:tc>
          <w:tcPr>
            <w:tcW w:w="319" w:type="pct"/>
            <w:tcBorders>
              <w:left w:val="nil"/>
              <w:right w:val="nil"/>
            </w:tcBorders>
          </w:tcPr>
          <w:p w14:paraId="33B7729D" w14:textId="77777777" w:rsidR="00C1386E" w:rsidRPr="00C662E2" w:rsidRDefault="00C1386E" w:rsidP="006F47EB">
            <w:pPr>
              <w:pStyle w:val="TableText0"/>
            </w:pPr>
          </w:p>
        </w:tc>
        <w:tc>
          <w:tcPr>
            <w:tcW w:w="474" w:type="pct"/>
            <w:tcBorders>
              <w:left w:val="nil"/>
              <w:right w:val="nil"/>
            </w:tcBorders>
          </w:tcPr>
          <w:p w14:paraId="1FB4C602" w14:textId="77777777" w:rsidR="00C1386E" w:rsidRPr="00C662E2" w:rsidRDefault="00C1386E" w:rsidP="006F47EB">
            <w:pPr>
              <w:pStyle w:val="TableText0"/>
            </w:pPr>
          </w:p>
        </w:tc>
        <w:tc>
          <w:tcPr>
            <w:tcW w:w="477" w:type="pct"/>
            <w:tcBorders>
              <w:left w:val="nil"/>
              <w:right w:val="nil"/>
            </w:tcBorders>
          </w:tcPr>
          <w:p w14:paraId="751CED73" w14:textId="77777777" w:rsidR="00C1386E" w:rsidRPr="00DF699A" w:rsidRDefault="00C1386E" w:rsidP="006F47EB">
            <w:pPr>
              <w:pStyle w:val="TableText0"/>
              <w:rPr>
                <w:snapToGrid w:val="0"/>
              </w:rPr>
            </w:pPr>
            <w:r w:rsidRPr="000A31CB">
              <w:t xml:space="preserve"> </w:t>
            </w:r>
          </w:p>
        </w:tc>
        <w:tc>
          <w:tcPr>
            <w:tcW w:w="277" w:type="pct"/>
            <w:tcBorders>
              <w:left w:val="nil"/>
            </w:tcBorders>
          </w:tcPr>
          <w:p w14:paraId="71CE53DA" w14:textId="77777777" w:rsidR="00C1386E" w:rsidRPr="0087277A" w:rsidRDefault="00C1386E" w:rsidP="006F47EB">
            <w:pPr>
              <w:pStyle w:val="TableText0"/>
              <w:rPr>
                <w:snapToGrid w:val="0"/>
              </w:rPr>
            </w:pPr>
            <w:r w:rsidRPr="006D2103">
              <w:t xml:space="preserve"> </w:t>
            </w:r>
          </w:p>
        </w:tc>
      </w:tr>
      <w:tr w:rsidR="00334DAB" w:rsidRPr="0087277A" w14:paraId="2C564A07" w14:textId="77777777" w:rsidTr="006F47EB">
        <w:tc>
          <w:tcPr>
            <w:tcW w:w="767" w:type="pct"/>
            <w:shd w:val="clear" w:color="auto" w:fill="auto"/>
            <w:vAlign w:val="bottom"/>
          </w:tcPr>
          <w:p w14:paraId="5DB760A9" w14:textId="77777777" w:rsidR="00C1386E" w:rsidRPr="0087277A" w:rsidRDefault="00C1386E" w:rsidP="006F47EB">
            <w:pPr>
              <w:pStyle w:val="TableText0"/>
              <w:ind w:firstLine="227"/>
              <w:rPr>
                <w:snapToGrid w:val="0"/>
              </w:rPr>
            </w:pPr>
            <w:r>
              <w:rPr>
                <w:snapToGrid w:val="0"/>
              </w:rPr>
              <w:t>Revision</w:t>
            </w:r>
          </w:p>
        </w:tc>
        <w:tc>
          <w:tcPr>
            <w:tcW w:w="297" w:type="pct"/>
          </w:tcPr>
          <w:p w14:paraId="5F042955" w14:textId="77777777" w:rsidR="00C1386E" w:rsidRPr="0087277A" w:rsidRDefault="00C1386E" w:rsidP="006F47EB">
            <w:pPr>
              <w:pStyle w:val="TableText0"/>
              <w:rPr>
                <w:snapToGrid w:val="0"/>
              </w:rPr>
            </w:pPr>
            <w:r>
              <w:rPr>
                <w:color w:val="000000"/>
                <w:lang w:eastAsia="zh-CN" w:bidi="he-IL"/>
              </w:rPr>
              <w:t>≤10</w:t>
            </w:r>
            <w:r w:rsidRPr="000A31CB">
              <w:t>*</w:t>
            </w:r>
          </w:p>
        </w:tc>
        <w:tc>
          <w:tcPr>
            <w:tcW w:w="506" w:type="pct"/>
            <w:tcBorders>
              <w:top w:val="single" w:sz="4" w:space="0" w:color="auto"/>
              <w:left w:val="single" w:sz="4" w:space="0" w:color="auto"/>
              <w:bottom w:val="single" w:sz="4" w:space="0" w:color="auto"/>
              <w:right w:val="single" w:sz="4" w:space="0" w:color="auto"/>
            </w:tcBorders>
            <w:shd w:val="clear" w:color="000000" w:fill="FFFFFF"/>
            <w:vAlign w:val="center"/>
          </w:tcPr>
          <w:p w14:paraId="3DB277F9" w14:textId="77777777" w:rsidR="00C1386E" w:rsidRPr="000A31CB" w:rsidRDefault="00C1386E" w:rsidP="006F47EB">
            <w:pPr>
              <w:pStyle w:val="TableText0"/>
            </w:pPr>
            <w:r>
              <w:rPr>
                <w:color w:val="000000"/>
                <w:lang w:eastAsia="zh-CN" w:bidi="he-IL"/>
              </w:rPr>
              <w:t>NA</w:t>
            </w:r>
            <w:r w:rsidRPr="00A275ED">
              <w:rPr>
                <w:rFonts w:cs="Times New Roman"/>
                <w:color w:val="000000"/>
                <w:lang w:eastAsia="zh-CN" w:bidi="he-IL"/>
              </w:rPr>
              <w:t>*</w:t>
            </w:r>
          </w:p>
        </w:tc>
        <w:tc>
          <w:tcPr>
            <w:tcW w:w="477" w:type="pct"/>
          </w:tcPr>
          <w:p w14:paraId="02B159FC" w14:textId="77777777" w:rsidR="00C1386E" w:rsidRPr="0087277A" w:rsidRDefault="00C1386E" w:rsidP="006F47EB">
            <w:pPr>
              <w:pStyle w:val="TableText0"/>
              <w:rPr>
                <w:snapToGrid w:val="0"/>
              </w:rPr>
            </w:pPr>
            <w:r>
              <w:t>NA</w:t>
            </w:r>
            <w:r w:rsidRPr="000A31CB">
              <w:t>*</w:t>
            </w:r>
          </w:p>
        </w:tc>
        <w:tc>
          <w:tcPr>
            <w:tcW w:w="333" w:type="pct"/>
          </w:tcPr>
          <w:p w14:paraId="68D5D9CF" w14:textId="77777777" w:rsidR="00C1386E" w:rsidRPr="0087277A" w:rsidRDefault="00C1386E" w:rsidP="006F47EB">
            <w:pPr>
              <w:pStyle w:val="TableText0"/>
              <w:rPr>
                <w:snapToGrid w:val="0"/>
              </w:rPr>
            </w:pPr>
            <w:r w:rsidRPr="000A31CB">
              <w:t>56 (0.6%)</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14:paraId="6F11BC0E" w14:textId="77777777" w:rsidR="00C1386E" w:rsidRPr="000A31CB" w:rsidRDefault="00C1386E" w:rsidP="006F47EB">
            <w:pPr>
              <w:pStyle w:val="TableText0"/>
            </w:pPr>
            <w:r w:rsidRPr="00A275ED">
              <w:rPr>
                <w:rFonts w:cs="Times New Roman"/>
                <w:color w:val="000000"/>
                <w:lang w:eastAsia="zh-CN" w:bidi="he-IL"/>
              </w:rPr>
              <w:t>0.6% (0.4%-0.8%)</w:t>
            </w:r>
          </w:p>
        </w:tc>
        <w:tc>
          <w:tcPr>
            <w:tcW w:w="548" w:type="pct"/>
          </w:tcPr>
          <w:p w14:paraId="16685E79" w14:textId="77777777" w:rsidR="00C1386E" w:rsidRPr="0087277A" w:rsidRDefault="00C1386E" w:rsidP="006F47EB">
            <w:pPr>
              <w:pStyle w:val="TableText0"/>
              <w:rPr>
                <w:snapToGrid w:val="0"/>
              </w:rPr>
            </w:pPr>
            <w:r w:rsidRPr="000A31CB">
              <w:t>0.6% (0.4%-0.8%)</w:t>
            </w:r>
          </w:p>
        </w:tc>
        <w:tc>
          <w:tcPr>
            <w:tcW w:w="319" w:type="pct"/>
            <w:tcBorders>
              <w:top w:val="single" w:sz="4" w:space="0" w:color="auto"/>
              <w:left w:val="nil"/>
              <w:bottom w:val="single" w:sz="4" w:space="0" w:color="auto"/>
              <w:right w:val="single" w:sz="4" w:space="0" w:color="auto"/>
            </w:tcBorders>
            <w:shd w:val="clear" w:color="000000" w:fill="FFFFFF"/>
            <w:vAlign w:val="center"/>
          </w:tcPr>
          <w:p w14:paraId="3CFD0553" w14:textId="77777777" w:rsidR="00C1386E" w:rsidRPr="000D40CD" w:rsidRDefault="00C1386E" w:rsidP="006F47EB">
            <w:pPr>
              <w:pStyle w:val="TableText0"/>
              <w:rPr>
                <w:b/>
                <w:bCs/>
              </w:rPr>
            </w:pPr>
            <w:r w:rsidRPr="000D40CD">
              <w:rPr>
                <w:rFonts w:cs="Times New Roman"/>
                <w:b/>
                <w:bCs/>
                <w:color w:val="000000"/>
                <w:lang w:eastAsia="zh-CN" w:bidi="he-IL"/>
              </w:rPr>
              <w:t>0.0003</w:t>
            </w:r>
          </w:p>
        </w:tc>
        <w:tc>
          <w:tcPr>
            <w:tcW w:w="474" w:type="pct"/>
          </w:tcPr>
          <w:p w14:paraId="51C211ED" w14:textId="77777777" w:rsidR="00C1386E" w:rsidRPr="007253EE" w:rsidRDefault="00C1386E" w:rsidP="006F47EB">
            <w:pPr>
              <w:pStyle w:val="TableText0"/>
              <w:rPr>
                <w:b/>
                <w:bCs/>
              </w:rPr>
            </w:pPr>
            <w:r w:rsidRPr="007253EE">
              <w:rPr>
                <w:b/>
                <w:bCs/>
              </w:rPr>
              <w:t>0.20 (0.08, 0.50)</w:t>
            </w:r>
          </w:p>
        </w:tc>
        <w:tc>
          <w:tcPr>
            <w:tcW w:w="477" w:type="pct"/>
          </w:tcPr>
          <w:p w14:paraId="1D368399" w14:textId="77777777" w:rsidR="00C1386E" w:rsidRPr="007253EE" w:rsidRDefault="00C1386E" w:rsidP="006F47EB">
            <w:pPr>
              <w:pStyle w:val="TableText0"/>
              <w:rPr>
                <w:b/>
                <w:bCs/>
                <w:snapToGrid w:val="0"/>
              </w:rPr>
            </w:pPr>
            <w:r w:rsidRPr="007253EE">
              <w:rPr>
                <w:b/>
                <w:bCs/>
              </w:rPr>
              <w:t>80% (50%-92%)</w:t>
            </w:r>
          </w:p>
        </w:tc>
        <w:tc>
          <w:tcPr>
            <w:tcW w:w="277" w:type="pct"/>
          </w:tcPr>
          <w:p w14:paraId="4F633788" w14:textId="77777777" w:rsidR="00C1386E" w:rsidRPr="007253EE" w:rsidRDefault="00C1386E" w:rsidP="006F47EB">
            <w:pPr>
              <w:pStyle w:val="TableText0"/>
              <w:rPr>
                <w:b/>
                <w:bCs/>
                <w:snapToGrid w:val="0"/>
              </w:rPr>
            </w:pPr>
            <w:r w:rsidRPr="007253EE">
              <w:rPr>
                <w:b/>
                <w:bCs/>
              </w:rPr>
              <w:t>0.001</w:t>
            </w:r>
          </w:p>
        </w:tc>
      </w:tr>
      <w:tr w:rsidR="00334DAB" w:rsidRPr="0087277A" w14:paraId="10227052" w14:textId="77777777" w:rsidTr="006F47EB">
        <w:tc>
          <w:tcPr>
            <w:tcW w:w="767" w:type="pct"/>
            <w:shd w:val="clear" w:color="auto" w:fill="auto"/>
            <w:vAlign w:val="bottom"/>
          </w:tcPr>
          <w:p w14:paraId="0562BE6C" w14:textId="77777777" w:rsidR="00C1386E" w:rsidRPr="0087277A" w:rsidRDefault="00C1386E" w:rsidP="006F47EB">
            <w:pPr>
              <w:pStyle w:val="TableText0"/>
              <w:ind w:firstLine="227"/>
              <w:rPr>
                <w:snapToGrid w:val="0"/>
              </w:rPr>
            </w:pPr>
            <w:r>
              <w:rPr>
                <w:snapToGrid w:val="0"/>
              </w:rPr>
              <w:t>Lead-related reinterventions</w:t>
            </w:r>
          </w:p>
        </w:tc>
        <w:tc>
          <w:tcPr>
            <w:tcW w:w="297" w:type="pct"/>
          </w:tcPr>
          <w:p w14:paraId="382FDA79" w14:textId="77777777" w:rsidR="00C1386E" w:rsidRPr="0087277A" w:rsidRDefault="00C1386E" w:rsidP="006F47EB">
            <w:pPr>
              <w:pStyle w:val="TableText0"/>
              <w:rPr>
                <w:snapToGrid w:val="0"/>
              </w:rPr>
            </w:pPr>
            <w:r w:rsidRPr="000A31CB">
              <w:t>N/A</w:t>
            </w:r>
          </w:p>
        </w:tc>
        <w:tc>
          <w:tcPr>
            <w:tcW w:w="506" w:type="pct"/>
            <w:tcBorders>
              <w:top w:val="single" w:sz="4" w:space="0" w:color="auto"/>
              <w:left w:val="single" w:sz="4" w:space="0" w:color="auto"/>
              <w:bottom w:val="single" w:sz="4" w:space="0" w:color="auto"/>
              <w:right w:val="single" w:sz="4" w:space="0" w:color="auto"/>
            </w:tcBorders>
            <w:shd w:val="clear" w:color="000000" w:fill="FFFFFF"/>
            <w:vAlign w:val="center"/>
          </w:tcPr>
          <w:p w14:paraId="1EDD385D" w14:textId="77777777" w:rsidR="00C1386E" w:rsidRPr="000A31CB" w:rsidRDefault="00C1386E" w:rsidP="006F47EB">
            <w:pPr>
              <w:pStyle w:val="TableText0"/>
            </w:pPr>
            <w:r w:rsidRPr="00A275ED">
              <w:rPr>
                <w:rFonts w:cs="Times New Roman"/>
                <w:color w:val="000000"/>
                <w:lang w:eastAsia="zh-CN" w:bidi="he-IL"/>
              </w:rPr>
              <w:t>N/A</w:t>
            </w:r>
          </w:p>
        </w:tc>
        <w:tc>
          <w:tcPr>
            <w:tcW w:w="477" w:type="pct"/>
          </w:tcPr>
          <w:p w14:paraId="27C80A8C" w14:textId="77777777" w:rsidR="00C1386E" w:rsidRPr="0087277A" w:rsidRDefault="00C1386E" w:rsidP="006F47EB">
            <w:pPr>
              <w:pStyle w:val="TableText0"/>
              <w:rPr>
                <w:snapToGrid w:val="0"/>
              </w:rPr>
            </w:pPr>
            <w:r w:rsidRPr="000A31CB">
              <w:t>N/A</w:t>
            </w:r>
          </w:p>
        </w:tc>
        <w:tc>
          <w:tcPr>
            <w:tcW w:w="333" w:type="pct"/>
          </w:tcPr>
          <w:p w14:paraId="404970A1" w14:textId="77777777" w:rsidR="00C1386E" w:rsidRPr="0087277A" w:rsidRDefault="00C1386E" w:rsidP="006F47EB">
            <w:pPr>
              <w:pStyle w:val="TableText0"/>
              <w:rPr>
                <w:snapToGrid w:val="0"/>
              </w:rPr>
            </w:pPr>
            <w:r w:rsidRPr="000A31CB">
              <w:t>65 (0.6%)</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14:paraId="5C72AD2C" w14:textId="77777777" w:rsidR="00C1386E" w:rsidRPr="000A31CB" w:rsidRDefault="00C1386E" w:rsidP="006F47EB">
            <w:pPr>
              <w:pStyle w:val="TableText0"/>
            </w:pPr>
            <w:r w:rsidRPr="00A275ED">
              <w:rPr>
                <w:rFonts w:cs="Times New Roman"/>
                <w:color w:val="000000"/>
                <w:lang w:eastAsia="zh-CN" w:bidi="he-IL"/>
              </w:rPr>
              <w:t>0.7% (0.5%-0.9%)</w:t>
            </w:r>
          </w:p>
        </w:tc>
        <w:tc>
          <w:tcPr>
            <w:tcW w:w="548" w:type="pct"/>
          </w:tcPr>
          <w:p w14:paraId="366A6546" w14:textId="77777777" w:rsidR="00C1386E" w:rsidRPr="0087277A" w:rsidRDefault="00C1386E" w:rsidP="006F47EB">
            <w:pPr>
              <w:pStyle w:val="TableText0"/>
              <w:rPr>
                <w:snapToGrid w:val="0"/>
              </w:rPr>
            </w:pPr>
            <w:r w:rsidRPr="000A31CB">
              <w:t>0.7% (0.5%-0.9%)</w:t>
            </w:r>
          </w:p>
        </w:tc>
        <w:tc>
          <w:tcPr>
            <w:tcW w:w="319" w:type="pct"/>
            <w:tcBorders>
              <w:top w:val="single" w:sz="4" w:space="0" w:color="auto"/>
              <w:left w:val="nil"/>
              <w:bottom w:val="single" w:sz="4" w:space="0" w:color="auto"/>
              <w:right w:val="single" w:sz="4" w:space="0" w:color="auto"/>
            </w:tcBorders>
            <w:shd w:val="clear" w:color="000000" w:fill="FFFFFF"/>
            <w:vAlign w:val="center"/>
          </w:tcPr>
          <w:p w14:paraId="2ABC04AC" w14:textId="77777777" w:rsidR="00C1386E" w:rsidRDefault="00C1386E" w:rsidP="006F47EB">
            <w:pPr>
              <w:pStyle w:val="TableText0"/>
            </w:pPr>
            <w:r w:rsidRPr="00A275ED">
              <w:rPr>
                <w:rFonts w:cs="Times New Roman"/>
                <w:color w:val="000000"/>
                <w:lang w:eastAsia="zh-CN" w:bidi="he-IL"/>
              </w:rPr>
              <w:t>N/A</w:t>
            </w:r>
          </w:p>
        </w:tc>
        <w:tc>
          <w:tcPr>
            <w:tcW w:w="474" w:type="pct"/>
          </w:tcPr>
          <w:p w14:paraId="0A0C16F3" w14:textId="77777777" w:rsidR="00C1386E" w:rsidRPr="00C662E2" w:rsidRDefault="00C1386E" w:rsidP="006F47EB">
            <w:pPr>
              <w:pStyle w:val="TableText0"/>
            </w:pPr>
            <w:r>
              <w:t>N/A</w:t>
            </w:r>
          </w:p>
        </w:tc>
        <w:tc>
          <w:tcPr>
            <w:tcW w:w="477" w:type="pct"/>
          </w:tcPr>
          <w:p w14:paraId="0CD9214D" w14:textId="77777777" w:rsidR="00C1386E" w:rsidRPr="00DF699A" w:rsidRDefault="00C1386E" w:rsidP="006F47EB">
            <w:pPr>
              <w:pStyle w:val="TableText0"/>
              <w:rPr>
                <w:snapToGrid w:val="0"/>
              </w:rPr>
            </w:pPr>
            <w:r w:rsidRPr="000A31CB">
              <w:t>N/A</w:t>
            </w:r>
          </w:p>
        </w:tc>
        <w:tc>
          <w:tcPr>
            <w:tcW w:w="277" w:type="pct"/>
          </w:tcPr>
          <w:p w14:paraId="00DF4338" w14:textId="77777777" w:rsidR="00C1386E" w:rsidRPr="0087277A" w:rsidRDefault="00C1386E" w:rsidP="006F47EB">
            <w:pPr>
              <w:pStyle w:val="TableText0"/>
              <w:rPr>
                <w:snapToGrid w:val="0"/>
              </w:rPr>
            </w:pPr>
            <w:r w:rsidRPr="006D2103">
              <w:t>N/A</w:t>
            </w:r>
          </w:p>
        </w:tc>
      </w:tr>
      <w:tr w:rsidR="00334DAB" w:rsidRPr="0087277A" w14:paraId="6171A8A1" w14:textId="77777777" w:rsidTr="006F47EB">
        <w:tc>
          <w:tcPr>
            <w:tcW w:w="767" w:type="pct"/>
            <w:shd w:val="clear" w:color="auto" w:fill="auto"/>
            <w:vAlign w:val="bottom"/>
          </w:tcPr>
          <w:p w14:paraId="143BBD61" w14:textId="77777777" w:rsidR="00C1386E" w:rsidRDefault="00C1386E" w:rsidP="006F47EB">
            <w:pPr>
              <w:pStyle w:val="TableText0"/>
              <w:ind w:firstLine="227"/>
              <w:rPr>
                <w:snapToGrid w:val="0"/>
              </w:rPr>
            </w:pPr>
            <w:r>
              <w:rPr>
                <w:snapToGrid w:val="0"/>
              </w:rPr>
              <w:t>Replacement</w:t>
            </w:r>
          </w:p>
        </w:tc>
        <w:tc>
          <w:tcPr>
            <w:tcW w:w="297" w:type="pct"/>
          </w:tcPr>
          <w:p w14:paraId="52DCEB12" w14:textId="77777777" w:rsidR="00C1386E" w:rsidRPr="0087277A" w:rsidRDefault="00C1386E" w:rsidP="006F47EB">
            <w:pPr>
              <w:pStyle w:val="TableText0"/>
              <w:rPr>
                <w:snapToGrid w:val="0"/>
              </w:rPr>
            </w:pPr>
            <w:r w:rsidRPr="000A31CB">
              <w:t>68 (1.1%)</w:t>
            </w:r>
          </w:p>
        </w:tc>
        <w:tc>
          <w:tcPr>
            <w:tcW w:w="506" w:type="pct"/>
            <w:tcBorders>
              <w:top w:val="single" w:sz="4" w:space="0" w:color="auto"/>
              <w:left w:val="single" w:sz="4" w:space="0" w:color="auto"/>
              <w:bottom w:val="single" w:sz="4" w:space="0" w:color="auto"/>
              <w:right w:val="single" w:sz="4" w:space="0" w:color="auto"/>
            </w:tcBorders>
            <w:shd w:val="clear" w:color="000000" w:fill="FFFFFF"/>
            <w:vAlign w:val="center"/>
          </w:tcPr>
          <w:p w14:paraId="0032F5E9" w14:textId="77777777" w:rsidR="00C1386E" w:rsidRPr="000A31CB" w:rsidRDefault="00C1386E" w:rsidP="006F47EB">
            <w:pPr>
              <w:pStyle w:val="TableText0"/>
            </w:pPr>
            <w:r w:rsidRPr="00A275ED">
              <w:rPr>
                <w:rFonts w:cs="Times New Roman"/>
                <w:color w:val="000000"/>
                <w:lang w:eastAsia="zh-CN" w:bidi="he-IL"/>
              </w:rPr>
              <w:t>1.1% (0.8%-1.5%)</w:t>
            </w:r>
          </w:p>
        </w:tc>
        <w:tc>
          <w:tcPr>
            <w:tcW w:w="477" w:type="pct"/>
          </w:tcPr>
          <w:p w14:paraId="3E1097B4" w14:textId="77777777" w:rsidR="00C1386E" w:rsidRPr="0087277A" w:rsidRDefault="00C1386E" w:rsidP="006F47EB">
            <w:pPr>
              <w:pStyle w:val="TableText0"/>
              <w:rPr>
                <w:snapToGrid w:val="0"/>
              </w:rPr>
            </w:pPr>
            <w:r w:rsidRPr="000A31CB">
              <w:t>1.1% (0.9%-1.3%)</w:t>
            </w:r>
          </w:p>
        </w:tc>
        <w:tc>
          <w:tcPr>
            <w:tcW w:w="333" w:type="pct"/>
          </w:tcPr>
          <w:p w14:paraId="1D98A6BE" w14:textId="77777777" w:rsidR="00C1386E" w:rsidRPr="0087277A" w:rsidRDefault="00C1386E" w:rsidP="006F47EB">
            <w:pPr>
              <w:pStyle w:val="TableText0"/>
              <w:rPr>
                <w:snapToGrid w:val="0"/>
              </w:rPr>
            </w:pPr>
            <w:r w:rsidRPr="000A31CB">
              <w:t>44 (0.4%)</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14:paraId="04417A6E" w14:textId="77777777" w:rsidR="00C1386E" w:rsidRPr="000A31CB" w:rsidRDefault="00C1386E" w:rsidP="006F47EB">
            <w:pPr>
              <w:pStyle w:val="TableText0"/>
            </w:pPr>
            <w:r w:rsidRPr="00A275ED">
              <w:rPr>
                <w:rFonts w:cs="Times New Roman"/>
                <w:color w:val="000000"/>
                <w:lang w:eastAsia="zh-CN" w:bidi="he-IL"/>
              </w:rPr>
              <w:t>0.4% (0.3%-0.7%)</w:t>
            </w:r>
          </w:p>
        </w:tc>
        <w:tc>
          <w:tcPr>
            <w:tcW w:w="548" w:type="pct"/>
          </w:tcPr>
          <w:p w14:paraId="5F02724D" w14:textId="77777777" w:rsidR="00C1386E" w:rsidRPr="0087277A" w:rsidRDefault="00C1386E" w:rsidP="006F47EB">
            <w:pPr>
              <w:pStyle w:val="TableText0"/>
              <w:rPr>
                <w:snapToGrid w:val="0"/>
              </w:rPr>
            </w:pPr>
            <w:r w:rsidRPr="000A31CB">
              <w:t>0.4% (0.3%-0.6%)</w:t>
            </w:r>
          </w:p>
        </w:tc>
        <w:tc>
          <w:tcPr>
            <w:tcW w:w="319" w:type="pct"/>
            <w:tcBorders>
              <w:top w:val="single" w:sz="4" w:space="0" w:color="auto"/>
              <w:left w:val="nil"/>
              <w:bottom w:val="single" w:sz="4" w:space="0" w:color="auto"/>
              <w:right w:val="single" w:sz="4" w:space="0" w:color="auto"/>
            </w:tcBorders>
            <w:shd w:val="clear" w:color="000000" w:fill="FFFFFF"/>
            <w:vAlign w:val="center"/>
          </w:tcPr>
          <w:p w14:paraId="7BE7D17B" w14:textId="77777777" w:rsidR="00C1386E" w:rsidRPr="000D40CD" w:rsidRDefault="00C1386E" w:rsidP="006F47EB">
            <w:pPr>
              <w:pStyle w:val="TableText0"/>
              <w:rPr>
                <w:b/>
                <w:bCs/>
              </w:rPr>
            </w:pPr>
            <w:r w:rsidRPr="000D40CD">
              <w:rPr>
                <w:rFonts w:cs="Times New Roman"/>
                <w:b/>
                <w:bCs/>
                <w:color w:val="000000"/>
                <w:lang w:eastAsia="zh-CN" w:bidi="he-IL"/>
              </w:rPr>
              <w:t>0.0016</w:t>
            </w:r>
          </w:p>
        </w:tc>
        <w:tc>
          <w:tcPr>
            <w:tcW w:w="474" w:type="pct"/>
          </w:tcPr>
          <w:p w14:paraId="075C4FE7" w14:textId="77777777" w:rsidR="00C1386E" w:rsidRPr="007253EE" w:rsidRDefault="00C1386E" w:rsidP="006F47EB">
            <w:pPr>
              <w:pStyle w:val="TableText0"/>
              <w:rPr>
                <w:b/>
                <w:bCs/>
              </w:rPr>
            </w:pPr>
            <w:r w:rsidRPr="007253EE">
              <w:rPr>
                <w:b/>
                <w:bCs/>
              </w:rPr>
              <w:t>2.50 (1.40, 4.46)</w:t>
            </w:r>
          </w:p>
        </w:tc>
        <w:tc>
          <w:tcPr>
            <w:tcW w:w="477" w:type="pct"/>
          </w:tcPr>
          <w:p w14:paraId="7B71F9E7" w14:textId="77777777" w:rsidR="00C1386E" w:rsidRPr="007253EE" w:rsidRDefault="00C1386E" w:rsidP="006F47EB">
            <w:pPr>
              <w:pStyle w:val="TableText0"/>
              <w:rPr>
                <w:b/>
                <w:bCs/>
                <w:snapToGrid w:val="0"/>
              </w:rPr>
            </w:pPr>
            <w:r w:rsidRPr="007253EE">
              <w:rPr>
                <w:b/>
                <w:bCs/>
              </w:rPr>
              <w:t>-150% (-346%--40%)</w:t>
            </w:r>
          </w:p>
        </w:tc>
        <w:tc>
          <w:tcPr>
            <w:tcW w:w="277" w:type="pct"/>
          </w:tcPr>
          <w:p w14:paraId="5E8CFA78" w14:textId="77777777" w:rsidR="00C1386E" w:rsidRPr="007253EE" w:rsidRDefault="00C1386E" w:rsidP="006F47EB">
            <w:pPr>
              <w:pStyle w:val="TableText0"/>
              <w:rPr>
                <w:b/>
                <w:bCs/>
                <w:snapToGrid w:val="0"/>
              </w:rPr>
            </w:pPr>
            <w:r w:rsidRPr="007253EE">
              <w:rPr>
                <w:b/>
                <w:bCs/>
              </w:rPr>
              <w:t>0.002</w:t>
            </w:r>
          </w:p>
        </w:tc>
      </w:tr>
      <w:tr w:rsidR="00334DAB" w:rsidRPr="0087277A" w14:paraId="32FB15CA" w14:textId="77777777" w:rsidTr="006F47EB">
        <w:tc>
          <w:tcPr>
            <w:tcW w:w="767" w:type="pct"/>
            <w:shd w:val="clear" w:color="auto" w:fill="auto"/>
            <w:vAlign w:val="bottom"/>
          </w:tcPr>
          <w:p w14:paraId="605F1CED" w14:textId="77777777" w:rsidR="00C1386E" w:rsidRDefault="00C1386E" w:rsidP="006F47EB">
            <w:pPr>
              <w:pStyle w:val="TableText0"/>
              <w:ind w:firstLine="227"/>
              <w:rPr>
                <w:snapToGrid w:val="0"/>
              </w:rPr>
            </w:pPr>
            <w:r>
              <w:rPr>
                <w:snapToGrid w:val="0"/>
              </w:rPr>
              <w:t>System switch (replacement with opposite type of device)</w:t>
            </w:r>
          </w:p>
        </w:tc>
        <w:tc>
          <w:tcPr>
            <w:tcW w:w="297" w:type="pct"/>
          </w:tcPr>
          <w:p w14:paraId="3BE59447" w14:textId="77777777" w:rsidR="00C1386E" w:rsidRPr="0087277A" w:rsidRDefault="00C1386E" w:rsidP="006F47EB">
            <w:pPr>
              <w:pStyle w:val="TableText0"/>
              <w:rPr>
                <w:snapToGrid w:val="0"/>
              </w:rPr>
            </w:pPr>
            <w:r w:rsidRPr="000A31CB">
              <w:t>18 (0.3%)</w:t>
            </w:r>
          </w:p>
        </w:tc>
        <w:tc>
          <w:tcPr>
            <w:tcW w:w="506" w:type="pct"/>
            <w:tcBorders>
              <w:top w:val="single" w:sz="4" w:space="0" w:color="auto"/>
              <w:left w:val="single" w:sz="4" w:space="0" w:color="auto"/>
              <w:bottom w:val="single" w:sz="4" w:space="0" w:color="auto"/>
              <w:right w:val="single" w:sz="4" w:space="0" w:color="auto"/>
            </w:tcBorders>
            <w:shd w:val="clear" w:color="000000" w:fill="FFFFFF"/>
            <w:vAlign w:val="center"/>
          </w:tcPr>
          <w:p w14:paraId="71763C02" w14:textId="77777777" w:rsidR="00C1386E" w:rsidRPr="000A31CB" w:rsidRDefault="00C1386E" w:rsidP="006F47EB">
            <w:pPr>
              <w:pStyle w:val="TableText0"/>
            </w:pPr>
            <w:r w:rsidRPr="00A275ED">
              <w:rPr>
                <w:rFonts w:cs="Times New Roman"/>
                <w:color w:val="000000"/>
                <w:lang w:eastAsia="zh-CN" w:bidi="he-IL"/>
              </w:rPr>
              <w:t>0.3% (0.2%-0.5%)</w:t>
            </w:r>
          </w:p>
        </w:tc>
        <w:tc>
          <w:tcPr>
            <w:tcW w:w="477" w:type="pct"/>
          </w:tcPr>
          <w:p w14:paraId="5FE91F39" w14:textId="77777777" w:rsidR="00C1386E" w:rsidRPr="0087277A" w:rsidRDefault="00C1386E" w:rsidP="006F47EB">
            <w:pPr>
              <w:pStyle w:val="TableText0"/>
              <w:rPr>
                <w:snapToGrid w:val="0"/>
              </w:rPr>
            </w:pPr>
            <w:r w:rsidRPr="000A31CB">
              <w:t>0.4% (0.2%-0.5%)</w:t>
            </w:r>
          </w:p>
        </w:tc>
        <w:tc>
          <w:tcPr>
            <w:tcW w:w="333" w:type="pct"/>
          </w:tcPr>
          <w:p w14:paraId="0D5FA959" w14:textId="77777777" w:rsidR="00C1386E" w:rsidRPr="0087277A" w:rsidRDefault="00C1386E" w:rsidP="006F47EB">
            <w:pPr>
              <w:pStyle w:val="TableText0"/>
              <w:rPr>
                <w:snapToGrid w:val="0"/>
              </w:rPr>
            </w:pPr>
            <w:r w:rsidRPr="000A31CB">
              <w:t>26 (0.3%)</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14:paraId="29F0746E" w14:textId="77777777" w:rsidR="00C1386E" w:rsidRPr="000A31CB" w:rsidRDefault="00C1386E" w:rsidP="006F47EB">
            <w:pPr>
              <w:pStyle w:val="TableText0"/>
            </w:pPr>
            <w:r w:rsidRPr="00A275ED">
              <w:rPr>
                <w:rFonts w:cs="Times New Roman"/>
                <w:color w:val="000000"/>
                <w:lang w:eastAsia="zh-CN" w:bidi="he-IL"/>
              </w:rPr>
              <w:t>0.3% (0.2%-0.4%)</w:t>
            </w:r>
          </w:p>
        </w:tc>
        <w:tc>
          <w:tcPr>
            <w:tcW w:w="548" w:type="pct"/>
          </w:tcPr>
          <w:p w14:paraId="08AF632D" w14:textId="77777777" w:rsidR="00C1386E" w:rsidRPr="0087277A" w:rsidRDefault="00C1386E" w:rsidP="006F47EB">
            <w:pPr>
              <w:pStyle w:val="TableText0"/>
              <w:rPr>
                <w:snapToGrid w:val="0"/>
              </w:rPr>
            </w:pPr>
            <w:r w:rsidRPr="000A31CB">
              <w:t>0.3% (0.2%-0.4%)</w:t>
            </w:r>
          </w:p>
        </w:tc>
        <w:tc>
          <w:tcPr>
            <w:tcW w:w="319" w:type="pct"/>
            <w:tcBorders>
              <w:top w:val="single" w:sz="4" w:space="0" w:color="auto"/>
              <w:left w:val="nil"/>
              <w:bottom w:val="single" w:sz="4" w:space="0" w:color="auto"/>
              <w:right w:val="single" w:sz="4" w:space="0" w:color="auto"/>
            </w:tcBorders>
            <w:shd w:val="clear" w:color="000000" w:fill="FFFFFF"/>
            <w:vAlign w:val="center"/>
          </w:tcPr>
          <w:p w14:paraId="4B7C6633" w14:textId="77777777" w:rsidR="00C1386E" w:rsidRDefault="00C1386E" w:rsidP="006F47EB">
            <w:pPr>
              <w:pStyle w:val="TableText0"/>
            </w:pPr>
            <w:r w:rsidRPr="00A275ED">
              <w:rPr>
                <w:rFonts w:cs="Times New Roman"/>
                <w:color w:val="000000"/>
                <w:lang w:eastAsia="zh-CN" w:bidi="he-IL"/>
              </w:rPr>
              <w:t>0.6776</w:t>
            </w:r>
          </w:p>
        </w:tc>
        <w:tc>
          <w:tcPr>
            <w:tcW w:w="474" w:type="pct"/>
          </w:tcPr>
          <w:p w14:paraId="7E699CD9" w14:textId="77777777" w:rsidR="00C1386E" w:rsidRPr="00412E36" w:rsidRDefault="00C1386E" w:rsidP="006F47EB">
            <w:pPr>
              <w:pStyle w:val="TableText0"/>
            </w:pPr>
            <w:r>
              <w:t>1.28 (1.34, 2.50)</w:t>
            </w:r>
          </w:p>
        </w:tc>
        <w:tc>
          <w:tcPr>
            <w:tcW w:w="477" w:type="pct"/>
          </w:tcPr>
          <w:p w14:paraId="34B3275F" w14:textId="77777777" w:rsidR="00C1386E" w:rsidRPr="00DF699A" w:rsidRDefault="00C1386E" w:rsidP="006F47EB">
            <w:pPr>
              <w:pStyle w:val="TableText0"/>
              <w:rPr>
                <w:snapToGrid w:val="0"/>
              </w:rPr>
            </w:pPr>
            <w:r w:rsidRPr="000A31CB">
              <w:t>-28% (-150%--34%)</w:t>
            </w:r>
          </w:p>
        </w:tc>
        <w:tc>
          <w:tcPr>
            <w:tcW w:w="277" w:type="pct"/>
          </w:tcPr>
          <w:p w14:paraId="57FA28C6" w14:textId="77777777" w:rsidR="00C1386E" w:rsidRPr="0087277A" w:rsidRDefault="00C1386E" w:rsidP="006F47EB">
            <w:pPr>
              <w:pStyle w:val="TableText0"/>
              <w:rPr>
                <w:snapToGrid w:val="0"/>
              </w:rPr>
            </w:pPr>
            <w:r w:rsidRPr="006D2103">
              <w:t>0.463</w:t>
            </w:r>
          </w:p>
        </w:tc>
      </w:tr>
      <w:tr w:rsidR="00334DAB" w:rsidRPr="0087277A" w14:paraId="0AC8ED0A" w14:textId="77777777" w:rsidTr="006F47EB">
        <w:tc>
          <w:tcPr>
            <w:tcW w:w="767" w:type="pct"/>
            <w:tcBorders>
              <w:bottom w:val="single" w:sz="4" w:space="0" w:color="auto"/>
            </w:tcBorders>
            <w:shd w:val="clear" w:color="auto" w:fill="auto"/>
            <w:vAlign w:val="bottom"/>
          </w:tcPr>
          <w:p w14:paraId="657FA266" w14:textId="77777777" w:rsidR="00C1386E" w:rsidRDefault="00C1386E" w:rsidP="006F47EB">
            <w:pPr>
              <w:pStyle w:val="TableText0"/>
              <w:ind w:firstLine="227"/>
              <w:rPr>
                <w:snapToGrid w:val="0"/>
              </w:rPr>
            </w:pPr>
            <w:r>
              <w:rPr>
                <w:snapToGrid w:val="0"/>
              </w:rPr>
              <w:t>Removal</w:t>
            </w:r>
          </w:p>
        </w:tc>
        <w:tc>
          <w:tcPr>
            <w:tcW w:w="297" w:type="pct"/>
            <w:tcBorders>
              <w:bottom w:val="single" w:sz="4" w:space="0" w:color="auto"/>
            </w:tcBorders>
          </w:tcPr>
          <w:p w14:paraId="6C860FD9" w14:textId="77777777" w:rsidR="00C1386E" w:rsidRPr="0087277A" w:rsidRDefault="00C1386E" w:rsidP="006F47EB">
            <w:pPr>
              <w:pStyle w:val="TableText0"/>
              <w:rPr>
                <w:snapToGrid w:val="0"/>
              </w:rPr>
            </w:pPr>
            <w:r>
              <w:rPr>
                <w:color w:val="000000"/>
                <w:lang w:eastAsia="zh-CN" w:bidi="he-IL"/>
              </w:rPr>
              <w:t>≤10</w:t>
            </w:r>
            <w:r w:rsidRPr="000A31CB">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14:paraId="6E1AEE24" w14:textId="77777777" w:rsidR="00C1386E" w:rsidRPr="000A31CB" w:rsidRDefault="00C1386E" w:rsidP="006F47EB">
            <w:pPr>
              <w:pStyle w:val="TableText0"/>
            </w:pPr>
            <w:r>
              <w:rPr>
                <w:color w:val="000000"/>
                <w:lang w:eastAsia="zh-CN" w:bidi="he-IL"/>
              </w:rPr>
              <w:t>NA</w:t>
            </w:r>
            <w:r w:rsidRPr="00A275ED">
              <w:rPr>
                <w:rFonts w:cs="Times New Roman"/>
                <w:color w:val="000000"/>
                <w:lang w:eastAsia="zh-CN" w:bidi="he-IL"/>
              </w:rPr>
              <w:t>*</w:t>
            </w:r>
          </w:p>
        </w:tc>
        <w:tc>
          <w:tcPr>
            <w:tcW w:w="477" w:type="pct"/>
            <w:tcBorders>
              <w:bottom w:val="single" w:sz="4" w:space="0" w:color="auto"/>
            </w:tcBorders>
          </w:tcPr>
          <w:p w14:paraId="1A2ED417" w14:textId="77777777" w:rsidR="00C1386E" w:rsidRPr="0087277A" w:rsidRDefault="00C1386E" w:rsidP="006F47EB">
            <w:pPr>
              <w:pStyle w:val="TableText0"/>
              <w:rPr>
                <w:snapToGrid w:val="0"/>
              </w:rPr>
            </w:pPr>
            <w:r w:rsidRPr="000A31CB">
              <w:t>*</w:t>
            </w:r>
          </w:p>
        </w:tc>
        <w:tc>
          <w:tcPr>
            <w:tcW w:w="333" w:type="pct"/>
            <w:tcBorders>
              <w:bottom w:val="single" w:sz="4" w:space="0" w:color="auto"/>
            </w:tcBorders>
          </w:tcPr>
          <w:p w14:paraId="118B3752" w14:textId="77777777" w:rsidR="00C1386E" w:rsidRPr="0087277A" w:rsidRDefault="00C1386E" w:rsidP="006F47EB">
            <w:pPr>
              <w:pStyle w:val="TableText0"/>
              <w:rPr>
                <w:snapToGrid w:val="0"/>
              </w:rPr>
            </w:pPr>
            <w:r w:rsidRPr="000A31CB">
              <w:t>75 (0.7%)</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14:paraId="24D60AC6" w14:textId="77777777" w:rsidR="00C1386E" w:rsidRPr="000A31CB" w:rsidRDefault="00C1386E" w:rsidP="006F47EB">
            <w:pPr>
              <w:pStyle w:val="TableText0"/>
            </w:pPr>
            <w:r w:rsidRPr="00A275ED">
              <w:rPr>
                <w:rFonts w:cs="Times New Roman"/>
                <w:color w:val="000000"/>
                <w:lang w:eastAsia="zh-CN" w:bidi="he-IL"/>
              </w:rPr>
              <w:t>0.8% (0.6%-1.0%)</w:t>
            </w:r>
          </w:p>
        </w:tc>
        <w:tc>
          <w:tcPr>
            <w:tcW w:w="548" w:type="pct"/>
            <w:tcBorders>
              <w:bottom w:val="single" w:sz="4" w:space="0" w:color="auto"/>
            </w:tcBorders>
          </w:tcPr>
          <w:p w14:paraId="42681A6F" w14:textId="77777777" w:rsidR="00C1386E" w:rsidRPr="0087277A" w:rsidRDefault="00C1386E" w:rsidP="006F47EB">
            <w:pPr>
              <w:pStyle w:val="TableText0"/>
              <w:rPr>
                <w:snapToGrid w:val="0"/>
              </w:rPr>
            </w:pPr>
            <w:r w:rsidRPr="000A31CB">
              <w:t xml:space="preserve">0.8% (0.7%-1.1%) </w:t>
            </w:r>
          </w:p>
        </w:tc>
        <w:tc>
          <w:tcPr>
            <w:tcW w:w="319" w:type="pct"/>
            <w:tcBorders>
              <w:top w:val="single" w:sz="4" w:space="0" w:color="auto"/>
              <w:left w:val="nil"/>
              <w:bottom w:val="single" w:sz="4" w:space="0" w:color="auto"/>
              <w:right w:val="single" w:sz="4" w:space="0" w:color="auto"/>
            </w:tcBorders>
            <w:shd w:val="clear" w:color="000000" w:fill="FFFFFF"/>
            <w:vAlign w:val="center"/>
          </w:tcPr>
          <w:p w14:paraId="2ECAD942" w14:textId="77777777" w:rsidR="00C1386E" w:rsidRPr="000D40CD" w:rsidRDefault="00C1386E" w:rsidP="006F47EB">
            <w:pPr>
              <w:pStyle w:val="TableText0"/>
              <w:rPr>
                <w:b/>
                <w:bCs/>
              </w:rPr>
            </w:pPr>
            <w:r w:rsidRPr="000D40CD">
              <w:rPr>
                <w:rFonts w:cs="Times New Roman"/>
                <w:b/>
                <w:bCs/>
                <w:color w:val="000000"/>
                <w:lang w:eastAsia="zh-CN" w:bidi="he-IL"/>
              </w:rPr>
              <w:t>&lt;.0001</w:t>
            </w:r>
          </w:p>
        </w:tc>
        <w:tc>
          <w:tcPr>
            <w:tcW w:w="474" w:type="pct"/>
            <w:tcBorders>
              <w:bottom w:val="single" w:sz="4" w:space="0" w:color="auto"/>
            </w:tcBorders>
          </w:tcPr>
          <w:p w14:paraId="36FD9703" w14:textId="77777777" w:rsidR="00C1386E" w:rsidRPr="007253EE" w:rsidRDefault="00C1386E" w:rsidP="006F47EB">
            <w:pPr>
              <w:pStyle w:val="TableText0"/>
              <w:rPr>
                <w:b/>
                <w:bCs/>
              </w:rPr>
            </w:pPr>
            <w:r w:rsidRPr="007253EE">
              <w:rPr>
                <w:b/>
                <w:bCs/>
              </w:rPr>
              <w:t>0.05 (0.01, 0.20)</w:t>
            </w:r>
          </w:p>
        </w:tc>
        <w:tc>
          <w:tcPr>
            <w:tcW w:w="477" w:type="pct"/>
            <w:tcBorders>
              <w:bottom w:val="single" w:sz="4" w:space="0" w:color="auto"/>
            </w:tcBorders>
          </w:tcPr>
          <w:p w14:paraId="3997265B" w14:textId="77777777" w:rsidR="00C1386E" w:rsidRPr="007253EE" w:rsidRDefault="00C1386E" w:rsidP="006F47EB">
            <w:pPr>
              <w:pStyle w:val="TableText0"/>
              <w:rPr>
                <w:b/>
                <w:bCs/>
                <w:snapToGrid w:val="0"/>
              </w:rPr>
            </w:pPr>
            <w:r w:rsidRPr="007253EE">
              <w:rPr>
                <w:b/>
                <w:bCs/>
              </w:rPr>
              <w:t>95% (80%-99%)</w:t>
            </w:r>
          </w:p>
        </w:tc>
        <w:tc>
          <w:tcPr>
            <w:tcW w:w="277" w:type="pct"/>
            <w:tcBorders>
              <w:bottom w:val="single" w:sz="4" w:space="0" w:color="auto"/>
            </w:tcBorders>
          </w:tcPr>
          <w:p w14:paraId="76A749D8" w14:textId="77777777" w:rsidR="00C1386E" w:rsidRPr="007253EE" w:rsidRDefault="00C1386E" w:rsidP="006F47EB">
            <w:pPr>
              <w:pStyle w:val="TableText0"/>
              <w:rPr>
                <w:b/>
                <w:bCs/>
                <w:snapToGrid w:val="0"/>
              </w:rPr>
            </w:pPr>
            <w:r w:rsidRPr="007253EE">
              <w:rPr>
                <w:b/>
                <w:bCs/>
              </w:rPr>
              <w:t>&lt;.0001</w:t>
            </w:r>
          </w:p>
        </w:tc>
      </w:tr>
      <w:tr w:rsidR="00334DAB" w:rsidRPr="0087277A" w14:paraId="115F335A" w14:textId="77777777" w:rsidTr="00087DB9">
        <w:tc>
          <w:tcPr>
            <w:tcW w:w="767" w:type="pct"/>
            <w:tcBorders>
              <w:right w:val="nil"/>
            </w:tcBorders>
            <w:shd w:val="clear" w:color="auto" w:fill="auto"/>
            <w:vAlign w:val="bottom"/>
          </w:tcPr>
          <w:p w14:paraId="593A5EFD" w14:textId="77777777" w:rsidR="00C1386E" w:rsidRDefault="00C1386E" w:rsidP="006F47EB">
            <w:pPr>
              <w:pStyle w:val="TableText0"/>
              <w:rPr>
                <w:snapToGrid w:val="0"/>
              </w:rPr>
            </w:pPr>
            <w:r>
              <w:rPr>
                <w:snapToGrid w:val="0"/>
              </w:rPr>
              <w:t>Upgrade</w:t>
            </w:r>
          </w:p>
        </w:tc>
        <w:tc>
          <w:tcPr>
            <w:tcW w:w="297" w:type="pct"/>
            <w:tcBorders>
              <w:left w:val="nil"/>
              <w:right w:val="nil"/>
            </w:tcBorders>
          </w:tcPr>
          <w:p w14:paraId="2F5AFF41" w14:textId="77777777" w:rsidR="00C1386E" w:rsidRPr="0087277A" w:rsidRDefault="00C1386E" w:rsidP="006F47EB">
            <w:pPr>
              <w:pStyle w:val="TableText0"/>
              <w:rPr>
                <w:snapToGrid w:val="0"/>
              </w:rPr>
            </w:pPr>
          </w:p>
        </w:tc>
        <w:tc>
          <w:tcPr>
            <w:tcW w:w="506" w:type="pct"/>
            <w:tcBorders>
              <w:left w:val="nil"/>
              <w:right w:val="nil"/>
            </w:tcBorders>
          </w:tcPr>
          <w:p w14:paraId="50FF374E" w14:textId="77777777" w:rsidR="00C1386E" w:rsidRPr="000A31CB" w:rsidRDefault="00C1386E" w:rsidP="006F47EB">
            <w:pPr>
              <w:pStyle w:val="TableText0"/>
            </w:pPr>
          </w:p>
        </w:tc>
        <w:tc>
          <w:tcPr>
            <w:tcW w:w="477" w:type="pct"/>
            <w:tcBorders>
              <w:left w:val="nil"/>
              <w:right w:val="nil"/>
            </w:tcBorders>
          </w:tcPr>
          <w:p w14:paraId="69F98B3E" w14:textId="77777777" w:rsidR="00C1386E" w:rsidRPr="0087277A" w:rsidRDefault="00C1386E" w:rsidP="006F47EB">
            <w:pPr>
              <w:pStyle w:val="TableText0"/>
              <w:rPr>
                <w:snapToGrid w:val="0"/>
              </w:rPr>
            </w:pPr>
            <w:r w:rsidRPr="000A31CB">
              <w:t xml:space="preserve"> </w:t>
            </w:r>
          </w:p>
        </w:tc>
        <w:tc>
          <w:tcPr>
            <w:tcW w:w="333" w:type="pct"/>
            <w:tcBorders>
              <w:left w:val="nil"/>
              <w:right w:val="nil"/>
            </w:tcBorders>
          </w:tcPr>
          <w:p w14:paraId="255FB68C" w14:textId="77777777" w:rsidR="00C1386E" w:rsidRPr="0087277A" w:rsidRDefault="00C1386E" w:rsidP="006F47EB">
            <w:pPr>
              <w:pStyle w:val="TableText0"/>
              <w:rPr>
                <w:snapToGrid w:val="0"/>
              </w:rPr>
            </w:pPr>
          </w:p>
        </w:tc>
        <w:tc>
          <w:tcPr>
            <w:tcW w:w="525" w:type="pct"/>
            <w:tcBorders>
              <w:left w:val="nil"/>
              <w:right w:val="nil"/>
            </w:tcBorders>
          </w:tcPr>
          <w:p w14:paraId="63EAD759" w14:textId="77777777" w:rsidR="00C1386E" w:rsidRPr="000A31CB" w:rsidRDefault="00C1386E" w:rsidP="006F47EB">
            <w:pPr>
              <w:pStyle w:val="TableText0"/>
            </w:pPr>
          </w:p>
        </w:tc>
        <w:tc>
          <w:tcPr>
            <w:tcW w:w="548" w:type="pct"/>
            <w:tcBorders>
              <w:left w:val="nil"/>
              <w:right w:val="nil"/>
            </w:tcBorders>
          </w:tcPr>
          <w:p w14:paraId="43545DE7" w14:textId="77777777" w:rsidR="00C1386E" w:rsidRPr="0087277A" w:rsidRDefault="00C1386E" w:rsidP="006F47EB">
            <w:pPr>
              <w:pStyle w:val="TableText0"/>
              <w:rPr>
                <w:snapToGrid w:val="0"/>
              </w:rPr>
            </w:pPr>
            <w:r w:rsidRPr="000A31CB">
              <w:t xml:space="preserve"> </w:t>
            </w:r>
          </w:p>
        </w:tc>
        <w:tc>
          <w:tcPr>
            <w:tcW w:w="319" w:type="pct"/>
            <w:tcBorders>
              <w:left w:val="nil"/>
              <w:right w:val="nil"/>
            </w:tcBorders>
          </w:tcPr>
          <w:p w14:paraId="16A34854" w14:textId="77777777" w:rsidR="00C1386E" w:rsidRPr="00412E36" w:rsidRDefault="00C1386E" w:rsidP="006F47EB">
            <w:pPr>
              <w:pStyle w:val="TableText0"/>
            </w:pPr>
          </w:p>
        </w:tc>
        <w:tc>
          <w:tcPr>
            <w:tcW w:w="474" w:type="pct"/>
            <w:tcBorders>
              <w:left w:val="nil"/>
              <w:right w:val="nil"/>
            </w:tcBorders>
          </w:tcPr>
          <w:p w14:paraId="111A7717" w14:textId="77777777" w:rsidR="00C1386E" w:rsidRPr="00412E36" w:rsidRDefault="00C1386E" w:rsidP="006F47EB">
            <w:pPr>
              <w:pStyle w:val="TableText0"/>
            </w:pPr>
          </w:p>
        </w:tc>
        <w:tc>
          <w:tcPr>
            <w:tcW w:w="477" w:type="pct"/>
            <w:tcBorders>
              <w:left w:val="nil"/>
              <w:right w:val="nil"/>
            </w:tcBorders>
          </w:tcPr>
          <w:p w14:paraId="3F576627" w14:textId="77777777" w:rsidR="00C1386E" w:rsidRPr="00DF699A" w:rsidRDefault="00C1386E" w:rsidP="006F47EB">
            <w:pPr>
              <w:pStyle w:val="TableText0"/>
              <w:rPr>
                <w:snapToGrid w:val="0"/>
              </w:rPr>
            </w:pPr>
            <w:r w:rsidRPr="000A31CB">
              <w:t xml:space="preserve"> </w:t>
            </w:r>
          </w:p>
        </w:tc>
        <w:tc>
          <w:tcPr>
            <w:tcW w:w="277" w:type="pct"/>
            <w:tcBorders>
              <w:left w:val="nil"/>
            </w:tcBorders>
          </w:tcPr>
          <w:p w14:paraId="16F6B3DF" w14:textId="77777777" w:rsidR="00C1386E" w:rsidRPr="0087277A" w:rsidRDefault="00C1386E" w:rsidP="006F47EB">
            <w:pPr>
              <w:pStyle w:val="TableText0"/>
              <w:rPr>
                <w:snapToGrid w:val="0"/>
              </w:rPr>
            </w:pPr>
            <w:r w:rsidRPr="006D2103">
              <w:t xml:space="preserve"> </w:t>
            </w:r>
          </w:p>
        </w:tc>
      </w:tr>
      <w:tr w:rsidR="00334DAB" w:rsidRPr="0087277A" w14:paraId="7BD15829" w14:textId="77777777" w:rsidTr="00087DB9">
        <w:tc>
          <w:tcPr>
            <w:tcW w:w="767" w:type="pct"/>
            <w:shd w:val="clear" w:color="auto" w:fill="auto"/>
            <w:vAlign w:val="bottom"/>
          </w:tcPr>
          <w:p w14:paraId="0C41C629" w14:textId="77777777" w:rsidR="00C1386E" w:rsidRDefault="00C1386E" w:rsidP="006F47EB">
            <w:pPr>
              <w:pStyle w:val="TableText0"/>
              <w:ind w:firstLine="227"/>
              <w:rPr>
                <w:snapToGrid w:val="0"/>
              </w:rPr>
            </w:pPr>
            <w:proofErr w:type="gramStart"/>
            <w:r w:rsidRPr="003438B4">
              <w:rPr>
                <w:snapToGrid w:val="0"/>
              </w:rPr>
              <w:t>Dual-chamber</w:t>
            </w:r>
            <w:proofErr w:type="gramEnd"/>
          </w:p>
        </w:tc>
        <w:tc>
          <w:tcPr>
            <w:tcW w:w="297" w:type="pct"/>
          </w:tcPr>
          <w:p w14:paraId="525BCACA" w14:textId="77777777" w:rsidR="00C1386E" w:rsidRPr="0087277A" w:rsidRDefault="00C1386E" w:rsidP="006F47EB">
            <w:pPr>
              <w:pStyle w:val="TableText0"/>
              <w:rPr>
                <w:snapToGrid w:val="0"/>
              </w:rPr>
            </w:pPr>
            <w:r w:rsidRPr="000A31CB">
              <w:t>22 (0.4%)</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14:paraId="267F948E" w14:textId="77777777" w:rsidR="00C1386E" w:rsidRPr="000A31CB" w:rsidRDefault="00C1386E" w:rsidP="006F47EB">
            <w:pPr>
              <w:pStyle w:val="TableText0"/>
            </w:pPr>
            <w:r w:rsidRPr="00A275ED">
              <w:rPr>
                <w:rFonts w:cs="Times New Roman"/>
                <w:color w:val="000000"/>
                <w:lang w:eastAsia="zh-CN" w:bidi="he-IL"/>
              </w:rPr>
              <w:t>0.4% (0.3%-0.6%)</w:t>
            </w:r>
          </w:p>
        </w:tc>
        <w:tc>
          <w:tcPr>
            <w:tcW w:w="477" w:type="pct"/>
          </w:tcPr>
          <w:p w14:paraId="0772D804" w14:textId="77777777" w:rsidR="00C1386E" w:rsidRPr="0087277A" w:rsidRDefault="00C1386E" w:rsidP="006F47EB">
            <w:pPr>
              <w:pStyle w:val="TableText0"/>
              <w:rPr>
                <w:snapToGrid w:val="0"/>
              </w:rPr>
            </w:pPr>
            <w:r w:rsidRPr="000A31CB">
              <w:t>0.4% (0.3%-0.6%)</w:t>
            </w:r>
          </w:p>
        </w:tc>
        <w:tc>
          <w:tcPr>
            <w:tcW w:w="333" w:type="pct"/>
          </w:tcPr>
          <w:p w14:paraId="5BD5CF6B" w14:textId="77777777" w:rsidR="00C1386E" w:rsidRPr="0087277A" w:rsidRDefault="00C1386E" w:rsidP="006F47EB">
            <w:pPr>
              <w:pStyle w:val="TableText0"/>
              <w:rPr>
                <w:snapToGrid w:val="0"/>
              </w:rPr>
            </w:pPr>
            <w:r w:rsidRPr="000A31CB">
              <w:t>66 (0.7%)</w:t>
            </w:r>
          </w:p>
        </w:tc>
        <w:tc>
          <w:tcPr>
            <w:tcW w:w="525" w:type="pct"/>
            <w:vAlign w:val="center"/>
          </w:tcPr>
          <w:p w14:paraId="34831E07" w14:textId="77777777" w:rsidR="00C1386E" w:rsidRPr="000A31CB" w:rsidRDefault="00C1386E" w:rsidP="006F47EB">
            <w:pPr>
              <w:pStyle w:val="TableText0"/>
            </w:pPr>
            <w:r w:rsidRPr="00A275ED">
              <w:rPr>
                <w:rFonts w:cs="Times New Roman"/>
                <w:color w:val="000000"/>
                <w:lang w:eastAsia="zh-CN" w:bidi="he-IL"/>
              </w:rPr>
              <w:t>0.7% (0.6%-0.9%)</w:t>
            </w:r>
          </w:p>
        </w:tc>
        <w:tc>
          <w:tcPr>
            <w:tcW w:w="548" w:type="pct"/>
          </w:tcPr>
          <w:p w14:paraId="2523CA70" w14:textId="77777777" w:rsidR="00C1386E" w:rsidRPr="0087277A" w:rsidRDefault="00C1386E" w:rsidP="006F47EB">
            <w:pPr>
              <w:pStyle w:val="TableText0"/>
              <w:rPr>
                <w:snapToGrid w:val="0"/>
              </w:rPr>
            </w:pPr>
            <w:r w:rsidRPr="000A31CB">
              <w:t>0.8% (0.6%-1.0%)</w:t>
            </w:r>
          </w:p>
        </w:tc>
        <w:tc>
          <w:tcPr>
            <w:tcW w:w="319" w:type="pct"/>
            <w:vAlign w:val="center"/>
          </w:tcPr>
          <w:p w14:paraId="6919E0A2" w14:textId="77777777" w:rsidR="00C1386E" w:rsidRDefault="00C1386E" w:rsidP="006F47EB">
            <w:pPr>
              <w:pStyle w:val="TableText0"/>
            </w:pPr>
            <w:r w:rsidRPr="00A275ED">
              <w:rPr>
                <w:rFonts w:cs="Times New Roman"/>
                <w:color w:val="000000"/>
                <w:lang w:eastAsia="zh-CN" w:bidi="he-IL"/>
              </w:rPr>
              <w:t>0.0458</w:t>
            </w:r>
          </w:p>
        </w:tc>
        <w:tc>
          <w:tcPr>
            <w:tcW w:w="474" w:type="pct"/>
          </w:tcPr>
          <w:p w14:paraId="20CB9EAA" w14:textId="77777777" w:rsidR="00C1386E" w:rsidRPr="00412E36" w:rsidRDefault="00C1386E" w:rsidP="006F47EB">
            <w:pPr>
              <w:pStyle w:val="TableText0"/>
            </w:pPr>
            <w:r>
              <w:t>0.58 (0.33, 1.02)</w:t>
            </w:r>
          </w:p>
        </w:tc>
        <w:tc>
          <w:tcPr>
            <w:tcW w:w="477" w:type="pct"/>
          </w:tcPr>
          <w:p w14:paraId="3E92A43E" w14:textId="77777777" w:rsidR="00C1386E" w:rsidRPr="00DF699A" w:rsidRDefault="00C1386E" w:rsidP="006F47EB">
            <w:pPr>
              <w:pStyle w:val="TableText0"/>
              <w:rPr>
                <w:snapToGrid w:val="0"/>
              </w:rPr>
            </w:pPr>
            <w:r w:rsidRPr="000A31CB">
              <w:t>42% (-2%-67%)</w:t>
            </w:r>
          </w:p>
        </w:tc>
        <w:tc>
          <w:tcPr>
            <w:tcW w:w="277" w:type="pct"/>
          </w:tcPr>
          <w:p w14:paraId="1AB3B91D" w14:textId="77777777" w:rsidR="00C1386E" w:rsidRPr="0087277A" w:rsidRDefault="00C1386E" w:rsidP="006F47EB">
            <w:pPr>
              <w:pStyle w:val="TableText0"/>
              <w:rPr>
                <w:snapToGrid w:val="0"/>
              </w:rPr>
            </w:pPr>
            <w:r w:rsidRPr="006D2103">
              <w:t>0.06</w:t>
            </w:r>
          </w:p>
        </w:tc>
      </w:tr>
      <w:tr w:rsidR="00334DAB" w:rsidRPr="0087277A" w14:paraId="31565EEF" w14:textId="77777777" w:rsidTr="00087DB9">
        <w:tc>
          <w:tcPr>
            <w:tcW w:w="767" w:type="pct"/>
            <w:shd w:val="clear" w:color="auto" w:fill="auto"/>
            <w:vAlign w:val="bottom"/>
          </w:tcPr>
          <w:p w14:paraId="293019CD" w14:textId="77777777" w:rsidR="00C1386E" w:rsidRDefault="00C1386E" w:rsidP="006F47EB">
            <w:pPr>
              <w:pStyle w:val="TableText0"/>
              <w:ind w:firstLine="227"/>
              <w:rPr>
                <w:snapToGrid w:val="0"/>
              </w:rPr>
            </w:pPr>
            <w:r w:rsidRPr="003438B4">
              <w:rPr>
                <w:snapToGrid w:val="0"/>
              </w:rPr>
              <w:t>CRT</w:t>
            </w:r>
          </w:p>
        </w:tc>
        <w:tc>
          <w:tcPr>
            <w:tcW w:w="297" w:type="pct"/>
          </w:tcPr>
          <w:p w14:paraId="355A9F85" w14:textId="77777777" w:rsidR="00C1386E" w:rsidRPr="0087277A" w:rsidRDefault="00C1386E" w:rsidP="006F47EB">
            <w:pPr>
              <w:pStyle w:val="TableText0"/>
              <w:rPr>
                <w:snapToGrid w:val="0"/>
              </w:rPr>
            </w:pPr>
            <w:r w:rsidRPr="000A31CB">
              <w:t>57 (0.9%)</w:t>
            </w:r>
          </w:p>
        </w:tc>
        <w:tc>
          <w:tcPr>
            <w:tcW w:w="506" w:type="pct"/>
            <w:tcBorders>
              <w:top w:val="single" w:sz="4" w:space="0" w:color="auto"/>
              <w:left w:val="single" w:sz="4" w:space="0" w:color="auto"/>
              <w:bottom w:val="single" w:sz="4" w:space="0" w:color="auto"/>
              <w:right w:val="single" w:sz="4" w:space="0" w:color="auto"/>
            </w:tcBorders>
            <w:shd w:val="clear" w:color="auto" w:fill="auto"/>
            <w:vAlign w:val="bottom"/>
          </w:tcPr>
          <w:p w14:paraId="70A6872E" w14:textId="77777777" w:rsidR="00C1386E" w:rsidRPr="000A31CB" w:rsidRDefault="00C1386E" w:rsidP="006F47EB">
            <w:pPr>
              <w:pStyle w:val="TableText0"/>
            </w:pPr>
            <w:r w:rsidRPr="00A275ED">
              <w:rPr>
                <w:rFonts w:cs="Times New Roman"/>
                <w:color w:val="000000"/>
                <w:lang w:eastAsia="zh-CN" w:bidi="he-IL"/>
              </w:rPr>
              <w:t>1.1% (0.8%-1.5%)</w:t>
            </w:r>
          </w:p>
        </w:tc>
        <w:tc>
          <w:tcPr>
            <w:tcW w:w="477" w:type="pct"/>
          </w:tcPr>
          <w:p w14:paraId="3F9CF60F" w14:textId="77777777" w:rsidR="00C1386E" w:rsidRPr="0087277A" w:rsidRDefault="00C1386E" w:rsidP="006F47EB">
            <w:pPr>
              <w:pStyle w:val="TableText0"/>
              <w:rPr>
                <w:snapToGrid w:val="0"/>
              </w:rPr>
            </w:pPr>
            <w:r w:rsidRPr="000A31CB">
              <w:t>1.2% (1.0%-1.4%)</w:t>
            </w:r>
          </w:p>
        </w:tc>
        <w:tc>
          <w:tcPr>
            <w:tcW w:w="333" w:type="pct"/>
          </w:tcPr>
          <w:p w14:paraId="03986B27" w14:textId="77777777" w:rsidR="00C1386E" w:rsidRPr="0087277A" w:rsidRDefault="00C1386E" w:rsidP="006F47EB">
            <w:pPr>
              <w:pStyle w:val="TableText0"/>
              <w:rPr>
                <w:snapToGrid w:val="0"/>
              </w:rPr>
            </w:pPr>
            <w:r w:rsidRPr="000A31CB">
              <w:t>140 (1.4%)</w:t>
            </w:r>
          </w:p>
        </w:tc>
        <w:tc>
          <w:tcPr>
            <w:tcW w:w="525" w:type="pct"/>
            <w:vAlign w:val="center"/>
          </w:tcPr>
          <w:p w14:paraId="09537882" w14:textId="77777777" w:rsidR="00C1386E" w:rsidRPr="000A31CB" w:rsidRDefault="00C1386E" w:rsidP="006F47EB">
            <w:pPr>
              <w:pStyle w:val="TableText0"/>
            </w:pPr>
            <w:r w:rsidRPr="00A275ED">
              <w:rPr>
                <w:rFonts w:cs="Times New Roman"/>
                <w:color w:val="000000"/>
                <w:lang w:eastAsia="zh-CN" w:bidi="he-IL"/>
              </w:rPr>
              <w:t>1.6% (1.4%-1.8%)</w:t>
            </w:r>
          </w:p>
        </w:tc>
        <w:tc>
          <w:tcPr>
            <w:tcW w:w="548" w:type="pct"/>
          </w:tcPr>
          <w:p w14:paraId="6242D5B0" w14:textId="77777777" w:rsidR="00C1386E" w:rsidRPr="0087277A" w:rsidRDefault="00C1386E" w:rsidP="006F47EB">
            <w:pPr>
              <w:pStyle w:val="TableText0"/>
              <w:rPr>
                <w:snapToGrid w:val="0"/>
              </w:rPr>
            </w:pPr>
            <w:r w:rsidRPr="000A31CB">
              <w:t>1.7% (1.4%-1.9%)</w:t>
            </w:r>
          </w:p>
        </w:tc>
        <w:tc>
          <w:tcPr>
            <w:tcW w:w="319" w:type="pct"/>
            <w:vAlign w:val="center"/>
          </w:tcPr>
          <w:p w14:paraId="390C9F33" w14:textId="77777777" w:rsidR="00C1386E" w:rsidRPr="000D40CD" w:rsidRDefault="00C1386E" w:rsidP="006F47EB">
            <w:pPr>
              <w:pStyle w:val="TableText0"/>
              <w:rPr>
                <w:b/>
                <w:bCs/>
              </w:rPr>
            </w:pPr>
            <w:r w:rsidRPr="000D40CD">
              <w:rPr>
                <w:rFonts w:cs="Times New Roman"/>
                <w:b/>
                <w:bCs/>
                <w:color w:val="000000"/>
                <w:lang w:eastAsia="zh-CN" w:bidi="he-IL"/>
              </w:rPr>
              <w:t>0.0162</w:t>
            </w:r>
          </w:p>
        </w:tc>
        <w:tc>
          <w:tcPr>
            <w:tcW w:w="474" w:type="pct"/>
          </w:tcPr>
          <w:p w14:paraId="34442E56" w14:textId="77777777" w:rsidR="00C1386E" w:rsidRPr="007253EE" w:rsidRDefault="00C1386E" w:rsidP="006F47EB">
            <w:pPr>
              <w:pStyle w:val="TableText0"/>
              <w:rPr>
                <w:b/>
                <w:bCs/>
              </w:rPr>
            </w:pPr>
            <w:r w:rsidRPr="007253EE">
              <w:rPr>
                <w:b/>
                <w:bCs/>
              </w:rPr>
              <w:t>0.70 (0.51, 0.96)</w:t>
            </w:r>
          </w:p>
        </w:tc>
        <w:tc>
          <w:tcPr>
            <w:tcW w:w="477" w:type="pct"/>
            <w:shd w:val="clear" w:color="auto" w:fill="auto"/>
          </w:tcPr>
          <w:p w14:paraId="36B265AC" w14:textId="77777777" w:rsidR="00C1386E" w:rsidRPr="007253EE" w:rsidRDefault="00C1386E" w:rsidP="006F47EB">
            <w:pPr>
              <w:pStyle w:val="TableText0"/>
              <w:rPr>
                <w:b/>
                <w:bCs/>
                <w:snapToGrid w:val="0"/>
              </w:rPr>
            </w:pPr>
            <w:r w:rsidRPr="007253EE">
              <w:rPr>
                <w:b/>
                <w:bCs/>
              </w:rPr>
              <w:t>30% (4%-49%)</w:t>
            </w:r>
          </w:p>
        </w:tc>
        <w:tc>
          <w:tcPr>
            <w:tcW w:w="277" w:type="pct"/>
            <w:shd w:val="clear" w:color="auto" w:fill="auto"/>
          </w:tcPr>
          <w:p w14:paraId="74F33572" w14:textId="77777777" w:rsidR="00C1386E" w:rsidRPr="007253EE" w:rsidRDefault="00C1386E" w:rsidP="006F47EB">
            <w:pPr>
              <w:pStyle w:val="TableText0"/>
              <w:rPr>
                <w:b/>
                <w:bCs/>
                <w:snapToGrid w:val="0"/>
              </w:rPr>
            </w:pPr>
            <w:r w:rsidRPr="007253EE">
              <w:rPr>
                <w:b/>
                <w:bCs/>
              </w:rPr>
              <w:t>0.025</w:t>
            </w:r>
          </w:p>
        </w:tc>
      </w:tr>
    </w:tbl>
    <w:p w14:paraId="5984CEDD" w14:textId="77777777" w:rsidR="00C1386E" w:rsidRDefault="00C1386E" w:rsidP="00C1386E">
      <w:pPr>
        <w:pStyle w:val="Tablenotes"/>
      </w:pPr>
      <w:r w:rsidRPr="00FE7C27">
        <w:t>Abbreviations: N</w:t>
      </w:r>
      <w:r>
        <w:t>/</w:t>
      </w:r>
      <w:r w:rsidRPr="00FE7C27">
        <w:t>A, not applicable.</w:t>
      </w:r>
      <w:r>
        <w:t xml:space="preserve"> LPM, leadless pacemaker; TVPM, transvenous pacemaker; </w:t>
      </w:r>
      <w:r w:rsidRPr="0087277A">
        <w:t xml:space="preserve">CI=confidence interval; </w:t>
      </w:r>
      <w:r>
        <w:t xml:space="preserve">CIF, cumulative incidence function; RRR, relative risk reduction. </w:t>
      </w:r>
    </w:p>
    <w:p w14:paraId="5700DE88" w14:textId="77777777" w:rsidR="00C1386E" w:rsidRDefault="00C1386E" w:rsidP="00C1386E">
      <w:pPr>
        <w:pStyle w:val="Tablenotes"/>
      </w:pPr>
      <w:r>
        <w:t>a</w:t>
      </w:r>
      <w:r>
        <w:tab/>
      </w:r>
      <w:r w:rsidRPr="008E3A77">
        <w:t>Raw percentage defined as number of events divided by number of patients.</w:t>
      </w:r>
    </w:p>
    <w:p w14:paraId="5765F6F9" w14:textId="77777777" w:rsidR="00C1386E" w:rsidRDefault="00C1386E" w:rsidP="00C1386E">
      <w:pPr>
        <w:pStyle w:val="Tablenotes"/>
      </w:pPr>
      <w:r>
        <w:t>*</w:t>
      </w:r>
      <w:r>
        <w:tab/>
        <w:t>Cells with 10 or less patients were suppressed to protect beneficiary privacy as required by the US Centres of Medicare &amp; Medicaid Services.</w:t>
      </w:r>
    </w:p>
    <w:p w14:paraId="7DC09A0D" w14:textId="2B292966" w:rsidR="00C1386E" w:rsidRDefault="00C1386E" w:rsidP="00C1386E">
      <w:pPr>
        <w:pStyle w:val="Tablenotes"/>
      </w:pPr>
      <w:r>
        <w:t xml:space="preserve">Source: </w:t>
      </w:r>
      <w:r w:rsidR="000F2B1C">
        <w:t>Commentary report.</w:t>
      </w:r>
    </w:p>
    <w:p w14:paraId="5DA2DA13" w14:textId="77777777" w:rsidR="00DC0E38" w:rsidRDefault="00DC0E38" w:rsidP="00645477">
      <w:pPr>
        <w:sectPr w:rsidR="00DC0E38" w:rsidSect="000D40CD">
          <w:pgSz w:w="16838" w:h="11906" w:orient="landscape"/>
          <w:pgMar w:top="1440" w:right="1440" w:bottom="1440" w:left="1440" w:header="708" w:footer="708" w:gutter="0"/>
          <w:cols w:space="708"/>
          <w:docGrid w:linePitch="360"/>
        </w:sectPr>
      </w:pPr>
    </w:p>
    <w:p w14:paraId="1F75B4ED" w14:textId="77777777" w:rsidR="0035612B" w:rsidRPr="003910CE" w:rsidRDefault="0035612B" w:rsidP="00645477">
      <w:pPr>
        <w:pStyle w:val="Heading3nonumbers"/>
      </w:pPr>
      <w:r w:rsidRPr="003910CE">
        <w:lastRenderedPageBreak/>
        <w:t>Missing outcomes</w:t>
      </w:r>
    </w:p>
    <w:p w14:paraId="01AAA76B" w14:textId="2F31F995" w:rsidR="0035612B" w:rsidRDefault="0035612B" w:rsidP="00645477">
      <w:pPr>
        <w:rPr>
          <w:lang w:val="en-US"/>
        </w:rPr>
      </w:pPr>
      <w:r>
        <w:rPr>
          <w:lang w:val="en-US"/>
        </w:rPr>
        <w:t xml:space="preserve">There are several other important complications that appear to be missing from the </w:t>
      </w:r>
      <w:r w:rsidR="000678CC">
        <w:rPr>
          <w:lang w:val="en-US"/>
        </w:rPr>
        <w:t>included studies and therefore cannot be commented on</w:t>
      </w:r>
      <w:r>
        <w:rPr>
          <w:lang w:val="en-US"/>
        </w:rPr>
        <w:t>. Ventricular fibrillation is a major concern and should have been reported as a complication</w:t>
      </w:r>
      <w:r w:rsidR="009F7284">
        <w:rPr>
          <w:lang w:val="en-US"/>
        </w:rPr>
        <w:t xml:space="preserve">. </w:t>
      </w:r>
      <w:r w:rsidR="0010518F">
        <w:rPr>
          <w:lang w:val="en-US"/>
        </w:rPr>
        <w:t xml:space="preserve">Rates of pleural effusion and intra-procedure </w:t>
      </w:r>
      <w:r>
        <w:rPr>
          <w:lang w:val="en-US"/>
        </w:rPr>
        <w:t>cardioversion</w:t>
      </w:r>
      <w:r w:rsidR="002B1A23">
        <w:rPr>
          <w:lang w:val="en-US"/>
        </w:rPr>
        <w:t xml:space="preserve"> or </w:t>
      </w:r>
      <w:r>
        <w:rPr>
          <w:lang w:val="en-US"/>
        </w:rPr>
        <w:t xml:space="preserve">defibrillation </w:t>
      </w:r>
      <w:r w:rsidR="0010518F">
        <w:rPr>
          <w:lang w:val="en-US"/>
        </w:rPr>
        <w:t xml:space="preserve">should also </w:t>
      </w:r>
      <w:r w:rsidR="0055458F">
        <w:rPr>
          <w:lang w:val="en-US"/>
        </w:rPr>
        <w:t>have been</w:t>
      </w:r>
      <w:r w:rsidR="0010518F">
        <w:rPr>
          <w:lang w:val="en-US"/>
        </w:rPr>
        <w:t xml:space="preserve"> reported</w:t>
      </w:r>
      <w:r>
        <w:rPr>
          <w:lang w:val="en-US"/>
        </w:rPr>
        <w:t>.</w:t>
      </w:r>
      <w:r w:rsidR="00C765FA">
        <w:rPr>
          <w:lang w:val="en-US"/>
        </w:rPr>
        <w:t xml:space="preserve"> </w:t>
      </w:r>
    </w:p>
    <w:p w14:paraId="1AC69506" w14:textId="6C913B73" w:rsidR="0035612B" w:rsidRPr="00622D8E" w:rsidRDefault="00B1208C" w:rsidP="00645477">
      <w:pPr>
        <w:pStyle w:val="Heading3nonumbers"/>
      </w:pPr>
      <w:r>
        <w:t>Limitations</w:t>
      </w:r>
      <w:r w:rsidRPr="00622D8E">
        <w:t xml:space="preserve"> </w:t>
      </w:r>
      <w:r w:rsidR="0035612B" w:rsidRPr="00622D8E">
        <w:t>of</w:t>
      </w:r>
      <w:r>
        <w:t xml:space="preserve"> the</w:t>
      </w:r>
      <w:r w:rsidR="0035612B" w:rsidRPr="00622D8E">
        <w:t xml:space="preserve"> safety data</w:t>
      </w:r>
    </w:p>
    <w:p w14:paraId="4F4FB480" w14:textId="386A8555" w:rsidR="0035612B" w:rsidRDefault="0035612B" w:rsidP="00645477">
      <w:pPr>
        <w:rPr>
          <w:lang w:val="en-US"/>
        </w:rPr>
      </w:pPr>
      <w:r>
        <w:rPr>
          <w:lang w:val="en-US"/>
        </w:rPr>
        <w:t xml:space="preserve">The main safety data reported by the applicant is a composite outcome </w:t>
      </w:r>
      <w:r w:rsidR="0055458F">
        <w:rPr>
          <w:lang w:val="en-US"/>
        </w:rPr>
        <w:t xml:space="preserve">comprising </w:t>
      </w:r>
      <w:r>
        <w:rPr>
          <w:lang w:val="en-US"/>
        </w:rPr>
        <w:t xml:space="preserve">several different complications. Combining </w:t>
      </w:r>
      <w:r w:rsidR="0055458F">
        <w:rPr>
          <w:lang w:val="en-US"/>
        </w:rPr>
        <w:t xml:space="preserve">rare and common </w:t>
      </w:r>
      <w:r>
        <w:rPr>
          <w:lang w:val="en-US"/>
        </w:rPr>
        <w:t xml:space="preserve">complications </w:t>
      </w:r>
      <w:r w:rsidR="00425AF5">
        <w:rPr>
          <w:lang w:val="en-US"/>
        </w:rPr>
        <w:t xml:space="preserve">into a composite outcome </w:t>
      </w:r>
      <w:r>
        <w:rPr>
          <w:lang w:val="en-US"/>
        </w:rPr>
        <w:t xml:space="preserve">does not </w:t>
      </w:r>
      <w:r w:rsidR="00425AF5">
        <w:rPr>
          <w:lang w:val="en-US"/>
        </w:rPr>
        <w:t xml:space="preserve">provide </w:t>
      </w:r>
      <w:r>
        <w:rPr>
          <w:lang w:val="en-US"/>
        </w:rPr>
        <w:t>a true estimation of risk. The composite complication outcomes reported in the CED study cover a spectrum of severity</w:t>
      </w:r>
      <w:r w:rsidR="00704C97">
        <w:rPr>
          <w:lang w:val="en-US"/>
        </w:rPr>
        <w:t>, and</w:t>
      </w:r>
      <w:r>
        <w:rPr>
          <w:lang w:val="en-US"/>
        </w:rPr>
        <w:t xml:space="preserve"> several outcomes are related to the type of patient </w:t>
      </w:r>
      <w:r w:rsidR="00511E89">
        <w:rPr>
          <w:lang w:val="en-US"/>
        </w:rPr>
        <w:t xml:space="preserve">more so </w:t>
      </w:r>
      <w:r>
        <w:rPr>
          <w:lang w:val="en-US"/>
        </w:rPr>
        <w:t xml:space="preserve">than to </w:t>
      </w:r>
      <w:r w:rsidR="00511E89">
        <w:rPr>
          <w:lang w:val="en-US"/>
        </w:rPr>
        <w:t xml:space="preserve">the type of </w:t>
      </w:r>
      <w:r>
        <w:rPr>
          <w:lang w:val="en-US"/>
        </w:rPr>
        <w:t xml:space="preserve">device </w:t>
      </w:r>
      <w:r w:rsidR="00511E89">
        <w:rPr>
          <w:lang w:val="en-US"/>
        </w:rPr>
        <w:t>implanted</w:t>
      </w:r>
      <w:r>
        <w:rPr>
          <w:lang w:val="en-US"/>
        </w:rPr>
        <w:t xml:space="preserve">. For example, pulmonary embolism </w:t>
      </w:r>
      <w:r w:rsidR="003F0450">
        <w:rPr>
          <w:lang w:val="en-US"/>
        </w:rPr>
        <w:t>has</w:t>
      </w:r>
      <w:r>
        <w:rPr>
          <w:lang w:val="en-US"/>
        </w:rPr>
        <w:t xml:space="preserve"> a background rate </w:t>
      </w:r>
      <w:r w:rsidR="003F0450">
        <w:rPr>
          <w:lang w:val="en-US"/>
        </w:rPr>
        <w:t xml:space="preserve">in the general population </w:t>
      </w:r>
      <w:r>
        <w:rPr>
          <w:lang w:val="en-US"/>
        </w:rPr>
        <w:t xml:space="preserve">independent from the placement of a pacemaker. Similarly, the </w:t>
      </w:r>
      <w:r w:rsidR="00E4077C">
        <w:rPr>
          <w:lang w:val="en-US"/>
        </w:rPr>
        <w:t xml:space="preserve">likelihood </w:t>
      </w:r>
      <w:r>
        <w:rPr>
          <w:lang w:val="en-US"/>
        </w:rPr>
        <w:t>of</w:t>
      </w:r>
      <w:r w:rsidR="00E4077C">
        <w:rPr>
          <w:lang w:val="en-US"/>
        </w:rPr>
        <w:t xml:space="preserve"> </w:t>
      </w:r>
      <w:r w:rsidR="001C2714">
        <w:rPr>
          <w:lang w:val="en-US"/>
        </w:rPr>
        <w:t>developing deep vein thrombosis</w:t>
      </w:r>
      <w:r w:rsidR="00E4077C">
        <w:rPr>
          <w:lang w:val="en-US"/>
        </w:rPr>
        <w:t xml:space="preserve"> </w:t>
      </w:r>
      <w:r w:rsidR="00441C58">
        <w:rPr>
          <w:lang w:val="en-US"/>
        </w:rPr>
        <w:t>after the procedure</w:t>
      </w:r>
      <w:r w:rsidR="0038709E">
        <w:rPr>
          <w:lang w:val="en-US"/>
        </w:rPr>
        <w:t xml:space="preserve"> </w:t>
      </w:r>
      <w:r w:rsidR="00756AF1">
        <w:rPr>
          <w:lang w:val="en-US"/>
        </w:rPr>
        <w:t xml:space="preserve">may be </w:t>
      </w:r>
      <w:r w:rsidR="0008040C">
        <w:rPr>
          <w:lang w:val="en-US"/>
        </w:rPr>
        <w:t xml:space="preserve">more related to </w:t>
      </w:r>
      <w:r w:rsidR="00C42565">
        <w:rPr>
          <w:lang w:val="en-US"/>
        </w:rPr>
        <w:t xml:space="preserve">a </w:t>
      </w:r>
      <w:r w:rsidR="00EF06CD">
        <w:rPr>
          <w:lang w:val="en-US"/>
        </w:rPr>
        <w:t>patient</w:t>
      </w:r>
      <w:r w:rsidR="00C42565">
        <w:rPr>
          <w:lang w:val="en-US"/>
        </w:rPr>
        <w:t>’s</w:t>
      </w:r>
      <w:r w:rsidR="00EF06CD">
        <w:rPr>
          <w:lang w:val="en-US"/>
        </w:rPr>
        <w:t xml:space="preserve"> </w:t>
      </w:r>
      <w:r w:rsidR="00756AF1">
        <w:rPr>
          <w:lang w:val="en-US"/>
        </w:rPr>
        <w:t>level of</w:t>
      </w:r>
      <w:r w:rsidR="00E4077C">
        <w:rPr>
          <w:lang w:val="en-US"/>
        </w:rPr>
        <w:t xml:space="preserve"> mobility</w:t>
      </w:r>
      <w:r w:rsidR="00756AF1">
        <w:rPr>
          <w:lang w:val="en-US"/>
        </w:rPr>
        <w:t xml:space="preserve"> than to </w:t>
      </w:r>
      <w:r>
        <w:rPr>
          <w:lang w:val="en-US"/>
        </w:rPr>
        <w:t xml:space="preserve">the type of pacemaker </w:t>
      </w:r>
      <w:r w:rsidR="000F7583">
        <w:rPr>
          <w:lang w:val="en-US"/>
        </w:rPr>
        <w:t>that was implanted.</w:t>
      </w:r>
      <w:r>
        <w:rPr>
          <w:lang w:val="en-US"/>
        </w:rPr>
        <w:t xml:space="preserve"> It would have been </w:t>
      </w:r>
      <w:r w:rsidR="00724870">
        <w:rPr>
          <w:lang w:val="en-US"/>
        </w:rPr>
        <w:t xml:space="preserve">more </w:t>
      </w:r>
      <w:r>
        <w:rPr>
          <w:lang w:val="en-US"/>
        </w:rPr>
        <w:t xml:space="preserve">helpful </w:t>
      </w:r>
      <w:r w:rsidR="00724870">
        <w:rPr>
          <w:lang w:val="en-US"/>
        </w:rPr>
        <w:t>to focus</w:t>
      </w:r>
      <w:r>
        <w:rPr>
          <w:lang w:val="en-US"/>
        </w:rPr>
        <w:t xml:space="preserve"> on outcomes that </w:t>
      </w:r>
      <w:r w:rsidR="00C61167">
        <w:rPr>
          <w:lang w:val="en-US"/>
        </w:rPr>
        <w:t>are</w:t>
      </w:r>
      <w:r>
        <w:rPr>
          <w:lang w:val="en-US"/>
        </w:rPr>
        <w:t xml:space="preserve"> clearly related to </w:t>
      </w:r>
      <w:r w:rsidR="00C61167">
        <w:rPr>
          <w:lang w:val="en-US"/>
        </w:rPr>
        <w:t xml:space="preserve">device </w:t>
      </w:r>
      <w:r>
        <w:rPr>
          <w:lang w:val="en-US"/>
        </w:rPr>
        <w:t>placement.</w:t>
      </w:r>
    </w:p>
    <w:p w14:paraId="3FCC7F55" w14:textId="641F0014" w:rsidR="0035612B" w:rsidRDefault="0035612B" w:rsidP="00645477">
      <w:pPr>
        <w:rPr>
          <w:lang w:val="en-US"/>
        </w:rPr>
      </w:pPr>
      <w:r>
        <w:rPr>
          <w:lang w:val="en-US"/>
        </w:rPr>
        <w:t xml:space="preserve">While there are several methodological problems with the data presented, particularly </w:t>
      </w:r>
      <w:r w:rsidR="00A132CD">
        <w:rPr>
          <w:lang w:val="en-US"/>
        </w:rPr>
        <w:t xml:space="preserve">in </w:t>
      </w:r>
      <w:r w:rsidR="00384996">
        <w:rPr>
          <w:lang w:val="en-US"/>
        </w:rPr>
        <w:t>the composite</w:t>
      </w:r>
      <w:r w:rsidR="00A132CD">
        <w:rPr>
          <w:lang w:val="en-US"/>
        </w:rPr>
        <w:t xml:space="preserve"> outcomes</w:t>
      </w:r>
      <w:r>
        <w:rPr>
          <w:lang w:val="en-US"/>
        </w:rPr>
        <w:t xml:space="preserve">, </w:t>
      </w:r>
      <w:r w:rsidR="00A132CD">
        <w:rPr>
          <w:lang w:val="en-US"/>
        </w:rPr>
        <w:t xml:space="preserve">these </w:t>
      </w:r>
      <w:r>
        <w:rPr>
          <w:lang w:val="en-US"/>
        </w:rPr>
        <w:t xml:space="preserve">may not have had a substantial impact on the results. While the propensity </w:t>
      </w:r>
      <w:proofErr w:type="gramStart"/>
      <w:r>
        <w:rPr>
          <w:lang w:val="en-US"/>
        </w:rPr>
        <w:t>score</w:t>
      </w:r>
      <w:proofErr w:type="gramEnd"/>
      <w:r>
        <w:rPr>
          <w:lang w:val="en-US"/>
        </w:rPr>
        <w:t xml:space="preserve"> matched adjustment of the overall complication rate made a </w:t>
      </w:r>
      <w:r>
        <w:t>difference from a statistical point of view (</w:t>
      </w:r>
      <w:r w:rsidR="003E3939">
        <w:t xml:space="preserve">changing the result from statistically </w:t>
      </w:r>
      <w:r>
        <w:t xml:space="preserve">significant to non-significant), the unadjusted rates </w:t>
      </w:r>
      <w:r>
        <w:rPr>
          <w:lang w:val="en-US"/>
        </w:rPr>
        <w:t>of overall complications</w:t>
      </w:r>
      <w:r w:rsidR="005B0A64">
        <w:rPr>
          <w:lang w:val="en-US"/>
        </w:rPr>
        <w:t xml:space="preserve"> at 30 days</w:t>
      </w:r>
      <w:r w:rsidR="008732C9">
        <w:rPr>
          <w:lang w:val="en-US"/>
        </w:rPr>
        <w:t>’ follow-up</w:t>
      </w:r>
      <w:r>
        <w:rPr>
          <w:lang w:val="en-US"/>
        </w:rPr>
        <w:t xml:space="preserve"> (</w:t>
      </w:r>
      <w:r w:rsidR="007956EB">
        <w:rPr>
          <w:lang w:val="en-US"/>
        </w:rPr>
        <w:t xml:space="preserve">8.4% for the </w:t>
      </w:r>
      <w:r w:rsidR="004E1549">
        <w:rPr>
          <w:lang w:val="en-US"/>
        </w:rPr>
        <w:t>Micra VR TPS</w:t>
      </w:r>
      <w:r>
        <w:rPr>
          <w:lang w:val="en-US"/>
        </w:rPr>
        <w:t xml:space="preserve"> </w:t>
      </w:r>
      <w:r w:rsidR="007956EB">
        <w:rPr>
          <w:lang w:val="en-US"/>
        </w:rPr>
        <w:t>and</w:t>
      </w:r>
      <w:r>
        <w:rPr>
          <w:lang w:val="en-US"/>
        </w:rPr>
        <w:t xml:space="preserve"> 7.3%</w:t>
      </w:r>
      <w:r w:rsidR="007956EB">
        <w:rPr>
          <w:lang w:val="en-US"/>
        </w:rPr>
        <w:t xml:space="preserve"> for the TVPM</w:t>
      </w:r>
      <w:r>
        <w:rPr>
          <w:lang w:val="en-US"/>
        </w:rPr>
        <w:t>)</w:t>
      </w:r>
      <w:r w:rsidR="007461D6" w:rsidRPr="007461D6">
        <w:rPr>
          <w:lang w:val="en-US"/>
        </w:rPr>
        <w:t xml:space="preserve"> </w:t>
      </w:r>
      <w:r w:rsidR="007461D6">
        <w:rPr>
          <w:lang w:val="en-US"/>
        </w:rPr>
        <w:t>were not substantially different between the treatment groups</w:t>
      </w:r>
      <w:r>
        <w:rPr>
          <w:lang w:val="en-US"/>
        </w:rPr>
        <w:t xml:space="preserve">. Considering the significant baseline differences between </w:t>
      </w:r>
      <w:r w:rsidR="007956EB">
        <w:rPr>
          <w:lang w:val="en-US"/>
        </w:rPr>
        <w:t xml:space="preserve">treatment </w:t>
      </w:r>
      <w:r>
        <w:rPr>
          <w:lang w:val="en-US"/>
        </w:rPr>
        <w:t>groups in the CED study, it seemed likely that the unadjusted complication rate</w:t>
      </w:r>
      <w:r w:rsidR="007956EB">
        <w:rPr>
          <w:lang w:val="en-US"/>
        </w:rPr>
        <w:t>s</w:t>
      </w:r>
      <w:r>
        <w:rPr>
          <w:lang w:val="en-US"/>
        </w:rPr>
        <w:t xml:space="preserve"> would also be vastly different</w:t>
      </w:r>
      <w:r w:rsidR="007956EB">
        <w:rPr>
          <w:lang w:val="en-US"/>
        </w:rPr>
        <w:t xml:space="preserve">. </w:t>
      </w:r>
      <w:r w:rsidR="00835B12">
        <w:rPr>
          <w:lang w:val="en-US"/>
        </w:rPr>
        <w:t>However,</w:t>
      </w:r>
      <w:r>
        <w:rPr>
          <w:lang w:val="en-US"/>
        </w:rPr>
        <w:t xml:space="preserve"> the complication rate</w:t>
      </w:r>
      <w:r w:rsidR="002F669D">
        <w:rPr>
          <w:lang w:val="en-US"/>
        </w:rPr>
        <w:t>s</w:t>
      </w:r>
      <w:r>
        <w:rPr>
          <w:lang w:val="en-US"/>
        </w:rPr>
        <w:t xml:space="preserve"> </w:t>
      </w:r>
      <w:r w:rsidR="002F669D">
        <w:rPr>
          <w:lang w:val="en-US"/>
        </w:rPr>
        <w:t xml:space="preserve">differed </w:t>
      </w:r>
      <w:r>
        <w:rPr>
          <w:lang w:val="en-US"/>
        </w:rPr>
        <w:t xml:space="preserve">by only 1.1%. </w:t>
      </w:r>
      <w:r>
        <w:t xml:space="preserve">Statistical adjustment (via logistic regression) cannot adjust for all confounders, </w:t>
      </w:r>
      <w:r w:rsidR="002F669D">
        <w:t xml:space="preserve">and </w:t>
      </w:r>
      <w:r>
        <w:t>any unmeasured confounders will persist in the data. When adjusted, the difference in the overall complication rate</w:t>
      </w:r>
      <w:r w:rsidR="00E31A81">
        <w:t>s</w:t>
      </w:r>
      <w:r>
        <w:t xml:space="preserve"> between</w:t>
      </w:r>
      <w:r w:rsidR="00E31A81">
        <w:t xml:space="preserve"> the</w:t>
      </w:r>
      <w:r>
        <w:t xml:space="preserve"> </w:t>
      </w:r>
      <w:r w:rsidR="00F925D1">
        <w:rPr>
          <w:lang w:val="en-US"/>
        </w:rPr>
        <w:t>Micra VR TPS</w:t>
      </w:r>
      <w:r>
        <w:rPr>
          <w:lang w:val="en-US"/>
        </w:rPr>
        <w:t xml:space="preserve"> </w:t>
      </w:r>
      <w:r>
        <w:t xml:space="preserve">and </w:t>
      </w:r>
      <w:r w:rsidR="00E31A81">
        <w:t xml:space="preserve">the </w:t>
      </w:r>
      <w:r>
        <w:t xml:space="preserve">TVPM </w:t>
      </w:r>
      <w:r w:rsidR="00E31A81">
        <w:t xml:space="preserve">groups </w:t>
      </w:r>
      <w:r w:rsidR="008B79EB">
        <w:t xml:space="preserve">changed </w:t>
      </w:r>
      <w:r>
        <w:t>from 1.1% to 0.3%</w:t>
      </w:r>
      <w:r w:rsidR="008B79EB">
        <w:t>. Thus, i</w:t>
      </w:r>
      <w:r>
        <w:t xml:space="preserve">t is likely that the real difference in </w:t>
      </w:r>
      <w:r w:rsidR="008B79EB">
        <w:t xml:space="preserve">the </w:t>
      </w:r>
      <w:r>
        <w:t>complication rate</w:t>
      </w:r>
      <w:r w:rsidR="008B79EB">
        <w:t>s</w:t>
      </w:r>
      <w:r>
        <w:t xml:space="preserve"> is less than 0.3%.</w:t>
      </w:r>
    </w:p>
    <w:p w14:paraId="233DC688" w14:textId="4B343367" w:rsidR="0035612B" w:rsidRDefault="00AB75E0" w:rsidP="0035612B">
      <w:r>
        <w:t xml:space="preserve">Based on the </w:t>
      </w:r>
      <w:r w:rsidR="0035612B">
        <w:t>adjusted analysis</w:t>
      </w:r>
      <w:r>
        <w:t>,</w:t>
      </w:r>
      <w:r w:rsidR="0035612B">
        <w:t xml:space="preserve"> 330 </w:t>
      </w:r>
      <w:r w:rsidR="00037FF8">
        <w:t>LPMs would have to be implanted</w:t>
      </w:r>
      <w:r w:rsidR="0035612B">
        <w:t xml:space="preserve"> to produce one extra (most likely non-lethal) </w:t>
      </w:r>
      <w:r w:rsidR="0035612B" w:rsidRPr="00CE7B19">
        <w:t xml:space="preserve">complication. </w:t>
      </w:r>
      <w:r w:rsidR="0035612B">
        <w:t>The</w:t>
      </w:r>
      <w:r w:rsidR="0035612B" w:rsidRPr="00CE7B19">
        <w:t xml:space="preserve"> 30-day mortality </w:t>
      </w:r>
      <w:r w:rsidR="0035612B">
        <w:t xml:space="preserve">reported in the CED study </w:t>
      </w:r>
      <w:r w:rsidR="0039566B">
        <w:t>wa</w:t>
      </w:r>
      <w:r w:rsidR="0035612B">
        <w:t>s</w:t>
      </w:r>
      <w:r w:rsidR="0035612B" w:rsidRPr="00CE7B19">
        <w:t xml:space="preserve"> around 4% in both </w:t>
      </w:r>
      <w:r w:rsidR="00037FF8">
        <w:t xml:space="preserve">treatment </w:t>
      </w:r>
      <w:r w:rsidR="0035612B" w:rsidRPr="00CE7B19">
        <w:t xml:space="preserve">groups (reported in the next section on efficacy), </w:t>
      </w:r>
      <w:r w:rsidR="00251F7B">
        <w:t>which makes</w:t>
      </w:r>
      <w:r w:rsidR="00251F7B" w:rsidRPr="00CE7B19">
        <w:t xml:space="preserve"> </w:t>
      </w:r>
      <w:r w:rsidR="0035612B" w:rsidRPr="00CE7B19">
        <w:t xml:space="preserve">a 0.3% difference </w:t>
      </w:r>
      <w:r w:rsidR="00251F7B">
        <w:t xml:space="preserve">in complication rates </w:t>
      </w:r>
      <w:r w:rsidR="003474E6">
        <w:t>acceptable</w:t>
      </w:r>
      <w:r w:rsidR="0035612B" w:rsidRPr="00CE7B19">
        <w:t>.</w:t>
      </w:r>
      <w:r w:rsidR="0035612B">
        <w:t xml:space="preserve"> </w:t>
      </w:r>
      <w:r w:rsidR="00835B12">
        <w:t xml:space="preserve">However, whether </w:t>
      </w:r>
      <w:r w:rsidR="0035612B">
        <w:t>the</w:t>
      </w:r>
      <w:r w:rsidR="00116546">
        <w:t>se</w:t>
      </w:r>
      <w:r w:rsidR="0035612B">
        <w:t xml:space="preserve"> mortality </w:t>
      </w:r>
      <w:r w:rsidR="00116546">
        <w:t xml:space="preserve">and complication </w:t>
      </w:r>
      <w:r w:rsidR="0035612B">
        <w:t>rate</w:t>
      </w:r>
      <w:r w:rsidR="00116546">
        <w:t>s</w:t>
      </w:r>
      <w:r w:rsidR="0035612B">
        <w:t xml:space="preserve"> </w:t>
      </w:r>
      <w:r w:rsidR="00116546">
        <w:t xml:space="preserve">are applicable to the </w:t>
      </w:r>
      <w:r w:rsidR="0035612B">
        <w:t>Australian context is unknown.</w:t>
      </w:r>
    </w:p>
    <w:p w14:paraId="3C49D08F" w14:textId="77777777" w:rsidR="00CA7990" w:rsidRDefault="00CA7990" w:rsidP="00D27D2E">
      <w:pPr>
        <w:pStyle w:val="Heading2execsummary"/>
        <w:spacing w:before="360"/>
      </w:pPr>
      <w:r>
        <w:t>Comparative effectiveness</w:t>
      </w:r>
    </w:p>
    <w:p w14:paraId="755F6941" w14:textId="580C1A07" w:rsidR="001E5A5F" w:rsidRDefault="001E5A5F" w:rsidP="00645477">
      <w:r>
        <w:t xml:space="preserve">Effectiveness outcomes are reported in </w:t>
      </w:r>
      <w:r w:rsidR="003E7EDD">
        <w:fldChar w:fldCharType="begin"/>
      </w:r>
      <w:r w:rsidR="003E7EDD">
        <w:instrText xml:space="preserve"> REF _Ref99547623 \h </w:instrText>
      </w:r>
      <w:r w:rsidR="003E7EDD">
        <w:fldChar w:fldCharType="separate"/>
      </w:r>
      <w:r w:rsidR="003E7EDD">
        <w:t xml:space="preserve">Table </w:t>
      </w:r>
      <w:r w:rsidR="003E7EDD">
        <w:rPr>
          <w:noProof/>
        </w:rPr>
        <w:t>10</w:t>
      </w:r>
      <w:r w:rsidR="003E7EDD">
        <w:fldChar w:fldCharType="end"/>
      </w:r>
      <w:r w:rsidR="003E7EDD">
        <w:t xml:space="preserve">. </w:t>
      </w:r>
      <w:r w:rsidR="00A639A5">
        <w:t xml:space="preserve">The outcomes </w:t>
      </w:r>
      <w:r>
        <w:t>are split into those reported by the CED study and those reported by the supportive studies.</w:t>
      </w:r>
    </w:p>
    <w:p w14:paraId="6855E2E3" w14:textId="77777777" w:rsidR="001E5A5F" w:rsidRPr="00961954" w:rsidRDefault="001E5A5F" w:rsidP="00645477">
      <w:pPr>
        <w:pStyle w:val="Heading3nonumbers"/>
      </w:pPr>
      <w:r w:rsidRPr="00961954">
        <w:t>Mortality</w:t>
      </w:r>
    </w:p>
    <w:p w14:paraId="41EE1D78" w14:textId="232CB2B7" w:rsidR="001E5A5F" w:rsidRDefault="001E5A5F" w:rsidP="00645477">
      <w:r>
        <w:t xml:space="preserve">There were no differences in mortality outcomes at 30 days or two years </w:t>
      </w:r>
      <w:r w:rsidR="00D4011B">
        <w:t xml:space="preserve">after </w:t>
      </w:r>
      <w:r w:rsidR="00BE74F8">
        <w:t>im</w:t>
      </w:r>
      <w:r w:rsidR="00D4011B">
        <w:t xml:space="preserve">plantation </w:t>
      </w:r>
      <w:r>
        <w:t xml:space="preserve">between the </w:t>
      </w:r>
      <w:r w:rsidR="0069019E">
        <w:t>Micra VR TPS</w:t>
      </w:r>
      <w:r>
        <w:t xml:space="preserve"> and TVPM groups.</w:t>
      </w:r>
      <w:r w:rsidRPr="0025713A">
        <w:t xml:space="preserve"> This is unsurprising </w:t>
      </w:r>
      <w:r w:rsidR="008F43EA">
        <w:t>given that the</w:t>
      </w:r>
      <w:r w:rsidR="008F43EA" w:rsidRPr="0025713A">
        <w:t xml:space="preserve"> </w:t>
      </w:r>
      <w:r w:rsidRPr="0025713A">
        <w:t xml:space="preserve">loss of pacemaker function is </w:t>
      </w:r>
      <w:r>
        <w:t>unlikely to be</w:t>
      </w:r>
      <w:r w:rsidRPr="0025713A">
        <w:t xml:space="preserve"> a lethal event in this patient group. </w:t>
      </w:r>
      <w:r w:rsidR="00C60B92">
        <w:t>However, t</w:t>
      </w:r>
      <w:r w:rsidR="0091100D">
        <w:t xml:space="preserve">he </w:t>
      </w:r>
      <w:r w:rsidR="00C60B92">
        <w:t xml:space="preserve">ADAR </w:t>
      </w:r>
      <w:r w:rsidR="0091100D">
        <w:t>did not report p</w:t>
      </w:r>
      <w:r w:rsidR="0091100D" w:rsidRPr="0025713A">
        <w:t xml:space="preserve">rocedural </w:t>
      </w:r>
      <w:r w:rsidR="0091100D">
        <w:t xml:space="preserve">or </w:t>
      </w:r>
      <w:r>
        <w:t xml:space="preserve">cardiac </w:t>
      </w:r>
      <w:r w:rsidRPr="0025713A">
        <w:t xml:space="preserve">mortality </w:t>
      </w:r>
      <w:r w:rsidR="0091100D">
        <w:t>rates</w:t>
      </w:r>
      <w:r w:rsidR="00C60B92">
        <w:t>.</w:t>
      </w:r>
    </w:p>
    <w:p w14:paraId="3A9D41E3" w14:textId="7048EC29" w:rsidR="001E5A5F" w:rsidRPr="00D31C03" w:rsidRDefault="001E5A5F" w:rsidP="00645477">
      <w:pPr>
        <w:pStyle w:val="Heading3nonumbers"/>
      </w:pPr>
      <w:r w:rsidRPr="00D31C03">
        <w:lastRenderedPageBreak/>
        <w:t xml:space="preserve">Quality of </w:t>
      </w:r>
      <w:r w:rsidR="00B8350B">
        <w:t>l</w:t>
      </w:r>
      <w:r w:rsidR="00B8350B" w:rsidRPr="00D31C03">
        <w:t>ife</w:t>
      </w:r>
    </w:p>
    <w:p w14:paraId="3DF569B2" w14:textId="308695D3" w:rsidR="001E5A5F" w:rsidRDefault="001E5A5F" w:rsidP="00645477">
      <w:r>
        <w:t>Quality of life results (SF-36</w:t>
      </w:r>
      <w:r w:rsidR="00D71224">
        <w:t xml:space="preserve"> scores</w:t>
      </w:r>
      <w:r>
        <w:t>) were reported in two supportive studies</w:t>
      </w:r>
      <w:r w:rsidR="005B08AC">
        <w:t>, both of which</w:t>
      </w:r>
      <w:r>
        <w:t xml:space="preserve"> </w:t>
      </w:r>
      <w:r w:rsidR="005B08AC">
        <w:t>reported</w:t>
      </w:r>
      <w:r>
        <w:t xml:space="preserve"> significant differences in favour of </w:t>
      </w:r>
      <w:r w:rsidR="005B08AC">
        <w:t xml:space="preserve">the </w:t>
      </w:r>
      <w:r w:rsidR="008E5C65">
        <w:t>Micra VR TPS</w:t>
      </w:r>
      <w:r>
        <w:t xml:space="preserve"> </w:t>
      </w:r>
      <w:r w:rsidR="00036412">
        <w:t>(</w:t>
      </w:r>
      <w:r>
        <w:t>four of ten SF-36 domains for both studies and an additional five domains in one study</w:t>
      </w:r>
      <w:r w:rsidR="00036412">
        <w:t>)</w:t>
      </w:r>
      <w:r>
        <w:t>. Neither study reported</w:t>
      </w:r>
      <w:r w:rsidR="004952D0">
        <w:t xml:space="preserve"> measures of</w:t>
      </w:r>
      <w:r>
        <w:t xml:space="preserve"> variance for changes from baseline, consequently </w:t>
      </w:r>
      <w:r w:rsidR="00D77E57">
        <w:t>it was not possible</w:t>
      </w:r>
      <w:r>
        <w:t xml:space="preserve"> to verify </w:t>
      </w:r>
      <w:r w:rsidR="00F747C8">
        <w:t>whether the outcomes reported were significantly different from baseline values</w:t>
      </w:r>
      <w:r w:rsidR="00D77E57">
        <w:t xml:space="preserve"> for either treatment group</w:t>
      </w:r>
      <w:r>
        <w:t>.</w:t>
      </w:r>
    </w:p>
    <w:p w14:paraId="0229BED0" w14:textId="77777777" w:rsidR="001E5A5F" w:rsidRPr="004E6ACD" w:rsidRDefault="001E5A5F" w:rsidP="00645477">
      <w:pPr>
        <w:pStyle w:val="Heading3nonumbers"/>
        <w:rPr>
          <w:b/>
          <w:color w:val="auto"/>
        </w:rPr>
      </w:pPr>
      <w:r w:rsidRPr="004E6ACD">
        <w:t>Electrical parameters</w:t>
      </w:r>
    </w:p>
    <w:p w14:paraId="4574A7AA" w14:textId="58A7DE16" w:rsidR="001E5A5F" w:rsidRPr="006839AC" w:rsidRDefault="001E5A5F" w:rsidP="00637A3D">
      <w:r>
        <w:t xml:space="preserve">Electrical parameters (not shown in </w:t>
      </w:r>
      <w:r w:rsidR="00E205AD">
        <w:t>Table 7</w:t>
      </w:r>
      <w:r>
        <w:t xml:space="preserve">) were reported </w:t>
      </w:r>
      <w:r w:rsidR="00204DA6">
        <w:t xml:space="preserve">by </w:t>
      </w:r>
      <w:r>
        <w:t xml:space="preserve">six supportive studies. The applicants also included several case series studies, despite </w:t>
      </w:r>
      <w:r w:rsidR="00204DA6">
        <w:t>the</w:t>
      </w:r>
      <w:r w:rsidR="00B9222A">
        <w:t xml:space="preserve"> methods stating that these</w:t>
      </w:r>
      <w:r w:rsidR="00204DA6">
        <w:t xml:space="preserve"> study types </w:t>
      </w:r>
      <w:r w:rsidR="00B9222A">
        <w:t>were</w:t>
      </w:r>
      <w:r w:rsidR="00204DA6">
        <w:t xml:space="preserve"> excluded</w:t>
      </w:r>
      <w:r>
        <w:t xml:space="preserve">. While it is likely that the pacing thresholds remained stable over time, the applicant </w:t>
      </w:r>
      <w:r w:rsidR="007874F6">
        <w:t>claim</w:t>
      </w:r>
      <w:r w:rsidR="006A75F8">
        <w:t>s</w:t>
      </w:r>
      <w:r>
        <w:t xml:space="preserve"> that this endured over the longer term</w:t>
      </w:r>
      <w:r w:rsidR="00AB1BB4">
        <w:t>. H</w:t>
      </w:r>
      <w:r w:rsidR="0085530A">
        <w:t xml:space="preserve">owever, this </w:t>
      </w:r>
      <w:r>
        <w:t>is not substantiated because</w:t>
      </w:r>
      <w:r w:rsidR="0085530A">
        <w:t xml:space="preserve"> the follow-up periods for</w:t>
      </w:r>
      <w:r>
        <w:t xml:space="preserve"> most studies </w:t>
      </w:r>
      <w:r w:rsidR="0085530A">
        <w:t xml:space="preserve">were </w:t>
      </w:r>
      <w:r>
        <w:t>less than six months.</w:t>
      </w:r>
    </w:p>
    <w:p w14:paraId="27511035" w14:textId="77777777" w:rsidR="001E5A5F" w:rsidRDefault="001E5A5F" w:rsidP="001E5A5F">
      <w:pPr>
        <w:pStyle w:val="Instructionaltext"/>
        <w:sectPr w:rsidR="001E5A5F" w:rsidSect="00DC0E38">
          <w:pgSz w:w="11906" w:h="16838"/>
          <w:pgMar w:top="1440" w:right="1440" w:bottom="1440" w:left="1440" w:header="708" w:footer="708" w:gutter="0"/>
          <w:cols w:space="708"/>
          <w:docGrid w:linePitch="360"/>
        </w:sectPr>
      </w:pPr>
    </w:p>
    <w:p w14:paraId="4890FA60" w14:textId="452CA150" w:rsidR="008B1B2F" w:rsidRDefault="008B1B2F" w:rsidP="008B1B2F">
      <w:pPr>
        <w:pStyle w:val="Caption"/>
      </w:pPr>
      <w:bookmarkStart w:id="14" w:name="_Ref99547623"/>
      <w:bookmarkStart w:id="15" w:name="_Ref99547618"/>
      <w:r>
        <w:lastRenderedPageBreak/>
        <w:t xml:space="preserve">Table </w:t>
      </w:r>
      <w:r>
        <w:fldChar w:fldCharType="begin"/>
      </w:r>
      <w:r>
        <w:instrText>SEQ Table \* ARABIC</w:instrText>
      </w:r>
      <w:r>
        <w:fldChar w:fldCharType="separate"/>
      </w:r>
      <w:r w:rsidR="0084187F">
        <w:rPr>
          <w:noProof/>
        </w:rPr>
        <w:t>10</w:t>
      </w:r>
      <w:r>
        <w:fldChar w:fldCharType="end"/>
      </w:r>
      <w:bookmarkEnd w:id="14"/>
      <w:r w:rsidR="00B33254">
        <w:tab/>
      </w:r>
      <w:r w:rsidR="00B12CC4">
        <w:t>Summary of evidence table</w:t>
      </w:r>
      <w:bookmarkEnd w:id="15"/>
    </w:p>
    <w:tbl>
      <w:tblPr>
        <w:tblStyle w:val="TableGrid1"/>
        <w:tblW w:w="14459" w:type="dxa"/>
        <w:tblCellMar>
          <w:left w:w="0" w:type="dxa"/>
          <w:right w:w="0" w:type="dxa"/>
        </w:tblCellMar>
        <w:tblLook w:val="0620" w:firstRow="1" w:lastRow="0" w:firstColumn="0" w:lastColumn="0" w:noHBand="1" w:noVBand="1"/>
      </w:tblPr>
      <w:tblGrid>
        <w:gridCol w:w="2313"/>
        <w:gridCol w:w="1530"/>
        <w:gridCol w:w="1524"/>
        <w:gridCol w:w="1527"/>
        <w:gridCol w:w="1534"/>
        <w:gridCol w:w="1115"/>
        <w:gridCol w:w="4916"/>
      </w:tblGrid>
      <w:tr w:rsidR="001E5A5F" w:rsidRPr="00D70320" w14:paraId="2396D7AB" w14:textId="77777777" w:rsidTr="00D9153E">
        <w:trPr>
          <w:cnfStyle w:val="100000000000" w:firstRow="1" w:lastRow="0" w:firstColumn="0" w:lastColumn="0" w:oddVBand="0" w:evenVBand="0" w:oddHBand="0" w:evenHBand="0" w:firstRowFirstColumn="0" w:firstRowLastColumn="0" w:lastRowFirstColumn="0" w:lastRowLastColumn="0"/>
          <w:trHeight w:val="268"/>
          <w:tblHeader/>
        </w:trPr>
        <w:tc>
          <w:tcPr>
            <w:tcW w:w="2313" w:type="dxa"/>
            <w:vMerge w:val="restart"/>
            <w:tcBorders>
              <w:top w:val="nil"/>
              <w:left w:val="nil"/>
              <w:bottom w:val="single" w:sz="6" w:space="0" w:color="000000"/>
              <w:right w:val="single" w:sz="6" w:space="0" w:color="EFEFEF"/>
            </w:tcBorders>
            <w:shd w:val="clear" w:color="auto" w:fill="3271AA"/>
            <w:tcMar>
              <w:top w:w="36" w:type="dxa"/>
              <w:left w:w="72" w:type="dxa"/>
              <w:bottom w:w="36" w:type="dxa"/>
              <w:right w:w="72" w:type="dxa"/>
            </w:tcMar>
            <w:vAlign w:val="bottom"/>
            <w:hideMark/>
          </w:tcPr>
          <w:p w14:paraId="6BE786DC" w14:textId="77777777" w:rsidR="001E5A5F" w:rsidRPr="00D70320" w:rsidRDefault="001E5A5F" w:rsidP="00AD6BB0">
            <w:pPr>
              <w:spacing w:before="0" w:after="0"/>
              <w:textAlignment w:val="baseline"/>
              <w:rPr>
                <w:rFonts w:ascii="Arial" w:hAnsi="Arial" w:cs="Arial"/>
                <w:lang w:val="en-NZ" w:eastAsia="en-NZ"/>
              </w:rPr>
            </w:pPr>
            <w:r w:rsidRPr="00D70320">
              <w:rPr>
                <w:rFonts w:ascii="Arial Narrow" w:hAnsi="Arial Narrow" w:cs="Arial"/>
                <w:b/>
                <w:bCs/>
                <w:color w:val="FFFFFF"/>
                <w:kern w:val="24"/>
                <w:lang w:eastAsia="en-NZ"/>
              </w:rPr>
              <w:t>Outcomes</w:t>
            </w:r>
            <w:r w:rsidRPr="00D70320">
              <w:rPr>
                <w:rFonts w:ascii="Arial Narrow" w:hAnsi="Arial Narrow" w:cs="Arial"/>
                <w:color w:val="FFFFFF"/>
                <w:kern w:val="24"/>
                <w:lang w:eastAsia="en-NZ"/>
              </w:rPr>
              <w:t> </w:t>
            </w:r>
          </w:p>
        </w:tc>
        <w:tc>
          <w:tcPr>
            <w:tcW w:w="3054" w:type="dxa"/>
            <w:gridSpan w:val="2"/>
            <w:tcBorders>
              <w:top w:val="single" w:sz="6" w:space="0" w:color="EFEFEF"/>
              <w:left w:val="single" w:sz="6" w:space="0" w:color="EFEFEF"/>
              <w:bottom w:val="single" w:sz="6" w:space="0" w:color="EFEFEF"/>
              <w:right w:val="single" w:sz="6" w:space="0" w:color="EFEFEF"/>
            </w:tcBorders>
            <w:shd w:val="clear" w:color="auto" w:fill="E0E0E0"/>
            <w:tcMar>
              <w:top w:w="36" w:type="dxa"/>
              <w:left w:w="72" w:type="dxa"/>
              <w:bottom w:w="36" w:type="dxa"/>
              <w:right w:w="72" w:type="dxa"/>
            </w:tcMar>
            <w:vAlign w:val="bottom"/>
            <w:hideMark/>
          </w:tcPr>
          <w:p w14:paraId="2C2D9C4F" w14:textId="09E7C537" w:rsidR="001E5A5F" w:rsidRPr="00D70320" w:rsidRDefault="001E5A5F" w:rsidP="00AD6BB0">
            <w:pPr>
              <w:spacing w:before="0" w:after="0"/>
              <w:jc w:val="center"/>
              <w:textAlignment w:val="baseline"/>
              <w:rPr>
                <w:rFonts w:ascii="Arial" w:hAnsi="Arial" w:cs="Arial"/>
                <w:lang w:val="en-NZ" w:eastAsia="en-NZ"/>
              </w:rPr>
            </w:pPr>
            <w:r w:rsidRPr="00D70320">
              <w:rPr>
                <w:rFonts w:ascii="Arial Narrow" w:hAnsi="Arial Narrow" w:cs="Arial"/>
                <w:b/>
                <w:bCs/>
                <w:color w:val="000000"/>
                <w:kern w:val="24"/>
                <w:lang w:eastAsia="en-NZ"/>
              </w:rPr>
              <w:t>Anticipated absolute effects</w:t>
            </w:r>
            <w:r w:rsidRPr="00D70320">
              <w:rPr>
                <w:rFonts w:ascii="Arial Narrow" w:hAnsi="Arial Narrow" w:cs="Arial"/>
                <w:b/>
                <w:bCs/>
                <w:color w:val="000000"/>
                <w:kern w:val="24"/>
                <w:position w:val="2"/>
                <w:vertAlign w:val="superscript"/>
                <w:lang w:eastAsia="en-NZ"/>
              </w:rPr>
              <w:t>*</w:t>
            </w:r>
            <w:r w:rsidRPr="00D70320">
              <w:rPr>
                <w:rFonts w:ascii="Arial Narrow" w:hAnsi="Arial Narrow" w:cs="Arial"/>
                <w:b/>
                <w:bCs/>
                <w:color w:val="000000"/>
                <w:kern w:val="24"/>
                <w:lang w:eastAsia="en-NZ"/>
              </w:rPr>
              <w:t xml:space="preserve"> </w:t>
            </w:r>
            <w:r w:rsidR="005C3060">
              <w:rPr>
                <w:rFonts w:ascii="Arial Narrow" w:hAnsi="Arial Narrow" w:cs="Arial"/>
                <w:b/>
                <w:bCs/>
                <w:color w:val="000000"/>
                <w:kern w:val="24"/>
                <w:lang w:eastAsia="en-NZ"/>
              </w:rPr>
              <w:br/>
            </w:r>
            <w:r w:rsidRPr="00D70320">
              <w:rPr>
                <w:rFonts w:ascii="Arial Narrow" w:hAnsi="Arial Narrow" w:cs="Arial"/>
                <w:b/>
                <w:bCs/>
                <w:color w:val="000000"/>
                <w:kern w:val="24"/>
                <w:lang w:eastAsia="en-NZ"/>
              </w:rPr>
              <w:t>(95% CI)</w:t>
            </w:r>
            <w:r w:rsidRPr="00D70320">
              <w:rPr>
                <w:rFonts w:ascii="Arial Narrow" w:hAnsi="Arial Narrow" w:cs="Arial"/>
                <w:color w:val="000000"/>
                <w:kern w:val="24"/>
                <w:lang w:eastAsia="en-NZ"/>
              </w:rPr>
              <w:t> </w:t>
            </w:r>
          </w:p>
        </w:tc>
        <w:tc>
          <w:tcPr>
            <w:tcW w:w="1527" w:type="dxa"/>
            <w:vMerge w:val="restart"/>
            <w:tcBorders>
              <w:top w:val="nil"/>
              <w:left w:val="single" w:sz="6" w:space="0" w:color="EFEFEF"/>
              <w:bottom w:val="single" w:sz="6" w:space="0" w:color="000000"/>
              <w:right w:val="single" w:sz="6" w:space="0" w:color="EFEFEF"/>
            </w:tcBorders>
            <w:shd w:val="clear" w:color="auto" w:fill="3271AA"/>
            <w:tcMar>
              <w:top w:w="36" w:type="dxa"/>
              <w:left w:w="72" w:type="dxa"/>
              <w:bottom w:w="36" w:type="dxa"/>
              <w:right w:w="72" w:type="dxa"/>
            </w:tcMar>
            <w:vAlign w:val="bottom"/>
            <w:hideMark/>
          </w:tcPr>
          <w:p w14:paraId="6CD25C3C" w14:textId="77777777" w:rsidR="001E5A5F" w:rsidRPr="00D70320" w:rsidRDefault="001E5A5F" w:rsidP="00AD6BB0">
            <w:pPr>
              <w:spacing w:before="0" w:after="0"/>
              <w:jc w:val="center"/>
              <w:textAlignment w:val="baseline"/>
              <w:rPr>
                <w:rFonts w:ascii="Arial" w:hAnsi="Arial" w:cs="Arial"/>
                <w:lang w:val="en-NZ" w:eastAsia="en-NZ"/>
              </w:rPr>
            </w:pPr>
            <w:r w:rsidRPr="00D70320">
              <w:rPr>
                <w:rFonts w:ascii="Arial Narrow" w:hAnsi="Arial Narrow" w:cs="Arial"/>
                <w:b/>
                <w:bCs/>
                <w:color w:val="FFFFFF"/>
                <w:kern w:val="24"/>
                <w:lang w:eastAsia="en-NZ"/>
              </w:rPr>
              <w:t>Relative effect</w:t>
            </w:r>
            <w:r w:rsidRPr="00D70320">
              <w:rPr>
                <w:rFonts w:ascii="Arial" w:hAnsi="Arial" w:cs="Arial"/>
                <w:color w:val="FFFFFF"/>
                <w:kern w:val="24"/>
                <w:lang w:eastAsia="en-NZ"/>
              </w:rPr>
              <w:t> </w:t>
            </w:r>
            <w:r w:rsidRPr="00D70320">
              <w:rPr>
                <w:rFonts w:ascii="Arial" w:hAnsi="Arial" w:cs="Arial"/>
                <w:color w:val="FFFFFF"/>
                <w:kern w:val="24"/>
                <w:lang w:eastAsia="en-NZ"/>
              </w:rPr>
              <w:br/>
            </w:r>
            <w:r w:rsidRPr="00D70320">
              <w:rPr>
                <w:rFonts w:ascii="Arial Narrow" w:hAnsi="Arial Narrow" w:cs="Arial"/>
                <w:b/>
                <w:bCs/>
                <w:color w:val="FFFFFF"/>
                <w:kern w:val="24"/>
                <w:lang w:eastAsia="en-NZ"/>
              </w:rPr>
              <w:t>(95% CI)</w:t>
            </w:r>
            <w:r w:rsidRPr="00D70320">
              <w:rPr>
                <w:rFonts w:ascii="Arial Narrow" w:hAnsi="Arial Narrow" w:cs="Arial"/>
                <w:color w:val="FFFFFF"/>
                <w:kern w:val="24"/>
                <w:lang w:eastAsia="en-NZ"/>
              </w:rPr>
              <w:t> </w:t>
            </w:r>
          </w:p>
        </w:tc>
        <w:tc>
          <w:tcPr>
            <w:tcW w:w="1534" w:type="dxa"/>
            <w:vMerge w:val="restart"/>
            <w:tcBorders>
              <w:top w:val="nil"/>
              <w:left w:val="single" w:sz="6" w:space="0" w:color="EFEFEF"/>
              <w:bottom w:val="single" w:sz="6" w:space="0" w:color="000000"/>
              <w:right w:val="single" w:sz="6" w:space="0" w:color="EFEFEF"/>
            </w:tcBorders>
            <w:shd w:val="clear" w:color="auto" w:fill="3271AA"/>
            <w:tcMar>
              <w:top w:w="36" w:type="dxa"/>
              <w:left w:w="72" w:type="dxa"/>
              <w:bottom w:w="36" w:type="dxa"/>
              <w:right w:w="72" w:type="dxa"/>
            </w:tcMar>
            <w:vAlign w:val="bottom"/>
            <w:hideMark/>
          </w:tcPr>
          <w:p w14:paraId="5D296C52" w14:textId="77777777" w:rsidR="001E5A5F" w:rsidRPr="00D70320" w:rsidRDefault="001E5A5F" w:rsidP="00AD6BB0">
            <w:pPr>
              <w:spacing w:before="0" w:after="0"/>
              <w:jc w:val="center"/>
              <w:textAlignment w:val="baseline"/>
              <w:rPr>
                <w:rFonts w:ascii="Arial" w:hAnsi="Arial" w:cs="Arial"/>
                <w:lang w:val="en-NZ" w:eastAsia="en-NZ"/>
              </w:rPr>
            </w:pPr>
            <w:r w:rsidRPr="00D70320">
              <w:rPr>
                <w:rFonts w:ascii="Arial Narrow" w:hAnsi="Arial Narrow" w:cs="Arial"/>
                <w:b/>
                <w:bCs/>
                <w:color w:val="FFFFFF"/>
                <w:kern w:val="24"/>
                <w:lang w:eastAsia="en-NZ"/>
              </w:rPr>
              <w:t>№ of participants</w:t>
            </w:r>
            <w:r w:rsidRPr="00D70320">
              <w:rPr>
                <w:rFonts w:ascii="Arial" w:hAnsi="Arial" w:cs="Arial"/>
                <w:color w:val="FFFFFF"/>
                <w:kern w:val="24"/>
                <w:lang w:eastAsia="en-NZ"/>
              </w:rPr>
              <w:t> </w:t>
            </w:r>
            <w:r w:rsidRPr="00D70320">
              <w:rPr>
                <w:rFonts w:ascii="Arial" w:hAnsi="Arial" w:cs="Arial"/>
                <w:color w:val="FFFFFF"/>
                <w:kern w:val="24"/>
                <w:lang w:eastAsia="en-NZ"/>
              </w:rPr>
              <w:br/>
            </w:r>
            <w:r w:rsidRPr="00D70320">
              <w:rPr>
                <w:rFonts w:ascii="Arial Narrow" w:hAnsi="Arial Narrow" w:cs="Arial"/>
                <w:b/>
                <w:bCs/>
                <w:color w:val="FFFFFF"/>
                <w:kern w:val="24"/>
                <w:lang w:eastAsia="en-NZ"/>
              </w:rPr>
              <w:t>(studies)</w:t>
            </w:r>
            <w:r w:rsidRPr="00D70320">
              <w:rPr>
                <w:rFonts w:ascii="Arial Narrow" w:hAnsi="Arial Narrow" w:cs="Arial"/>
                <w:color w:val="FFFFFF"/>
                <w:kern w:val="24"/>
                <w:lang w:eastAsia="en-NZ"/>
              </w:rPr>
              <w:t> </w:t>
            </w:r>
          </w:p>
        </w:tc>
        <w:tc>
          <w:tcPr>
            <w:tcW w:w="1115" w:type="dxa"/>
            <w:vMerge w:val="restart"/>
            <w:tcBorders>
              <w:top w:val="nil"/>
              <w:left w:val="single" w:sz="6" w:space="0" w:color="EFEFEF"/>
              <w:bottom w:val="single" w:sz="6" w:space="0" w:color="000000"/>
              <w:right w:val="single" w:sz="6" w:space="0" w:color="EFEFEF"/>
            </w:tcBorders>
            <w:shd w:val="clear" w:color="auto" w:fill="3271AA"/>
            <w:tcMar>
              <w:top w:w="36" w:type="dxa"/>
              <w:left w:w="72" w:type="dxa"/>
              <w:bottom w:w="36" w:type="dxa"/>
              <w:right w:w="72" w:type="dxa"/>
            </w:tcMar>
            <w:vAlign w:val="bottom"/>
            <w:hideMark/>
          </w:tcPr>
          <w:p w14:paraId="192D6FD1" w14:textId="77777777" w:rsidR="001E5A5F" w:rsidRPr="00D70320" w:rsidRDefault="001E5A5F" w:rsidP="00AD6BB0">
            <w:pPr>
              <w:spacing w:before="0" w:after="0"/>
              <w:jc w:val="center"/>
              <w:textAlignment w:val="baseline"/>
              <w:rPr>
                <w:rFonts w:ascii="Arial" w:hAnsi="Arial" w:cs="Arial"/>
                <w:lang w:val="en-NZ" w:eastAsia="en-NZ"/>
              </w:rPr>
            </w:pPr>
            <w:r w:rsidRPr="00D70320">
              <w:rPr>
                <w:rFonts w:ascii="Arial Narrow" w:hAnsi="Arial Narrow" w:cs="Arial"/>
                <w:b/>
                <w:bCs/>
                <w:color w:val="FFFFFF"/>
                <w:kern w:val="24"/>
                <w:lang w:val="en-NZ" w:eastAsia="en-NZ"/>
              </w:rPr>
              <w:t>Certainty of the evidence</w:t>
            </w:r>
            <w:r w:rsidRPr="00D70320">
              <w:rPr>
                <w:rFonts w:ascii="Arial" w:hAnsi="Arial" w:cs="Arial"/>
                <w:color w:val="FFFFFF"/>
                <w:kern w:val="24"/>
                <w:lang w:val="en-NZ" w:eastAsia="en-NZ"/>
              </w:rPr>
              <w:t> </w:t>
            </w:r>
            <w:r w:rsidRPr="00D70320">
              <w:rPr>
                <w:rFonts w:ascii="Arial" w:hAnsi="Arial" w:cs="Arial"/>
                <w:color w:val="FFFFFF"/>
                <w:kern w:val="24"/>
                <w:lang w:val="en-NZ" w:eastAsia="en-NZ"/>
              </w:rPr>
              <w:br/>
            </w:r>
            <w:r w:rsidRPr="00D70320">
              <w:rPr>
                <w:rFonts w:ascii="Arial Narrow" w:hAnsi="Arial Narrow" w:cs="Arial"/>
                <w:b/>
                <w:bCs/>
                <w:color w:val="FFFFFF"/>
                <w:kern w:val="24"/>
                <w:lang w:val="en-NZ" w:eastAsia="en-NZ"/>
              </w:rPr>
              <w:t>(GRADE)</w:t>
            </w:r>
            <w:r w:rsidRPr="00D70320">
              <w:rPr>
                <w:rFonts w:ascii="Arial Narrow" w:hAnsi="Arial Narrow" w:cs="Arial"/>
                <w:color w:val="FFFFFF"/>
                <w:kern w:val="24"/>
                <w:lang w:val="en-NZ" w:eastAsia="en-NZ"/>
              </w:rPr>
              <w:t> </w:t>
            </w:r>
          </w:p>
        </w:tc>
        <w:tc>
          <w:tcPr>
            <w:tcW w:w="4916" w:type="dxa"/>
            <w:vMerge w:val="restart"/>
            <w:tcBorders>
              <w:top w:val="nil"/>
              <w:left w:val="single" w:sz="6" w:space="0" w:color="EFEFEF"/>
              <w:bottom w:val="single" w:sz="6" w:space="0" w:color="000000"/>
              <w:right w:val="single" w:sz="6" w:space="0" w:color="EFEFEF"/>
            </w:tcBorders>
            <w:shd w:val="clear" w:color="auto" w:fill="3271AA"/>
            <w:tcMar>
              <w:top w:w="36" w:type="dxa"/>
              <w:left w:w="72" w:type="dxa"/>
              <w:bottom w:w="36" w:type="dxa"/>
              <w:right w:w="72" w:type="dxa"/>
            </w:tcMar>
            <w:vAlign w:val="bottom"/>
            <w:hideMark/>
          </w:tcPr>
          <w:p w14:paraId="7F275939" w14:textId="77777777" w:rsidR="001E5A5F" w:rsidRPr="00D70320" w:rsidRDefault="001E5A5F" w:rsidP="00AD6BB0">
            <w:pPr>
              <w:spacing w:before="0" w:after="0"/>
              <w:jc w:val="center"/>
              <w:textAlignment w:val="baseline"/>
              <w:rPr>
                <w:rFonts w:ascii="Arial" w:hAnsi="Arial" w:cs="Arial"/>
                <w:lang w:val="en-NZ" w:eastAsia="en-NZ"/>
              </w:rPr>
            </w:pPr>
            <w:r w:rsidRPr="00D70320">
              <w:rPr>
                <w:rFonts w:ascii="Arial Narrow" w:hAnsi="Arial Narrow" w:cs="Arial"/>
                <w:b/>
                <w:bCs/>
                <w:color w:val="FFFFFF"/>
                <w:kern w:val="24"/>
                <w:lang w:eastAsia="en-NZ"/>
              </w:rPr>
              <w:t>Comments</w:t>
            </w:r>
            <w:r w:rsidRPr="00D70320">
              <w:rPr>
                <w:rFonts w:ascii="Arial Narrow" w:hAnsi="Arial Narrow" w:cs="Arial"/>
                <w:color w:val="FFFFFF"/>
                <w:kern w:val="24"/>
                <w:lang w:eastAsia="en-NZ"/>
              </w:rPr>
              <w:t> </w:t>
            </w:r>
          </w:p>
        </w:tc>
      </w:tr>
      <w:tr w:rsidR="001E5A5F" w:rsidRPr="00D70320" w14:paraId="7F001D1E" w14:textId="77777777" w:rsidTr="00D9153E">
        <w:trPr>
          <w:cnfStyle w:val="100000000000" w:firstRow="1" w:lastRow="0" w:firstColumn="0" w:lastColumn="0" w:oddVBand="0" w:evenVBand="0" w:oddHBand="0" w:evenHBand="0" w:firstRowFirstColumn="0" w:firstRowLastColumn="0" w:lastRowFirstColumn="0" w:lastRowLastColumn="0"/>
          <w:trHeight w:val="503"/>
          <w:tblHeader/>
        </w:trPr>
        <w:tc>
          <w:tcPr>
            <w:tcW w:w="0" w:type="auto"/>
            <w:vMerge/>
            <w:tcBorders>
              <w:top w:val="nil"/>
              <w:left w:val="nil"/>
              <w:bottom w:val="single" w:sz="6" w:space="0" w:color="000000"/>
              <w:right w:val="single" w:sz="6" w:space="0" w:color="EFEFEF"/>
            </w:tcBorders>
            <w:vAlign w:val="center"/>
            <w:hideMark/>
          </w:tcPr>
          <w:p w14:paraId="6CDC8D9D" w14:textId="77777777" w:rsidR="001E5A5F" w:rsidRPr="00D70320" w:rsidRDefault="001E5A5F" w:rsidP="00AD6BB0">
            <w:pPr>
              <w:spacing w:before="0" w:after="0"/>
              <w:rPr>
                <w:rFonts w:ascii="Arial" w:hAnsi="Arial" w:cs="Arial"/>
                <w:lang w:val="en-NZ" w:eastAsia="en-NZ"/>
              </w:rPr>
            </w:pPr>
          </w:p>
        </w:tc>
        <w:tc>
          <w:tcPr>
            <w:tcW w:w="1530" w:type="dxa"/>
            <w:tcBorders>
              <w:top w:val="single" w:sz="6" w:space="0" w:color="EFEFEF"/>
              <w:left w:val="single" w:sz="6" w:space="0" w:color="EFEFEF"/>
              <w:bottom w:val="single" w:sz="6" w:space="0" w:color="000000"/>
              <w:right w:val="single" w:sz="6" w:space="0" w:color="EFEFEF"/>
            </w:tcBorders>
            <w:shd w:val="clear" w:color="auto" w:fill="E0E0E0"/>
            <w:tcMar>
              <w:top w:w="36" w:type="dxa"/>
              <w:left w:w="72" w:type="dxa"/>
              <w:bottom w:w="36" w:type="dxa"/>
              <w:right w:w="72" w:type="dxa"/>
            </w:tcMar>
            <w:vAlign w:val="bottom"/>
            <w:hideMark/>
          </w:tcPr>
          <w:p w14:paraId="6431BFB6" w14:textId="77777777" w:rsidR="001E5A5F" w:rsidRPr="00D70320" w:rsidRDefault="001E5A5F" w:rsidP="00AD6BB0">
            <w:pPr>
              <w:spacing w:before="0" w:after="0"/>
              <w:jc w:val="center"/>
              <w:textAlignment w:val="baseline"/>
              <w:rPr>
                <w:rFonts w:ascii="Arial" w:hAnsi="Arial" w:cs="Arial"/>
                <w:lang w:val="en-NZ" w:eastAsia="en-NZ"/>
              </w:rPr>
            </w:pPr>
            <w:r w:rsidRPr="00D70320">
              <w:rPr>
                <w:rFonts w:ascii="Arial Narrow" w:hAnsi="Arial Narrow" w:cs="Arial"/>
                <w:b/>
                <w:bCs/>
                <w:color w:val="000000"/>
                <w:kern w:val="24"/>
                <w:lang w:eastAsia="en-NZ"/>
              </w:rPr>
              <w:t>Risk with TVPM</w:t>
            </w:r>
            <w:r w:rsidRPr="00D70320">
              <w:rPr>
                <w:rFonts w:ascii="Arial Narrow" w:hAnsi="Arial Narrow" w:cs="Arial"/>
                <w:color w:val="000000"/>
                <w:kern w:val="24"/>
                <w:lang w:eastAsia="en-NZ"/>
              </w:rPr>
              <w:t> </w:t>
            </w:r>
          </w:p>
        </w:tc>
        <w:tc>
          <w:tcPr>
            <w:tcW w:w="1524" w:type="dxa"/>
            <w:tcBorders>
              <w:top w:val="single" w:sz="6" w:space="0" w:color="EFEFEF"/>
              <w:left w:val="single" w:sz="6" w:space="0" w:color="EFEFEF"/>
              <w:bottom w:val="single" w:sz="6" w:space="0" w:color="000000"/>
              <w:right w:val="single" w:sz="6" w:space="0" w:color="EFEFEF"/>
            </w:tcBorders>
            <w:shd w:val="clear" w:color="auto" w:fill="E0E0E0"/>
            <w:tcMar>
              <w:top w:w="36" w:type="dxa"/>
              <w:left w:w="72" w:type="dxa"/>
              <w:bottom w:w="36" w:type="dxa"/>
              <w:right w:w="72" w:type="dxa"/>
            </w:tcMar>
            <w:vAlign w:val="bottom"/>
            <w:hideMark/>
          </w:tcPr>
          <w:p w14:paraId="639496BC" w14:textId="77777777" w:rsidR="001E5A5F" w:rsidRPr="00D70320" w:rsidRDefault="001E5A5F" w:rsidP="00AD6BB0">
            <w:pPr>
              <w:spacing w:before="0" w:after="0"/>
              <w:jc w:val="center"/>
              <w:textAlignment w:val="baseline"/>
              <w:rPr>
                <w:rFonts w:ascii="Arial" w:hAnsi="Arial" w:cs="Arial"/>
                <w:lang w:val="en-NZ" w:eastAsia="en-NZ"/>
              </w:rPr>
            </w:pPr>
            <w:r w:rsidRPr="00D70320">
              <w:rPr>
                <w:rFonts w:ascii="Arial Narrow" w:hAnsi="Arial Narrow" w:cs="Arial"/>
                <w:b/>
                <w:bCs/>
                <w:color w:val="000000"/>
                <w:kern w:val="24"/>
                <w:lang w:eastAsia="en-NZ"/>
              </w:rPr>
              <w:t>Risk with LPM</w:t>
            </w:r>
            <w:r w:rsidRPr="00D70320">
              <w:rPr>
                <w:rFonts w:ascii="Arial Narrow" w:hAnsi="Arial Narrow" w:cs="Arial"/>
                <w:color w:val="000000"/>
                <w:kern w:val="24"/>
                <w:lang w:eastAsia="en-NZ"/>
              </w:rPr>
              <w:t> </w:t>
            </w:r>
          </w:p>
        </w:tc>
        <w:tc>
          <w:tcPr>
            <w:tcW w:w="0" w:type="auto"/>
            <w:vMerge/>
            <w:tcBorders>
              <w:top w:val="nil"/>
              <w:left w:val="single" w:sz="6" w:space="0" w:color="EFEFEF"/>
              <w:bottom w:val="single" w:sz="6" w:space="0" w:color="000000"/>
              <w:right w:val="single" w:sz="6" w:space="0" w:color="EFEFEF"/>
            </w:tcBorders>
            <w:vAlign w:val="center"/>
            <w:hideMark/>
          </w:tcPr>
          <w:p w14:paraId="5667A088" w14:textId="77777777" w:rsidR="001E5A5F" w:rsidRPr="00D70320" w:rsidRDefault="001E5A5F" w:rsidP="00AD6BB0">
            <w:pPr>
              <w:spacing w:before="0" w:after="0"/>
              <w:rPr>
                <w:rFonts w:ascii="Arial" w:hAnsi="Arial" w:cs="Arial"/>
                <w:lang w:val="en-NZ" w:eastAsia="en-NZ"/>
              </w:rPr>
            </w:pPr>
          </w:p>
        </w:tc>
        <w:tc>
          <w:tcPr>
            <w:tcW w:w="0" w:type="auto"/>
            <w:vMerge/>
            <w:tcBorders>
              <w:top w:val="nil"/>
              <w:left w:val="single" w:sz="6" w:space="0" w:color="EFEFEF"/>
              <w:bottom w:val="single" w:sz="6" w:space="0" w:color="000000"/>
              <w:right w:val="single" w:sz="6" w:space="0" w:color="EFEFEF"/>
            </w:tcBorders>
            <w:vAlign w:val="center"/>
            <w:hideMark/>
          </w:tcPr>
          <w:p w14:paraId="6086735F" w14:textId="77777777" w:rsidR="001E5A5F" w:rsidRPr="00D70320" w:rsidRDefault="001E5A5F" w:rsidP="00AD6BB0">
            <w:pPr>
              <w:spacing w:before="0" w:after="0"/>
              <w:rPr>
                <w:rFonts w:ascii="Arial" w:hAnsi="Arial" w:cs="Arial"/>
                <w:lang w:val="en-NZ" w:eastAsia="en-NZ"/>
              </w:rPr>
            </w:pPr>
          </w:p>
        </w:tc>
        <w:tc>
          <w:tcPr>
            <w:tcW w:w="0" w:type="auto"/>
            <w:vMerge/>
            <w:tcBorders>
              <w:top w:val="nil"/>
              <w:left w:val="single" w:sz="6" w:space="0" w:color="EFEFEF"/>
              <w:bottom w:val="single" w:sz="6" w:space="0" w:color="000000"/>
              <w:right w:val="single" w:sz="6" w:space="0" w:color="EFEFEF"/>
            </w:tcBorders>
            <w:vAlign w:val="center"/>
            <w:hideMark/>
          </w:tcPr>
          <w:p w14:paraId="2104E7EB" w14:textId="77777777" w:rsidR="001E5A5F" w:rsidRPr="00D70320" w:rsidRDefault="001E5A5F" w:rsidP="00AD6BB0">
            <w:pPr>
              <w:spacing w:before="0" w:after="0"/>
              <w:rPr>
                <w:rFonts w:ascii="Arial" w:hAnsi="Arial" w:cs="Arial"/>
                <w:lang w:val="en-NZ" w:eastAsia="en-NZ"/>
              </w:rPr>
            </w:pPr>
          </w:p>
        </w:tc>
        <w:tc>
          <w:tcPr>
            <w:tcW w:w="4916" w:type="dxa"/>
            <w:vMerge/>
            <w:tcBorders>
              <w:top w:val="nil"/>
              <w:left w:val="single" w:sz="6" w:space="0" w:color="EFEFEF"/>
              <w:bottom w:val="single" w:sz="6" w:space="0" w:color="000000"/>
              <w:right w:val="single" w:sz="6" w:space="0" w:color="EFEFEF"/>
            </w:tcBorders>
            <w:vAlign w:val="center"/>
            <w:hideMark/>
          </w:tcPr>
          <w:p w14:paraId="5441E522" w14:textId="77777777" w:rsidR="001E5A5F" w:rsidRPr="00D70320" w:rsidRDefault="001E5A5F" w:rsidP="00AD6BB0">
            <w:pPr>
              <w:spacing w:before="0" w:after="0"/>
              <w:rPr>
                <w:rFonts w:ascii="Arial" w:hAnsi="Arial" w:cs="Arial"/>
                <w:lang w:val="en-NZ" w:eastAsia="en-NZ"/>
              </w:rPr>
            </w:pPr>
          </w:p>
        </w:tc>
      </w:tr>
      <w:tr w:rsidR="001E5A5F" w:rsidRPr="00D70320" w14:paraId="5B8B5445" w14:textId="77777777" w:rsidTr="00D9153E">
        <w:trPr>
          <w:trHeight w:val="771"/>
        </w:trPr>
        <w:tc>
          <w:tcPr>
            <w:tcW w:w="2313"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426A0AF3" w14:textId="08D197A8" w:rsidR="001E5A5F" w:rsidRPr="00D70320" w:rsidRDefault="001E5A5F" w:rsidP="00637A3D">
            <w:pPr>
              <w:spacing w:before="0" w:after="0"/>
              <w:jc w:val="center"/>
              <w:textAlignment w:val="baseline"/>
              <w:rPr>
                <w:rFonts w:ascii="Arial" w:hAnsi="Arial" w:cs="Arial"/>
                <w:lang w:val="en-NZ" w:eastAsia="en-NZ"/>
              </w:rPr>
            </w:pPr>
            <w:r w:rsidRPr="00D70320">
              <w:rPr>
                <w:rFonts w:ascii="Arial Narrow" w:hAnsi="Arial Narrow" w:cs="Arial"/>
                <w:color w:val="000000"/>
                <w:kern w:val="24"/>
                <w:lang w:val="en-NZ" w:eastAsia="en-NZ"/>
              </w:rPr>
              <w:t>Mortality - any (CED)</w:t>
            </w:r>
            <w:r w:rsidRPr="00D70320">
              <w:rPr>
                <w:rFonts w:ascii="Arial" w:hAnsi="Arial" w:cs="Arial"/>
                <w:color w:val="000000"/>
                <w:kern w:val="24"/>
                <w:lang w:val="en-NZ" w:eastAsia="en-NZ"/>
              </w:rPr>
              <w:t> </w:t>
            </w:r>
            <w:r w:rsidRPr="00D70320">
              <w:rPr>
                <w:rFonts w:ascii="Arial" w:hAnsi="Arial" w:cs="Arial"/>
                <w:color w:val="000000"/>
                <w:kern w:val="24"/>
                <w:lang w:val="en-NZ" w:eastAsia="en-NZ"/>
              </w:rPr>
              <w:br/>
            </w:r>
            <w:r w:rsidRPr="00D70320">
              <w:rPr>
                <w:rFonts w:ascii="Arial Narrow" w:hAnsi="Arial Narrow" w:cs="Arial"/>
                <w:color w:val="000000"/>
                <w:kern w:val="24"/>
                <w:lang w:val="en-NZ" w:eastAsia="en-NZ"/>
              </w:rPr>
              <w:t>follow up: 24 months</w:t>
            </w:r>
          </w:p>
        </w:tc>
        <w:tc>
          <w:tcPr>
            <w:tcW w:w="1530"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7932DA46" w14:textId="6BB3CE29" w:rsidR="001E5A5F" w:rsidRPr="00D70320" w:rsidRDefault="001E5A5F" w:rsidP="00637A3D">
            <w:pPr>
              <w:spacing w:before="0" w:after="0"/>
              <w:jc w:val="center"/>
              <w:textAlignment w:val="baseline"/>
              <w:rPr>
                <w:rFonts w:ascii="Arial" w:hAnsi="Arial" w:cs="Arial"/>
                <w:lang w:val="en-NZ" w:eastAsia="en-NZ"/>
              </w:rPr>
            </w:pPr>
            <w:r w:rsidRPr="00D70320">
              <w:rPr>
                <w:rFonts w:ascii="Arial Narrow" w:hAnsi="Arial Narrow" w:cs="Arial"/>
                <w:color w:val="000000"/>
                <w:kern w:val="24"/>
                <w:lang w:eastAsia="en-NZ"/>
              </w:rPr>
              <w:t>325 per 1,000</w:t>
            </w:r>
          </w:p>
        </w:tc>
        <w:tc>
          <w:tcPr>
            <w:tcW w:w="1524" w:type="dxa"/>
            <w:tcBorders>
              <w:top w:val="single" w:sz="6" w:space="0" w:color="000000"/>
              <w:left w:val="nil"/>
              <w:bottom w:val="single" w:sz="6" w:space="0" w:color="000000"/>
              <w:right w:val="nil"/>
            </w:tcBorders>
            <w:shd w:val="clear" w:color="auto" w:fill="EBEBEB"/>
            <w:tcMar>
              <w:top w:w="36" w:type="dxa"/>
              <w:left w:w="72" w:type="dxa"/>
              <w:bottom w:w="36" w:type="dxa"/>
              <w:right w:w="72" w:type="dxa"/>
            </w:tcMar>
            <w:vAlign w:val="center"/>
            <w:hideMark/>
          </w:tcPr>
          <w:p w14:paraId="2EECB301" w14:textId="6BF8FBB2" w:rsidR="001E5A5F" w:rsidRPr="00D70320" w:rsidRDefault="001E5A5F" w:rsidP="00637A3D">
            <w:pPr>
              <w:spacing w:before="0" w:after="0"/>
              <w:jc w:val="center"/>
              <w:textAlignment w:val="baseline"/>
              <w:rPr>
                <w:rFonts w:ascii="Arial" w:hAnsi="Arial" w:cs="Arial"/>
                <w:lang w:val="en-NZ" w:eastAsia="en-NZ"/>
              </w:rPr>
            </w:pPr>
            <w:r w:rsidRPr="00D70320">
              <w:rPr>
                <w:rFonts w:ascii="Arial Narrow" w:hAnsi="Arial Narrow" w:cs="Arial"/>
                <w:color w:val="000000"/>
                <w:kern w:val="24"/>
                <w:lang w:val="en-NZ" w:eastAsia="en-NZ"/>
              </w:rPr>
              <w:t>317 per 1,000</w:t>
            </w:r>
            <w:r w:rsidRPr="00D70320">
              <w:rPr>
                <w:rFonts w:ascii="Arial" w:hAnsi="Arial" w:cs="Arial"/>
                <w:color w:val="000000"/>
                <w:kern w:val="24"/>
                <w:lang w:val="en-NZ" w:eastAsia="en-NZ"/>
              </w:rPr>
              <w:t> </w:t>
            </w:r>
            <w:r w:rsidRPr="00D70320">
              <w:rPr>
                <w:rFonts w:ascii="Arial" w:hAnsi="Arial" w:cs="Arial"/>
                <w:color w:val="000000"/>
                <w:kern w:val="24"/>
                <w:lang w:val="en-NZ" w:eastAsia="en-NZ"/>
              </w:rPr>
              <w:br/>
            </w:r>
            <w:r w:rsidRPr="00D70320">
              <w:rPr>
                <w:rFonts w:ascii="Arial Narrow" w:hAnsi="Arial Narrow" w:cs="Arial"/>
                <w:b/>
                <w:bCs/>
                <w:color w:val="000000"/>
                <w:kern w:val="24"/>
                <w:lang w:val="en-NZ" w:eastAsia="en-NZ"/>
              </w:rPr>
              <w:t>(301 to 336)</w:t>
            </w:r>
          </w:p>
        </w:tc>
        <w:tc>
          <w:tcPr>
            <w:tcW w:w="1527"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499C05B4" w14:textId="49DCBECB" w:rsidR="001E5A5F" w:rsidRPr="00D70320" w:rsidRDefault="001E5A5F" w:rsidP="006E22C7">
            <w:pPr>
              <w:spacing w:before="0" w:after="0"/>
              <w:jc w:val="center"/>
              <w:textAlignment w:val="baseline"/>
              <w:rPr>
                <w:rFonts w:ascii="Arial" w:hAnsi="Arial" w:cs="Arial"/>
                <w:lang w:val="en-NZ" w:eastAsia="en-NZ"/>
              </w:rPr>
            </w:pPr>
            <w:r w:rsidRPr="00D70320">
              <w:rPr>
                <w:rFonts w:ascii="Arial Narrow" w:hAnsi="Arial Narrow" w:cs="Arial"/>
                <w:b/>
                <w:bCs/>
                <w:color w:val="000000"/>
                <w:kern w:val="24"/>
                <w:lang w:val="en-NZ" w:eastAsia="en-NZ"/>
              </w:rPr>
              <w:t>HR 0.97</w:t>
            </w:r>
            <w:r w:rsidRPr="00D70320">
              <w:rPr>
                <w:rFonts w:ascii="Arial" w:hAnsi="Arial" w:cs="Arial"/>
                <w:color w:val="000000"/>
                <w:kern w:val="24"/>
                <w:lang w:val="en-NZ" w:eastAsia="en-NZ"/>
              </w:rPr>
              <w:t> </w:t>
            </w:r>
            <w:r w:rsidRPr="00D70320">
              <w:rPr>
                <w:rFonts w:ascii="Arial" w:hAnsi="Arial" w:cs="Arial"/>
                <w:color w:val="000000"/>
                <w:kern w:val="24"/>
                <w:lang w:val="en-NZ" w:eastAsia="en-NZ"/>
              </w:rPr>
              <w:br/>
            </w:r>
            <w:r w:rsidRPr="00D70320">
              <w:rPr>
                <w:rFonts w:ascii="Arial Narrow" w:hAnsi="Arial Narrow" w:cs="Arial"/>
                <w:color w:val="000000"/>
                <w:kern w:val="24"/>
                <w:lang w:val="en-NZ" w:eastAsia="en-NZ"/>
              </w:rPr>
              <w:t>(0.91 to 1.04)</w:t>
            </w:r>
            <w:r w:rsidRPr="00D70320">
              <w:rPr>
                <w:rFonts w:ascii="Arial" w:hAnsi="Arial" w:cs="Arial"/>
                <w:color w:val="000000"/>
                <w:kern w:val="24"/>
                <w:lang w:val="en-NZ" w:eastAsia="en-NZ"/>
              </w:rPr>
              <w:t> </w:t>
            </w:r>
            <w:r w:rsidRPr="00D70320">
              <w:rPr>
                <w:rFonts w:ascii="Arial" w:hAnsi="Arial" w:cs="Arial"/>
                <w:color w:val="000000"/>
                <w:kern w:val="24"/>
                <w:lang w:val="en-NZ" w:eastAsia="en-NZ"/>
              </w:rPr>
              <w:br/>
            </w:r>
            <w:r w:rsidRPr="00D70320">
              <w:rPr>
                <w:rFonts w:ascii="Arial Narrow" w:hAnsi="Arial Narrow" w:cs="Arial"/>
                <w:color w:val="000000"/>
                <w:kern w:val="24"/>
                <w:lang w:val="en-NZ" w:eastAsia="en-NZ"/>
              </w:rPr>
              <w:t>[Mortality - any (CED)]</w:t>
            </w:r>
          </w:p>
        </w:tc>
        <w:tc>
          <w:tcPr>
            <w:tcW w:w="1534"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0193AA27" w14:textId="34905793" w:rsidR="001E5A5F" w:rsidRPr="00D70320" w:rsidRDefault="001E5A5F" w:rsidP="004C07A8">
            <w:pPr>
              <w:spacing w:before="0" w:after="0"/>
              <w:jc w:val="center"/>
              <w:textAlignment w:val="baseline"/>
              <w:rPr>
                <w:rFonts w:ascii="Arial" w:hAnsi="Arial" w:cs="Arial"/>
                <w:lang w:val="en-NZ" w:eastAsia="en-NZ"/>
              </w:rPr>
            </w:pPr>
            <w:r w:rsidRPr="00D70320">
              <w:rPr>
                <w:rFonts w:ascii="Arial Narrow" w:hAnsi="Arial Narrow" w:cs="Arial"/>
                <w:color w:val="000000"/>
                <w:kern w:val="24"/>
                <w:lang w:eastAsia="en-NZ"/>
              </w:rPr>
              <w:t>1</w:t>
            </w:r>
            <w:r w:rsidR="00924C4E">
              <w:rPr>
                <w:rFonts w:ascii="Arial Narrow" w:hAnsi="Arial Narrow" w:cs="Arial"/>
                <w:color w:val="000000"/>
                <w:kern w:val="24"/>
                <w:lang w:eastAsia="en-NZ"/>
              </w:rPr>
              <w:t>,</w:t>
            </w:r>
            <w:r w:rsidRPr="00D70320">
              <w:rPr>
                <w:rFonts w:ascii="Arial Narrow" w:hAnsi="Arial Narrow" w:cs="Arial"/>
                <w:color w:val="000000"/>
                <w:kern w:val="24"/>
                <w:lang w:eastAsia="en-NZ"/>
              </w:rPr>
              <w:t>6431</w:t>
            </w:r>
            <w:r w:rsidRPr="00D70320">
              <w:rPr>
                <w:rFonts w:ascii="Arial" w:hAnsi="Arial" w:cs="Arial"/>
                <w:color w:val="000000"/>
                <w:kern w:val="24"/>
                <w:lang w:eastAsia="en-NZ"/>
              </w:rPr>
              <w:t> </w:t>
            </w:r>
            <w:r w:rsidRPr="00D70320">
              <w:rPr>
                <w:rFonts w:ascii="Arial" w:hAnsi="Arial" w:cs="Arial"/>
                <w:color w:val="000000"/>
                <w:kern w:val="24"/>
                <w:lang w:eastAsia="en-NZ"/>
              </w:rPr>
              <w:br/>
            </w:r>
            <w:r w:rsidRPr="00D70320">
              <w:rPr>
                <w:rFonts w:ascii="Arial Narrow" w:hAnsi="Arial Narrow" w:cs="Arial"/>
                <w:color w:val="000000"/>
                <w:kern w:val="24"/>
                <w:lang w:eastAsia="en-NZ"/>
              </w:rPr>
              <w:t>(1 non-randomised study)</w:t>
            </w:r>
          </w:p>
        </w:tc>
        <w:tc>
          <w:tcPr>
            <w:tcW w:w="1115"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18F352E4" w14:textId="207C7679" w:rsidR="001E5A5F" w:rsidRPr="00D70320" w:rsidRDefault="001E5A5F" w:rsidP="00566F55">
            <w:pPr>
              <w:spacing w:before="0" w:after="0"/>
              <w:jc w:val="center"/>
              <w:textAlignment w:val="baseline"/>
              <w:rPr>
                <w:rFonts w:ascii="Arial" w:hAnsi="Arial" w:cs="Arial"/>
                <w:lang w:val="en-NZ" w:eastAsia="en-NZ"/>
              </w:rPr>
            </w:pPr>
            <w:r w:rsidRPr="00D70320">
              <w:rPr>
                <w:rFonts w:ascii="Cambria Math" w:hAnsi="Cambria Math" w:cs="Arial"/>
                <w:color w:val="000000"/>
                <w:kern w:val="24"/>
                <w:lang w:eastAsia="en-NZ"/>
              </w:rPr>
              <w:t>⨁⨁◯◯</w:t>
            </w:r>
            <w:r w:rsidRPr="00D70320">
              <w:rPr>
                <w:rFonts w:ascii="Arial" w:hAnsi="Arial" w:cs="Arial"/>
                <w:color w:val="000000"/>
                <w:kern w:val="24"/>
                <w:lang w:eastAsia="en-NZ"/>
              </w:rPr>
              <w:t> </w:t>
            </w:r>
            <w:r w:rsidRPr="00D70320">
              <w:rPr>
                <w:rFonts w:ascii="Arial" w:hAnsi="Arial" w:cs="Arial"/>
                <w:color w:val="000000"/>
                <w:kern w:val="24"/>
                <w:lang w:eastAsia="en-NZ"/>
              </w:rPr>
              <w:br/>
            </w:r>
            <w:r w:rsidRPr="00D70320">
              <w:rPr>
                <w:rFonts w:ascii="Arial Narrow" w:hAnsi="Arial Narrow" w:cs="Arial"/>
                <w:color w:val="000000"/>
                <w:kern w:val="24"/>
                <w:lang w:eastAsia="en-NZ"/>
              </w:rPr>
              <w:t>Low</w:t>
            </w:r>
          </w:p>
        </w:tc>
        <w:tc>
          <w:tcPr>
            <w:tcW w:w="4916"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49BFBB90" w14:textId="61D9D227" w:rsidR="001E5A5F" w:rsidRPr="00D70320" w:rsidRDefault="001E5A5F" w:rsidP="00637A3D">
            <w:pPr>
              <w:spacing w:before="0" w:after="0"/>
              <w:textAlignment w:val="baseline"/>
              <w:rPr>
                <w:rFonts w:ascii="Arial" w:hAnsi="Arial" w:cs="Arial"/>
                <w:lang w:val="en-NZ" w:eastAsia="en-NZ"/>
              </w:rPr>
            </w:pPr>
            <w:r w:rsidRPr="00D70320">
              <w:rPr>
                <w:rFonts w:ascii="Arial Narrow" w:hAnsi="Arial Narrow" w:cs="Arial"/>
                <w:color w:val="000000"/>
                <w:kern w:val="24"/>
                <w:lang w:val="en-NZ" w:eastAsia="en-NZ"/>
              </w:rPr>
              <w:t xml:space="preserve">LPM results in little to no difference in mortality </w:t>
            </w:r>
            <w:r w:rsidR="00DD5AB7">
              <w:rPr>
                <w:rFonts w:ascii="Arial Narrow" w:hAnsi="Arial Narrow" w:cs="Arial"/>
                <w:color w:val="000000"/>
                <w:kern w:val="24"/>
                <w:lang w:val="en-NZ" w:eastAsia="en-NZ"/>
              </w:rPr>
              <w:t xml:space="preserve">rates </w:t>
            </w:r>
            <w:r w:rsidRPr="00D70320">
              <w:rPr>
                <w:rFonts w:ascii="Arial Narrow" w:hAnsi="Arial Narrow" w:cs="Arial"/>
                <w:color w:val="000000"/>
                <w:kern w:val="24"/>
                <w:lang w:val="en-NZ" w:eastAsia="en-NZ"/>
              </w:rPr>
              <w:t>based on the CED study.</w:t>
            </w:r>
          </w:p>
        </w:tc>
      </w:tr>
      <w:tr w:rsidR="001E5A5F" w:rsidRPr="00D70320" w14:paraId="1526B05E" w14:textId="77777777" w:rsidTr="00D9153E">
        <w:trPr>
          <w:trHeight w:val="939"/>
        </w:trPr>
        <w:tc>
          <w:tcPr>
            <w:tcW w:w="2313"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0B2CD235" w14:textId="7C6005F8" w:rsidR="001E5A5F" w:rsidRPr="00D70320" w:rsidRDefault="001E5A5F" w:rsidP="00637A3D">
            <w:pPr>
              <w:spacing w:before="0" w:after="0"/>
              <w:jc w:val="center"/>
              <w:textAlignment w:val="baseline"/>
              <w:rPr>
                <w:rFonts w:ascii="Arial" w:hAnsi="Arial" w:cs="Arial"/>
                <w:lang w:val="en-NZ" w:eastAsia="en-NZ"/>
              </w:rPr>
            </w:pPr>
            <w:r w:rsidRPr="00D70320">
              <w:rPr>
                <w:rFonts w:ascii="Arial Narrow" w:hAnsi="Arial Narrow" w:cs="Arial"/>
                <w:color w:val="000000"/>
                <w:kern w:val="24"/>
                <w:lang w:eastAsia="en-NZ"/>
              </w:rPr>
              <w:t>Mortality – any</w:t>
            </w:r>
          </w:p>
          <w:p w14:paraId="5188E763" w14:textId="0AD1F934" w:rsidR="001E5A5F" w:rsidRPr="00D70320" w:rsidRDefault="001E5A5F" w:rsidP="00637A3D">
            <w:pPr>
              <w:spacing w:before="0" w:after="0"/>
              <w:jc w:val="center"/>
              <w:textAlignment w:val="baseline"/>
              <w:rPr>
                <w:rFonts w:ascii="Arial" w:hAnsi="Arial" w:cs="Arial"/>
                <w:lang w:val="en-NZ" w:eastAsia="en-NZ"/>
              </w:rPr>
            </w:pPr>
            <w:r w:rsidRPr="00D70320">
              <w:rPr>
                <w:rFonts w:ascii="Arial Narrow" w:hAnsi="Arial Narrow" w:cs="Arial"/>
                <w:color w:val="000000"/>
                <w:kern w:val="24"/>
                <w:lang w:eastAsia="en-NZ"/>
              </w:rPr>
              <w:t>Supportive studies</w:t>
            </w:r>
          </w:p>
        </w:tc>
        <w:tc>
          <w:tcPr>
            <w:tcW w:w="1530"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0C219A48" w14:textId="3451E7FA" w:rsidR="001E5A5F" w:rsidRPr="00D70320" w:rsidRDefault="001E5A5F" w:rsidP="00637A3D">
            <w:pPr>
              <w:spacing w:before="0" w:after="0"/>
              <w:jc w:val="center"/>
              <w:textAlignment w:val="baseline"/>
              <w:rPr>
                <w:rFonts w:ascii="Arial" w:hAnsi="Arial" w:cs="Arial"/>
                <w:lang w:val="en-NZ" w:eastAsia="en-NZ"/>
              </w:rPr>
            </w:pPr>
            <w:r w:rsidRPr="00D70320">
              <w:rPr>
                <w:rFonts w:ascii="Arial Narrow" w:hAnsi="Arial Narrow" w:cs="Arial"/>
                <w:color w:val="000000"/>
                <w:kern w:val="24"/>
                <w:lang w:eastAsia="en-NZ"/>
              </w:rPr>
              <w:t>135 per 1,000</w:t>
            </w:r>
          </w:p>
        </w:tc>
        <w:tc>
          <w:tcPr>
            <w:tcW w:w="1524" w:type="dxa"/>
            <w:tcBorders>
              <w:top w:val="single" w:sz="6" w:space="0" w:color="000000"/>
              <w:left w:val="nil"/>
              <w:bottom w:val="single" w:sz="6" w:space="0" w:color="000000"/>
              <w:right w:val="nil"/>
            </w:tcBorders>
            <w:shd w:val="clear" w:color="auto" w:fill="EBEBEB"/>
            <w:tcMar>
              <w:top w:w="36" w:type="dxa"/>
              <w:left w:w="72" w:type="dxa"/>
              <w:bottom w:w="36" w:type="dxa"/>
              <w:right w:w="72" w:type="dxa"/>
            </w:tcMar>
            <w:vAlign w:val="center"/>
            <w:hideMark/>
          </w:tcPr>
          <w:p w14:paraId="0028836B" w14:textId="453D427A" w:rsidR="001E5A5F" w:rsidRPr="00D70320" w:rsidRDefault="001E5A5F" w:rsidP="00637A3D">
            <w:pPr>
              <w:spacing w:before="0" w:after="0"/>
              <w:jc w:val="center"/>
              <w:textAlignment w:val="baseline"/>
              <w:rPr>
                <w:rFonts w:ascii="Arial" w:hAnsi="Arial" w:cs="Arial"/>
                <w:lang w:val="en-NZ" w:eastAsia="en-NZ"/>
              </w:rPr>
            </w:pPr>
            <w:r w:rsidRPr="00D70320">
              <w:rPr>
                <w:rFonts w:ascii="Arial Narrow" w:hAnsi="Arial Narrow" w:cs="Arial"/>
                <w:color w:val="000000"/>
                <w:kern w:val="24"/>
                <w:lang w:val="en-NZ" w:eastAsia="en-NZ"/>
              </w:rPr>
              <w:t>72 per 1,000</w:t>
            </w:r>
            <w:r w:rsidRPr="00D70320">
              <w:rPr>
                <w:rFonts w:ascii="Arial" w:hAnsi="Arial" w:cs="Arial"/>
                <w:color w:val="000000"/>
                <w:kern w:val="24"/>
                <w:lang w:val="en-NZ" w:eastAsia="en-NZ"/>
              </w:rPr>
              <w:t> </w:t>
            </w:r>
            <w:r w:rsidRPr="00D70320">
              <w:rPr>
                <w:rFonts w:ascii="Arial" w:hAnsi="Arial" w:cs="Arial"/>
                <w:color w:val="000000"/>
                <w:kern w:val="24"/>
                <w:lang w:val="en-NZ" w:eastAsia="en-NZ"/>
              </w:rPr>
              <w:br/>
            </w:r>
            <w:r w:rsidRPr="00D70320">
              <w:rPr>
                <w:rFonts w:ascii="Arial Narrow" w:hAnsi="Arial Narrow" w:cs="Arial"/>
                <w:b/>
                <w:bCs/>
                <w:color w:val="000000"/>
                <w:kern w:val="24"/>
                <w:lang w:val="en-NZ" w:eastAsia="en-NZ"/>
              </w:rPr>
              <w:t>(41 to 126)</w:t>
            </w:r>
          </w:p>
        </w:tc>
        <w:tc>
          <w:tcPr>
            <w:tcW w:w="1527"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2D464962" w14:textId="5A2C284C" w:rsidR="001E5A5F" w:rsidRPr="00D70320" w:rsidRDefault="001E5A5F" w:rsidP="006E22C7">
            <w:pPr>
              <w:spacing w:before="0" w:after="0"/>
              <w:jc w:val="center"/>
              <w:textAlignment w:val="baseline"/>
              <w:rPr>
                <w:rFonts w:ascii="Arial" w:hAnsi="Arial" w:cs="Arial"/>
                <w:lang w:val="en-NZ" w:eastAsia="en-NZ"/>
              </w:rPr>
            </w:pPr>
            <w:r w:rsidRPr="00D70320">
              <w:rPr>
                <w:rFonts w:ascii="Arial Narrow" w:hAnsi="Arial Narrow" w:cs="Arial"/>
                <w:b/>
                <w:bCs/>
                <w:color w:val="000000"/>
                <w:kern w:val="24"/>
                <w:lang w:val="en-NZ" w:eastAsia="en-NZ"/>
              </w:rPr>
              <w:t>RR 0.53</w:t>
            </w:r>
            <w:r w:rsidRPr="00D70320">
              <w:rPr>
                <w:rFonts w:ascii="Arial" w:hAnsi="Arial" w:cs="Arial"/>
                <w:color w:val="000000"/>
                <w:kern w:val="24"/>
                <w:lang w:val="en-NZ" w:eastAsia="en-NZ"/>
              </w:rPr>
              <w:t> </w:t>
            </w:r>
            <w:r w:rsidRPr="00D70320">
              <w:rPr>
                <w:rFonts w:ascii="Arial" w:hAnsi="Arial" w:cs="Arial"/>
                <w:color w:val="000000"/>
                <w:kern w:val="24"/>
                <w:lang w:val="en-NZ" w:eastAsia="en-NZ"/>
              </w:rPr>
              <w:br/>
            </w:r>
            <w:r w:rsidRPr="00D70320">
              <w:rPr>
                <w:rFonts w:ascii="Arial Narrow" w:hAnsi="Arial Narrow" w:cs="Arial"/>
                <w:color w:val="000000"/>
                <w:kern w:val="24"/>
                <w:lang w:val="en-NZ" w:eastAsia="en-NZ"/>
              </w:rPr>
              <w:t>(0.30 to 0.93)</w:t>
            </w:r>
          </w:p>
        </w:tc>
        <w:tc>
          <w:tcPr>
            <w:tcW w:w="1534"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7C7A0034" w14:textId="6B12CD9D" w:rsidR="001E5A5F" w:rsidRPr="00D70320" w:rsidRDefault="001E5A5F" w:rsidP="004C07A8">
            <w:pPr>
              <w:spacing w:before="0" w:after="0"/>
              <w:jc w:val="center"/>
              <w:textAlignment w:val="baseline"/>
              <w:rPr>
                <w:rFonts w:ascii="Arial" w:hAnsi="Arial" w:cs="Arial"/>
                <w:lang w:val="en-NZ" w:eastAsia="en-NZ"/>
              </w:rPr>
            </w:pPr>
            <w:r w:rsidRPr="00D70320">
              <w:rPr>
                <w:rFonts w:ascii="Arial Narrow" w:hAnsi="Arial Narrow" w:cs="Arial"/>
                <w:color w:val="000000"/>
                <w:kern w:val="24"/>
                <w:lang w:eastAsia="en-NZ"/>
              </w:rPr>
              <w:t>948</w:t>
            </w:r>
            <w:r w:rsidRPr="00D70320">
              <w:rPr>
                <w:rFonts w:ascii="Arial" w:hAnsi="Arial" w:cs="Arial"/>
                <w:color w:val="000000"/>
                <w:kern w:val="24"/>
                <w:lang w:eastAsia="en-NZ"/>
              </w:rPr>
              <w:t> </w:t>
            </w:r>
            <w:r w:rsidRPr="00D70320">
              <w:rPr>
                <w:rFonts w:ascii="Arial" w:hAnsi="Arial" w:cs="Arial"/>
                <w:color w:val="000000"/>
                <w:kern w:val="24"/>
                <w:lang w:eastAsia="en-NZ"/>
              </w:rPr>
              <w:br/>
            </w:r>
            <w:r w:rsidRPr="00D70320">
              <w:rPr>
                <w:rFonts w:ascii="Arial Narrow" w:hAnsi="Arial Narrow" w:cs="Arial"/>
                <w:color w:val="000000"/>
                <w:kern w:val="24"/>
                <w:lang w:eastAsia="en-NZ"/>
              </w:rPr>
              <w:t>(4 observational studies)</w:t>
            </w:r>
          </w:p>
        </w:tc>
        <w:tc>
          <w:tcPr>
            <w:tcW w:w="1115"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6F66BDAE" w14:textId="4B66F05A" w:rsidR="001E5A5F" w:rsidRPr="00D70320" w:rsidRDefault="001E5A5F" w:rsidP="00566F55">
            <w:pPr>
              <w:spacing w:before="0" w:after="0"/>
              <w:jc w:val="center"/>
              <w:textAlignment w:val="baseline"/>
              <w:rPr>
                <w:rFonts w:ascii="Arial" w:hAnsi="Arial" w:cs="Arial"/>
                <w:lang w:val="en-NZ" w:eastAsia="en-NZ"/>
              </w:rPr>
            </w:pPr>
            <w:r w:rsidRPr="00D70320">
              <w:rPr>
                <w:rFonts w:ascii="Cambria Math" w:hAnsi="Cambria Math" w:cs="Arial"/>
                <w:color w:val="000000"/>
                <w:kern w:val="24"/>
                <w:lang w:eastAsia="en-NZ"/>
              </w:rPr>
              <w:t>⨁◯◯◯</w:t>
            </w:r>
            <w:r w:rsidRPr="00D70320">
              <w:rPr>
                <w:rFonts w:ascii="Arial" w:hAnsi="Arial" w:cs="Arial"/>
                <w:color w:val="000000"/>
                <w:kern w:val="24"/>
                <w:lang w:eastAsia="en-NZ"/>
              </w:rPr>
              <w:t> </w:t>
            </w:r>
            <w:r w:rsidRPr="00D70320">
              <w:rPr>
                <w:rFonts w:ascii="Arial" w:hAnsi="Arial" w:cs="Arial"/>
                <w:color w:val="000000"/>
                <w:kern w:val="24"/>
                <w:lang w:eastAsia="en-NZ"/>
              </w:rPr>
              <w:br/>
            </w:r>
            <w:r w:rsidRPr="00D70320">
              <w:rPr>
                <w:rFonts w:ascii="Arial Narrow" w:hAnsi="Arial Narrow" w:cs="Arial"/>
                <w:color w:val="000000"/>
                <w:kern w:val="24"/>
                <w:lang w:eastAsia="en-NZ"/>
              </w:rPr>
              <w:t xml:space="preserve">Very </w:t>
            </w:r>
            <w:proofErr w:type="gramStart"/>
            <w:r w:rsidRPr="00D70320">
              <w:rPr>
                <w:rFonts w:ascii="Arial Narrow" w:hAnsi="Arial Narrow" w:cs="Arial"/>
                <w:color w:val="000000"/>
                <w:kern w:val="24"/>
                <w:lang w:eastAsia="en-NZ"/>
              </w:rPr>
              <w:t>low</w:t>
            </w:r>
            <w:proofErr w:type="spellStart"/>
            <w:r w:rsidRPr="00D70320">
              <w:rPr>
                <w:rFonts w:ascii="Arial Narrow" w:hAnsi="Arial Narrow" w:cs="Arial"/>
                <w:color w:val="000000"/>
                <w:kern w:val="24"/>
                <w:position w:val="2"/>
                <w:vertAlign w:val="superscript"/>
                <w:lang w:eastAsia="en-NZ"/>
              </w:rPr>
              <w:t>a,b</w:t>
            </w:r>
            <w:proofErr w:type="spellEnd"/>
            <w:proofErr w:type="gramEnd"/>
          </w:p>
        </w:tc>
        <w:tc>
          <w:tcPr>
            <w:tcW w:w="4916"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5387A08A" w14:textId="47D1775D" w:rsidR="001E5A5F" w:rsidRPr="00D70320" w:rsidRDefault="001E5A5F" w:rsidP="00637A3D">
            <w:pPr>
              <w:spacing w:before="0" w:after="0"/>
              <w:textAlignment w:val="baseline"/>
              <w:rPr>
                <w:rFonts w:ascii="Arial" w:hAnsi="Arial" w:cs="Arial"/>
                <w:lang w:val="en-NZ" w:eastAsia="en-NZ"/>
              </w:rPr>
            </w:pPr>
            <w:r w:rsidRPr="00D70320">
              <w:rPr>
                <w:rFonts w:ascii="Arial Narrow" w:hAnsi="Arial Narrow" w:cs="Arial"/>
                <w:color w:val="000000"/>
                <w:kern w:val="24"/>
                <w:lang w:val="en-NZ" w:eastAsia="en-NZ"/>
              </w:rPr>
              <w:t xml:space="preserve">The evidence is very uncertain about the effect of LPM on any mortality </w:t>
            </w:r>
            <w:r w:rsidR="00DD5AB7">
              <w:rPr>
                <w:rFonts w:ascii="Arial Narrow" w:hAnsi="Arial Narrow" w:cs="Arial"/>
                <w:color w:val="000000"/>
                <w:kern w:val="24"/>
                <w:lang w:val="en-NZ" w:eastAsia="en-NZ"/>
              </w:rPr>
              <w:t xml:space="preserve">rates </w:t>
            </w:r>
            <w:r w:rsidRPr="00D70320">
              <w:rPr>
                <w:rFonts w:ascii="Arial Narrow" w:hAnsi="Arial Narrow" w:cs="Arial"/>
                <w:color w:val="000000"/>
                <w:kern w:val="24"/>
                <w:lang w:val="en-NZ" w:eastAsia="en-NZ"/>
              </w:rPr>
              <w:t>based on supportive studies</w:t>
            </w:r>
            <w:r w:rsidR="00F15BDE">
              <w:rPr>
                <w:rFonts w:ascii="Arial Narrow" w:hAnsi="Arial Narrow" w:cs="Arial"/>
                <w:color w:val="000000"/>
                <w:kern w:val="24"/>
                <w:lang w:val="en-NZ" w:eastAsia="en-NZ"/>
              </w:rPr>
              <w:t>. A</w:t>
            </w:r>
            <w:r w:rsidRPr="00D70320">
              <w:rPr>
                <w:rFonts w:ascii="Arial Narrow" w:hAnsi="Arial Narrow" w:cs="Arial"/>
                <w:color w:val="000000"/>
                <w:kern w:val="24"/>
                <w:lang w:val="en-NZ" w:eastAsia="en-NZ"/>
              </w:rPr>
              <w:t xml:space="preserve">lthough a benefit in favour </w:t>
            </w:r>
            <w:r w:rsidR="00F15BDE">
              <w:rPr>
                <w:rFonts w:ascii="Arial Narrow" w:hAnsi="Arial Narrow" w:cs="Arial"/>
                <w:color w:val="000000"/>
                <w:kern w:val="24"/>
                <w:lang w:val="en-NZ" w:eastAsia="en-NZ"/>
              </w:rPr>
              <w:t xml:space="preserve">of LPM </w:t>
            </w:r>
            <w:r w:rsidRPr="00D70320">
              <w:rPr>
                <w:rFonts w:ascii="Arial Narrow" w:hAnsi="Arial Narrow" w:cs="Arial"/>
                <w:color w:val="000000"/>
                <w:kern w:val="24"/>
                <w:lang w:val="en-NZ" w:eastAsia="en-NZ"/>
              </w:rPr>
              <w:t>is observed, the risk of confounding compromises the results.</w:t>
            </w:r>
          </w:p>
        </w:tc>
      </w:tr>
      <w:tr w:rsidR="001E5A5F" w:rsidRPr="00D70320" w14:paraId="4CBB05D0" w14:textId="77777777" w:rsidTr="00D9153E">
        <w:trPr>
          <w:trHeight w:val="939"/>
        </w:trPr>
        <w:tc>
          <w:tcPr>
            <w:tcW w:w="2313"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0848BEA6" w14:textId="2116F4D2" w:rsidR="001E5A5F" w:rsidRPr="00D70320" w:rsidRDefault="001E5A5F" w:rsidP="00637A3D">
            <w:pPr>
              <w:spacing w:before="0" w:after="0"/>
              <w:jc w:val="center"/>
              <w:textAlignment w:val="baseline"/>
              <w:rPr>
                <w:rFonts w:ascii="Arial" w:hAnsi="Arial" w:cs="Arial"/>
                <w:lang w:val="en-NZ" w:eastAsia="en-NZ"/>
              </w:rPr>
            </w:pPr>
            <w:r w:rsidRPr="00D70320">
              <w:rPr>
                <w:rFonts w:ascii="Arial Narrow" w:hAnsi="Arial Narrow" w:cs="Arial"/>
                <w:color w:val="000000"/>
                <w:kern w:val="24"/>
                <w:lang w:val="en-NZ" w:eastAsia="en-NZ"/>
              </w:rPr>
              <w:t>SF-36 Physical component summary at 6 months Supportive study</w:t>
            </w:r>
          </w:p>
        </w:tc>
        <w:tc>
          <w:tcPr>
            <w:tcW w:w="1530" w:type="dxa"/>
            <w:tcBorders>
              <w:top w:val="single" w:sz="6" w:space="0" w:color="000000"/>
              <w:left w:val="nil"/>
              <w:bottom w:val="single" w:sz="6" w:space="0" w:color="000000"/>
              <w:right w:val="nil"/>
            </w:tcBorders>
            <w:shd w:val="clear" w:color="auto" w:fill="EBEBEB"/>
            <w:tcMar>
              <w:top w:w="36" w:type="dxa"/>
              <w:left w:w="72" w:type="dxa"/>
              <w:bottom w:w="36" w:type="dxa"/>
              <w:right w:w="72" w:type="dxa"/>
            </w:tcMar>
            <w:vAlign w:val="center"/>
            <w:hideMark/>
          </w:tcPr>
          <w:p w14:paraId="69C69821" w14:textId="08BAE3B3" w:rsidR="001E5A5F" w:rsidRPr="00D70320" w:rsidRDefault="001E5A5F" w:rsidP="006E22C7">
            <w:pPr>
              <w:spacing w:before="0" w:after="0"/>
              <w:jc w:val="center"/>
              <w:textAlignment w:val="baseline"/>
              <w:rPr>
                <w:rFonts w:ascii="Arial" w:hAnsi="Arial" w:cs="Arial"/>
                <w:lang w:val="en-NZ" w:eastAsia="en-NZ"/>
              </w:rPr>
            </w:pPr>
            <w:r w:rsidRPr="00D70320">
              <w:rPr>
                <w:rFonts w:ascii="Arial Narrow" w:hAnsi="Arial Narrow" w:cs="Arial"/>
                <w:color w:val="000000"/>
                <w:kern w:val="24"/>
                <w:lang w:val="en-NZ" w:eastAsia="en-NZ"/>
              </w:rPr>
              <w:t xml:space="preserve">The mean SF-36 Physical component summary at 6 months was </w:t>
            </w:r>
            <w:r w:rsidRPr="00D70320">
              <w:rPr>
                <w:rFonts w:ascii="Arial Narrow" w:hAnsi="Arial Narrow" w:cs="Arial"/>
                <w:b/>
                <w:bCs/>
                <w:color w:val="000000"/>
                <w:kern w:val="24"/>
                <w:lang w:val="en-NZ" w:eastAsia="en-NZ"/>
              </w:rPr>
              <w:t>38.8</w:t>
            </w:r>
          </w:p>
        </w:tc>
        <w:tc>
          <w:tcPr>
            <w:tcW w:w="1524" w:type="dxa"/>
            <w:tcBorders>
              <w:top w:val="single" w:sz="6" w:space="0" w:color="000000"/>
              <w:left w:val="nil"/>
              <w:bottom w:val="single" w:sz="6" w:space="0" w:color="000000"/>
              <w:right w:val="nil"/>
            </w:tcBorders>
            <w:shd w:val="clear" w:color="auto" w:fill="EBEBEB"/>
            <w:tcMar>
              <w:top w:w="36" w:type="dxa"/>
              <w:left w:w="72" w:type="dxa"/>
              <w:bottom w:w="36" w:type="dxa"/>
              <w:right w:w="72" w:type="dxa"/>
            </w:tcMar>
            <w:vAlign w:val="center"/>
            <w:hideMark/>
          </w:tcPr>
          <w:p w14:paraId="02C7222D" w14:textId="04BE017A" w:rsidR="001E5A5F" w:rsidRPr="00D70320" w:rsidRDefault="001E5A5F" w:rsidP="004C07A8">
            <w:pPr>
              <w:spacing w:before="0" w:after="0"/>
              <w:jc w:val="center"/>
              <w:textAlignment w:val="baseline"/>
              <w:rPr>
                <w:rFonts w:ascii="Arial" w:hAnsi="Arial" w:cs="Arial"/>
                <w:lang w:val="en-NZ" w:eastAsia="en-NZ"/>
              </w:rPr>
            </w:pPr>
            <w:r w:rsidRPr="00D70320">
              <w:rPr>
                <w:rFonts w:ascii="Arial Narrow" w:hAnsi="Arial Narrow" w:cs="Arial"/>
                <w:color w:val="000000"/>
                <w:kern w:val="24"/>
                <w:lang w:val="en-NZ" w:eastAsia="en-NZ"/>
              </w:rPr>
              <w:t xml:space="preserve">MD </w:t>
            </w:r>
            <w:r w:rsidRPr="00D70320">
              <w:rPr>
                <w:rFonts w:ascii="Arial Narrow" w:hAnsi="Arial Narrow" w:cs="Arial"/>
                <w:b/>
                <w:bCs/>
                <w:color w:val="000000"/>
                <w:kern w:val="24"/>
                <w:lang w:val="en-NZ" w:eastAsia="en-NZ"/>
              </w:rPr>
              <w:t>3.2 higher</w:t>
            </w:r>
            <w:r w:rsidRPr="00D70320">
              <w:rPr>
                <w:rFonts w:ascii="Arial" w:hAnsi="Arial" w:cs="Arial"/>
                <w:color w:val="000000"/>
                <w:kern w:val="24"/>
                <w:lang w:val="en-NZ" w:eastAsia="en-NZ"/>
              </w:rPr>
              <w:t> </w:t>
            </w:r>
            <w:r w:rsidRPr="00D70320">
              <w:rPr>
                <w:rFonts w:ascii="Arial" w:hAnsi="Arial" w:cs="Arial"/>
                <w:color w:val="000000"/>
                <w:kern w:val="24"/>
                <w:lang w:val="en-NZ" w:eastAsia="en-NZ"/>
              </w:rPr>
              <w:br/>
            </w:r>
            <w:r w:rsidRPr="00D70320">
              <w:rPr>
                <w:rFonts w:ascii="Arial Narrow" w:hAnsi="Arial Narrow" w:cs="Arial"/>
                <w:color w:val="000000"/>
                <w:kern w:val="24"/>
                <w:lang w:val="en-NZ" w:eastAsia="en-NZ"/>
              </w:rPr>
              <w:t>(1.91 higher to 4.49 higher)</w:t>
            </w:r>
          </w:p>
        </w:tc>
        <w:tc>
          <w:tcPr>
            <w:tcW w:w="1527"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2C76D950" w14:textId="084B68AF" w:rsidR="001E5A5F" w:rsidRPr="00D70320" w:rsidRDefault="001E5A5F" w:rsidP="00566F55">
            <w:pPr>
              <w:spacing w:before="0" w:after="0"/>
              <w:jc w:val="center"/>
              <w:textAlignment w:val="baseline"/>
              <w:rPr>
                <w:rFonts w:ascii="Arial" w:hAnsi="Arial" w:cs="Arial"/>
                <w:lang w:val="en-NZ" w:eastAsia="en-NZ"/>
              </w:rPr>
            </w:pPr>
            <w:r w:rsidRPr="00D70320">
              <w:rPr>
                <w:rFonts w:ascii="Arial Narrow" w:hAnsi="Arial Narrow" w:cs="Arial"/>
                <w:color w:val="000000"/>
                <w:kern w:val="24"/>
                <w:lang w:eastAsia="en-NZ"/>
              </w:rPr>
              <w:t>-</w:t>
            </w:r>
          </w:p>
        </w:tc>
        <w:tc>
          <w:tcPr>
            <w:tcW w:w="1534"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667B980C" w14:textId="4FFBC05D" w:rsidR="001E5A5F" w:rsidRPr="00D70320" w:rsidRDefault="001E5A5F">
            <w:pPr>
              <w:spacing w:before="0" w:after="0"/>
              <w:jc w:val="center"/>
              <w:textAlignment w:val="baseline"/>
              <w:rPr>
                <w:rFonts w:ascii="Arial" w:hAnsi="Arial" w:cs="Arial"/>
                <w:lang w:val="en-NZ" w:eastAsia="en-NZ"/>
              </w:rPr>
            </w:pPr>
            <w:r w:rsidRPr="00D70320">
              <w:rPr>
                <w:rFonts w:ascii="Arial Narrow" w:hAnsi="Arial Narrow" w:cs="Arial"/>
                <w:color w:val="000000"/>
                <w:kern w:val="24"/>
                <w:lang w:eastAsia="en-NZ"/>
              </w:rPr>
              <w:t>154</w:t>
            </w:r>
            <w:r w:rsidRPr="00D70320">
              <w:rPr>
                <w:rFonts w:ascii="Arial" w:hAnsi="Arial" w:cs="Arial"/>
                <w:color w:val="000000"/>
                <w:kern w:val="24"/>
                <w:lang w:eastAsia="en-NZ"/>
              </w:rPr>
              <w:t> </w:t>
            </w:r>
            <w:r w:rsidRPr="00D70320">
              <w:rPr>
                <w:rFonts w:ascii="Arial" w:hAnsi="Arial" w:cs="Arial"/>
                <w:color w:val="000000"/>
                <w:kern w:val="24"/>
                <w:lang w:eastAsia="en-NZ"/>
              </w:rPr>
              <w:br/>
            </w:r>
            <w:r w:rsidRPr="00D70320">
              <w:rPr>
                <w:rFonts w:ascii="Arial Narrow" w:hAnsi="Arial Narrow" w:cs="Arial"/>
                <w:color w:val="000000"/>
                <w:kern w:val="24"/>
                <w:lang w:eastAsia="en-NZ"/>
              </w:rPr>
              <w:t>(1 observational study)</w:t>
            </w:r>
          </w:p>
        </w:tc>
        <w:tc>
          <w:tcPr>
            <w:tcW w:w="1115"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2E84E7DE" w14:textId="080F91DF" w:rsidR="001E5A5F" w:rsidRPr="00D70320" w:rsidRDefault="001E5A5F">
            <w:pPr>
              <w:spacing w:before="0" w:after="0"/>
              <w:jc w:val="center"/>
              <w:textAlignment w:val="baseline"/>
              <w:rPr>
                <w:rFonts w:ascii="Arial" w:hAnsi="Arial" w:cs="Arial"/>
                <w:lang w:val="en-NZ" w:eastAsia="en-NZ"/>
              </w:rPr>
            </w:pPr>
            <w:r w:rsidRPr="00D70320">
              <w:rPr>
                <w:rFonts w:ascii="Cambria Math" w:hAnsi="Cambria Math" w:cs="Arial"/>
                <w:color w:val="000000"/>
                <w:kern w:val="24"/>
                <w:lang w:eastAsia="en-NZ"/>
              </w:rPr>
              <w:t>⨁⨁◯◯</w:t>
            </w:r>
            <w:r w:rsidRPr="00D70320">
              <w:rPr>
                <w:rFonts w:ascii="Arial" w:hAnsi="Arial" w:cs="Arial"/>
                <w:color w:val="000000"/>
                <w:kern w:val="24"/>
                <w:lang w:eastAsia="en-NZ"/>
              </w:rPr>
              <w:t> </w:t>
            </w:r>
            <w:r w:rsidRPr="00D70320">
              <w:rPr>
                <w:rFonts w:ascii="Arial" w:hAnsi="Arial" w:cs="Arial"/>
                <w:color w:val="000000"/>
                <w:kern w:val="24"/>
                <w:lang w:eastAsia="en-NZ"/>
              </w:rPr>
              <w:br/>
            </w:r>
            <w:r w:rsidRPr="00D70320">
              <w:rPr>
                <w:rFonts w:ascii="Arial Narrow" w:hAnsi="Arial Narrow" w:cs="Arial"/>
                <w:color w:val="000000"/>
                <w:kern w:val="24"/>
                <w:lang w:eastAsia="en-NZ"/>
              </w:rPr>
              <w:t>Low</w:t>
            </w:r>
          </w:p>
        </w:tc>
        <w:tc>
          <w:tcPr>
            <w:tcW w:w="4916"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3BBFEB84" w14:textId="585BC292" w:rsidR="001E5A5F" w:rsidRPr="00D70320" w:rsidRDefault="001E5A5F" w:rsidP="00637A3D">
            <w:pPr>
              <w:spacing w:before="0" w:after="0"/>
              <w:textAlignment w:val="baseline"/>
              <w:rPr>
                <w:rFonts w:ascii="Arial" w:hAnsi="Arial" w:cs="Arial"/>
                <w:lang w:val="en-NZ" w:eastAsia="en-NZ"/>
              </w:rPr>
            </w:pPr>
            <w:r w:rsidRPr="00D70320">
              <w:rPr>
                <w:rFonts w:ascii="Arial Narrow" w:hAnsi="Arial Narrow" w:cs="Arial"/>
                <w:color w:val="000000"/>
                <w:kern w:val="24"/>
                <w:lang w:val="en-NZ" w:eastAsia="en-NZ"/>
              </w:rPr>
              <w:t>LPM may increase</w:t>
            </w:r>
            <w:r w:rsidR="00C65196">
              <w:rPr>
                <w:rFonts w:ascii="Arial Narrow" w:hAnsi="Arial Narrow" w:cs="Arial"/>
                <w:color w:val="000000"/>
                <w:kern w:val="24"/>
                <w:lang w:val="en-NZ" w:eastAsia="en-NZ"/>
              </w:rPr>
              <w:t xml:space="preserve"> the</w:t>
            </w:r>
            <w:r w:rsidRPr="00D70320">
              <w:rPr>
                <w:rFonts w:ascii="Arial Narrow" w:hAnsi="Arial Narrow" w:cs="Arial"/>
                <w:color w:val="000000"/>
                <w:kern w:val="24"/>
                <w:lang w:val="en-NZ" w:eastAsia="en-NZ"/>
              </w:rPr>
              <w:t xml:space="preserve"> SF-36</w:t>
            </w:r>
            <w:r w:rsidR="00037585">
              <w:rPr>
                <w:rFonts w:ascii="Arial Narrow" w:hAnsi="Arial Narrow" w:cs="Arial"/>
                <w:color w:val="000000"/>
                <w:kern w:val="24"/>
                <w:lang w:val="en-NZ" w:eastAsia="en-NZ"/>
              </w:rPr>
              <w:t xml:space="preserve"> score</w:t>
            </w:r>
            <w:r w:rsidRPr="00D70320">
              <w:rPr>
                <w:rFonts w:ascii="Arial Narrow" w:hAnsi="Arial Narrow" w:cs="Arial"/>
                <w:color w:val="000000"/>
                <w:kern w:val="24"/>
                <w:lang w:val="en-NZ" w:eastAsia="en-NZ"/>
              </w:rPr>
              <w:t xml:space="preserve"> at 6 months - Physical component summary.</w:t>
            </w:r>
          </w:p>
        </w:tc>
      </w:tr>
      <w:tr w:rsidR="001E5A5F" w:rsidRPr="00D70320" w14:paraId="3ACD5107" w14:textId="77777777" w:rsidTr="00D9153E">
        <w:trPr>
          <w:trHeight w:val="771"/>
        </w:trPr>
        <w:tc>
          <w:tcPr>
            <w:tcW w:w="2313"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3DDAD4C1" w14:textId="53443B79" w:rsidR="001E5A5F" w:rsidRPr="00D70320" w:rsidRDefault="001E5A5F" w:rsidP="00637A3D">
            <w:pPr>
              <w:spacing w:before="0" w:after="0"/>
              <w:jc w:val="center"/>
              <w:textAlignment w:val="baseline"/>
              <w:rPr>
                <w:rFonts w:ascii="Arial" w:hAnsi="Arial" w:cs="Arial"/>
                <w:lang w:val="en-NZ" w:eastAsia="en-NZ"/>
              </w:rPr>
            </w:pPr>
            <w:r w:rsidRPr="00D70320">
              <w:rPr>
                <w:rFonts w:ascii="Arial Narrow" w:hAnsi="Arial Narrow" w:cs="Arial"/>
                <w:color w:val="000000"/>
                <w:kern w:val="24"/>
                <w:lang w:val="en-NZ" w:eastAsia="en-NZ"/>
              </w:rPr>
              <w:t>SF-36 Mental component summary at 6 months Supportive study</w:t>
            </w:r>
          </w:p>
        </w:tc>
        <w:tc>
          <w:tcPr>
            <w:tcW w:w="1530" w:type="dxa"/>
            <w:tcBorders>
              <w:top w:val="single" w:sz="6" w:space="0" w:color="000000"/>
              <w:left w:val="nil"/>
              <w:bottom w:val="single" w:sz="6" w:space="0" w:color="000000"/>
              <w:right w:val="nil"/>
            </w:tcBorders>
            <w:shd w:val="clear" w:color="auto" w:fill="EBEBEB"/>
            <w:tcMar>
              <w:top w:w="36" w:type="dxa"/>
              <w:left w:w="72" w:type="dxa"/>
              <w:bottom w:w="36" w:type="dxa"/>
              <w:right w:w="72" w:type="dxa"/>
            </w:tcMar>
            <w:vAlign w:val="center"/>
            <w:hideMark/>
          </w:tcPr>
          <w:p w14:paraId="0F20C1F0" w14:textId="7BAA6207" w:rsidR="001E5A5F" w:rsidRPr="00D70320" w:rsidRDefault="001E5A5F" w:rsidP="006E22C7">
            <w:pPr>
              <w:spacing w:before="0" w:after="0"/>
              <w:jc w:val="center"/>
              <w:textAlignment w:val="baseline"/>
              <w:rPr>
                <w:rFonts w:ascii="Arial" w:hAnsi="Arial" w:cs="Arial"/>
                <w:lang w:val="en-NZ" w:eastAsia="en-NZ"/>
              </w:rPr>
            </w:pPr>
            <w:r w:rsidRPr="00D70320">
              <w:rPr>
                <w:rFonts w:ascii="Arial Narrow" w:hAnsi="Arial Narrow" w:cs="Arial"/>
                <w:color w:val="000000"/>
                <w:kern w:val="24"/>
                <w:lang w:val="en-NZ" w:eastAsia="en-NZ"/>
              </w:rPr>
              <w:t xml:space="preserve">The mean SF-36 Mental component summary at 6 months was </w:t>
            </w:r>
            <w:r w:rsidRPr="00D70320">
              <w:rPr>
                <w:rFonts w:ascii="Arial Narrow" w:hAnsi="Arial Narrow" w:cs="Arial"/>
                <w:b/>
                <w:bCs/>
                <w:color w:val="000000"/>
                <w:kern w:val="24"/>
                <w:lang w:val="en-NZ" w:eastAsia="en-NZ"/>
              </w:rPr>
              <w:t>43.4</w:t>
            </w:r>
          </w:p>
        </w:tc>
        <w:tc>
          <w:tcPr>
            <w:tcW w:w="1524" w:type="dxa"/>
            <w:tcBorders>
              <w:top w:val="single" w:sz="6" w:space="0" w:color="000000"/>
              <w:left w:val="nil"/>
              <w:bottom w:val="single" w:sz="6" w:space="0" w:color="000000"/>
              <w:right w:val="nil"/>
            </w:tcBorders>
            <w:shd w:val="clear" w:color="auto" w:fill="EBEBEB"/>
            <w:tcMar>
              <w:top w:w="36" w:type="dxa"/>
              <w:left w:w="72" w:type="dxa"/>
              <w:bottom w:w="36" w:type="dxa"/>
              <w:right w:w="72" w:type="dxa"/>
            </w:tcMar>
            <w:vAlign w:val="center"/>
            <w:hideMark/>
          </w:tcPr>
          <w:p w14:paraId="76BCD526" w14:textId="527F94E9" w:rsidR="001E5A5F" w:rsidRPr="00D70320" w:rsidRDefault="001E5A5F" w:rsidP="004C07A8">
            <w:pPr>
              <w:spacing w:before="0" w:after="0"/>
              <w:jc w:val="center"/>
              <w:textAlignment w:val="baseline"/>
              <w:rPr>
                <w:rFonts w:ascii="Arial" w:hAnsi="Arial" w:cs="Arial"/>
                <w:lang w:val="en-NZ" w:eastAsia="en-NZ"/>
              </w:rPr>
            </w:pPr>
            <w:r w:rsidRPr="00D70320">
              <w:rPr>
                <w:rFonts w:ascii="Arial Narrow" w:hAnsi="Arial Narrow" w:cs="Arial"/>
                <w:color w:val="000000"/>
                <w:kern w:val="24"/>
                <w:lang w:val="en-NZ" w:eastAsia="en-NZ"/>
              </w:rPr>
              <w:t xml:space="preserve">MD </w:t>
            </w:r>
            <w:r w:rsidRPr="00D70320">
              <w:rPr>
                <w:rFonts w:ascii="Arial Narrow" w:hAnsi="Arial Narrow" w:cs="Arial"/>
                <w:b/>
                <w:bCs/>
                <w:color w:val="000000"/>
                <w:kern w:val="24"/>
                <w:lang w:val="en-NZ" w:eastAsia="en-NZ"/>
              </w:rPr>
              <w:t>5.8 higher</w:t>
            </w:r>
            <w:r w:rsidRPr="00D70320">
              <w:rPr>
                <w:rFonts w:ascii="Arial" w:hAnsi="Arial" w:cs="Arial"/>
                <w:color w:val="000000"/>
                <w:kern w:val="24"/>
                <w:lang w:val="en-NZ" w:eastAsia="en-NZ"/>
              </w:rPr>
              <w:t> </w:t>
            </w:r>
            <w:r w:rsidRPr="00D70320">
              <w:rPr>
                <w:rFonts w:ascii="Arial" w:hAnsi="Arial" w:cs="Arial"/>
                <w:color w:val="000000"/>
                <w:kern w:val="24"/>
                <w:lang w:val="en-NZ" w:eastAsia="en-NZ"/>
              </w:rPr>
              <w:br/>
            </w:r>
            <w:r w:rsidRPr="00D70320">
              <w:rPr>
                <w:rFonts w:ascii="Arial Narrow" w:hAnsi="Arial Narrow" w:cs="Arial"/>
                <w:color w:val="000000"/>
                <w:kern w:val="24"/>
                <w:lang w:val="en-NZ" w:eastAsia="en-NZ"/>
              </w:rPr>
              <w:t>(1.7 higher to 9.9 higher)</w:t>
            </w:r>
          </w:p>
        </w:tc>
        <w:tc>
          <w:tcPr>
            <w:tcW w:w="1527"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4549FF27" w14:textId="03809DEB" w:rsidR="001E5A5F" w:rsidRPr="00D70320" w:rsidRDefault="001E5A5F" w:rsidP="00566F55">
            <w:pPr>
              <w:spacing w:before="0" w:after="0"/>
              <w:jc w:val="center"/>
              <w:textAlignment w:val="baseline"/>
              <w:rPr>
                <w:rFonts w:ascii="Arial" w:hAnsi="Arial" w:cs="Arial"/>
                <w:lang w:val="en-NZ" w:eastAsia="en-NZ"/>
              </w:rPr>
            </w:pPr>
            <w:r w:rsidRPr="00D70320">
              <w:rPr>
                <w:rFonts w:ascii="Arial Narrow" w:hAnsi="Arial Narrow" w:cs="Arial"/>
                <w:color w:val="000000"/>
                <w:kern w:val="24"/>
                <w:lang w:eastAsia="en-NZ"/>
              </w:rPr>
              <w:t>-</w:t>
            </w:r>
          </w:p>
        </w:tc>
        <w:tc>
          <w:tcPr>
            <w:tcW w:w="1534"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42CE47D2" w14:textId="7836E9BA" w:rsidR="001E5A5F" w:rsidRPr="00D70320" w:rsidRDefault="001E5A5F">
            <w:pPr>
              <w:spacing w:before="0" w:after="0"/>
              <w:jc w:val="center"/>
              <w:textAlignment w:val="baseline"/>
              <w:rPr>
                <w:rFonts w:ascii="Arial" w:hAnsi="Arial" w:cs="Arial"/>
                <w:lang w:val="en-NZ" w:eastAsia="en-NZ"/>
              </w:rPr>
            </w:pPr>
            <w:r w:rsidRPr="00D70320">
              <w:rPr>
                <w:rFonts w:ascii="Arial Narrow" w:hAnsi="Arial Narrow" w:cs="Arial"/>
                <w:color w:val="000000"/>
                <w:kern w:val="24"/>
                <w:lang w:eastAsia="en-NZ"/>
              </w:rPr>
              <w:t>154</w:t>
            </w:r>
            <w:r w:rsidRPr="00D70320">
              <w:rPr>
                <w:rFonts w:ascii="Arial" w:hAnsi="Arial" w:cs="Arial"/>
                <w:color w:val="000000"/>
                <w:kern w:val="24"/>
                <w:lang w:eastAsia="en-NZ"/>
              </w:rPr>
              <w:t> </w:t>
            </w:r>
            <w:r w:rsidRPr="00D70320">
              <w:rPr>
                <w:rFonts w:ascii="Arial" w:hAnsi="Arial" w:cs="Arial"/>
                <w:color w:val="000000"/>
                <w:kern w:val="24"/>
                <w:lang w:eastAsia="en-NZ"/>
              </w:rPr>
              <w:br/>
            </w:r>
            <w:r w:rsidRPr="00D70320">
              <w:rPr>
                <w:rFonts w:ascii="Arial Narrow" w:hAnsi="Arial Narrow" w:cs="Arial"/>
                <w:color w:val="000000"/>
                <w:kern w:val="24"/>
                <w:lang w:eastAsia="en-NZ"/>
              </w:rPr>
              <w:t>(1 observational study)</w:t>
            </w:r>
          </w:p>
        </w:tc>
        <w:tc>
          <w:tcPr>
            <w:tcW w:w="1115"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7EA61628" w14:textId="6DB18EF6" w:rsidR="001E5A5F" w:rsidRPr="00D70320" w:rsidRDefault="001E5A5F">
            <w:pPr>
              <w:spacing w:before="0" w:after="0"/>
              <w:jc w:val="center"/>
              <w:textAlignment w:val="baseline"/>
              <w:rPr>
                <w:rFonts w:ascii="Arial" w:hAnsi="Arial" w:cs="Arial"/>
                <w:lang w:val="en-NZ" w:eastAsia="en-NZ"/>
              </w:rPr>
            </w:pPr>
            <w:r w:rsidRPr="00D70320">
              <w:rPr>
                <w:rFonts w:ascii="Cambria Math" w:hAnsi="Cambria Math" w:cs="Arial"/>
                <w:color w:val="000000"/>
                <w:kern w:val="24"/>
                <w:lang w:eastAsia="en-NZ"/>
              </w:rPr>
              <w:t>⨁⨁◯◯</w:t>
            </w:r>
            <w:r w:rsidRPr="00D70320">
              <w:rPr>
                <w:rFonts w:ascii="Arial" w:hAnsi="Arial" w:cs="Arial"/>
                <w:color w:val="000000"/>
                <w:kern w:val="24"/>
                <w:lang w:eastAsia="en-NZ"/>
              </w:rPr>
              <w:t> </w:t>
            </w:r>
            <w:r w:rsidRPr="00D70320">
              <w:rPr>
                <w:rFonts w:ascii="Arial" w:hAnsi="Arial" w:cs="Arial"/>
                <w:color w:val="000000"/>
                <w:kern w:val="24"/>
                <w:lang w:eastAsia="en-NZ"/>
              </w:rPr>
              <w:br/>
            </w:r>
            <w:r w:rsidRPr="00D70320">
              <w:rPr>
                <w:rFonts w:ascii="Arial Narrow" w:hAnsi="Arial Narrow" w:cs="Arial"/>
                <w:color w:val="000000"/>
                <w:kern w:val="24"/>
                <w:lang w:eastAsia="en-NZ"/>
              </w:rPr>
              <w:t>Low</w:t>
            </w:r>
          </w:p>
        </w:tc>
        <w:tc>
          <w:tcPr>
            <w:tcW w:w="4916" w:type="dxa"/>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44ACF8B0" w14:textId="49DCF4F7" w:rsidR="001E5A5F" w:rsidRPr="00D70320" w:rsidRDefault="001E5A5F" w:rsidP="00637A3D">
            <w:pPr>
              <w:spacing w:before="0" w:after="0"/>
              <w:textAlignment w:val="baseline"/>
              <w:rPr>
                <w:rFonts w:ascii="Arial" w:hAnsi="Arial" w:cs="Arial"/>
                <w:lang w:val="en-NZ" w:eastAsia="en-NZ"/>
              </w:rPr>
            </w:pPr>
            <w:r w:rsidRPr="00D70320">
              <w:rPr>
                <w:rFonts w:ascii="Arial Narrow" w:hAnsi="Arial Narrow" w:cs="Arial"/>
                <w:color w:val="000000"/>
                <w:kern w:val="24"/>
                <w:lang w:val="en-NZ" w:eastAsia="en-NZ"/>
              </w:rPr>
              <w:t>LPM may increase</w:t>
            </w:r>
            <w:r w:rsidR="00C65196">
              <w:rPr>
                <w:rFonts w:ascii="Arial Narrow" w:hAnsi="Arial Narrow" w:cs="Arial"/>
                <w:color w:val="000000"/>
                <w:kern w:val="24"/>
                <w:lang w:val="en-NZ" w:eastAsia="en-NZ"/>
              </w:rPr>
              <w:t xml:space="preserve"> the</w:t>
            </w:r>
            <w:r w:rsidRPr="00D70320">
              <w:rPr>
                <w:rFonts w:ascii="Arial Narrow" w:hAnsi="Arial Narrow" w:cs="Arial"/>
                <w:color w:val="000000"/>
                <w:kern w:val="24"/>
                <w:lang w:val="en-NZ" w:eastAsia="en-NZ"/>
              </w:rPr>
              <w:t xml:space="preserve"> SF-36 </w:t>
            </w:r>
            <w:r w:rsidR="00C65196">
              <w:rPr>
                <w:rFonts w:ascii="Arial Narrow" w:hAnsi="Arial Narrow" w:cs="Arial"/>
                <w:color w:val="000000"/>
                <w:kern w:val="24"/>
                <w:lang w:val="en-NZ" w:eastAsia="en-NZ"/>
              </w:rPr>
              <w:t>score</w:t>
            </w:r>
            <w:r w:rsidR="00C65196" w:rsidRPr="00D70320">
              <w:rPr>
                <w:rFonts w:ascii="Arial Narrow" w:hAnsi="Arial Narrow" w:cs="Arial"/>
                <w:color w:val="000000"/>
                <w:kern w:val="24"/>
                <w:lang w:val="en-NZ" w:eastAsia="en-NZ"/>
              </w:rPr>
              <w:t xml:space="preserve"> at 6 months </w:t>
            </w:r>
            <w:r w:rsidR="00C65196">
              <w:rPr>
                <w:rFonts w:ascii="Arial Narrow" w:hAnsi="Arial Narrow" w:cs="Arial"/>
                <w:color w:val="000000"/>
                <w:kern w:val="24"/>
                <w:lang w:val="en-NZ" w:eastAsia="en-NZ"/>
              </w:rPr>
              <w:t xml:space="preserve">- </w:t>
            </w:r>
            <w:r w:rsidRPr="00D70320">
              <w:rPr>
                <w:rFonts w:ascii="Arial Narrow" w:hAnsi="Arial Narrow" w:cs="Arial"/>
                <w:color w:val="000000"/>
                <w:kern w:val="24"/>
                <w:lang w:val="en-NZ" w:eastAsia="en-NZ"/>
              </w:rPr>
              <w:t>Mental component summary.</w:t>
            </w:r>
          </w:p>
        </w:tc>
      </w:tr>
      <w:tr w:rsidR="001E5A5F" w:rsidRPr="00D70320" w14:paraId="2E228A37" w14:textId="77777777" w:rsidTr="00D9153E">
        <w:trPr>
          <w:trHeight w:val="436"/>
        </w:trPr>
        <w:tc>
          <w:tcPr>
            <w:tcW w:w="14459" w:type="dxa"/>
            <w:gridSpan w:val="7"/>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71AA5241" w14:textId="75BA114D" w:rsidR="001E5A5F" w:rsidRPr="00D70320" w:rsidRDefault="001E5A5F" w:rsidP="00AD6BB0">
            <w:pPr>
              <w:spacing w:before="0" w:after="0"/>
              <w:textAlignment w:val="baseline"/>
              <w:rPr>
                <w:rFonts w:ascii="Arial" w:hAnsi="Arial" w:cs="Arial"/>
                <w:lang w:val="en-NZ" w:eastAsia="en-NZ"/>
              </w:rPr>
            </w:pPr>
            <w:r w:rsidRPr="00D70320">
              <w:rPr>
                <w:rFonts w:ascii="Arial Narrow" w:hAnsi="Arial Narrow" w:cs="Arial"/>
                <w:color w:val="000000"/>
                <w:kern w:val="24"/>
                <w:lang w:val="en-NZ" w:eastAsia="en-NZ"/>
              </w:rPr>
              <w:t>*</w:t>
            </w:r>
            <w:r w:rsidRPr="00D70320">
              <w:rPr>
                <w:rFonts w:ascii="Arial Narrow" w:hAnsi="Arial Narrow" w:cs="Arial"/>
                <w:b/>
                <w:bCs/>
                <w:color w:val="000000"/>
                <w:kern w:val="24"/>
                <w:lang w:val="en-NZ" w:eastAsia="en-NZ"/>
              </w:rPr>
              <w:t>The risk in the intervention group</w:t>
            </w:r>
            <w:r w:rsidRPr="00D70320">
              <w:rPr>
                <w:rFonts w:ascii="Arial Narrow" w:hAnsi="Arial Narrow" w:cs="Arial"/>
                <w:color w:val="000000"/>
                <w:kern w:val="24"/>
                <w:lang w:val="en-NZ" w:eastAsia="en-NZ"/>
              </w:rPr>
              <w:t xml:space="preserve"> (and its 95% confidence interval) is based on the assumed risk in the comparison group and the </w:t>
            </w:r>
            <w:r w:rsidRPr="00D70320">
              <w:rPr>
                <w:rFonts w:ascii="Arial Narrow" w:hAnsi="Arial Narrow" w:cs="Arial"/>
                <w:b/>
                <w:bCs/>
                <w:color w:val="000000"/>
                <w:kern w:val="24"/>
                <w:lang w:val="en-NZ" w:eastAsia="en-NZ"/>
              </w:rPr>
              <w:t>relative effect</w:t>
            </w:r>
            <w:r w:rsidRPr="00D70320">
              <w:rPr>
                <w:rFonts w:ascii="Arial Narrow" w:hAnsi="Arial Narrow" w:cs="Arial"/>
                <w:color w:val="000000"/>
                <w:kern w:val="24"/>
                <w:lang w:val="en-NZ" w:eastAsia="en-NZ"/>
              </w:rPr>
              <w:t xml:space="preserve"> of the intervention (and its 95% CI).</w:t>
            </w:r>
            <w:r w:rsidRPr="00D70320">
              <w:rPr>
                <w:rFonts w:ascii="Arial" w:hAnsi="Arial" w:cs="Arial"/>
                <w:color w:val="000000"/>
                <w:kern w:val="24"/>
                <w:lang w:val="en-NZ" w:eastAsia="en-NZ"/>
              </w:rPr>
              <w:t> </w:t>
            </w:r>
            <w:r w:rsidRPr="00D70320">
              <w:rPr>
                <w:rFonts w:ascii="Arial" w:hAnsi="Arial" w:cs="Arial"/>
                <w:color w:val="000000"/>
                <w:kern w:val="24"/>
                <w:lang w:val="en-NZ" w:eastAsia="en-NZ"/>
              </w:rPr>
              <w:br/>
            </w:r>
            <w:r w:rsidRPr="00D70320">
              <w:rPr>
                <w:rFonts w:ascii="Arial Narrow" w:hAnsi="Arial Narrow" w:cs="Arial"/>
                <w:b/>
                <w:bCs/>
                <w:color w:val="000000"/>
                <w:kern w:val="24"/>
                <w:lang w:val="en-NZ" w:eastAsia="en-NZ"/>
              </w:rPr>
              <w:t>CI</w:t>
            </w:r>
            <w:r w:rsidR="005C3060" w:rsidRPr="00637A3D">
              <w:rPr>
                <w:rFonts w:ascii="Arial Narrow" w:hAnsi="Arial Narrow" w:cs="Arial"/>
                <w:color w:val="000000"/>
                <w:kern w:val="24"/>
                <w:lang w:val="en-NZ" w:eastAsia="en-NZ"/>
              </w:rPr>
              <w:t>,</w:t>
            </w:r>
            <w:r w:rsidR="005C3060" w:rsidRPr="006E22C7">
              <w:rPr>
                <w:rFonts w:ascii="Arial Narrow" w:hAnsi="Arial Narrow" w:cs="Arial"/>
                <w:color w:val="000000"/>
                <w:kern w:val="24"/>
                <w:lang w:val="en-NZ" w:eastAsia="en-NZ"/>
              </w:rPr>
              <w:t xml:space="preserve"> </w:t>
            </w:r>
            <w:r w:rsidRPr="00D70320">
              <w:rPr>
                <w:rFonts w:ascii="Arial Narrow" w:hAnsi="Arial Narrow" w:cs="Arial"/>
                <w:color w:val="000000"/>
                <w:kern w:val="24"/>
                <w:lang w:val="en-NZ" w:eastAsia="en-NZ"/>
              </w:rPr>
              <w:t xml:space="preserve">confidence interval; </w:t>
            </w:r>
            <w:r w:rsidRPr="00D70320">
              <w:rPr>
                <w:rFonts w:ascii="Arial Narrow" w:hAnsi="Arial Narrow" w:cs="Arial"/>
                <w:b/>
                <w:bCs/>
                <w:color w:val="000000"/>
                <w:kern w:val="24"/>
                <w:lang w:val="en-NZ" w:eastAsia="en-NZ"/>
              </w:rPr>
              <w:t>HR</w:t>
            </w:r>
            <w:r w:rsidR="005C3060">
              <w:rPr>
                <w:rFonts w:ascii="Arial Narrow" w:hAnsi="Arial Narrow" w:cs="Arial"/>
                <w:color w:val="000000"/>
                <w:kern w:val="24"/>
                <w:lang w:val="en-NZ" w:eastAsia="en-NZ"/>
              </w:rPr>
              <w:t>,</w:t>
            </w:r>
            <w:r w:rsidR="005C3060" w:rsidRPr="00D70320">
              <w:rPr>
                <w:rFonts w:ascii="Arial Narrow" w:hAnsi="Arial Narrow" w:cs="Arial"/>
                <w:color w:val="000000"/>
                <w:kern w:val="24"/>
                <w:lang w:val="en-NZ" w:eastAsia="en-NZ"/>
              </w:rPr>
              <w:t xml:space="preserve"> </w:t>
            </w:r>
            <w:r w:rsidRPr="00D70320">
              <w:rPr>
                <w:rFonts w:ascii="Arial Narrow" w:hAnsi="Arial Narrow" w:cs="Arial"/>
                <w:color w:val="000000"/>
                <w:kern w:val="24"/>
                <w:lang w:val="en-NZ" w:eastAsia="en-NZ"/>
              </w:rPr>
              <w:t xml:space="preserve">hazard Ratio; </w:t>
            </w:r>
            <w:r w:rsidR="005C3060" w:rsidRPr="00637A3D">
              <w:rPr>
                <w:rFonts w:ascii="Arial Narrow" w:hAnsi="Arial Narrow" w:cs="Arial"/>
                <w:b/>
                <w:bCs/>
                <w:color w:val="000000"/>
                <w:kern w:val="24"/>
                <w:lang w:val="en-NZ" w:eastAsia="en-NZ"/>
              </w:rPr>
              <w:t>LPM</w:t>
            </w:r>
            <w:r w:rsidR="005C3060">
              <w:rPr>
                <w:rFonts w:ascii="Arial Narrow" w:hAnsi="Arial Narrow" w:cs="Arial"/>
                <w:color w:val="000000"/>
                <w:kern w:val="24"/>
                <w:lang w:val="en-NZ" w:eastAsia="en-NZ"/>
              </w:rPr>
              <w:t xml:space="preserve">, leadless pacemaker; </w:t>
            </w:r>
            <w:r w:rsidRPr="00D70320">
              <w:rPr>
                <w:rFonts w:ascii="Arial Narrow" w:hAnsi="Arial Narrow" w:cs="Arial"/>
                <w:b/>
                <w:bCs/>
                <w:color w:val="000000"/>
                <w:kern w:val="24"/>
                <w:lang w:val="en-NZ" w:eastAsia="en-NZ"/>
              </w:rPr>
              <w:t>MD</w:t>
            </w:r>
            <w:r w:rsidR="00924C4E">
              <w:rPr>
                <w:rFonts w:ascii="Arial Narrow" w:hAnsi="Arial Narrow" w:cs="Arial"/>
                <w:color w:val="000000"/>
                <w:kern w:val="24"/>
                <w:lang w:val="en-NZ" w:eastAsia="en-NZ"/>
              </w:rPr>
              <w:t>,</w:t>
            </w:r>
            <w:r w:rsidR="00924C4E" w:rsidRPr="00D70320">
              <w:rPr>
                <w:rFonts w:ascii="Arial Narrow" w:hAnsi="Arial Narrow" w:cs="Arial"/>
                <w:color w:val="000000"/>
                <w:kern w:val="24"/>
                <w:lang w:val="en-NZ" w:eastAsia="en-NZ"/>
              </w:rPr>
              <w:t xml:space="preserve"> </w:t>
            </w:r>
            <w:r w:rsidRPr="00D70320">
              <w:rPr>
                <w:rFonts w:ascii="Arial Narrow" w:hAnsi="Arial Narrow" w:cs="Arial"/>
                <w:color w:val="000000"/>
                <w:kern w:val="24"/>
                <w:lang w:val="en-NZ" w:eastAsia="en-NZ"/>
              </w:rPr>
              <w:t xml:space="preserve">mean difference; </w:t>
            </w:r>
            <w:r w:rsidRPr="00D70320">
              <w:rPr>
                <w:rFonts w:ascii="Arial Narrow" w:hAnsi="Arial Narrow" w:cs="Arial"/>
                <w:b/>
                <w:bCs/>
                <w:color w:val="000000"/>
                <w:kern w:val="24"/>
                <w:lang w:val="en-NZ" w:eastAsia="en-NZ"/>
              </w:rPr>
              <w:t>RR</w:t>
            </w:r>
            <w:r w:rsidR="00924C4E">
              <w:rPr>
                <w:rFonts w:ascii="Arial Narrow" w:hAnsi="Arial Narrow" w:cs="Arial"/>
                <w:color w:val="000000"/>
                <w:kern w:val="24"/>
                <w:lang w:val="en-NZ" w:eastAsia="en-NZ"/>
              </w:rPr>
              <w:t>,</w:t>
            </w:r>
            <w:r w:rsidR="00924C4E" w:rsidRPr="00D70320">
              <w:rPr>
                <w:rFonts w:ascii="Arial Narrow" w:hAnsi="Arial Narrow" w:cs="Arial"/>
                <w:color w:val="000000"/>
                <w:kern w:val="24"/>
                <w:lang w:val="en-NZ" w:eastAsia="en-NZ"/>
              </w:rPr>
              <w:t xml:space="preserve"> </w:t>
            </w:r>
            <w:r w:rsidRPr="00D70320">
              <w:rPr>
                <w:rFonts w:ascii="Arial Narrow" w:hAnsi="Arial Narrow" w:cs="Arial"/>
                <w:color w:val="000000"/>
                <w:kern w:val="24"/>
                <w:lang w:val="en-NZ" w:eastAsia="en-NZ"/>
              </w:rPr>
              <w:t>risk ratio </w:t>
            </w:r>
          </w:p>
        </w:tc>
      </w:tr>
      <w:tr w:rsidR="001E5A5F" w:rsidRPr="00D70320" w14:paraId="3FF59958" w14:textId="77777777" w:rsidTr="00D9153E">
        <w:trPr>
          <w:trHeight w:val="853"/>
        </w:trPr>
        <w:tc>
          <w:tcPr>
            <w:tcW w:w="14459" w:type="dxa"/>
            <w:gridSpan w:val="7"/>
            <w:tcBorders>
              <w:top w:val="single" w:sz="6" w:space="0" w:color="000000"/>
              <w:left w:val="nil"/>
              <w:bottom w:val="single" w:sz="6" w:space="0" w:color="000000"/>
              <w:right w:val="nil"/>
            </w:tcBorders>
            <w:shd w:val="clear" w:color="auto" w:fill="auto"/>
            <w:tcMar>
              <w:top w:w="36" w:type="dxa"/>
              <w:left w:w="72" w:type="dxa"/>
              <w:bottom w:w="36" w:type="dxa"/>
              <w:right w:w="72" w:type="dxa"/>
            </w:tcMar>
            <w:vAlign w:val="center"/>
            <w:hideMark/>
          </w:tcPr>
          <w:p w14:paraId="7E1D2A88" w14:textId="77777777" w:rsidR="001E5A5F" w:rsidRPr="00D70320" w:rsidRDefault="001E5A5F" w:rsidP="00AD6BB0">
            <w:pPr>
              <w:spacing w:before="0" w:after="0"/>
              <w:textAlignment w:val="baseline"/>
              <w:rPr>
                <w:rFonts w:ascii="Arial" w:hAnsi="Arial" w:cs="Arial"/>
                <w:lang w:val="en-NZ" w:eastAsia="en-NZ"/>
              </w:rPr>
            </w:pPr>
            <w:r w:rsidRPr="00D70320">
              <w:rPr>
                <w:rFonts w:ascii="Arial Narrow" w:hAnsi="Arial Narrow" w:cs="Arial"/>
                <w:b/>
                <w:bCs/>
                <w:color w:val="000000"/>
                <w:kern w:val="24"/>
                <w:lang w:val="en-NZ" w:eastAsia="en-NZ"/>
              </w:rPr>
              <w:t>GRADE Working Group grades of evidence</w:t>
            </w:r>
            <w:r w:rsidRPr="00D70320">
              <w:rPr>
                <w:rFonts w:ascii="Arial" w:hAnsi="Arial" w:cs="Arial"/>
                <w:color w:val="000000"/>
                <w:kern w:val="24"/>
                <w:lang w:val="en-NZ" w:eastAsia="en-NZ"/>
              </w:rPr>
              <w:t> </w:t>
            </w:r>
            <w:r w:rsidRPr="00D70320">
              <w:rPr>
                <w:rFonts w:ascii="Arial" w:hAnsi="Arial" w:cs="Arial"/>
                <w:color w:val="000000"/>
                <w:kern w:val="24"/>
                <w:lang w:val="en-NZ" w:eastAsia="en-NZ"/>
              </w:rPr>
              <w:br/>
            </w:r>
            <w:r w:rsidRPr="00D70320">
              <w:rPr>
                <w:rFonts w:ascii="Arial Narrow" w:hAnsi="Arial Narrow" w:cs="Arial"/>
                <w:b/>
                <w:bCs/>
                <w:color w:val="000000"/>
                <w:kern w:val="24"/>
                <w:lang w:val="en-NZ" w:eastAsia="en-NZ"/>
              </w:rPr>
              <w:t>High certainty:</w:t>
            </w:r>
            <w:r w:rsidRPr="00D70320">
              <w:rPr>
                <w:rFonts w:ascii="Arial Narrow" w:hAnsi="Arial Narrow" w:cs="Arial"/>
                <w:color w:val="000000"/>
                <w:kern w:val="24"/>
                <w:lang w:val="en-NZ" w:eastAsia="en-NZ"/>
              </w:rPr>
              <w:t xml:space="preserve"> we are very confident that the true effect lies close to that of the estimate of the effect.</w:t>
            </w:r>
            <w:r w:rsidRPr="00D70320">
              <w:rPr>
                <w:rFonts w:ascii="Arial" w:hAnsi="Arial" w:cs="Arial"/>
                <w:color w:val="000000"/>
                <w:kern w:val="24"/>
                <w:lang w:val="en-NZ" w:eastAsia="en-NZ"/>
              </w:rPr>
              <w:t> </w:t>
            </w:r>
            <w:r w:rsidRPr="00D70320">
              <w:rPr>
                <w:rFonts w:ascii="Arial" w:hAnsi="Arial" w:cs="Arial"/>
                <w:color w:val="000000"/>
                <w:kern w:val="24"/>
                <w:lang w:val="en-NZ" w:eastAsia="en-NZ"/>
              </w:rPr>
              <w:br/>
            </w:r>
            <w:r w:rsidRPr="00D70320">
              <w:rPr>
                <w:rFonts w:ascii="Arial Narrow" w:hAnsi="Arial Narrow" w:cs="Arial"/>
                <w:b/>
                <w:bCs/>
                <w:color w:val="000000"/>
                <w:kern w:val="24"/>
                <w:lang w:val="en-NZ" w:eastAsia="en-NZ"/>
              </w:rPr>
              <w:t>Moderate certainty:</w:t>
            </w:r>
            <w:r w:rsidRPr="00D70320">
              <w:rPr>
                <w:rFonts w:ascii="Arial Narrow" w:hAnsi="Arial Narrow" w:cs="Arial"/>
                <w:color w:val="000000"/>
                <w:kern w:val="24"/>
                <w:lang w:val="en-NZ" w:eastAsia="en-NZ"/>
              </w:rPr>
              <w:t xml:space="preserve"> we are moderately confident in the effect estimate: the true effect is likely to be close to the estimate of the effect, but there is a possibility that it is substantially different.</w:t>
            </w:r>
            <w:r w:rsidRPr="00D70320">
              <w:rPr>
                <w:rFonts w:ascii="Arial" w:hAnsi="Arial" w:cs="Arial"/>
                <w:color w:val="000000"/>
                <w:kern w:val="24"/>
                <w:lang w:val="en-NZ" w:eastAsia="en-NZ"/>
              </w:rPr>
              <w:t> </w:t>
            </w:r>
            <w:r w:rsidRPr="00D70320">
              <w:rPr>
                <w:rFonts w:ascii="Arial" w:hAnsi="Arial" w:cs="Arial"/>
                <w:color w:val="000000"/>
                <w:kern w:val="24"/>
                <w:lang w:val="en-NZ" w:eastAsia="en-NZ"/>
              </w:rPr>
              <w:br/>
            </w:r>
            <w:r w:rsidRPr="00D70320">
              <w:rPr>
                <w:rFonts w:ascii="Arial Narrow" w:hAnsi="Arial Narrow" w:cs="Arial"/>
                <w:b/>
                <w:bCs/>
                <w:color w:val="000000"/>
                <w:kern w:val="24"/>
                <w:lang w:val="en-NZ" w:eastAsia="en-NZ"/>
              </w:rPr>
              <w:t>Low certainty:</w:t>
            </w:r>
            <w:r w:rsidRPr="00D70320">
              <w:rPr>
                <w:rFonts w:ascii="Arial Narrow" w:hAnsi="Arial Narrow" w:cs="Arial"/>
                <w:color w:val="000000"/>
                <w:kern w:val="24"/>
                <w:lang w:val="en-NZ" w:eastAsia="en-NZ"/>
              </w:rPr>
              <w:t xml:space="preserve"> our confidence in the effect estimate is limited: the true effect may be substantially different from the estimate of the effect.</w:t>
            </w:r>
            <w:r w:rsidRPr="00D70320">
              <w:rPr>
                <w:rFonts w:ascii="Arial" w:hAnsi="Arial" w:cs="Arial"/>
                <w:color w:val="000000"/>
                <w:kern w:val="24"/>
                <w:lang w:val="en-NZ" w:eastAsia="en-NZ"/>
              </w:rPr>
              <w:t> </w:t>
            </w:r>
            <w:r w:rsidRPr="00D70320">
              <w:rPr>
                <w:rFonts w:ascii="Arial" w:hAnsi="Arial" w:cs="Arial"/>
                <w:color w:val="000000"/>
                <w:kern w:val="24"/>
                <w:lang w:val="en-NZ" w:eastAsia="en-NZ"/>
              </w:rPr>
              <w:br/>
            </w:r>
            <w:r w:rsidRPr="00D70320">
              <w:rPr>
                <w:rFonts w:ascii="Arial Narrow" w:hAnsi="Arial Narrow" w:cs="Arial"/>
                <w:b/>
                <w:bCs/>
                <w:color w:val="000000"/>
                <w:kern w:val="24"/>
                <w:lang w:val="en-NZ" w:eastAsia="en-NZ"/>
              </w:rPr>
              <w:t>Very low certainty:</w:t>
            </w:r>
            <w:r w:rsidRPr="00D70320">
              <w:rPr>
                <w:rFonts w:ascii="Arial Narrow" w:hAnsi="Arial Narrow" w:cs="Arial"/>
                <w:color w:val="000000"/>
                <w:kern w:val="24"/>
                <w:lang w:val="en-NZ" w:eastAsia="en-NZ"/>
              </w:rPr>
              <w:t xml:space="preserve"> we have very little confidence in the effect estimate: the true effect is likely to be substantially different from the estimate of effect. </w:t>
            </w:r>
          </w:p>
        </w:tc>
      </w:tr>
    </w:tbl>
    <w:p w14:paraId="0CBEEC78" w14:textId="77777777" w:rsidR="005B2218" w:rsidRDefault="005B2218" w:rsidP="005B2218">
      <w:pPr>
        <w:pStyle w:val="Tablenotes"/>
        <w:rPr>
          <w:color w:val="000000"/>
          <w:sz w:val="16"/>
          <w:szCs w:val="16"/>
          <w:lang w:val="en"/>
        </w:rPr>
      </w:pPr>
      <w:r>
        <w:rPr>
          <w:color w:val="000000"/>
          <w:sz w:val="16"/>
          <w:szCs w:val="16"/>
          <w:lang w:val="en"/>
        </w:rPr>
        <w:t xml:space="preserve">a. Possible selection bias, some differences in baseline characteristics which was not adjusted for in </w:t>
      </w:r>
      <w:proofErr w:type="gramStart"/>
      <w:r>
        <w:rPr>
          <w:color w:val="000000"/>
          <w:sz w:val="16"/>
          <w:szCs w:val="16"/>
          <w:lang w:val="en"/>
        </w:rPr>
        <w:t>the majority of</w:t>
      </w:r>
      <w:proofErr w:type="gramEnd"/>
      <w:r>
        <w:rPr>
          <w:color w:val="000000"/>
          <w:sz w:val="16"/>
          <w:szCs w:val="16"/>
          <w:lang w:val="en"/>
        </w:rPr>
        <w:t xml:space="preserve"> the studies.</w:t>
      </w:r>
    </w:p>
    <w:p w14:paraId="13825E09" w14:textId="77777777" w:rsidR="005B2218" w:rsidRDefault="005B2218" w:rsidP="005B2218">
      <w:pPr>
        <w:pStyle w:val="Tablenotes"/>
      </w:pPr>
      <w:r>
        <w:rPr>
          <w:color w:val="000000"/>
          <w:sz w:val="16"/>
          <w:szCs w:val="16"/>
          <w:lang w:val="en"/>
        </w:rPr>
        <w:t>b. Some heterogeneity in the results.</w:t>
      </w:r>
    </w:p>
    <w:p w14:paraId="6A3AEF3E" w14:textId="77777777" w:rsidR="005B2218" w:rsidRDefault="005B2218" w:rsidP="001E5A5F">
      <w:pPr>
        <w:pStyle w:val="Instructionaltext"/>
      </w:pPr>
    </w:p>
    <w:p w14:paraId="4C089B36" w14:textId="6E23B09A" w:rsidR="005B2218" w:rsidRDefault="005B2218" w:rsidP="001E5A5F">
      <w:pPr>
        <w:pStyle w:val="Instructionaltext"/>
        <w:sectPr w:rsidR="005B2218" w:rsidSect="00AD6BB0">
          <w:pgSz w:w="16838" w:h="11906" w:orient="landscape"/>
          <w:pgMar w:top="1440" w:right="1440" w:bottom="1440" w:left="1440" w:header="708" w:footer="708" w:gutter="0"/>
          <w:cols w:space="708"/>
          <w:docGrid w:linePitch="360"/>
        </w:sectPr>
      </w:pPr>
    </w:p>
    <w:p w14:paraId="401535A6" w14:textId="77777777" w:rsidR="001E5A5F" w:rsidRDefault="001E5A5F" w:rsidP="00645477">
      <w:pPr>
        <w:pStyle w:val="Heading3nonumbers"/>
        <w:rPr>
          <w:b/>
          <w:color w:val="auto"/>
        </w:rPr>
      </w:pPr>
      <w:r w:rsidRPr="006839AC">
        <w:lastRenderedPageBreak/>
        <w:t>Key limitations of the effectiveness data</w:t>
      </w:r>
    </w:p>
    <w:p w14:paraId="08B803EA" w14:textId="77777777" w:rsidR="001E5A5F" w:rsidRPr="00962AE6" w:rsidRDefault="001E5A5F" w:rsidP="00645477">
      <w:pPr>
        <w:pStyle w:val="Heading4"/>
        <w:rPr>
          <w:b/>
          <w:i w:val="0"/>
          <w:iCs w:val="0"/>
          <w:lang w:val="en-US"/>
        </w:rPr>
      </w:pPr>
      <w:r w:rsidRPr="00962AE6">
        <w:rPr>
          <w:i w:val="0"/>
          <w:iCs w:val="0"/>
          <w:lang w:val="en-US"/>
        </w:rPr>
        <w:t>Missing outcome data</w:t>
      </w:r>
    </w:p>
    <w:p w14:paraId="5F90B6AD" w14:textId="4BB50D2C" w:rsidR="001E5A5F" w:rsidRDefault="00057A33" w:rsidP="00645477">
      <w:pPr>
        <w:rPr>
          <w:lang w:val="en-NZ"/>
        </w:rPr>
      </w:pPr>
      <w:r>
        <w:rPr>
          <w:lang w:val="en-NZ"/>
        </w:rPr>
        <w:t>No data was provided</w:t>
      </w:r>
      <w:r w:rsidR="001E5A5F" w:rsidRPr="009848D6">
        <w:rPr>
          <w:lang w:val="en-NZ"/>
        </w:rPr>
        <w:t xml:space="preserve"> in the application relating to battery longevity</w:t>
      </w:r>
      <w:r w:rsidR="00D74041">
        <w:rPr>
          <w:lang w:val="en-NZ"/>
        </w:rPr>
        <w:t>, even though t</w:t>
      </w:r>
      <w:r w:rsidR="001E5A5F" w:rsidRPr="009848D6">
        <w:rPr>
          <w:lang w:val="en-NZ"/>
        </w:rPr>
        <w:t xml:space="preserve">here are case series studies reporting battery life. In the absence of data, it seems reasonable to assume that </w:t>
      </w:r>
      <w:r w:rsidR="0025404F">
        <w:rPr>
          <w:lang w:val="en-NZ"/>
        </w:rPr>
        <w:t xml:space="preserve">the </w:t>
      </w:r>
      <w:r w:rsidR="001E5A5F" w:rsidRPr="009848D6">
        <w:rPr>
          <w:lang w:val="en-NZ"/>
        </w:rPr>
        <w:t xml:space="preserve">high pacing thresholds </w:t>
      </w:r>
      <w:r w:rsidR="001265A7">
        <w:rPr>
          <w:lang w:val="en-NZ"/>
        </w:rPr>
        <w:t xml:space="preserve">of the Micra VR TPS </w:t>
      </w:r>
      <w:r w:rsidR="001E5A5F" w:rsidRPr="009848D6">
        <w:rPr>
          <w:lang w:val="en-NZ"/>
        </w:rPr>
        <w:t>will affect battery longevity</w:t>
      </w:r>
      <w:r w:rsidR="001265A7">
        <w:rPr>
          <w:lang w:val="en-NZ"/>
        </w:rPr>
        <w:t>.</w:t>
      </w:r>
    </w:p>
    <w:p w14:paraId="67CB29FD" w14:textId="7BC723DA" w:rsidR="001E5A5F" w:rsidRDefault="001E5A5F" w:rsidP="00645477">
      <w:r>
        <w:rPr>
          <w:lang w:val="en-NZ"/>
        </w:rPr>
        <w:t>The lack of data regarding s</w:t>
      </w:r>
      <w:r w:rsidRPr="00292117">
        <w:rPr>
          <w:lang w:val="en-NZ"/>
        </w:rPr>
        <w:t xml:space="preserve">trategies to replace </w:t>
      </w:r>
      <w:r w:rsidR="007A58B7">
        <w:rPr>
          <w:lang w:val="en-NZ"/>
        </w:rPr>
        <w:t xml:space="preserve">the </w:t>
      </w:r>
      <w:r w:rsidR="00763AF1">
        <w:rPr>
          <w:lang w:val="en-NZ"/>
        </w:rPr>
        <w:t>Micra VR TPS</w:t>
      </w:r>
      <w:r w:rsidRPr="00292117">
        <w:rPr>
          <w:lang w:val="en-NZ"/>
        </w:rPr>
        <w:t xml:space="preserve"> </w:t>
      </w:r>
      <w:r w:rsidR="007A58B7">
        <w:rPr>
          <w:lang w:val="en-NZ"/>
        </w:rPr>
        <w:t xml:space="preserve">once it reaches the </w:t>
      </w:r>
      <w:r w:rsidRPr="00292117">
        <w:rPr>
          <w:lang w:val="en-NZ"/>
        </w:rPr>
        <w:t xml:space="preserve">end of </w:t>
      </w:r>
      <w:r w:rsidR="00874185">
        <w:rPr>
          <w:lang w:val="en-NZ"/>
        </w:rPr>
        <w:t xml:space="preserve">its </w:t>
      </w:r>
      <w:r w:rsidRPr="00292117">
        <w:rPr>
          <w:lang w:val="en-NZ"/>
        </w:rPr>
        <w:t xml:space="preserve">service </w:t>
      </w:r>
      <w:r w:rsidR="00874185">
        <w:rPr>
          <w:lang w:val="en-NZ"/>
        </w:rPr>
        <w:t xml:space="preserve">life </w:t>
      </w:r>
      <w:r>
        <w:rPr>
          <w:lang w:val="en-NZ"/>
        </w:rPr>
        <w:t>is also</w:t>
      </w:r>
      <w:r w:rsidRPr="00292117">
        <w:rPr>
          <w:lang w:val="en-NZ"/>
        </w:rPr>
        <w:t xml:space="preserve"> concerning. </w:t>
      </w:r>
      <w:r w:rsidR="00057A33">
        <w:rPr>
          <w:lang w:val="en-NZ"/>
        </w:rPr>
        <w:t>No data was provided</w:t>
      </w:r>
      <w:r>
        <w:rPr>
          <w:lang w:val="en-NZ"/>
        </w:rPr>
        <w:t xml:space="preserve"> in the application </w:t>
      </w:r>
      <w:r w:rsidR="00874185">
        <w:rPr>
          <w:lang w:val="en-NZ"/>
        </w:rPr>
        <w:t>on</w:t>
      </w:r>
      <w:r>
        <w:rPr>
          <w:lang w:val="en-NZ"/>
        </w:rPr>
        <w:t xml:space="preserve"> retrieval of the device. </w:t>
      </w:r>
      <w:r>
        <w:t xml:space="preserve">The Micra </w:t>
      </w:r>
      <w:r w:rsidR="00763AF1">
        <w:t>VR TPS</w:t>
      </w:r>
      <w:r>
        <w:t xml:space="preserve"> </w:t>
      </w:r>
      <w:r w:rsidR="009F3B56">
        <w:t>is</w:t>
      </w:r>
      <w:r>
        <w:t xml:space="preserve"> designed </w:t>
      </w:r>
      <w:r w:rsidR="009F3B56">
        <w:t>to be left in situ</w:t>
      </w:r>
      <w:r>
        <w:t xml:space="preserve"> and to be encapsulated over time. The potential inability to retrieve an implanted device, or </w:t>
      </w:r>
      <w:r w:rsidR="006063AD">
        <w:t xml:space="preserve">the </w:t>
      </w:r>
      <w:r>
        <w:t xml:space="preserve">damage </w:t>
      </w:r>
      <w:r w:rsidR="006063AD">
        <w:t xml:space="preserve">that may be </w:t>
      </w:r>
      <w:r>
        <w:t xml:space="preserve">caused by </w:t>
      </w:r>
      <w:r w:rsidR="009F3B56">
        <w:t>retrieving it</w:t>
      </w:r>
      <w:r w:rsidR="006063AD">
        <w:t>,</w:t>
      </w:r>
      <w:r w:rsidR="009F3B56">
        <w:t xml:space="preserve"> </w:t>
      </w:r>
      <w:r>
        <w:t xml:space="preserve">may limit the use of the device in selected patients. </w:t>
      </w:r>
      <w:r>
        <w:rPr>
          <w:lang w:val="en-NZ"/>
        </w:rPr>
        <w:t xml:space="preserve">The process for device retrieval or reimplantation with a second device is unclear, particularly regarding the number of </w:t>
      </w:r>
      <w:r w:rsidR="002479D6">
        <w:rPr>
          <w:lang w:val="en-NZ"/>
        </w:rPr>
        <w:t>Micra VR TPS</w:t>
      </w:r>
      <w:r>
        <w:rPr>
          <w:lang w:val="en-NZ"/>
        </w:rPr>
        <w:t xml:space="preserve"> </w:t>
      </w:r>
      <w:r w:rsidR="00E73813">
        <w:rPr>
          <w:lang w:val="en-NZ"/>
        </w:rPr>
        <w:t xml:space="preserve">devices </w:t>
      </w:r>
      <w:r>
        <w:rPr>
          <w:lang w:val="en-NZ"/>
        </w:rPr>
        <w:t xml:space="preserve">that can be retained in the heart. </w:t>
      </w:r>
      <w:r>
        <w:t xml:space="preserve">It is assumed that electrical interaction between the functioning and non-functioning pacemakers is unlikely, </w:t>
      </w:r>
      <w:r w:rsidR="00E73813">
        <w:t xml:space="preserve">but </w:t>
      </w:r>
      <w:r>
        <w:t xml:space="preserve">no </w:t>
      </w:r>
      <w:r w:rsidR="00305CC5">
        <w:t>long-term</w:t>
      </w:r>
      <w:r>
        <w:t xml:space="preserve"> data </w:t>
      </w:r>
      <w:r w:rsidR="00057A33">
        <w:t>was provided</w:t>
      </w:r>
      <w:r>
        <w:t xml:space="preserve"> to confirm this.</w:t>
      </w:r>
    </w:p>
    <w:p w14:paraId="1B03A084" w14:textId="77777777" w:rsidR="001E5A5F" w:rsidRPr="00CC539B" w:rsidRDefault="001E5A5F" w:rsidP="00645477">
      <w:pPr>
        <w:pStyle w:val="Heading3nonumbers"/>
        <w:rPr>
          <w:b/>
          <w:color w:val="auto"/>
        </w:rPr>
      </w:pPr>
      <w:r>
        <w:t>Limitations of the effectiveness evidence</w:t>
      </w:r>
    </w:p>
    <w:p w14:paraId="7531A790" w14:textId="61E15688" w:rsidR="001E5A5F" w:rsidRPr="00D067C1" w:rsidRDefault="001E5A5F" w:rsidP="00645477">
      <w:pPr>
        <w:rPr>
          <w:lang w:val="en-NZ"/>
        </w:rPr>
      </w:pPr>
      <w:r>
        <w:t>The applicant claim</w:t>
      </w:r>
      <w:r w:rsidR="00E73813">
        <w:t>s</w:t>
      </w:r>
      <w:r w:rsidRPr="005F25CC">
        <w:t xml:space="preserve"> </w:t>
      </w:r>
      <w:r w:rsidRPr="00D067C1">
        <w:t xml:space="preserve">use of </w:t>
      </w:r>
      <w:r w:rsidR="00E73813">
        <w:t xml:space="preserve">the </w:t>
      </w:r>
      <w:r w:rsidR="00F70F87">
        <w:rPr>
          <w:lang w:val="en-NZ"/>
        </w:rPr>
        <w:t>Micra VR TPS</w:t>
      </w:r>
      <w:r w:rsidRPr="00D067C1">
        <w:t xml:space="preserve"> results in noninferior effectiveness</w:t>
      </w:r>
      <w:r>
        <w:t xml:space="preserve"> and</w:t>
      </w:r>
      <w:r w:rsidRPr="00D067C1">
        <w:t xml:space="preserve"> superior safety</w:t>
      </w:r>
      <w:r w:rsidR="00E73813">
        <w:t>, compared with the TVPM</w:t>
      </w:r>
      <w:r w:rsidRPr="005F25CC">
        <w:t>.</w:t>
      </w:r>
      <w:r>
        <w:t xml:space="preserve"> Focussing solely on the methodology of the review, t</w:t>
      </w:r>
      <w:r w:rsidRPr="00D067C1">
        <w:t xml:space="preserve">he clinical claim </w:t>
      </w:r>
      <w:r w:rsidR="00CE1F5D">
        <w:t>may be</w:t>
      </w:r>
      <w:r w:rsidR="00CE1F5D" w:rsidRPr="00D067C1">
        <w:t xml:space="preserve"> </w:t>
      </w:r>
      <w:r w:rsidRPr="00D067C1">
        <w:t xml:space="preserve">overstated given the uncertainty in the evidence reported in </w:t>
      </w:r>
      <w:r w:rsidRPr="005F25CC">
        <w:t>the summary of evidence table</w:t>
      </w:r>
      <w:r>
        <w:t>s</w:t>
      </w:r>
      <w:r w:rsidR="00D54BE1">
        <w:t>,</w:t>
      </w:r>
      <w:r w:rsidRPr="005F25CC">
        <w:t xml:space="preserve"> </w:t>
      </w:r>
      <w:r>
        <w:t xml:space="preserve">which </w:t>
      </w:r>
      <w:r w:rsidRPr="005F25CC">
        <w:t>describ</w:t>
      </w:r>
      <w:r>
        <w:t>e</w:t>
      </w:r>
      <w:r w:rsidR="00D54BE1">
        <w:t xml:space="preserve"> the </w:t>
      </w:r>
      <w:r w:rsidRPr="005F25CC">
        <w:t>certainty as low or very low for all outcomes</w:t>
      </w:r>
      <w:r w:rsidRPr="00D067C1">
        <w:t xml:space="preserve">. </w:t>
      </w:r>
      <w:r w:rsidRPr="005F25CC">
        <w:t xml:space="preserve">There is insufficient evidence available to conclusively say that </w:t>
      </w:r>
      <w:r w:rsidR="00F749D7">
        <w:t xml:space="preserve">the </w:t>
      </w:r>
      <w:r w:rsidR="00FB329C">
        <w:rPr>
          <w:lang w:val="en-NZ"/>
        </w:rPr>
        <w:t>Micra VR TPS</w:t>
      </w:r>
      <w:r w:rsidRPr="005F25CC">
        <w:t xml:space="preserve"> is noninferior in terms of efficacy or superior in terms of safety.</w:t>
      </w:r>
    </w:p>
    <w:p w14:paraId="0CF647AF" w14:textId="12AB7BCA" w:rsidR="001E5A5F" w:rsidRDefault="001646CD" w:rsidP="00645477">
      <w:r>
        <w:t>However,</w:t>
      </w:r>
      <w:r w:rsidR="001E5A5F">
        <w:t xml:space="preserve"> The </w:t>
      </w:r>
      <w:r w:rsidR="001E5A5F">
        <w:rPr>
          <w:lang w:val="en-NZ"/>
        </w:rPr>
        <w:t xml:space="preserve">Micra </w:t>
      </w:r>
      <w:r w:rsidR="00FB329C">
        <w:rPr>
          <w:lang w:val="en-NZ"/>
        </w:rPr>
        <w:t>VR TPS</w:t>
      </w:r>
      <w:r w:rsidR="001E5A5F">
        <w:t xml:space="preserve"> is already in use worldwide to varying degrees</w:t>
      </w:r>
      <w:r w:rsidR="00E96FA8">
        <w:t xml:space="preserve">, which means </w:t>
      </w:r>
      <w:r w:rsidR="001E5A5F">
        <w:t xml:space="preserve">there is unlikely to be </w:t>
      </w:r>
      <w:r w:rsidR="00E96FA8">
        <w:t xml:space="preserve">a randomised controlled trial </w:t>
      </w:r>
      <w:r w:rsidR="00F63DB6">
        <w:t>(</w:t>
      </w:r>
      <w:r w:rsidR="001E5A5F">
        <w:t>RCT</w:t>
      </w:r>
      <w:r w:rsidR="00F63DB6">
        <w:t>)</w:t>
      </w:r>
      <w:r w:rsidR="001E5A5F">
        <w:t xml:space="preserve"> conducted</w:t>
      </w:r>
      <w:r w:rsidR="009C697D">
        <w:t xml:space="preserve"> on its </w:t>
      </w:r>
      <w:r w:rsidR="001E5A5F">
        <w:t>use. The outcomes of greatest interest (</w:t>
      </w:r>
      <w:r w:rsidR="009C697D">
        <w:t xml:space="preserve">cardiac </w:t>
      </w:r>
      <w:r w:rsidR="001E5A5F">
        <w:t xml:space="preserve">perforation) occur with such low frequency that even a meta-analysis of very large RCTs may not be able to </w:t>
      </w:r>
      <w:r w:rsidR="009C697D">
        <w:t xml:space="preserve">provide </w:t>
      </w:r>
      <w:r w:rsidR="001E5A5F">
        <w:t>definitive answers</w:t>
      </w:r>
      <w:r w:rsidR="001A2F5A">
        <w:t xml:space="preserve"> on the level of risk</w:t>
      </w:r>
      <w:r w:rsidR="00566F55">
        <w:t xml:space="preserve"> f</w:t>
      </w:r>
      <w:r w:rsidR="00453D9A">
        <w:t>or this complication</w:t>
      </w:r>
      <w:r w:rsidR="001E5A5F">
        <w:t>.</w:t>
      </w:r>
    </w:p>
    <w:p w14:paraId="5F28CE87" w14:textId="21B75E5B" w:rsidR="001E5A5F" w:rsidRPr="005B694D" w:rsidRDefault="001E5A5F" w:rsidP="00645477">
      <w:r>
        <w:rPr>
          <w:lang w:val="en-NZ"/>
        </w:rPr>
        <w:t xml:space="preserve">There appear to be pros and cons related to </w:t>
      </w:r>
      <w:r w:rsidR="001A2F5A">
        <w:rPr>
          <w:lang w:val="en-NZ"/>
        </w:rPr>
        <w:t xml:space="preserve">using </w:t>
      </w:r>
      <w:r>
        <w:rPr>
          <w:lang w:val="en-NZ"/>
        </w:rPr>
        <w:t xml:space="preserve">the Micra </w:t>
      </w:r>
      <w:r w:rsidR="003C1693">
        <w:rPr>
          <w:lang w:val="en-NZ"/>
        </w:rPr>
        <w:t>VR TPS</w:t>
      </w:r>
      <w:r>
        <w:rPr>
          <w:lang w:val="en-NZ"/>
        </w:rPr>
        <w:t xml:space="preserve"> device</w:t>
      </w:r>
      <w:r w:rsidR="001A2F5A">
        <w:rPr>
          <w:lang w:val="en-NZ"/>
        </w:rPr>
        <w:t>. O</w:t>
      </w:r>
      <w:r>
        <w:rPr>
          <w:lang w:val="en-NZ"/>
        </w:rPr>
        <w:t xml:space="preserve">n the one hand there are important </w:t>
      </w:r>
      <w:r w:rsidR="004B2D35">
        <w:rPr>
          <w:lang w:val="en-NZ"/>
        </w:rPr>
        <w:t>risks</w:t>
      </w:r>
      <w:r w:rsidR="00115F38">
        <w:rPr>
          <w:lang w:val="en-NZ"/>
        </w:rPr>
        <w:t xml:space="preserve"> to consider</w:t>
      </w:r>
      <w:r w:rsidR="00130F88">
        <w:rPr>
          <w:lang w:val="en-NZ"/>
        </w:rPr>
        <w:t>,</w:t>
      </w:r>
      <w:r>
        <w:rPr>
          <w:lang w:val="en-NZ"/>
        </w:rPr>
        <w:t xml:space="preserve"> including higher rates of cardiac perforation</w:t>
      </w:r>
      <w:r w:rsidR="00130F88">
        <w:rPr>
          <w:lang w:val="en-NZ"/>
        </w:rPr>
        <w:t xml:space="preserve"> than for TVPMs, but </w:t>
      </w:r>
      <w:r>
        <w:rPr>
          <w:lang w:val="en-NZ"/>
        </w:rPr>
        <w:t>on the other hand device</w:t>
      </w:r>
      <w:r w:rsidR="000D3CEC">
        <w:rPr>
          <w:lang w:val="en-NZ"/>
        </w:rPr>
        <w:t>-related</w:t>
      </w:r>
      <w:r>
        <w:rPr>
          <w:lang w:val="en-NZ"/>
        </w:rPr>
        <w:t xml:space="preserve"> complications are lower with</w:t>
      </w:r>
      <w:r w:rsidR="000D3CEC">
        <w:rPr>
          <w:lang w:val="en-NZ"/>
        </w:rPr>
        <w:t xml:space="preserve"> the</w:t>
      </w:r>
      <w:r>
        <w:rPr>
          <w:lang w:val="en-NZ"/>
        </w:rPr>
        <w:t xml:space="preserve"> </w:t>
      </w:r>
      <w:r w:rsidR="003C1693">
        <w:rPr>
          <w:lang w:val="en-NZ"/>
        </w:rPr>
        <w:t>Micra VR TPS</w:t>
      </w:r>
      <w:r>
        <w:rPr>
          <w:lang w:val="en-NZ"/>
        </w:rPr>
        <w:t>.</w:t>
      </w:r>
    </w:p>
    <w:p w14:paraId="69E5BF47" w14:textId="77777777" w:rsidR="001E5A5F" w:rsidRPr="00D9698C" w:rsidRDefault="001E5A5F" w:rsidP="00645477">
      <w:pPr>
        <w:pStyle w:val="Heading3nonumbers"/>
        <w:rPr>
          <w:b/>
          <w:color w:val="auto"/>
        </w:rPr>
      </w:pPr>
      <w:r w:rsidRPr="00D9698C">
        <w:t>Applicability</w:t>
      </w:r>
    </w:p>
    <w:p w14:paraId="2DE7F8AF" w14:textId="3041EA03" w:rsidR="001E5A5F" w:rsidRDefault="001E5A5F" w:rsidP="00645477">
      <w:r>
        <w:t>The applicant does not discuss patient selection</w:t>
      </w:r>
      <w:r w:rsidR="00B27B1F">
        <w:t>,</w:t>
      </w:r>
      <w:r>
        <w:t xml:space="preserve"> and </w:t>
      </w:r>
      <w:r w:rsidR="00AC2708">
        <w:t>there were no</w:t>
      </w:r>
      <w:r>
        <w:t xml:space="preserve"> published studies or guidance </w:t>
      </w:r>
      <w:r w:rsidR="00F23589">
        <w:t xml:space="preserve">identified </w:t>
      </w:r>
      <w:r>
        <w:t xml:space="preserve">that address how clinicians might choose </w:t>
      </w:r>
      <w:r w:rsidR="00036B51">
        <w:t xml:space="preserve">which device a patient should </w:t>
      </w:r>
      <w:r w:rsidR="003823FF">
        <w:t>receive</w:t>
      </w:r>
      <w:r>
        <w:t xml:space="preserve">. </w:t>
      </w:r>
      <w:proofErr w:type="gramStart"/>
      <w:r>
        <w:t>It is clear that selection</w:t>
      </w:r>
      <w:proofErr w:type="gramEnd"/>
      <w:r>
        <w:t xml:space="preserve"> criteria </w:t>
      </w:r>
      <w:r w:rsidR="008C2933">
        <w:t xml:space="preserve">were </w:t>
      </w:r>
      <w:r>
        <w:t xml:space="preserve">being applied because patients who received the </w:t>
      </w:r>
      <w:r w:rsidR="004C6106">
        <w:rPr>
          <w:lang w:val="en-NZ"/>
        </w:rPr>
        <w:t>Micra VR TPS</w:t>
      </w:r>
      <w:r>
        <w:t xml:space="preserve"> in the CED study were younger and </w:t>
      </w:r>
      <w:r w:rsidR="00271798">
        <w:t xml:space="preserve">had </w:t>
      </w:r>
      <w:r>
        <w:t>significantly more comorbid</w:t>
      </w:r>
      <w:r w:rsidR="00271798">
        <w:t>ities</w:t>
      </w:r>
      <w:r>
        <w:t xml:space="preserve"> than patients who received the TVPM.</w:t>
      </w:r>
    </w:p>
    <w:p w14:paraId="373C2F03" w14:textId="76988CD7" w:rsidR="001E5A5F" w:rsidRPr="00962AE6" w:rsidRDefault="001E5A5F" w:rsidP="00645477">
      <w:r w:rsidRPr="00962AE6">
        <w:t>In the U</w:t>
      </w:r>
      <w:r w:rsidR="00271798" w:rsidRPr="00962AE6">
        <w:t xml:space="preserve">nited </w:t>
      </w:r>
      <w:r w:rsidRPr="00962AE6">
        <w:t>K</w:t>
      </w:r>
      <w:r w:rsidR="00271798" w:rsidRPr="00962AE6">
        <w:t>ingdom</w:t>
      </w:r>
      <w:r w:rsidRPr="00962AE6">
        <w:t>, an expert advisory group recently produced recommendations for leadless pacemakers for the Medicines &amp; Healthcare products Regulatory Agency (MHRA).</w:t>
      </w:r>
      <w:r w:rsidRPr="00962AE6">
        <w:rPr>
          <w:rStyle w:val="FootnoteReference"/>
        </w:rPr>
        <w:footnoteReference w:id="11"/>
      </w:r>
      <w:r w:rsidRPr="00962AE6">
        <w:t xml:space="preserve"> They </w:t>
      </w:r>
      <w:r w:rsidR="005E545B" w:rsidRPr="00962AE6">
        <w:t xml:space="preserve">stated </w:t>
      </w:r>
      <w:r w:rsidRPr="00962AE6">
        <w:t xml:space="preserve">that </w:t>
      </w:r>
      <w:r w:rsidR="00962AE6" w:rsidRPr="00962AE6">
        <w:rPr>
          <w:i/>
          <w:iCs/>
        </w:rPr>
        <w:t>“</w:t>
      </w:r>
      <w:r w:rsidRPr="00962AE6">
        <w:rPr>
          <w:i/>
          <w:iCs/>
        </w:rPr>
        <w:t xml:space="preserve">patients should have a clear indication for bradycardia pacing, a clear and explicit reason documented for the choice of a leadless device over a conventional pacemaker and that </w:t>
      </w:r>
      <w:r w:rsidRPr="00962AE6">
        <w:rPr>
          <w:i/>
          <w:iCs/>
        </w:rPr>
        <w:lastRenderedPageBreak/>
        <w:t>careful attention should be paid to contraindications</w:t>
      </w:r>
      <w:r w:rsidR="005E545B" w:rsidRPr="00962AE6">
        <w:rPr>
          <w:i/>
          <w:iCs/>
        </w:rPr>
        <w:t>,</w:t>
      </w:r>
      <w:r w:rsidRPr="00962AE6">
        <w:rPr>
          <w:i/>
          <w:iCs/>
        </w:rPr>
        <w:t xml:space="preserve"> such as patient habits and venous abnormalities likely to result in complications from the large sheaths required for device delivery</w:t>
      </w:r>
      <w:r w:rsidR="00962AE6" w:rsidRPr="00962AE6">
        <w:rPr>
          <w:i/>
          <w:iCs/>
        </w:rPr>
        <w:t>”</w:t>
      </w:r>
      <w:r w:rsidRPr="00962AE6">
        <w:rPr>
          <w:i/>
          <w:iCs/>
        </w:rPr>
        <w:t>.</w:t>
      </w:r>
      <w:r w:rsidRPr="00962AE6">
        <w:t xml:space="preserve"> The guidance also recommends that due to the higher incidence of tamponade, </w:t>
      </w:r>
      <w:r w:rsidR="00C73DF3" w:rsidRPr="00962AE6">
        <w:t>LPMs</w:t>
      </w:r>
      <w:r w:rsidRPr="00962AE6">
        <w:t xml:space="preserve"> should be implanted in high volume centres with on-site cardiac surgery until</w:t>
      </w:r>
      <w:r w:rsidR="00C73DF3" w:rsidRPr="00962AE6">
        <w:t xml:space="preserve"> </w:t>
      </w:r>
      <w:r w:rsidRPr="00962AE6">
        <w:t>robust data confirm</w:t>
      </w:r>
      <w:r w:rsidR="00057A33">
        <w:t>s</w:t>
      </w:r>
      <w:r w:rsidRPr="00962AE6">
        <w:t xml:space="preserve"> that the </w:t>
      </w:r>
      <w:r w:rsidR="008C2933" w:rsidRPr="00962AE6">
        <w:t>risk of</w:t>
      </w:r>
      <w:r w:rsidRPr="00962AE6">
        <w:t xml:space="preserve"> tamponade is as low as </w:t>
      </w:r>
      <w:r w:rsidR="00C96A57" w:rsidRPr="00962AE6">
        <w:t>that for</w:t>
      </w:r>
      <w:r w:rsidRPr="00962AE6">
        <w:t xml:space="preserve"> conventional pacing.</w:t>
      </w:r>
    </w:p>
    <w:p w14:paraId="1AE44CF9" w14:textId="77777777" w:rsidR="001E5A5F" w:rsidRDefault="001E5A5F" w:rsidP="001E5A5F">
      <w:pPr>
        <w:pStyle w:val="Heading3nonumbers"/>
      </w:pPr>
      <w:r>
        <w:t>Clinical claim</w:t>
      </w:r>
    </w:p>
    <w:p w14:paraId="4369BFDA" w14:textId="1A1614F3" w:rsidR="001E5A5F" w:rsidRPr="00DE7453" w:rsidRDefault="001E5A5F" w:rsidP="00645477">
      <w:r w:rsidRPr="00DE7453">
        <w:t>The clinical claim made by the applicant</w:t>
      </w:r>
      <w:r w:rsidR="00C96A57">
        <w:t xml:space="preserve"> is</w:t>
      </w:r>
      <w:r w:rsidRPr="00DE7453">
        <w:t xml:space="preserve"> that</w:t>
      </w:r>
      <w:r w:rsidR="002D2875">
        <w:t>,</w:t>
      </w:r>
      <w:r w:rsidR="002D2875" w:rsidRPr="002D2875">
        <w:t xml:space="preserve"> </w:t>
      </w:r>
      <w:r w:rsidR="002D2875" w:rsidRPr="00DE7453">
        <w:t>compared with TVPM</w:t>
      </w:r>
      <w:r w:rsidR="002D2875">
        <w:t>,</w:t>
      </w:r>
      <w:r w:rsidRPr="00DE7453">
        <w:t xml:space="preserve"> the use of </w:t>
      </w:r>
      <w:r w:rsidR="00C96A57">
        <w:t xml:space="preserve">a </w:t>
      </w:r>
      <w:r w:rsidR="00533CD5">
        <w:rPr>
          <w:lang w:val="en-NZ"/>
        </w:rPr>
        <w:t>Micra VR TPS</w:t>
      </w:r>
      <w:r w:rsidRPr="00DE7453">
        <w:t xml:space="preserve"> results in noninferior effectiveness</w:t>
      </w:r>
      <w:r w:rsidR="0089233F">
        <w:t xml:space="preserve"> (</w:t>
      </w:r>
      <w:r w:rsidR="00271056">
        <w:t>favouring</w:t>
      </w:r>
      <w:r w:rsidRPr="00DE7453">
        <w:t xml:space="preserve"> </w:t>
      </w:r>
      <w:r w:rsidR="002D2875">
        <w:t>the</w:t>
      </w:r>
      <w:r w:rsidR="002D2875" w:rsidRPr="00DE7453">
        <w:t xml:space="preserve"> </w:t>
      </w:r>
      <w:r w:rsidR="00533CD5">
        <w:rPr>
          <w:lang w:val="en-NZ"/>
        </w:rPr>
        <w:t>Micra VR TPS</w:t>
      </w:r>
      <w:r w:rsidRPr="00DE7453">
        <w:t xml:space="preserve"> for </w:t>
      </w:r>
      <w:r w:rsidR="00D57320" w:rsidRPr="00DE7453">
        <w:t>quality-of-life</w:t>
      </w:r>
      <w:r w:rsidRPr="00DE7453">
        <w:t xml:space="preserve"> </w:t>
      </w:r>
      <w:r w:rsidR="002D2875">
        <w:t>outcomes</w:t>
      </w:r>
      <w:r w:rsidR="0089233F">
        <w:t xml:space="preserve">) </w:t>
      </w:r>
      <w:r w:rsidRPr="00DE7453">
        <w:t>and superior safety with respect to complication</w:t>
      </w:r>
      <w:r w:rsidR="000D3F05">
        <w:t xml:space="preserve"> rate</w:t>
      </w:r>
      <w:r w:rsidRPr="00DE7453">
        <w:t>s over time.</w:t>
      </w:r>
    </w:p>
    <w:p w14:paraId="6AF5EFCD" w14:textId="58082F46" w:rsidR="00E27080" w:rsidRDefault="00E27080" w:rsidP="00D27D2E">
      <w:pPr>
        <w:pStyle w:val="Heading2execsummary"/>
        <w:spacing w:before="360"/>
      </w:pPr>
      <w:r w:rsidRPr="00E27080">
        <w:t>Economic evaluation</w:t>
      </w:r>
    </w:p>
    <w:p w14:paraId="5233BA87" w14:textId="1CC19040" w:rsidR="00B90C6A" w:rsidRPr="0086353C" w:rsidRDefault="00B90C6A" w:rsidP="00645477">
      <w:r>
        <w:t>A</w:t>
      </w:r>
      <w:r w:rsidRPr="009E19AF">
        <w:t xml:space="preserve"> cost-utility analysis is </w:t>
      </w:r>
      <w:r>
        <w:t xml:space="preserve">presented in the </w:t>
      </w:r>
      <w:r w:rsidR="00271395">
        <w:t>submission that</w:t>
      </w:r>
      <w:r>
        <w:t xml:space="preserve"> compares </w:t>
      </w:r>
      <w:r w:rsidR="00271395">
        <w:t xml:space="preserve">the </w:t>
      </w:r>
      <w:r w:rsidR="00455709">
        <w:rPr>
          <w:lang w:val="en-NZ"/>
        </w:rPr>
        <w:t>Micra VR TPS</w:t>
      </w:r>
      <w:r w:rsidRPr="009E19AF">
        <w:t xml:space="preserve"> to TVPMs </w:t>
      </w:r>
      <w:r>
        <w:t>in</w:t>
      </w:r>
      <w:r w:rsidRPr="009E19AF">
        <w:t xml:space="preserve"> the Australian healthcare system. </w:t>
      </w:r>
      <w:r>
        <w:t xml:space="preserve">This </w:t>
      </w:r>
      <w:r w:rsidRPr="009E19AF">
        <w:t>approach is appropriate given the claim of clinical superiority</w:t>
      </w:r>
      <w:r>
        <w:t>. A</w:t>
      </w:r>
      <w:r w:rsidRPr="00FC10B9">
        <w:t xml:space="preserve"> Markov model </w:t>
      </w:r>
      <w:r>
        <w:t>was developed in Excel which include</w:t>
      </w:r>
      <w:r w:rsidR="00271395">
        <w:t>d</w:t>
      </w:r>
      <w:r>
        <w:t xml:space="preserve"> alive and dea</w:t>
      </w:r>
      <w:r w:rsidR="00D57320">
        <w:t>d</w:t>
      </w:r>
      <w:r>
        <w:t xml:space="preserve"> states. Within the alive state, events are included for i</w:t>
      </w:r>
      <w:r w:rsidRPr="00875BE0">
        <w:t xml:space="preserve">nfection, pericarditis, revision, lead-related re-intervention, </w:t>
      </w:r>
      <w:proofErr w:type="gramStart"/>
      <w:r w:rsidRPr="00875BE0">
        <w:t>replacement</w:t>
      </w:r>
      <w:proofErr w:type="gramEnd"/>
      <w:r w:rsidRPr="00875BE0">
        <w:t xml:space="preserve"> and removal</w:t>
      </w:r>
      <w:r>
        <w:t xml:space="preserve">. The events were assigned disutility values derived from the literature. The economic analysis included a </w:t>
      </w:r>
      <w:r w:rsidR="00A37290">
        <w:t>two</w:t>
      </w:r>
      <w:r>
        <w:t xml:space="preserve">-year </w:t>
      </w:r>
      <w:r w:rsidR="001020C6">
        <w:t xml:space="preserve">time horizon </w:t>
      </w:r>
      <w:r>
        <w:t>presented in the sensitivity analysis</w:t>
      </w:r>
      <w:r w:rsidR="00D2361D">
        <w:t>,</w:t>
      </w:r>
      <w:r>
        <w:t xml:space="preserve"> which captures </w:t>
      </w:r>
      <w:r w:rsidR="00D2361D">
        <w:t xml:space="preserve">the </w:t>
      </w:r>
      <w:r>
        <w:t xml:space="preserve">maximum follow-up </w:t>
      </w:r>
      <w:r w:rsidR="00D2361D">
        <w:t xml:space="preserve">available from </w:t>
      </w:r>
      <w:r>
        <w:t xml:space="preserve">the CED study. This study was </w:t>
      </w:r>
      <w:r w:rsidR="00763A4B">
        <w:t xml:space="preserve">the source </w:t>
      </w:r>
      <w:r>
        <w:t xml:space="preserve">for clinical </w:t>
      </w:r>
      <w:r w:rsidR="00763A4B">
        <w:t xml:space="preserve">outcome </w:t>
      </w:r>
      <w:r>
        <w:t xml:space="preserve">rates in the model. An extrapolated analysis was also included with a 12-year time horizon. This </w:t>
      </w:r>
      <w:proofErr w:type="gramStart"/>
      <w:r>
        <w:t>time period</w:t>
      </w:r>
      <w:proofErr w:type="gramEnd"/>
      <w:r>
        <w:t xml:space="preserve"> was considered to reflect </w:t>
      </w:r>
      <w:r w:rsidR="00813944">
        <w:t xml:space="preserve">the </w:t>
      </w:r>
      <w:r>
        <w:t xml:space="preserve">battery life of the </w:t>
      </w:r>
      <w:r w:rsidR="00B00E21">
        <w:rPr>
          <w:lang w:val="en-NZ"/>
        </w:rPr>
        <w:t>Micra VR TPS</w:t>
      </w:r>
      <w:r>
        <w:t xml:space="preserve"> device. </w:t>
      </w:r>
      <w:r w:rsidR="00813944">
        <w:t>A summary of the m</w:t>
      </w:r>
      <w:r w:rsidR="00813944" w:rsidRPr="0086353C">
        <w:t xml:space="preserve">odel </w:t>
      </w:r>
      <w:r w:rsidRPr="0086353C">
        <w:t xml:space="preserve">elements </w:t>
      </w:r>
      <w:r w:rsidR="00D57320">
        <w:t>is</w:t>
      </w:r>
      <w:r w:rsidRPr="0086353C">
        <w:t xml:space="preserve"> provided in</w:t>
      </w:r>
      <w:r w:rsidR="00316D64">
        <w:t xml:space="preserve"> </w:t>
      </w:r>
      <w:r w:rsidR="00316D64">
        <w:fldChar w:fldCharType="begin"/>
      </w:r>
      <w:r w:rsidR="00316D64">
        <w:instrText xml:space="preserve"> REF _Ref480972710 \h </w:instrText>
      </w:r>
      <w:r w:rsidR="00316D64">
        <w:fldChar w:fldCharType="separate"/>
      </w:r>
      <w:r w:rsidR="0084187F" w:rsidRPr="0086353C">
        <w:t xml:space="preserve">Table </w:t>
      </w:r>
      <w:r w:rsidR="0084187F">
        <w:rPr>
          <w:noProof/>
        </w:rPr>
        <w:t>11</w:t>
      </w:r>
      <w:r w:rsidR="00316D64">
        <w:fldChar w:fldCharType="end"/>
      </w:r>
      <w:r w:rsidRPr="0086353C">
        <w:t>.</w:t>
      </w:r>
    </w:p>
    <w:p w14:paraId="2587AFBA" w14:textId="1D149E81" w:rsidR="00B90C6A" w:rsidRPr="0086353C" w:rsidRDefault="00B90C6A" w:rsidP="00B90C6A">
      <w:pPr>
        <w:pStyle w:val="Caption"/>
      </w:pPr>
      <w:bookmarkStart w:id="16" w:name="_Ref480972710"/>
      <w:bookmarkStart w:id="17" w:name="_Toc481054993"/>
      <w:bookmarkStart w:id="18" w:name="_Toc481145152"/>
      <w:r w:rsidRPr="0086353C">
        <w:t xml:space="preserve">Table </w:t>
      </w:r>
      <w:r>
        <w:fldChar w:fldCharType="begin"/>
      </w:r>
      <w:r>
        <w:instrText>SEQ Table \* ARABIC</w:instrText>
      </w:r>
      <w:r>
        <w:fldChar w:fldCharType="separate"/>
      </w:r>
      <w:r w:rsidR="0084187F">
        <w:rPr>
          <w:noProof/>
        </w:rPr>
        <w:t>11</w:t>
      </w:r>
      <w:r>
        <w:fldChar w:fldCharType="end"/>
      </w:r>
      <w:bookmarkEnd w:id="16"/>
      <w:r w:rsidRPr="0086353C">
        <w:tab/>
        <w:t>Element of the economic model included in the evaluation</w:t>
      </w:r>
      <w:bookmarkEnd w:id="17"/>
      <w:bookmarkEnd w:id="18"/>
    </w:p>
    <w:tbl>
      <w:tblPr>
        <w:tblStyle w:val="Summarybox1"/>
        <w:tblW w:w="5000" w:type="pct"/>
        <w:tblLook w:val="04A0" w:firstRow="1" w:lastRow="0" w:firstColumn="1" w:lastColumn="0" w:noHBand="0" w:noVBand="1"/>
        <w:tblCaption w:val="Element of Model 1 economic the evaluation"/>
        <w:tblDescription w:val="Various elements of economic model for diagnosis"/>
      </w:tblPr>
      <w:tblGrid>
        <w:gridCol w:w="2990"/>
        <w:gridCol w:w="6026"/>
      </w:tblGrid>
      <w:tr w:rsidR="00B90C6A" w:rsidRPr="0086353C" w14:paraId="35A705F1" w14:textId="77777777" w:rsidTr="002D295B">
        <w:tc>
          <w:tcPr>
            <w:tcW w:w="1658" w:type="pct"/>
          </w:tcPr>
          <w:p w14:paraId="616D2E83" w14:textId="77777777" w:rsidR="00B90C6A" w:rsidRPr="0086353C" w:rsidRDefault="00B90C6A" w:rsidP="002D295B">
            <w:pPr>
              <w:pStyle w:val="TableText0"/>
              <w:rPr>
                <w:b/>
                <w:bCs/>
              </w:rPr>
            </w:pPr>
            <w:r w:rsidRPr="0086353C">
              <w:rPr>
                <w:b/>
                <w:bCs/>
                <w:szCs w:val="20"/>
              </w:rPr>
              <w:t>Component</w:t>
            </w:r>
          </w:p>
        </w:tc>
        <w:tc>
          <w:tcPr>
            <w:tcW w:w="3342" w:type="pct"/>
          </w:tcPr>
          <w:p w14:paraId="349E3D6B" w14:textId="77777777" w:rsidR="00B90C6A" w:rsidRPr="0086353C" w:rsidRDefault="00B90C6A" w:rsidP="002D295B">
            <w:pPr>
              <w:pStyle w:val="TableText0"/>
              <w:rPr>
                <w:b/>
                <w:bCs/>
              </w:rPr>
            </w:pPr>
            <w:r w:rsidRPr="0086353C">
              <w:rPr>
                <w:b/>
                <w:bCs/>
                <w:szCs w:val="20"/>
              </w:rPr>
              <w:t>Description</w:t>
            </w:r>
          </w:p>
        </w:tc>
      </w:tr>
      <w:tr w:rsidR="00B90C6A" w:rsidRPr="0086353C" w14:paraId="14A4868B" w14:textId="77777777" w:rsidTr="002D295B">
        <w:tc>
          <w:tcPr>
            <w:tcW w:w="1658" w:type="pct"/>
            <w:vAlign w:val="center"/>
          </w:tcPr>
          <w:p w14:paraId="639BC0BF" w14:textId="77777777" w:rsidR="00B90C6A" w:rsidRPr="0086353C" w:rsidRDefault="00B90C6A" w:rsidP="002D295B">
            <w:pPr>
              <w:pStyle w:val="TableText0"/>
              <w:rPr>
                <w:szCs w:val="24"/>
              </w:rPr>
            </w:pPr>
            <w:r w:rsidRPr="0086353C">
              <w:t>Perspective</w:t>
            </w:r>
          </w:p>
        </w:tc>
        <w:tc>
          <w:tcPr>
            <w:tcW w:w="3342" w:type="pct"/>
            <w:vAlign w:val="center"/>
          </w:tcPr>
          <w:p w14:paraId="693E4330" w14:textId="2163A5FA" w:rsidR="00B90C6A" w:rsidRPr="0086353C" w:rsidRDefault="00B90C6A" w:rsidP="002D295B">
            <w:pPr>
              <w:pStyle w:val="TableText0"/>
              <w:rPr>
                <w:szCs w:val="24"/>
              </w:rPr>
            </w:pPr>
            <w:r w:rsidRPr="0086353C">
              <w:rPr>
                <w:szCs w:val="24"/>
              </w:rPr>
              <w:t>Australian health system</w:t>
            </w:r>
          </w:p>
        </w:tc>
      </w:tr>
      <w:tr w:rsidR="00B90C6A" w:rsidRPr="0086353C" w14:paraId="3AF74120" w14:textId="77777777" w:rsidTr="002D295B">
        <w:tc>
          <w:tcPr>
            <w:tcW w:w="1658" w:type="pct"/>
            <w:vAlign w:val="center"/>
          </w:tcPr>
          <w:p w14:paraId="06CA50E0" w14:textId="77777777" w:rsidR="00B90C6A" w:rsidRPr="0086353C" w:rsidRDefault="00B90C6A" w:rsidP="002D295B">
            <w:pPr>
              <w:pStyle w:val="TableText0"/>
            </w:pPr>
            <w:r>
              <w:t>Population</w:t>
            </w:r>
          </w:p>
        </w:tc>
        <w:tc>
          <w:tcPr>
            <w:tcW w:w="3342" w:type="pct"/>
            <w:vAlign w:val="center"/>
          </w:tcPr>
          <w:p w14:paraId="1A8D54B4" w14:textId="56666D0F" w:rsidR="00B90C6A" w:rsidRPr="00566F55" w:rsidRDefault="00B90C6A" w:rsidP="00637A3D">
            <w:pPr>
              <w:pStyle w:val="TableText0"/>
              <w:rPr>
                <w:szCs w:val="24"/>
              </w:rPr>
            </w:pPr>
            <w:r w:rsidRPr="006E22C7">
              <w:rPr>
                <w:szCs w:val="24"/>
              </w:rPr>
              <w:t xml:space="preserve">Patients with SND or AV block that require </w:t>
            </w:r>
            <w:proofErr w:type="gramStart"/>
            <w:r w:rsidRPr="006E22C7">
              <w:rPr>
                <w:szCs w:val="24"/>
              </w:rPr>
              <w:t>single</w:t>
            </w:r>
            <w:r w:rsidR="00126178">
              <w:rPr>
                <w:szCs w:val="24"/>
              </w:rPr>
              <w:t>-</w:t>
            </w:r>
            <w:r w:rsidRPr="00637A3D">
              <w:rPr>
                <w:szCs w:val="24"/>
              </w:rPr>
              <w:t>chamber</w:t>
            </w:r>
            <w:proofErr w:type="gramEnd"/>
            <w:r w:rsidRPr="00637A3D">
              <w:rPr>
                <w:szCs w:val="24"/>
              </w:rPr>
              <w:t xml:space="preserve"> pacing </w:t>
            </w:r>
            <w:r w:rsidR="00126178">
              <w:rPr>
                <w:szCs w:val="24"/>
              </w:rPr>
              <w:t>of</w:t>
            </w:r>
            <w:r w:rsidR="00126178" w:rsidRPr="006E22C7">
              <w:rPr>
                <w:szCs w:val="24"/>
              </w:rPr>
              <w:t xml:space="preserve"> </w:t>
            </w:r>
            <w:r w:rsidRPr="004C07A8">
              <w:rPr>
                <w:szCs w:val="24"/>
              </w:rPr>
              <w:t>their right ventricle</w:t>
            </w:r>
          </w:p>
        </w:tc>
      </w:tr>
      <w:tr w:rsidR="00B90C6A" w:rsidRPr="0086353C" w14:paraId="15D89BF0" w14:textId="77777777" w:rsidTr="002D295B">
        <w:tc>
          <w:tcPr>
            <w:tcW w:w="1658" w:type="pct"/>
            <w:vAlign w:val="center"/>
          </w:tcPr>
          <w:p w14:paraId="3A8A4A42" w14:textId="77777777" w:rsidR="00B90C6A" w:rsidRPr="0086353C" w:rsidRDefault="00B90C6A" w:rsidP="002D295B">
            <w:pPr>
              <w:pStyle w:val="TableText0"/>
              <w:rPr>
                <w:szCs w:val="24"/>
              </w:rPr>
            </w:pPr>
            <w:r w:rsidRPr="0086353C">
              <w:t>Comparator</w:t>
            </w:r>
          </w:p>
        </w:tc>
        <w:tc>
          <w:tcPr>
            <w:tcW w:w="3342" w:type="pct"/>
            <w:vAlign w:val="center"/>
          </w:tcPr>
          <w:p w14:paraId="664F9373" w14:textId="099985D0" w:rsidR="00B90C6A" w:rsidRPr="0086353C" w:rsidRDefault="00B90C6A" w:rsidP="002D295B">
            <w:pPr>
              <w:pStyle w:val="TableText0"/>
              <w:rPr>
                <w:szCs w:val="24"/>
              </w:rPr>
            </w:pPr>
            <w:r>
              <w:rPr>
                <w:rFonts w:cs="Courier New"/>
              </w:rPr>
              <w:t>TVPM</w:t>
            </w:r>
          </w:p>
        </w:tc>
      </w:tr>
      <w:tr w:rsidR="00B90C6A" w:rsidRPr="0086353C" w14:paraId="65980F71" w14:textId="77777777" w:rsidTr="002D295B">
        <w:tc>
          <w:tcPr>
            <w:tcW w:w="1658" w:type="pct"/>
            <w:vAlign w:val="center"/>
          </w:tcPr>
          <w:p w14:paraId="31E31503" w14:textId="77777777" w:rsidR="00B90C6A" w:rsidRPr="0086353C" w:rsidRDefault="00B90C6A" w:rsidP="002D295B">
            <w:pPr>
              <w:pStyle w:val="TableText0"/>
              <w:rPr>
                <w:szCs w:val="24"/>
              </w:rPr>
            </w:pPr>
            <w:r w:rsidRPr="0086353C">
              <w:t>Type of economic evaluation</w:t>
            </w:r>
          </w:p>
        </w:tc>
        <w:tc>
          <w:tcPr>
            <w:tcW w:w="3342" w:type="pct"/>
            <w:vAlign w:val="center"/>
          </w:tcPr>
          <w:p w14:paraId="6FA9F139" w14:textId="77777777" w:rsidR="00B90C6A" w:rsidRPr="0086353C" w:rsidRDefault="00B90C6A" w:rsidP="002D295B">
            <w:pPr>
              <w:pStyle w:val="TableText0"/>
              <w:rPr>
                <w:szCs w:val="24"/>
              </w:rPr>
            </w:pPr>
            <w:r w:rsidRPr="0086353C">
              <w:rPr>
                <w:szCs w:val="24"/>
              </w:rPr>
              <w:t>Cost-utility analysis</w:t>
            </w:r>
          </w:p>
        </w:tc>
      </w:tr>
      <w:tr w:rsidR="00B90C6A" w:rsidRPr="0086353C" w14:paraId="2DBC2805" w14:textId="77777777" w:rsidTr="002D295B">
        <w:trPr>
          <w:trHeight w:val="237"/>
        </w:trPr>
        <w:tc>
          <w:tcPr>
            <w:tcW w:w="1658" w:type="pct"/>
            <w:vAlign w:val="center"/>
          </w:tcPr>
          <w:p w14:paraId="15954615" w14:textId="77777777" w:rsidR="00B90C6A" w:rsidRPr="0086353C" w:rsidRDefault="00B90C6A" w:rsidP="002D295B">
            <w:pPr>
              <w:pStyle w:val="TableText0"/>
              <w:rPr>
                <w:szCs w:val="24"/>
              </w:rPr>
            </w:pPr>
            <w:r w:rsidRPr="0086353C">
              <w:t>Source of evidence</w:t>
            </w:r>
          </w:p>
        </w:tc>
        <w:tc>
          <w:tcPr>
            <w:tcW w:w="3342" w:type="pct"/>
            <w:vAlign w:val="center"/>
          </w:tcPr>
          <w:p w14:paraId="1AAE59EA" w14:textId="77777777" w:rsidR="00B90C6A" w:rsidRPr="0086353C" w:rsidRDefault="00B90C6A" w:rsidP="002D295B">
            <w:pPr>
              <w:pStyle w:val="CommentTabletext"/>
              <w:ind w:left="0"/>
              <w:rPr>
                <w:i w:val="0"/>
                <w:color w:val="auto"/>
                <w:szCs w:val="24"/>
              </w:rPr>
            </w:pPr>
            <w:r>
              <w:rPr>
                <w:i w:val="0"/>
                <w:color w:val="auto"/>
                <w:szCs w:val="24"/>
              </w:rPr>
              <w:t>C</w:t>
            </w:r>
            <w:r w:rsidRPr="00D3028D">
              <w:rPr>
                <w:i w:val="0"/>
                <w:color w:val="auto"/>
                <w:szCs w:val="24"/>
              </w:rPr>
              <w:t>linical and device-related events based on the CED study</w:t>
            </w:r>
          </w:p>
        </w:tc>
      </w:tr>
      <w:tr w:rsidR="00B90C6A" w:rsidRPr="0086353C" w14:paraId="7FCB625B" w14:textId="77777777" w:rsidTr="002D295B">
        <w:tc>
          <w:tcPr>
            <w:tcW w:w="1658" w:type="pct"/>
            <w:vAlign w:val="center"/>
          </w:tcPr>
          <w:p w14:paraId="265822A2" w14:textId="77777777" w:rsidR="00B90C6A" w:rsidRPr="0086353C" w:rsidRDefault="00B90C6A" w:rsidP="002D295B">
            <w:pPr>
              <w:pStyle w:val="TableText0"/>
            </w:pPr>
            <w:r w:rsidRPr="0086353C">
              <w:rPr>
                <w:szCs w:val="24"/>
              </w:rPr>
              <w:t>Time horizon</w:t>
            </w:r>
          </w:p>
        </w:tc>
        <w:tc>
          <w:tcPr>
            <w:tcW w:w="3342" w:type="pct"/>
            <w:vAlign w:val="center"/>
          </w:tcPr>
          <w:p w14:paraId="1E355A06" w14:textId="77777777" w:rsidR="00B90C6A" w:rsidRPr="0086353C" w:rsidRDefault="00B90C6A" w:rsidP="002D295B">
            <w:pPr>
              <w:pStyle w:val="TableText0"/>
            </w:pPr>
            <w:r w:rsidRPr="0086353C">
              <w:t xml:space="preserve">2 years base and 12 years </w:t>
            </w:r>
            <w:r>
              <w:t xml:space="preserve">extrapolated </w:t>
            </w:r>
            <w:r w:rsidRPr="0086353C">
              <w:t>(the assumed battery life)</w:t>
            </w:r>
          </w:p>
        </w:tc>
      </w:tr>
      <w:tr w:rsidR="00B90C6A" w:rsidRPr="0086353C" w14:paraId="4B0EC331" w14:textId="77777777" w:rsidTr="002D295B">
        <w:tc>
          <w:tcPr>
            <w:tcW w:w="1658" w:type="pct"/>
            <w:vAlign w:val="center"/>
          </w:tcPr>
          <w:p w14:paraId="38893685" w14:textId="77777777" w:rsidR="00B90C6A" w:rsidRPr="0086353C" w:rsidRDefault="00B90C6A" w:rsidP="002D295B">
            <w:pPr>
              <w:pStyle w:val="TableText0"/>
              <w:rPr>
                <w:szCs w:val="24"/>
              </w:rPr>
            </w:pPr>
            <w:r w:rsidRPr="0086353C">
              <w:t xml:space="preserve">Outcome </w:t>
            </w:r>
          </w:p>
        </w:tc>
        <w:tc>
          <w:tcPr>
            <w:tcW w:w="3342" w:type="pct"/>
            <w:vAlign w:val="center"/>
          </w:tcPr>
          <w:p w14:paraId="02FD50BB" w14:textId="61AF43AB" w:rsidR="00B90C6A" w:rsidRPr="0086353C" w:rsidRDefault="00B90C6A" w:rsidP="002D295B">
            <w:pPr>
              <w:pStyle w:val="TableText0"/>
              <w:rPr>
                <w:szCs w:val="24"/>
              </w:rPr>
            </w:pPr>
            <w:r w:rsidRPr="0086353C">
              <w:rPr>
                <w:szCs w:val="24"/>
              </w:rPr>
              <w:t>Quality-adjusted life</w:t>
            </w:r>
            <w:r w:rsidR="00EE5ED4">
              <w:rPr>
                <w:szCs w:val="24"/>
              </w:rPr>
              <w:t>-</w:t>
            </w:r>
            <w:r w:rsidRPr="0086353C">
              <w:rPr>
                <w:szCs w:val="24"/>
              </w:rPr>
              <w:t>years (QALYs)</w:t>
            </w:r>
          </w:p>
        </w:tc>
      </w:tr>
      <w:tr w:rsidR="00B90C6A" w:rsidRPr="0086353C" w14:paraId="3A10AA1E" w14:textId="77777777" w:rsidTr="002D295B">
        <w:tc>
          <w:tcPr>
            <w:tcW w:w="1658" w:type="pct"/>
            <w:vAlign w:val="center"/>
          </w:tcPr>
          <w:p w14:paraId="1062FD8E" w14:textId="77777777" w:rsidR="00B90C6A" w:rsidRPr="0086353C" w:rsidRDefault="00B90C6A" w:rsidP="002D295B">
            <w:pPr>
              <w:pStyle w:val="TableText0"/>
            </w:pPr>
            <w:r w:rsidRPr="0086353C">
              <w:t>Methods used to generate results</w:t>
            </w:r>
          </w:p>
        </w:tc>
        <w:tc>
          <w:tcPr>
            <w:tcW w:w="3342" w:type="pct"/>
            <w:vAlign w:val="center"/>
          </w:tcPr>
          <w:p w14:paraId="40A5F765" w14:textId="1BC3DF6C" w:rsidR="00B90C6A" w:rsidRPr="0086353C" w:rsidRDefault="00B90C6A" w:rsidP="002D295B">
            <w:pPr>
              <w:pStyle w:val="TableText0"/>
            </w:pPr>
            <w:r w:rsidRPr="0086353C">
              <w:t>Markov model</w:t>
            </w:r>
          </w:p>
        </w:tc>
      </w:tr>
      <w:tr w:rsidR="00B90C6A" w:rsidRPr="0086353C" w14:paraId="5E9EFCF6" w14:textId="77777777" w:rsidTr="002D295B">
        <w:tc>
          <w:tcPr>
            <w:tcW w:w="1658" w:type="pct"/>
            <w:vAlign w:val="center"/>
          </w:tcPr>
          <w:p w14:paraId="2C5B253B" w14:textId="77777777" w:rsidR="00B90C6A" w:rsidRPr="0086353C" w:rsidRDefault="00B90C6A" w:rsidP="002D295B">
            <w:pPr>
              <w:pStyle w:val="TableText0"/>
            </w:pPr>
            <w:r w:rsidRPr="0086353C">
              <w:t>Health states</w:t>
            </w:r>
          </w:p>
        </w:tc>
        <w:tc>
          <w:tcPr>
            <w:tcW w:w="3342" w:type="pct"/>
            <w:vAlign w:val="center"/>
          </w:tcPr>
          <w:p w14:paraId="3FB0043A" w14:textId="445F0614" w:rsidR="00B90C6A" w:rsidRPr="0086353C" w:rsidRDefault="00B90C6A" w:rsidP="002D295B">
            <w:pPr>
              <w:pStyle w:val="TableText0"/>
            </w:pPr>
            <w:r w:rsidRPr="0086353C">
              <w:t>Alive and dead (</w:t>
            </w:r>
            <w:r w:rsidR="00EE5ED4">
              <w:t>i</w:t>
            </w:r>
            <w:r>
              <w:t xml:space="preserve">nfection, pericarditis, revision, lead-related re-intervention, </w:t>
            </w:r>
            <w:proofErr w:type="gramStart"/>
            <w:r>
              <w:t>replacement</w:t>
            </w:r>
            <w:proofErr w:type="gramEnd"/>
            <w:r>
              <w:t xml:space="preserve"> and removal </w:t>
            </w:r>
            <w:r w:rsidRPr="0086353C">
              <w:t xml:space="preserve">events included in </w:t>
            </w:r>
            <w:r>
              <w:t xml:space="preserve">the </w:t>
            </w:r>
            <w:r w:rsidRPr="0086353C">
              <w:t>alive state)</w:t>
            </w:r>
          </w:p>
        </w:tc>
      </w:tr>
      <w:tr w:rsidR="00B90C6A" w:rsidRPr="0086353C" w14:paraId="16B918E2" w14:textId="77777777" w:rsidTr="002D295B">
        <w:tc>
          <w:tcPr>
            <w:tcW w:w="1658" w:type="pct"/>
            <w:vAlign w:val="center"/>
          </w:tcPr>
          <w:p w14:paraId="145B45AF" w14:textId="77777777" w:rsidR="00B90C6A" w:rsidRPr="0086353C" w:rsidRDefault="00B90C6A" w:rsidP="002D295B">
            <w:pPr>
              <w:pStyle w:val="TableText0"/>
            </w:pPr>
            <w:r w:rsidRPr="0086353C">
              <w:t>Cycle length</w:t>
            </w:r>
          </w:p>
        </w:tc>
        <w:tc>
          <w:tcPr>
            <w:tcW w:w="3342" w:type="pct"/>
            <w:vAlign w:val="center"/>
          </w:tcPr>
          <w:p w14:paraId="0C8CF5A9" w14:textId="77777777" w:rsidR="00B90C6A" w:rsidRPr="0086353C" w:rsidRDefault="00B90C6A" w:rsidP="002D295B">
            <w:pPr>
              <w:pStyle w:val="TableText0"/>
            </w:pPr>
            <w:r w:rsidRPr="0086353C">
              <w:t>1 year</w:t>
            </w:r>
          </w:p>
        </w:tc>
      </w:tr>
      <w:tr w:rsidR="00B90C6A" w:rsidRPr="0086353C" w14:paraId="3368B8FC" w14:textId="77777777" w:rsidTr="002D295B">
        <w:tc>
          <w:tcPr>
            <w:tcW w:w="1658" w:type="pct"/>
            <w:vAlign w:val="center"/>
          </w:tcPr>
          <w:p w14:paraId="55FC4A53" w14:textId="77777777" w:rsidR="00B90C6A" w:rsidRPr="0086353C" w:rsidRDefault="00B90C6A" w:rsidP="002D295B">
            <w:pPr>
              <w:pStyle w:val="TableText0"/>
              <w:rPr>
                <w:szCs w:val="24"/>
              </w:rPr>
            </w:pPr>
            <w:r w:rsidRPr="0086353C">
              <w:t>Discount rate</w:t>
            </w:r>
          </w:p>
        </w:tc>
        <w:tc>
          <w:tcPr>
            <w:tcW w:w="3342" w:type="pct"/>
          </w:tcPr>
          <w:p w14:paraId="4ABC4325" w14:textId="77777777" w:rsidR="00B90C6A" w:rsidRPr="0086353C" w:rsidRDefault="00B90C6A" w:rsidP="002D295B">
            <w:pPr>
              <w:pStyle w:val="TableText0"/>
              <w:rPr>
                <w:szCs w:val="24"/>
              </w:rPr>
            </w:pPr>
            <w:r w:rsidRPr="0086353C">
              <w:t>5% per annum</w:t>
            </w:r>
          </w:p>
        </w:tc>
      </w:tr>
      <w:tr w:rsidR="00B90C6A" w:rsidRPr="0086353C" w14:paraId="288B6016" w14:textId="77777777" w:rsidTr="002D295B">
        <w:tc>
          <w:tcPr>
            <w:tcW w:w="1658" w:type="pct"/>
            <w:vAlign w:val="center"/>
          </w:tcPr>
          <w:p w14:paraId="538D6D84" w14:textId="77777777" w:rsidR="00B90C6A" w:rsidRPr="0086353C" w:rsidRDefault="00B90C6A" w:rsidP="002D295B">
            <w:pPr>
              <w:pStyle w:val="TableText0"/>
              <w:rPr>
                <w:szCs w:val="24"/>
              </w:rPr>
            </w:pPr>
            <w:r w:rsidRPr="0086353C">
              <w:rPr>
                <w:szCs w:val="24"/>
              </w:rPr>
              <w:t>Software packages used</w:t>
            </w:r>
          </w:p>
        </w:tc>
        <w:tc>
          <w:tcPr>
            <w:tcW w:w="3342" w:type="pct"/>
          </w:tcPr>
          <w:p w14:paraId="73AF5637" w14:textId="77777777" w:rsidR="00B90C6A" w:rsidRPr="0086353C" w:rsidRDefault="00B90C6A" w:rsidP="002D295B">
            <w:pPr>
              <w:pStyle w:val="TableText0"/>
              <w:rPr>
                <w:szCs w:val="24"/>
              </w:rPr>
            </w:pPr>
            <w:r w:rsidRPr="0086353C">
              <w:t>Excel</w:t>
            </w:r>
          </w:p>
        </w:tc>
      </w:tr>
    </w:tbl>
    <w:p w14:paraId="05F1F93F" w14:textId="48038B2A" w:rsidR="00B90C6A" w:rsidRDefault="00B90C6A" w:rsidP="00B90C6A">
      <w:pPr>
        <w:pStyle w:val="Tablenotes"/>
        <w:rPr>
          <w:rFonts w:eastAsia="Calibri"/>
        </w:rPr>
      </w:pPr>
      <w:r w:rsidRPr="0086353C">
        <w:rPr>
          <w:rFonts w:eastAsia="Calibri"/>
        </w:rPr>
        <w:t xml:space="preserve">Source: Submission, Table </w:t>
      </w:r>
      <w:r>
        <w:rPr>
          <w:rFonts w:eastAsia="Calibri"/>
        </w:rPr>
        <w:t>4</w:t>
      </w:r>
      <w:r w:rsidRPr="0086353C">
        <w:rPr>
          <w:rFonts w:eastAsia="Calibri"/>
        </w:rPr>
        <w:t xml:space="preserve"> (pp.</w:t>
      </w:r>
      <w:r>
        <w:rPr>
          <w:rFonts w:eastAsia="Calibri"/>
        </w:rPr>
        <w:t>8</w:t>
      </w:r>
      <w:r w:rsidRPr="0086353C">
        <w:rPr>
          <w:rFonts w:eastAsia="Calibri"/>
        </w:rPr>
        <w:t xml:space="preserve">) and compiled for the </w:t>
      </w:r>
      <w:r w:rsidR="00085998">
        <w:rPr>
          <w:rFonts w:eastAsia="Calibri"/>
        </w:rPr>
        <w:t>commentary</w:t>
      </w:r>
    </w:p>
    <w:p w14:paraId="53DEE47B" w14:textId="1FAC3C54" w:rsidR="00B90C6A" w:rsidRPr="0086353C" w:rsidRDefault="00B90C6A" w:rsidP="00B90C6A">
      <w:pPr>
        <w:pStyle w:val="Tablenotes"/>
        <w:rPr>
          <w:rFonts w:eastAsia="Calibri"/>
        </w:rPr>
      </w:pPr>
      <w:r w:rsidRPr="001F697C">
        <w:t xml:space="preserve">Abbreviations: </w:t>
      </w:r>
      <w:r>
        <w:t xml:space="preserve">AV, atrioventricular block; </w:t>
      </w:r>
      <w:r w:rsidRPr="001F697C">
        <w:t xml:space="preserve">LPM, leadless pacemaker; </w:t>
      </w:r>
      <w:r>
        <w:t>QALY</w:t>
      </w:r>
      <w:r w:rsidR="000E628D">
        <w:t>s</w:t>
      </w:r>
      <w:r>
        <w:t xml:space="preserve">, </w:t>
      </w:r>
      <w:r w:rsidR="009A61FA">
        <w:t>q</w:t>
      </w:r>
      <w:r w:rsidR="009A61FA" w:rsidRPr="006267F4">
        <w:t>uality</w:t>
      </w:r>
      <w:r w:rsidRPr="006267F4">
        <w:t>-adjusted life years,</w:t>
      </w:r>
      <w:r>
        <w:t xml:space="preserve"> TVPM</w:t>
      </w:r>
      <w:r w:rsidRPr="001F697C">
        <w:t>, transvenous pacemaker</w:t>
      </w:r>
      <w:r w:rsidR="009A61FA">
        <w:t>;</w:t>
      </w:r>
      <w:r>
        <w:t xml:space="preserve"> SND, sinus node dysfunction</w:t>
      </w:r>
    </w:p>
    <w:p w14:paraId="28F01EB3" w14:textId="0120E788" w:rsidR="00B90C6A" w:rsidRPr="0086353C" w:rsidRDefault="00B90C6A" w:rsidP="00645477">
      <w:pPr>
        <w:pStyle w:val="Heading3nonumbers"/>
        <w:rPr>
          <w:rFonts w:asciiTheme="minorHAnsi" w:hAnsiTheme="minorHAnsi" w:cstheme="minorHAnsi"/>
          <w:spacing w:val="-1"/>
          <w:u w:color="000000"/>
        </w:rPr>
      </w:pPr>
      <w:r w:rsidRPr="0086353C">
        <w:lastRenderedPageBreak/>
        <w:t xml:space="preserve">Incremental </w:t>
      </w:r>
      <w:r w:rsidR="00B8350B">
        <w:t>c</w:t>
      </w:r>
      <w:r w:rsidRPr="0086353C">
        <w:t xml:space="preserve">osts and </w:t>
      </w:r>
      <w:r w:rsidR="00B8350B">
        <w:t>e</w:t>
      </w:r>
      <w:r w:rsidR="00B8350B" w:rsidRPr="0086353C">
        <w:t xml:space="preserve">ffectiveness </w:t>
      </w:r>
    </w:p>
    <w:p w14:paraId="1ED66E9A" w14:textId="2709B187" w:rsidR="00B90C6A" w:rsidRPr="00637A3D" w:rsidRDefault="00B90C6A" w:rsidP="006B3FB6">
      <w:pPr>
        <w:rPr>
          <w:rStyle w:val="BodyTextSTDChar"/>
          <w:rFonts w:ascii="Franklin Gothic Book" w:eastAsiaTheme="minorHAnsi" w:hAnsi="Franklin Gothic Book"/>
        </w:rPr>
      </w:pPr>
      <w:r w:rsidRPr="00637A3D">
        <w:rPr>
          <w:rStyle w:val="BodyTextSTDChar"/>
          <w:rFonts w:ascii="Franklin Gothic Book" w:eastAsiaTheme="minorHAnsi" w:hAnsi="Franklin Gothic Book"/>
        </w:rPr>
        <w:t xml:space="preserve">The </w:t>
      </w:r>
      <w:r w:rsidR="00703D43" w:rsidRPr="00637A3D">
        <w:rPr>
          <w:rStyle w:val="BodyTextSTDChar"/>
          <w:rFonts w:ascii="Franklin Gothic Book" w:eastAsiaTheme="minorHAnsi" w:hAnsi="Franklin Gothic Book"/>
        </w:rPr>
        <w:t>incremental cost-effectiveness ratio (</w:t>
      </w:r>
      <w:r w:rsidRPr="00637A3D">
        <w:rPr>
          <w:rStyle w:val="BodyTextSTDChar"/>
          <w:rFonts w:ascii="Franklin Gothic Book" w:eastAsiaTheme="minorHAnsi" w:hAnsi="Franklin Gothic Book"/>
        </w:rPr>
        <w:t>ICER</w:t>
      </w:r>
      <w:r w:rsidR="00703D43" w:rsidRPr="00637A3D">
        <w:rPr>
          <w:rStyle w:val="BodyTextSTDChar"/>
          <w:rFonts w:ascii="Franklin Gothic Book" w:eastAsiaTheme="minorHAnsi" w:hAnsi="Franklin Gothic Book"/>
        </w:rPr>
        <w:t>)</w:t>
      </w:r>
      <w:r w:rsidRPr="00637A3D">
        <w:rPr>
          <w:rStyle w:val="BodyTextSTDChar"/>
          <w:rFonts w:ascii="Franklin Gothic Book" w:eastAsiaTheme="minorHAnsi" w:hAnsi="Franklin Gothic Book"/>
        </w:rPr>
        <w:t xml:space="preserve"> over </w:t>
      </w:r>
      <w:r w:rsidR="00B4096E" w:rsidRPr="00637A3D">
        <w:rPr>
          <w:rStyle w:val="BodyTextSTDChar"/>
          <w:rFonts w:ascii="Franklin Gothic Book" w:eastAsiaTheme="minorHAnsi" w:hAnsi="Franklin Gothic Book"/>
        </w:rPr>
        <w:t>two years</w:t>
      </w:r>
      <w:r w:rsidRPr="00637A3D">
        <w:rPr>
          <w:rStyle w:val="BodyTextSTDChar"/>
          <w:rFonts w:ascii="Franklin Gothic Book" w:eastAsiaTheme="minorHAnsi" w:hAnsi="Franklin Gothic Book"/>
        </w:rPr>
        <w:t xml:space="preserve"> was estimated to be</w:t>
      </w:r>
      <w:r w:rsidRPr="009445DF">
        <w:rPr>
          <w:rStyle w:val="BodyTextSTDChar"/>
          <w:rFonts w:ascii="Franklin Gothic Book" w:eastAsiaTheme="minorHAnsi" w:hAnsi="Franklin Gothic Book"/>
        </w:rPr>
        <w:t xml:space="preserve"> </w:t>
      </w:r>
      <w:r w:rsidR="00C817A8" w:rsidRPr="009445DF">
        <w:rPr>
          <w:rStyle w:val="BodyTextSTDChar"/>
          <w:rFonts w:ascii="Franklin Gothic Book" w:eastAsiaTheme="minorHAnsi" w:hAnsi="Franklin Gothic Book"/>
        </w:rPr>
        <w:t>$</w:t>
      </w:r>
      <w:r w:rsidR="00443AF1" w:rsidRPr="00443AF1">
        <w:rPr>
          <w:rStyle w:val="BodyTextSTDChar"/>
          <w:rFonts w:ascii="Franklin Gothic Book" w:eastAsiaTheme="minorHAnsi" w:hAnsi="Franklin Gothic Book"/>
          <w:color w:val="000000"/>
          <w:spacing w:val="24"/>
          <w:w w:val="47"/>
          <w:shd w:val="solid" w:color="000000" w:fill="000000"/>
          <w:fitText w:val="435" w:id="-1429520120"/>
          <w14:textFill>
            <w14:solidFill>
              <w14:srgbClr w14:val="000000">
                <w14:alpha w14:val="100000"/>
              </w14:srgbClr>
            </w14:solidFill>
          </w14:textFill>
        </w:rPr>
        <w:t>|||||</w:t>
      </w:r>
      <w:r w:rsidR="00443AF1" w:rsidRPr="00443AF1">
        <w:rPr>
          <w:rStyle w:val="BodyTextSTDChar"/>
          <w:rFonts w:ascii="Franklin Gothic Book" w:eastAsiaTheme="minorHAnsi" w:hAnsi="Franklin Gothic Book"/>
          <w:color w:val="000000"/>
          <w:spacing w:val="5"/>
          <w:w w:val="47"/>
          <w:shd w:val="solid" w:color="000000" w:fill="000000"/>
          <w:fitText w:val="435" w:id="-1429520120"/>
          <w14:textFill>
            <w14:solidFill>
              <w14:srgbClr w14:val="000000">
                <w14:alpha w14:val="100000"/>
              </w14:srgbClr>
            </w14:solidFill>
          </w14:textFill>
        </w:rPr>
        <w:t>|</w:t>
      </w:r>
      <w:r w:rsidRPr="00637A3D">
        <w:rPr>
          <w:rStyle w:val="BodyTextSTDChar"/>
          <w:rFonts w:ascii="Franklin Gothic Book" w:eastAsiaTheme="minorHAnsi" w:hAnsi="Franklin Gothic Book"/>
        </w:rPr>
        <w:t xml:space="preserve">per </w:t>
      </w:r>
      <w:r w:rsidR="00B4096E" w:rsidRPr="00637A3D">
        <w:rPr>
          <w:rStyle w:val="BodyTextSTDChar"/>
          <w:rFonts w:ascii="Franklin Gothic Book" w:eastAsiaTheme="minorHAnsi" w:hAnsi="Franklin Gothic Book"/>
        </w:rPr>
        <w:t>quality-adjusted life-year (</w:t>
      </w:r>
      <w:r w:rsidRPr="00637A3D">
        <w:rPr>
          <w:rStyle w:val="BodyTextSTDChar"/>
          <w:rFonts w:ascii="Franklin Gothic Book" w:eastAsiaTheme="minorHAnsi" w:hAnsi="Franklin Gothic Book"/>
        </w:rPr>
        <w:t>QALY</w:t>
      </w:r>
      <w:r w:rsidR="00B4096E" w:rsidRPr="00637A3D">
        <w:rPr>
          <w:rStyle w:val="BodyTextSTDChar"/>
          <w:rFonts w:ascii="Franklin Gothic Book" w:eastAsiaTheme="minorHAnsi" w:hAnsi="Franklin Gothic Book"/>
        </w:rPr>
        <w:t>)</w:t>
      </w:r>
      <w:r w:rsidRPr="00637A3D">
        <w:rPr>
          <w:rStyle w:val="BodyTextSTDChar"/>
          <w:rFonts w:ascii="Franklin Gothic Book" w:eastAsiaTheme="minorHAnsi" w:hAnsi="Franklin Gothic Book"/>
        </w:rPr>
        <w:t xml:space="preserve"> gained</w:t>
      </w:r>
      <w:r w:rsidR="0098157E" w:rsidRPr="00637A3D">
        <w:rPr>
          <w:rStyle w:val="BodyTextSTDChar"/>
          <w:rFonts w:ascii="Franklin Gothic Book" w:eastAsiaTheme="minorHAnsi" w:hAnsi="Franklin Gothic Book"/>
        </w:rPr>
        <w:t xml:space="preserve"> (see Table 8)</w:t>
      </w:r>
      <w:r w:rsidRPr="00637A3D">
        <w:rPr>
          <w:rStyle w:val="BodyTextSTDChar"/>
          <w:rFonts w:ascii="Franklin Gothic Book" w:eastAsiaTheme="minorHAnsi" w:hAnsi="Franklin Gothic Book"/>
        </w:rPr>
        <w:t xml:space="preserve">. The extrapolated 12-year time frame was associated with </w:t>
      </w:r>
      <w:r w:rsidR="00B4096E" w:rsidRPr="00637A3D">
        <w:rPr>
          <w:rStyle w:val="BodyTextSTDChar"/>
          <w:rFonts w:ascii="Franklin Gothic Book" w:eastAsiaTheme="minorHAnsi" w:hAnsi="Franklin Gothic Book"/>
        </w:rPr>
        <w:t xml:space="preserve">the </w:t>
      </w:r>
      <w:r w:rsidR="004B4088" w:rsidRPr="006E22C7">
        <w:rPr>
          <w:lang w:val="en-NZ"/>
        </w:rPr>
        <w:t>Micra VR TPS</w:t>
      </w:r>
      <w:r w:rsidRPr="00637A3D">
        <w:rPr>
          <w:rStyle w:val="BodyTextSTDChar"/>
          <w:rFonts w:ascii="Franklin Gothic Book" w:eastAsiaTheme="minorHAnsi" w:hAnsi="Franklin Gothic Book"/>
        </w:rPr>
        <w:t xml:space="preserve"> generating 0.0832 additional QALYs over </w:t>
      </w:r>
      <w:r w:rsidR="00B4096E" w:rsidRPr="00637A3D">
        <w:rPr>
          <w:rStyle w:val="BodyTextSTDChar"/>
          <w:rFonts w:ascii="Franklin Gothic Book" w:eastAsiaTheme="minorHAnsi" w:hAnsi="Franklin Gothic Book"/>
        </w:rPr>
        <w:t xml:space="preserve">the </w:t>
      </w:r>
      <w:r w:rsidRPr="00637A3D">
        <w:rPr>
          <w:rStyle w:val="BodyTextSTDChar"/>
          <w:rFonts w:ascii="Franklin Gothic Book" w:eastAsiaTheme="minorHAnsi" w:hAnsi="Franklin Gothic Book"/>
        </w:rPr>
        <w:t>TVPM</w:t>
      </w:r>
      <w:r w:rsidR="00703D43" w:rsidRPr="00637A3D">
        <w:rPr>
          <w:rStyle w:val="BodyTextSTDChar"/>
          <w:rFonts w:ascii="Franklin Gothic Book" w:eastAsiaTheme="minorHAnsi" w:hAnsi="Franklin Gothic Book"/>
        </w:rPr>
        <w:t>; t</w:t>
      </w:r>
      <w:r w:rsidRPr="00637A3D">
        <w:rPr>
          <w:rStyle w:val="BodyTextSTDChar"/>
          <w:rFonts w:ascii="Franklin Gothic Book" w:eastAsiaTheme="minorHAnsi" w:hAnsi="Franklin Gothic Book"/>
        </w:rPr>
        <w:t xml:space="preserve">he ICER was </w:t>
      </w:r>
      <w:r w:rsidR="00C817A8" w:rsidRPr="009445DF">
        <w:rPr>
          <w:rStyle w:val="BodyTextSTDChar"/>
          <w:rFonts w:ascii="Franklin Gothic Book" w:eastAsiaTheme="minorHAnsi" w:hAnsi="Franklin Gothic Book"/>
        </w:rPr>
        <w:t>$</w:t>
      </w:r>
      <w:r w:rsidR="00443AF1" w:rsidRPr="00443AF1">
        <w:rPr>
          <w:rStyle w:val="BodyTextSTDChar"/>
          <w:rFonts w:ascii="Franklin Gothic Book" w:eastAsiaTheme="minorHAnsi" w:hAnsi="Franklin Gothic Book"/>
          <w:color w:val="000000"/>
          <w:spacing w:val="25"/>
          <w:w w:val="47"/>
          <w:shd w:val="solid" w:color="000000" w:fill="000000"/>
          <w:fitText w:val="436" w:id="-1429520119"/>
          <w14:textFill>
            <w14:solidFill>
              <w14:srgbClr w14:val="000000">
                <w14:alpha w14:val="100000"/>
              </w14:srgbClr>
            </w14:solidFill>
          </w14:textFill>
        </w:rPr>
        <w:t>|||||</w:t>
      </w:r>
      <w:r w:rsidR="00443AF1" w:rsidRPr="00443AF1">
        <w:rPr>
          <w:rStyle w:val="BodyTextSTDChar"/>
          <w:rFonts w:ascii="Franklin Gothic Book" w:eastAsiaTheme="minorHAnsi" w:hAnsi="Franklin Gothic Book"/>
          <w:color w:val="000000"/>
          <w:spacing w:val="1"/>
          <w:w w:val="47"/>
          <w:shd w:val="solid" w:color="000000" w:fill="000000"/>
          <w:fitText w:val="436" w:id="-1429520119"/>
          <w14:textFill>
            <w14:solidFill>
              <w14:srgbClr w14:val="000000">
                <w14:alpha w14:val="100000"/>
              </w14:srgbClr>
            </w14:solidFill>
          </w14:textFill>
        </w:rPr>
        <w:t>|</w:t>
      </w:r>
      <w:r w:rsidRPr="00637A3D">
        <w:rPr>
          <w:rStyle w:val="BodyTextSTDChar"/>
          <w:rFonts w:ascii="Franklin Gothic Book" w:eastAsiaTheme="minorHAnsi" w:hAnsi="Franklin Gothic Book"/>
        </w:rPr>
        <w:t xml:space="preserve"> per QALY gain</w:t>
      </w:r>
      <w:r w:rsidR="00703D43" w:rsidRPr="00637A3D">
        <w:rPr>
          <w:rStyle w:val="BodyTextSTDChar"/>
          <w:rFonts w:ascii="Franklin Gothic Book" w:eastAsiaTheme="minorHAnsi" w:hAnsi="Franklin Gothic Book"/>
        </w:rPr>
        <w:t>ed</w:t>
      </w:r>
      <w:r w:rsidRPr="00637A3D">
        <w:rPr>
          <w:rStyle w:val="BodyTextSTDChar"/>
          <w:rFonts w:ascii="Franklin Gothic Book" w:eastAsiaTheme="minorHAnsi" w:hAnsi="Franklin Gothic Book"/>
        </w:rPr>
        <w:t>.</w:t>
      </w:r>
    </w:p>
    <w:p w14:paraId="235DDEEB" w14:textId="733C3BEE" w:rsidR="00B90C6A" w:rsidRPr="0086353C" w:rsidRDefault="009707A6" w:rsidP="009707A6">
      <w:pPr>
        <w:pStyle w:val="Caption"/>
      </w:pPr>
      <w:r>
        <w:t xml:space="preserve">Table </w:t>
      </w:r>
      <w:fldSimple w:instr=" SEQ Table \* ARABIC ">
        <w:r w:rsidR="0084187F">
          <w:rPr>
            <w:noProof/>
          </w:rPr>
          <w:t>12</w:t>
        </w:r>
      </w:fldSimple>
      <w:r>
        <w:tab/>
      </w:r>
      <w:r w:rsidR="00B90C6A" w:rsidRPr="0086353C">
        <w:t>Results of the economic analysis</w:t>
      </w:r>
    </w:p>
    <w:tbl>
      <w:tblPr>
        <w:tblStyle w:val="TableGrid1"/>
        <w:tblW w:w="5000" w:type="pct"/>
        <w:tblLayout w:type="fixed"/>
        <w:tblLook w:val="04A0" w:firstRow="1" w:lastRow="0" w:firstColumn="1" w:lastColumn="0" w:noHBand="0" w:noVBand="1"/>
        <w:tblCaption w:val="Results of the stepped economic analyses"/>
      </w:tblPr>
      <w:tblGrid>
        <w:gridCol w:w="3539"/>
        <w:gridCol w:w="1323"/>
        <w:gridCol w:w="1324"/>
        <w:gridCol w:w="1324"/>
        <w:gridCol w:w="1506"/>
      </w:tblGrid>
      <w:tr w:rsidR="00B90C6A" w:rsidRPr="004F3793" w14:paraId="2C39CCD6" w14:textId="77777777" w:rsidTr="002D295B">
        <w:trPr>
          <w:cnfStyle w:val="100000000000" w:firstRow="1" w:lastRow="0" w:firstColumn="0" w:lastColumn="0" w:oddVBand="0" w:evenVBand="0" w:oddHBand="0" w:evenHBand="0" w:firstRowFirstColumn="0" w:firstRowLastColumn="0" w:lastRowFirstColumn="0" w:lastRowLastColumn="0"/>
          <w:cantSplit/>
          <w:trHeight w:val="300"/>
          <w:tblHeader/>
        </w:trPr>
        <w:tc>
          <w:tcPr>
            <w:tcW w:w="1963" w:type="pct"/>
            <w:noWrap/>
            <w:vAlign w:val="center"/>
            <w:hideMark/>
          </w:tcPr>
          <w:p w14:paraId="633D9019" w14:textId="77777777" w:rsidR="00B90C6A" w:rsidRPr="004F3793" w:rsidRDefault="00B90C6A" w:rsidP="002D295B">
            <w:pPr>
              <w:pStyle w:val="TableHeading"/>
            </w:pPr>
            <w:bookmarkStart w:id="19" w:name="Title_Table6"/>
            <w:bookmarkEnd w:id="19"/>
            <w:r w:rsidRPr="004F3793">
              <w:t>Step</w:t>
            </w:r>
          </w:p>
        </w:tc>
        <w:tc>
          <w:tcPr>
            <w:tcW w:w="734" w:type="pct"/>
            <w:noWrap/>
            <w:vAlign w:val="center"/>
            <w:hideMark/>
          </w:tcPr>
          <w:p w14:paraId="4BCDE7CC" w14:textId="7E73EF28" w:rsidR="00B90C6A" w:rsidRPr="004F3793" w:rsidRDefault="004B4088" w:rsidP="002D295B">
            <w:pPr>
              <w:pStyle w:val="TableHeading"/>
              <w:jc w:val="center"/>
            </w:pPr>
            <w:r>
              <w:rPr>
                <w:lang w:val="en-NZ"/>
              </w:rPr>
              <w:t>Micra VR TPS</w:t>
            </w:r>
          </w:p>
        </w:tc>
        <w:tc>
          <w:tcPr>
            <w:tcW w:w="734" w:type="pct"/>
            <w:noWrap/>
            <w:vAlign w:val="center"/>
            <w:hideMark/>
          </w:tcPr>
          <w:p w14:paraId="35425959" w14:textId="77777777" w:rsidR="00B90C6A" w:rsidRPr="004F3793" w:rsidRDefault="00B90C6A" w:rsidP="002D295B">
            <w:pPr>
              <w:pStyle w:val="TableHeading"/>
              <w:jc w:val="center"/>
            </w:pPr>
            <w:r w:rsidRPr="004F3793">
              <w:t>TVPM</w:t>
            </w:r>
          </w:p>
        </w:tc>
        <w:tc>
          <w:tcPr>
            <w:tcW w:w="734" w:type="pct"/>
            <w:noWrap/>
            <w:vAlign w:val="center"/>
            <w:hideMark/>
          </w:tcPr>
          <w:p w14:paraId="4D6A75CF" w14:textId="77777777" w:rsidR="00B90C6A" w:rsidRPr="004F3793" w:rsidRDefault="00B90C6A" w:rsidP="002D295B">
            <w:pPr>
              <w:pStyle w:val="TableHeading"/>
              <w:jc w:val="center"/>
            </w:pPr>
            <w:r w:rsidRPr="004F3793">
              <w:t>Increment</w:t>
            </w:r>
          </w:p>
        </w:tc>
        <w:tc>
          <w:tcPr>
            <w:tcW w:w="835" w:type="pct"/>
            <w:vAlign w:val="center"/>
          </w:tcPr>
          <w:p w14:paraId="0836752C" w14:textId="77777777" w:rsidR="00B90C6A" w:rsidRPr="004F3793" w:rsidRDefault="00B90C6A" w:rsidP="002D295B">
            <w:pPr>
              <w:pStyle w:val="TableHeading"/>
              <w:jc w:val="center"/>
            </w:pPr>
            <w:r w:rsidRPr="004F3793">
              <w:t>ICER</w:t>
            </w:r>
          </w:p>
        </w:tc>
      </w:tr>
      <w:tr w:rsidR="00B90C6A" w:rsidRPr="004F3793" w14:paraId="3C9344FA" w14:textId="77777777" w:rsidTr="002D295B">
        <w:trPr>
          <w:cantSplit/>
          <w:trHeight w:val="300"/>
        </w:trPr>
        <w:tc>
          <w:tcPr>
            <w:tcW w:w="5000" w:type="pct"/>
            <w:gridSpan w:val="5"/>
            <w:tcBorders>
              <w:bottom w:val="single" w:sz="4" w:space="0" w:color="auto"/>
            </w:tcBorders>
            <w:noWrap/>
            <w:vAlign w:val="center"/>
            <w:hideMark/>
          </w:tcPr>
          <w:p w14:paraId="4073FBE5" w14:textId="267F3F80" w:rsidR="00B90C6A" w:rsidRPr="004F3793" w:rsidRDefault="00B90C6A" w:rsidP="002D295B">
            <w:pPr>
              <w:pStyle w:val="Tabletext"/>
            </w:pPr>
            <w:r w:rsidRPr="004F3793">
              <w:t xml:space="preserve">Step 1 – Comparative study data, 2-year time horizon (CED </w:t>
            </w:r>
            <w:r w:rsidR="00250186">
              <w:t xml:space="preserve">study </w:t>
            </w:r>
            <w:r w:rsidRPr="004F3793">
              <w:t>maximum follow-up)</w:t>
            </w:r>
          </w:p>
        </w:tc>
      </w:tr>
      <w:tr w:rsidR="00B90C6A" w:rsidRPr="004F3793" w14:paraId="4A04D184" w14:textId="77777777" w:rsidTr="00443AF1">
        <w:trPr>
          <w:cantSplit/>
          <w:trHeight w:val="300"/>
        </w:trPr>
        <w:tc>
          <w:tcPr>
            <w:tcW w:w="1963" w:type="pct"/>
            <w:tcBorders>
              <w:bottom w:val="nil"/>
            </w:tcBorders>
            <w:noWrap/>
            <w:vAlign w:val="center"/>
          </w:tcPr>
          <w:p w14:paraId="78C9FAEA" w14:textId="77777777" w:rsidR="00B90C6A" w:rsidRPr="00681F58" w:rsidRDefault="00B90C6A" w:rsidP="002D295B">
            <w:pPr>
              <w:pStyle w:val="Tabletext"/>
            </w:pPr>
            <w:r w:rsidRPr="00681F58">
              <w:t>Costs</w:t>
            </w:r>
          </w:p>
        </w:tc>
        <w:tc>
          <w:tcPr>
            <w:tcW w:w="734" w:type="pct"/>
            <w:tcBorders>
              <w:bottom w:val="nil"/>
            </w:tcBorders>
            <w:noWrap/>
            <w:vAlign w:val="center"/>
          </w:tcPr>
          <w:p w14:paraId="77ABE9E0" w14:textId="4DF4DCA5" w:rsidR="00B90C6A" w:rsidRPr="009445DF" w:rsidRDefault="00C817A8" w:rsidP="002D295B">
            <w:pPr>
              <w:pStyle w:val="Tabletext"/>
              <w:jc w:val="right"/>
              <w:rPr>
                <w:highlight w:val="green"/>
              </w:rPr>
            </w:pPr>
            <w:r w:rsidRPr="009445DF">
              <w:t>$</w:t>
            </w:r>
            <w:r w:rsidR="00443AF1" w:rsidRPr="00443AF1">
              <w:rPr>
                <w:color w:val="000000"/>
                <w:shd w:val="solid" w:color="000000" w:fill="000000"/>
                <w14:textFill>
                  <w14:solidFill>
                    <w14:srgbClr w14:val="000000">
                      <w14:alpha w14:val="100000"/>
                    </w14:srgbClr>
                  </w14:solidFill>
                </w14:textFill>
              </w:rPr>
              <w:t>|</w:t>
            </w:r>
          </w:p>
        </w:tc>
        <w:tc>
          <w:tcPr>
            <w:tcW w:w="734" w:type="pct"/>
            <w:tcBorders>
              <w:bottom w:val="nil"/>
            </w:tcBorders>
            <w:noWrap/>
            <w:vAlign w:val="center"/>
          </w:tcPr>
          <w:p w14:paraId="193834C8" w14:textId="161B2C97" w:rsidR="00B90C6A" w:rsidRPr="009445DF" w:rsidRDefault="00C817A8" w:rsidP="002D295B">
            <w:pPr>
              <w:pStyle w:val="Tabletext"/>
              <w:jc w:val="right"/>
              <w:rPr>
                <w:highlight w:val="green"/>
              </w:rPr>
            </w:pPr>
            <w:r w:rsidRPr="009445DF">
              <w:t>$</w:t>
            </w:r>
            <w:r w:rsidR="00443AF1" w:rsidRPr="00443AF1">
              <w:rPr>
                <w:color w:val="000000"/>
                <w:shd w:val="solid" w:color="000000" w:fill="000000"/>
                <w14:textFill>
                  <w14:solidFill>
                    <w14:srgbClr w14:val="000000">
                      <w14:alpha w14:val="100000"/>
                    </w14:srgbClr>
                  </w14:solidFill>
                </w14:textFill>
              </w:rPr>
              <w:t>|</w:t>
            </w:r>
          </w:p>
        </w:tc>
        <w:tc>
          <w:tcPr>
            <w:tcW w:w="734" w:type="pct"/>
            <w:tcBorders>
              <w:bottom w:val="nil"/>
            </w:tcBorders>
            <w:noWrap/>
            <w:vAlign w:val="center"/>
          </w:tcPr>
          <w:p w14:paraId="1C4DA09E" w14:textId="5ED32F48" w:rsidR="00B90C6A" w:rsidRPr="009445DF" w:rsidRDefault="00C817A8" w:rsidP="002D295B">
            <w:pPr>
              <w:pStyle w:val="Tabletext"/>
              <w:jc w:val="right"/>
              <w:rPr>
                <w:highlight w:val="green"/>
              </w:rPr>
            </w:pPr>
            <w:r w:rsidRPr="009445DF">
              <w:t>$</w:t>
            </w:r>
            <w:r w:rsidR="00443AF1" w:rsidRPr="00443AF1">
              <w:rPr>
                <w:color w:val="000000"/>
                <w:shd w:val="solid" w:color="000000" w:fill="000000"/>
                <w14:textFill>
                  <w14:solidFill>
                    <w14:srgbClr w14:val="000000">
                      <w14:alpha w14:val="100000"/>
                    </w14:srgbClr>
                  </w14:solidFill>
                </w14:textFill>
              </w:rPr>
              <w:t>|</w:t>
            </w:r>
          </w:p>
        </w:tc>
        <w:tc>
          <w:tcPr>
            <w:tcW w:w="835" w:type="pct"/>
            <w:tcBorders>
              <w:bottom w:val="nil"/>
            </w:tcBorders>
            <w:vAlign w:val="center"/>
          </w:tcPr>
          <w:p w14:paraId="69179D92" w14:textId="77777777" w:rsidR="00B90C6A" w:rsidRPr="009445DF" w:rsidRDefault="00B90C6A" w:rsidP="002D295B">
            <w:pPr>
              <w:pStyle w:val="Tabletext"/>
              <w:jc w:val="right"/>
              <w:rPr>
                <w:highlight w:val="green"/>
              </w:rPr>
            </w:pPr>
          </w:p>
        </w:tc>
      </w:tr>
      <w:tr w:rsidR="00B90C6A" w:rsidRPr="004F3793" w14:paraId="56169554" w14:textId="77777777" w:rsidTr="00443AF1">
        <w:trPr>
          <w:cantSplit/>
          <w:trHeight w:val="300"/>
        </w:trPr>
        <w:tc>
          <w:tcPr>
            <w:tcW w:w="1963" w:type="pct"/>
            <w:tcBorders>
              <w:top w:val="nil"/>
            </w:tcBorders>
            <w:noWrap/>
            <w:vAlign w:val="center"/>
          </w:tcPr>
          <w:p w14:paraId="35E688E0" w14:textId="5864F875" w:rsidR="00B90C6A" w:rsidRPr="00681F58" w:rsidRDefault="00B90C6A" w:rsidP="002D295B">
            <w:pPr>
              <w:pStyle w:val="Tabletext"/>
            </w:pPr>
            <w:r w:rsidRPr="00681F58">
              <w:t>Outcome (</w:t>
            </w:r>
            <w:r w:rsidR="00447B4F" w:rsidRPr="00681F58">
              <w:t>QALY</w:t>
            </w:r>
            <w:r w:rsidR="00447B4F">
              <w:t>s</w:t>
            </w:r>
            <w:r w:rsidRPr="00681F58">
              <w:t>)</w:t>
            </w:r>
          </w:p>
        </w:tc>
        <w:tc>
          <w:tcPr>
            <w:tcW w:w="734" w:type="pct"/>
            <w:tcBorders>
              <w:top w:val="nil"/>
            </w:tcBorders>
            <w:shd w:val="solid" w:color="000000" w:fill="000000"/>
            <w:noWrap/>
            <w:vAlign w:val="center"/>
          </w:tcPr>
          <w:p w14:paraId="681DBDA2" w14:textId="6AB07107" w:rsidR="00B90C6A" w:rsidRPr="009445DF" w:rsidRDefault="00443AF1" w:rsidP="002D295B">
            <w:pPr>
              <w:pStyle w:val="Tabletext"/>
              <w:jc w:val="right"/>
            </w:pPr>
            <w:r w:rsidRPr="00443AF1">
              <w:rPr>
                <w:color w:val="000000"/>
                <w14:textFill>
                  <w14:solidFill>
                    <w14:srgbClr w14:val="000000">
                      <w14:alpha w14:val="100000"/>
                    </w14:srgbClr>
                  </w14:solidFill>
                </w14:textFill>
              </w:rPr>
              <w:t>|</w:t>
            </w:r>
          </w:p>
        </w:tc>
        <w:tc>
          <w:tcPr>
            <w:tcW w:w="734" w:type="pct"/>
            <w:tcBorders>
              <w:top w:val="nil"/>
            </w:tcBorders>
            <w:shd w:val="solid" w:color="000000" w:fill="000000"/>
            <w:noWrap/>
            <w:vAlign w:val="center"/>
          </w:tcPr>
          <w:p w14:paraId="5800DBE6" w14:textId="2DD1FB98" w:rsidR="00B90C6A" w:rsidRPr="009445DF" w:rsidRDefault="00443AF1" w:rsidP="002D295B">
            <w:pPr>
              <w:pStyle w:val="Tabletext"/>
              <w:jc w:val="right"/>
            </w:pPr>
            <w:r w:rsidRPr="00443AF1">
              <w:rPr>
                <w:color w:val="000000"/>
                <w14:textFill>
                  <w14:solidFill>
                    <w14:srgbClr w14:val="000000">
                      <w14:alpha w14:val="100000"/>
                    </w14:srgbClr>
                  </w14:solidFill>
                </w14:textFill>
              </w:rPr>
              <w:t>|</w:t>
            </w:r>
          </w:p>
        </w:tc>
        <w:tc>
          <w:tcPr>
            <w:tcW w:w="734" w:type="pct"/>
            <w:tcBorders>
              <w:top w:val="nil"/>
            </w:tcBorders>
            <w:shd w:val="solid" w:color="000000" w:fill="000000"/>
            <w:noWrap/>
            <w:vAlign w:val="center"/>
          </w:tcPr>
          <w:p w14:paraId="3400DD8C" w14:textId="25C3519E" w:rsidR="00B90C6A" w:rsidRPr="009445DF" w:rsidRDefault="00443AF1" w:rsidP="002D295B">
            <w:pPr>
              <w:pStyle w:val="Tabletext"/>
              <w:jc w:val="right"/>
            </w:pPr>
            <w:r w:rsidRPr="00443AF1">
              <w:rPr>
                <w:color w:val="000000"/>
                <w14:textFill>
                  <w14:solidFill>
                    <w14:srgbClr w14:val="000000">
                      <w14:alpha w14:val="100000"/>
                    </w14:srgbClr>
                  </w14:solidFill>
                </w14:textFill>
              </w:rPr>
              <w:t>|</w:t>
            </w:r>
          </w:p>
        </w:tc>
        <w:tc>
          <w:tcPr>
            <w:tcW w:w="835" w:type="pct"/>
            <w:tcBorders>
              <w:top w:val="nil"/>
            </w:tcBorders>
            <w:vAlign w:val="center"/>
          </w:tcPr>
          <w:p w14:paraId="20401948" w14:textId="55440F10" w:rsidR="00B90C6A" w:rsidRPr="009445DF" w:rsidRDefault="00C817A8" w:rsidP="002D295B">
            <w:pPr>
              <w:pStyle w:val="Tabletext"/>
              <w:jc w:val="right"/>
              <w:rPr>
                <w:highlight w:val="green"/>
              </w:rPr>
            </w:pPr>
            <w:r w:rsidRPr="009445DF">
              <w:rPr>
                <w:rStyle w:val="BodyTextSTDChar"/>
                <w:rFonts w:ascii="Arial Narrow" w:hAnsi="Arial Narrow"/>
              </w:rPr>
              <w:t>$</w:t>
            </w:r>
            <w:r w:rsidR="00443AF1" w:rsidRPr="00443AF1">
              <w:rPr>
                <w:rStyle w:val="BodyTextSTDChar"/>
                <w:rFonts w:ascii="Arial Narrow" w:hAnsi="Arial Narrow"/>
                <w:color w:val="000000"/>
                <w:shd w:val="solid" w:color="000000" w:fill="000000"/>
                <w14:textFill>
                  <w14:solidFill>
                    <w14:srgbClr w14:val="000000">
                      <w14:alpha w14:val="100000"/>
                    </w14:srgbClr>
                  </w14:solidFill>
                </w14:textFill>
              </w:rPr>
              <w:t>|</w:t>
            </w:r>
          </w:p>
        </w:tc>
      </w:tr>
      <w:tr w:rsidR="00B90C6A" w:rsidRPr="004F3793" w14:paraId="2A942C22" w14:textId="77777777" w:rsidTr="002D295B">
        <w:trPr>
          <w:cantSplit/>
          <w:trHeight w:val="300"/>
        </w:trPr>
        <w:tc>
          <w:tcPr>
            <w:tcW w:w="5000" w:type="pct"/>
            <w:gridSpan w:val="5"/>
            <w:tcBorders>
              <w:bottom w:val="single" w:sz="4" w:space="0" w:color="auto"/>
            </w:tcBorders>
            <w:noWrap/>
            <w:vAlign w:val="center"/>
            <w:hideMark/>
          </w:tcPr>
          <w:p w14:paraId="3B6B9DDE" w14:textId="77777777" w:rsidR="00B90C6A" w:rsidRPr="009445DF" w:rsidRDefault="00B90C6A" w:rsidP="002D295B">
            <w:pPr>
              <w:pStyle w:val="Tabletext"/>
            </w:pPr>
            <w:r w:rsidRPr="009445DF">
              <w:t>Step 2 – Time frame extrapolated with additional modelling (12-year battery life)</w:t>
            </w:r>
          </w:p>
        </w:tc>
      </w:tr>
      <w:tr w:rsidR="00B90C6A" w:rsidRPr="004F3793" w14:paraId="2357FD08" w14:textId="77777777" w:rsidTr="00443AF1">
        <w:trPr>
          <w:cantSplit/>
          <w:trHeight w:val="300"/>
        </w:trPr>
        <w:tc>
          <w:tcPr>
            <w:tcW w:w="1963" w:type="pct"/>
            <w:tcBorders>
              <w:bottom w:val="nil"/>
            </w:tcBorders>
            <w:noWrap/>
            <w:vAlign w:val="center"/>
          </w:tcPr>
          <w:p w14:paraId="116DF011" w14:textId="77777777" w:rsidR="00B90C6A" w:rsidRPr="00681F58" w:rsidRDefault="00B90C6A" w:rsidP="002D295B">
            <w:pPr>
              <w:pStyle w:val="Tabletext"/>
            </w:pPr>
            <w:r w:rsidRPr="00681F58">
              <w:t>Costs</w:t>
            </w:r>
          </w:p>
        </w:tc>
        <w:tc>
          <w:tcPr>
            <w:tcW w:w="734" w:type="pct"/>
            <w:tcBorders>
              <w:bottom w:val="nil"/>
            </w:tcBorders>
            <w:noWrap/>
            <w:vAlign w:val="center"/>
          </w:tcPr>
          <w:p w14:paraId="419F7C3D" w14:textId="41BA9A63" w:rsidR="00B90C6A" w:rsidRPr="009445DF" w:rsidRDefault="00C817A8" w:rsidP="002D295B">
            <w:pPr>
              <w:pStyle w:val="Tabletext"/>
              <w:jc w:val="right"/>
              <w:rPr>
                <w:highlight w:val="green"/>
              </w:rPr>
            </w:pPr>
            <w:r w:rsidRPr="009445DF">
              <w:t>$</w:t>
            </w:r>
            <w:r w:rsidR="00443AF1" w:rsidRPr="00443AF1">
              <w:rPr>
                <w:color w:val="000000"/>
                <w:shd w:val="solid" w:color="000000" w:fill="000000"/>
                <w14:textFill>
                  <w14:solidFill>
                    <w14:srgbClr w14:val="000000">
                      <w14:alpha w14:val="100000"/>
                    </w14:srgbClr>
                  </w14:solidFill>
                </w14:textFill>
              </w:rPr>
              <w:t>|</w:t>
            </w:r>
          </w:p>
        </w:tc>
        <w:tc>
          <w:tcPr>
            <w:tcW w:w="734" w:type="pct"/>
            <w:tcBorders>
              <w:bottom w:val="nil"/>
            </w:tcBorders>
            <w:noWrap/>
            <w:vAlign w:val="center"/>
          </w:tcPr>
          <w:p w14:paraId="1E6E159E" w14:textId="1EA1E2C2" w:rsidR="00B90C6A" w:rsidRPr="009445DF" w:rsidRDefault="00C817A8" w:rsidP="002D295B">
            <w:pPr>
              <w:pStyle w:val="Tabletext"/>
              <w:jc w:val="right"/>
              <w:rPr>
                <w:highlight w:val="green"/>
              </w:rPr>
            </w:pPr>
            <w:r w:rsidRPr="009445DF">
              <w:t>$</w:t>
            </w:r>
            <w:r w:rsidR="00443AF1" w:rsidRPr="00443AF1">
              <w:rPr>
                <w:color w:val="000000"/>
                <w:shd w:val="solid" w:color="000000" w:fill="000000"/>
                <w14:textFill>
                  <w14:solidFill>
                    <w14:srgbClr w14:val="000000">
                      <w14:alpha w14:val="100000"/>
                    </w14:srgbClr>
                  </w14:solidFill>
                </w14:textFill>
              </w:rPr>
              <w:t>|</w:t>
            </w:r>
          </w:p>
        </w:tc>
        <w:tc>
          <w:tcPr>
            <w:tcW w:w="734" w:type="pct"/>
            <w:tcBorders>
              <w:bottom w:val="nil"/>
            </w:tcBorders>
            <w:noWrap/>
            <w:vAlign w:val="center"/>
          </w:tcPr>
          <w:p w14:paraId="003FFFA1" w14:textId="557A95CF" w:rsidR="00B90C6A" w:rsidRPr="009445DF" w:rsidRDefault="00C817A8" w:rsidP="002D295B">
            <w:pPr>
              <w:pStyle w:val="Tabletext"/>
              <w:jc w:val="right"/>
              <w:rPr>
                <w:highlight w:val="green"/>
              </w:rPr>
            </w:pPr>
            <w:r w:rsidRPr="009445DF">
              <w:t>$</w:t>
            </w:r>
            <w:r w:rsidR="00443AF1" w:rsidRPr="00443AF1">
              <w:rPr>
                <w:color w:val="000000"/>
                <w:shd w:val="solid" w:color="000000" w:fill="000000"/>
                <w14:textFill>
                  <w14:solidFill>
                    <w14:srgbClr w14:val="000000">
                      <w14:alpha w14:val="100000"/>
                    </w14:srgbClr>
                  </w14:solidFill>
                </w14:textFill>
              </w:rPr>
              <w:t>|</w:t>
            </w:r>
          </w:p>
        </w:tc>
        <w:tc>
          <w:tcPr>
            <w:tcW w:w="835" w:type="pct"/>
            <w:tcBorders>
              <w:bottom w:val="nil"/>
            </w:tcBorders>
            <w:vAlign w:val="center"/>
          </w:tcPr>
          <w:p w14:paraId="323E83EE" w14:textId="77777777" w:rsidR="00B90C6A" w:rsidRPr="009445DF" w:rsidRDefault="00B90C6A" w:rsidP="002D295B">
            <w:pPr>
              <w:pStyle w:val="Tabletext"/>
              <w:jc w:val="right"/>
              <w:rPr>
                <w:highlight w:val="green"/>
              </w:rPr>
            </w:pPr>
          </w:p>
        </w:tc>
      </w:tr>
      <w:tr w:rsidR="00B90C6A" w:rsidRPr="004F3793" w14:paraId="26EEC570" w14:textId="77777777" w:rsidTr="00443AF1">
        <w:trPr>
          <w:cantSplit/>
          <w:trHeight w:val="300"/>
        </w:trPr>
        <w:tc>
          <w:tcPr>
            <w:tcW w:w="1963" w:type="pct"/>
            <w:tcBorders>
              <w:top w:val="nil"/>
            </w:tcBorders>
            <w:noWrap/>
            <w:vAlign w:val="center"/>
          </w:tcPr>
          <w:p w14:paraId="0192ED48" w14:textId="349C91B9" w:rsidR="00B90C6A" w:rsidRPr="00681F58" w:rsidRDefault="00B90C6A" w:rsidP="002D295B">
            <w:pPr>
              <w:pStyle w:val="Tabletext"/>
            </w:pPr>
            <w:r w:rsidRPr="00681F58">
              <w:t>Outcome (</w:t>
            </w:r>
            <w:r w:rsidR="00447B4F" w:rsidRPr="00681F58">
              <w:t>QALY</w:t>
            </w:r>
            <w:r w:rsidR="00447B4F">
              <w:t>s</w:t>
            </w:r>
            <w:r w:rsidRPr="00681F58">
              <w:t>)</w:t>
            </w:r>
          </w:p>
        </w:tc>
        <w:tc>
          <w:tcPr>
            <w:tcW w:w="734" w:type="pct"/>
            <w:tcBorders>
              <w:top w:val="nil"/>
            </w:tcBorders>
            <w:shd w:val="solid" w:color="000000" w:fill="000000"/>
            <w:noWrap/>
            <w:vAlign w:val="center"/>
          </w:tcPr>
          <w:p w14:paraId="7CA5A0AB" w14:textId="54E5F2DC" w:rsidR="00B90C6A" w:rsidRPr="009445DF" w:rsidRDefault="00443AF1" w:rsidP="002D295B">
            <w:pPr>
              <w:pStyle w:val="Tabletext"/>
              <w:jc w:val="right"/>
            </w:pPr>
            <w:r w:rsidRPr="00443AF1">
              <w:rPr>
                <w:color w:val="000000"/>
                <w14:textFill>
                  <w14:solidFill>
                    <w14:srgbClr w14:val="000000">
                      <w14:alpha w14:val="100000"/>
                    </w14:srgbClr>
                  </w14:solidFill>
                </w14:textFill>
              </w:rPr>
              <w:t>|</w:t>
            </w:r>
          </w:p>
        </w:tc>
        <w:tc>
          <w:tcPr>
            <w:tcW w:w="734" w:type="pct"/>
            <w:tcBorders>
              <w:top w:val="nil"/>
            </w:tcBorders>
            <w:shd w:val="solid" w:color="000000" w:fill="000000"/>
            <w:noWrap/>
            <w:vAlign w:val="center"/>
          </w:tcPr>
          <w:p w14:paraId="7911C531" w14:textId="11C487D0" w:rsidR="00B90C6A" w:rsidRPr="009445DF" w:rsidRDefault="00443AF1" w:rsidP="002D295B">
            <w:pPr>
              <w:pStyle w:val="Tabletext"/>
              <w:jc w:val="right"/>
            </w:pPr>
            <w:r w:rsidRPr="00443AF1">
              <w:rPr>
                <w:color w:val="000000"/>
                <w14:textFill>
                  <w14:solidFill>
                    <w14:srgbClr w14:val="000000">
                      <w14:alpha w14:val="100000"/>
                    </w14:srgbClr>
                  </w14:solidFill>
                </w14:textFill>
              </w:rPr>
              <w:t>|</w:t>
            </w:r>
          </w:p>
        </w:tc>
        <w:tc>
          <w:tcPr>
            <w:tcW w:w="734" w:type="pct"/>
            <w:tcBorders>
              <w:top w:val="nil"/>
            </w:tcBorders>
            <w:shd w:val="solid" w:color="000000" w:fill="000000"/>
            <w:noWrap/>
            <w:vAlign w:val="center"/>
          </w:tcPr>
          <w:p w14:paraId="39C6E4F5" w14:textId="787E72AE" w:rsidR="00B90C6A" w:rsidRPr="009445DF" w:rsidRDefault="00443AF1" w:rsidP="002D295B">
            <w:pPr>
              <w:pStyle w:val="Tabletext"/>
              <w:jc w:val="right"/>
            </w:pPr>
            <w:r w:rsidRPr="00443AF1">
              <w:rPr>
                <w:rStyle w:val="BodyTextSTDChar"/>
                <w:color w:val="000000"/>
                <w14:textFill>
                  <w14:solidFill>
                    <w14:srgbClr w14:val="000000">
                      <w14:alpha w14:val="100000"/>
                    </w14:srgbClr>
                  </w14:solidFill>
                </w14:textFill>
              </w:rPr>
              <w:t>|</w:t>
            </w:r>
          </w:p>
        </w:tc>
        <w:tc>
          <w:tcPr>
            <w:tcW w:w="835" w:type="pct"/>
            <w:tcBorders>
              <w:top w:val="nil"/>
            </w:tcBorders>
            <w:vAlign w:val="center"/>
          </w:tcPr>
          <w:p w14:paraId="1E4A6419" w14:textId="054C859D" w:rsidR="00B90C6A" w:rsidRPr="009445DF" w:rsidRDefault="00C817A8" w:rsidP="002D295B">
            <w:pPr>
              <w:pStyle w:val="Tabletext"/>
              <w:jc w:val="right"/>
              <w:rPr>
                <w:highlight w:val="green"/>
              </w:rPr>
            </w:pPr>
            <w:r w:rsidRPr="009445DF">
              <w:rPr>
                <w:rStyle w:val="BodyTextSTDChar"/>
                <w:rFonts w:ascii="Arial Narrow" w:hAnsi="Arial Narrow"/>
              </w:rPr>
              <w:t>$</w:t>
            </w:r>
            <w:r w:rsidR="00443AF1" w:rsidRPr="00443AF1">
              <w:rPr>
                <w:rStyle w:val="BodyTextSTDChar"/>
                <w:rFonts w:ascii="Arial Narrow" w:hAnsi="Arial Narrow"/>
                <w:color w:val="000000"/>
                <w:shd w:val="solid" w:color="000000" w:fill="000000"/>
                <w14:textFill>
                  <w14:solidFill>
                    <w14:srgbClr w14:val="000000">
                      <w14:alpha w14:val="100000"/>
                    </w14:srgbClr>
                  </w14:solidFill>
                </w14:textFill>
              </w:rPr>
              <w:t>|</w:t>
            </w:r>
          </w:p>
        </w:tc>
      </w:tr>
    </w:tbl>
    <w:p w14:paraId="31190F90" w14:textId="4A015576" w:rsidR="00B90C6A" w:rsidRDefault="00B90C6A" w:rsidP="00B90C6A">
      <w:pPr>
        <w:pStyle w:val="Tablenotes"/>
        <w:rPr>
          <w:rFonts w:eastAsia="Calibri"/>
        </w:rPr>
      </w:pPr>
      <w:r w:rsidRPr="0086353C">
        <w:rPr>
          <w:rFonts w:eastAsia="Calibri"/>
        </w:rPr>
        <w:t>Source: Submission</w:t>
      </w:r>
      <w:r>
        <w:rPr>
          <w:rFonts w:eastAsia="Calibri"/>
        </w:rPr>
        <w:t xml:space="preserve"> </w:t>
      </w:r>
      <w:r w:rsidRPr="0086353C">
        <w:rPr>
          <w:rFonts w:eastAsia="Calibri"/>
        </w:rPr>
        <w:t>and compiled for the</w:t>
      </w:r>
      <w:r w:rsidR="00085998">
        <w:rPr>
          <w:rFonts w:eastAsia="Calibri"/>
        </w:rPr>
        <w:t xml:space="preserve"> commentary</w:t>
      </w:r>
    </w:p>
    <w:p w14:paraId="2976D1CB" w14:textId="26D0FB3C" w:rsidR="00B90C6A" w:rsidRPr="0086353C" w:rsidRDefault="00B90C6A" w:rsidP="00B90C6A">
      <w:pPr>
        <w:pStyle w:val="Tablenotes"/>
        <w:rPr>
          <w:rFonts w:eastAsia="Calibri"/>
        </w:rPr>
      </w:pPr>
      <w:r w:rsidRPr="001F697C">
        <w:t>Abbreviations:</w:t>
      </w:r>
      <w:r>
        <w:t xml:space="preserve"> ICER</w:t>
      </w:r>
      <w:r w:rsidR="00326534">
        <w:t>,</w:t>
      </w:r>
      <w:r>
        <w:t xml:space="preserve"> incremental cost-effectiveness ratio</w:t>
      </w:r>
      <w:r w:rsidR="00326534">
        <w:t xml:space="preserve">; </w:t>
      </w:r>
      <w:r>
        <w:t>QALY</w:t>
      </w:r>
      <w:r w:rsidR="002A4565">
        <w:t>s</w:t>
      </w:r>
      <w:r>
        <w:t xml:space="preserve">, </w:t>
      </w:r>
      <w:r w:rsidR="002A4565">
        <w:t>q</w:t>
      </w:r>
      <w:r w:rsidR="002A4565" w:rsidRPr="006267F4">
        <w:t>uality</w:t>
      </w:r>
      <w:r w:rsidRPr="006267F4">
        <w:t>-adjusted life</w:t>
      </w:r>
      <w:r w:rsidR="002A4565">
        <w:t>-</w:t>
      </w:r>
      <w:r w:rsidRPr="006267F4">
        <w:t>years</w:t>
      </w:r>
      <w:r w:rsidR="00326534">
        <w:t xml:space="preserve">; </w:t>
      </w:r>
      <w:r w:rsidR="00A32605">
        <w:t xml:space="preserve">TPS, </w:t>
      </w:r>
      <w:r w:rsidR="00830BFD" w:rsidRPr="00830BFD">
        <w:t>Transcatheter Pacing System</w:t>
      </w:r>
      <w:r w:rsidR="003C369B">
        <w:t xml:space="preserve">; </w:t>
      </w:r>
      <w:r>
        <w:t>TVPM</w:t>
      </w:r>
      <w:r w:rsidRPr="001F697C">
        <w:t>, transvenous pacemaker</w:t>
      </w:r>
      <w:r w:rsidR="003C369B">
        <w:t>; VR, ventricular</w:t>
      </w:r>
      <w:r>
        <w:t xml:space="preserve"> </w:t>
      </w:r>
    </w:p>
    <w:p w14:paraId="29E6831C" w14:textId="2FB23EC6" w:rsidR="00513B65" w:rsidRPr="00913C05" w:rsidRDefault="00513B65" w:rsidP="00513B65">
      <w:pPr>
        <w:pStyle w:val="Rosscomments"/>
        <w:rPr>
          <w:rFonts w:cstheme="minorHAnsi"/>
          <w:i w:val="0"/>
          <w:iCs w:val="0"/>
          <w:color w:val="auto"/>
        </w:rPr>
      </w:pPr>
      <w:bookmarkStart w:id="20" w:name="_Ref378945269"/>
      <w:r w:rsidRPr="00913C05">
        <w:rPr>
          <w:rFonts w:cstheme="minorHAnsi"/>
          <w:i w:val="0"/>
          <w:iCs w:val="0"/>
          <w:color w:val="auto"/>
        </w:rPr>
        <w:t xml:space="preserve">There are some uncertainties and evidence </w:t>
      </w:r>
      <w:proofErr w:type="gramStart"/>
      <w:r w:rsidRPr="00913C05">
        <w:rPr>
          <w:rFonts w:cstheme="minorHAnsi"/>
          <w:i w:val="0"/>
          <w:iCs w:val="0"/>
          <w:color w:val="auto"/>
        </w:rPr>
        <w:t>gaps</w:t>
      </w:r>
      <w:proofErr w:type="gramEnd"/>
      <w:r w:rsidRPr="00913C05">
        <w:rPr>
          <w:rFonts w:cstheme="minorHAnsi"/>
          <w:i w:val="0"/>
          <w:iCs w:val="0"/>
          <w:color w:val="auto"/>
        </w:rPr>
        <w:t xml:space="preserve"> in the economic model. The absence of a lead and pocket for the Micra VR TPS was assumed to result in improved patient quality of life, although the included value of utility improvement was not based on </w:t>
      </w:r>
      <w:r>
        <w:rPr>
          <w:rFonts w:cstheme="minorHAnsi"/>
          <w:i w:val="0"/>
          <w:iCs w:val="0"/>
          <w:color w:val="auto"/>
        </w:rPr>
        <w:t>specific</w:t>
      </w:r>
      <w:r w:rsidRPr="00913C05">
        <w:rPr>
          <w:rFonts w:cstheme="minorHAnsi"/>
          <w:i w:val="0"/>
          <w:iCs w:val="0"/>
          <w:color w:val="auto"/>
        </w:rPr>
        <w:t xml:space="preserve"> evidence. This assumption has a very large impact on the results (accounting for 42% of the total QALY benefits) and is not supported by evidence.</w:t>
      </w:r>
    </w:p>
    <w:p w14:paraId="7A020974" w14:textId="006BAECA" w:rsidR="00C610C4" w:rsidRDefault="00C610C4" w:rsidP="00C610C4">
      <w:pPr>
        <w:pStyle w:val="Rosscomments"/>
        <w:rPr>
          <w:rFonts w:cstheme="minorHAnsi"/>
          <w:i w:val="0"/>
          <w:iCs w:val="0"/>
          <w:color w:val="auto"/>
        </w:rPr>
      </w:pPr>
      <w:r w:rsidRPr="00913C05">
        <w:rPr>
          <w:rFonts w:cstheme="minorHAnsi"/>
          <w:i w:val="0"/>
          <w:iCs w:val="0"/>
          <w:color w:val="auto"/>
        </w:rPr>
        <w:t xml:space="preserve">A stepped sensitivity analysis was presented in the submission, with a two-year analysis being used to reflect the maximum follow-up in the CED study and an extrapolated 12-year analysis being used to represent the predicted battery life of a Micra VR TPS. There is uncertainty about this length of extrapolation for battery life because the </w:t>
      </w:r>
      <w:proofErr w:type="spellStart"/>
      <w:r w:rsidRPr="00913C05">
        <w:rPr>
          <w:rFonts w:cstheme="minorHAnsi"/>
          <w:i w:val="0"/>
          <w:iCs w:val="0"/>
          <w:color w:val="auto"/>
        </w:rPr>
        <w:t>Duray</w:t>
      </w:r>
      <w:proofErr w:type="spellEnd"/>
      <w:r w:rsidRPr="00913C05">
        <w:rPr>
          <w:rFonts w:cstheme="minorHAnsi"/>
          <w:i w:val="0"/>
          <w:iCs w:val="0"/>
          <w:color w:val="auto"/>
        </w:rPr>
        <w:t xml:space="preserve"> (2017)</w:t>
      </w:r>
      <w:r w:rsidRPr="00913C05">
        <w:rPr>
          <w:rStyle w:val="FootnoteReference"/>
          <w:rFonts w:cstheme="minorHAnsi"/>
          <w:i w:val="0"/>
          <w:iCs w:val="0"/>
          <w:color w:val="auto"/>
        </w:rPr>
        <w:footnoteReference w:id="12"/>
      </w:r>
      <w:r w:rsidRPr="00913C05">
        <w:rPr>
          <w:rFonts w:cstheme="minorHAnsi"/>
          <w:i w:val="0"/>
          <w:iCs w:val="0"/>
          <w:color w:val="auto"/>
        </w:rPr>
        <w:t xml:space="preserve"> study only includes 12 months of data. The calculated ICER</w:t>
      </w:r>
      <w:r>
        <w:rPr>
          <w:rFonts w:cstheme="minorHAnsi"/>
          <w:i w:val="0"/>
          <w:iCs w:val="0"/>
          <w:color w:val="auto"/>
        </w:rPr>
        <w:t xml:space="preserve">s are </w:t>
      </w:r>
      <w:r w:rsidRPr="00913C05">
        <w:rPr>
          <w:rFonts w:cstheme="minorHAnsi"/>
          <w:i w:val="0"/>
          <w:iCs w:val="0"/>
          <w:color w:val="auto"/>
        </w:rPr>
        <w:t xml:space="preserve">sensitive to this assumption, </w:t>
      </w:r>
      <w:r>
        <w:rPr>
          <w:rFonts w:cstheme="minorHAnsi"/>
          <w:i w:val="0"/>
          <w:iCs w:val="0"/>
          <w:color w:val="auto"/>
        </w:rPr>
        <w:t>as outlined in the following table.</w:t>
      </w:r>
    </w:p>
    <w:p w14:paraId="3E30C11E" w14:textId="04631FA6" w:rsidR="00254531" w:rsidRPr="00D150CE" w:rsidRDefault="00254531" w:rsidP="00254531">
      <w:pPr>
        <w:pStyle w:val="Caption"/>
      </w:pPr>
      <w:r w:rsidRPr="00D150CE">
        <w:t xml:space="preserve">Table </w:t>
      </w:r>
      <w:r>
        <w:fldChar w:fldCharType="begin"/>
      </w:r>
      <w:r>
        <w:instrText>SEQ Table \* ARABIC</w:instrText>
      </w:r>
      <w:r>
        <w:fldChar w:fldCharType="separate"/>
      </w:r>
      <w:r w:rsidR="0084187F">
        <w:rPr>
          <w:noProof/>
        </w:rPr>
        <w:t>13</w:t>
      </w:r>
      <w:r>
        <w:fldChar w:fldCharType="end"/>
      </w:r>
      <w:r w:rsidRPr="00D150CE">
        <w:tab/>
        <w:t>Sensitivity analyses</w:t>
      </w:r>
      <w:r>
        <w:t xml:space="preserve"> (time horizon)</w:t>
      </w:r>
    </w:p>
    <w:tbl>
      <w:tblPr>
        <w:tblStyle w:val="TableGrid"/>
        <w:tblW w:w="0" w:type="auto"/>
        <w:tblLook w:val="04A0" w:firstRow="1" w:lastRow="0" w:firstColumn="1" w:lastColumn="0" w:noHBand="0" w:noVBand="1"/>
      </w:tblPr>
      <w:tblGrid>
        <w:gridCol w:w="3823"/>
        <w:gridCol w:w="1701"/>
        <w:gridCol w:w="1701"/>
        <w:gridCol w:w="1791"/>
      </w:tblGrid>
      <w:tr w:rsidR="00254531" w:rsidRPr="00D150CE" w14:paraId="65362374" w14:textId="77777777" w:rsidTr="00443AF1">
        <w:tc>
          <w:tcPr>
            <w:tcW w:w="3823" w:type="dxa"/>
          </w:tcPr>
          <w:p w14:paraId="6F6D6D1E" w14:textId="77777777" w:rsidR="00254531" w:rsidRPr="00D150CE" w:rsidRDefault="00254531" w:rsidP="00BF29EA">
            <w:pPr>
              <w:pStyle w:val="Tableheader"/>
              <w:rPr>
                <w:lang w:val="en-AU"/>
              </w:rPr>
            </w:pPr>
            <w:r w:rsidRPr="00D150CE">
              <w:rPr>
                <w:lang w:val="en-AU"/>
              </w:rPr>
              <w:t>Analyses</w:t>
            </w:r>
          </w:p>
        </w:tc>
        <w:tc>
          <w:tcPr>
            <w:tcW w:w="1701" w:type="dxa"/>
          </w:tcPr>
          <w:p w14:paraId="54001434" w14:textId="77777777" w:rsidR="00254531" w:rsidRPr="00D150CE" w:rsidRDefault="00254531" w:rsidP="00BF29EA">
            <w:pPr>
              <w:pStyle w:val="Tableheader"/>
              <w:rPr>
                <w:lang w:val="en-AU"/>
              </w:rPr>
            </w:pPr>
            <w:r w:rsidRPr="00D150CE">
              <w:rPr>
                <w:lang w:val="en-AU"/>
              </w:rPr>
              <w:t>Incremental cost</w:t>
            </w:r>
          </w:p>
        </w:tc>
        <w:tc>
          <w:tcPr>
            <w:tcW w:w="1701" w:type="dxa"/>
            <w:tcBorders>
              <w:bottom w:val="single" w:sz="4" w:space="0" w:color="auto"/>
            </w:tcBorders>
          </w:tcPr>
          <w:p w14:paraId="2213F5EB" w14:textId="77777777" w:rsidR="00254531" w:rsidRPr="00D150CE" w:rsidRDefault="00254531" w:rsidP="00BF29EA">
            <w:pPr>
              <w:pStyle w:val="Tableheader"/>
              <w:rPr>
                <w:lang w:val="en-AU"/>
              </w:rPr>
            </w:pPr>
            <w:r w:rsidRPr="00D150CE">
              <w:rPr>
                <w:lang w:val="en-AU"/>
              </w:rPr>
              <w:t>Incremental QALY</w:t>
            </w:r>
          </w:p>
        </w:tc>
        <w:tc>
          <w:tcPr>
            <w:tcW w:w="1791" w:type="dxa"/>
          </w:tcPr>
          <w:p w14:paraId="72CE08D7" w14:textId="77777777" w:rsidR="00254531" w:rsidRPr="00D150CE" w:rsidRDefault="00254531" w:rsidP="00BF29EA">
            <w:pPr>
              <w:pStyle w:val="Tableheader"/>
              <w:rPr>
                <w:lang w:val="en-AU"/>
              </w:rPr>
            </w:pPr>
            <w:r w:rsidRPr="00D150CE">
              <w:rPr>
                <w:lang w:val="en-AU"/>
              </w:rPr>
              <w:t>ICER</w:t>
            </w:r>
          </w:p>
        </w:tc>
      </w:tr>
      <w:tr w:rsidR="00254531" w:rsidRPr="00D150CE" w14:paraId="3C4BBF0C" w14:textId="77777777" w:rsidTr="00443AF1">
        <w:tc>
          <w:tcPr>
            <w:tcW w:w="3823" w:type="dxa"/>
          </w:tcPr>
          <w:p w14:paraId="68FB0303" w14:textId="77777777" w:rsidR="00254531" w:rsidRPr="00D150CE" w:rsidRDefault="00254531" w:rsidP="00BF29EA">
            <w:pPr>
              <w:pStyle w:val="Tabletext"/>
              <w:rPr>
                <w:lang w:val="en-AU"/>
              </w:rPr>
            </w:pPr>
            <w:proofErr w:type="gramStart"/>
            <w:r>
              <w:t>2 year</w:t>
            </w:r>
            <w:proofErr w:type="gramEnd"/>
            <w:r>
              <w:t xml:space="preserve"> analysis </w:t>
            </w:r>
          </w:p>
        </w:tc>
        <w:tc>
          <w:tcPr>
            <w:tcW w:w="1701" w:type="dxa"/>
          </w:tcPr>
          <w:p w14:paraId="00AF7D2F" w14:textId="27C5288A" w:rsidR="00254531" w:rsidRPr="002E0155" w:rsidRDefault="00C817A8" w:rsidP="00BF29EA">
            <w:pPr>
              <w:pStyle w:val="Tabletext"/>
              <w:rPr>
                <w:highlight w:val="green"/>
                <w:lang w:val="en-AU"/>
              </w:rPr>
            </w:pPr>
            <w:r w:rsidRPr="002E0155">
              <w:t>$</w:t>
            </w:r>
            <w:r w:rsidR="00443AF1" w:rsidRPr="00443AF1">
              <w:rPr>
                <w:color w:val="000000"/>
                <w:spacing w:val="54"/>
                <w:shd w:val="solid" w:color="000000" w:fill="000000"/>
                <w:fitText w:val="335" w:id="-1429520118"/>
                <w14:textFill>
                  <w14:solidFill>
                    <w14:srgbClr w14:val="000000">
                      <w14:alpha w14:val="100000"/>
                    </w14:srgbClr>
                  </w14:solidFill>
                </w14:textFill>
              </w:rPr>
              <w:t>|||</w:t>
            </w:r>
            <w:r w:rsidR="00443AF1" w:rsidRPr="00443AF1">
              <w:rPr>
                <w:color w:val="000000"/>
                <w:spacing w:val="3"/>
                <w:shd w:val="solid" w:color="000000" w:fill="000000"/>
                <w:fitText w:val="335" w:id="-1429520118"/>
                <w14:textFill>
                  <w14:solidFill>
                    <w14:srgbClr w14:val="000000">
                      <w14:alpha w14:val="100000"/>
                    </w14:srgbClr>
                  </w14:solidFill>
                </w14:textFill>
              </w:rPr>
              <w:t>|</w:t>
            </w:r>
          </w:p>
        </w:tc>
        <w:tc>
          <w:tcPr>
            <w:tcW w:w="1701" w:type="dxa"/>
            <w:tcBorders>
              <w:bottom w:val="single" w:sz="4" w:space="0" w:color="auto"/>
            </w:tcBorders>
            <w:shd w:val="solid" w:color="000000" w:fill="000000"/>
          </w:tcPr>
          <w:p w14:paraId="6762278C" w14:textId="097414B7" w:rsidR="00254531" w:rsidRPr="002E0155" w:rsidRDefault="00443AF1" w:rsidP="00BF29EA">
            <w:pPr>
              <w:pStyle w:val="Tabletext"/>
              <w:rPr>
                <w:highlight w:val="green"/>
                <w:lang w:val="en-AU"/>
              </w:rPr>
            </w:pPr>
            <w:r w:rsidRPr="00443AF1">
              <w:rPr>
                <w:color w:val="000000"/>
                <w:spacing w:val="49"/>
                <w:fitText w:val="318" w:id="-1429520117"/>
                <w14:textFill>
                  <w14:solidFill>
                    <w14:srgbClr w14:val="000000">
                      <w14:alpha w14:val="100000"/>
                    </w14:srgbClr>
                  </w14:solidFill>
                </w14:textFill>
              </w:rPr>
              <w:t>|||</w:t>
            </w:r>
            <w:r w:rsidRPr="00443AF1">
              <w:rPr>
                <w:color w:val="000000"/>
                <w:spacing w:val="1"/>
                <w:fitText w:val="318" w:id="-1429520117"/>
                <w14:textFill>
                  <w14:solidFill>
                    <w14:srgbClr w14:val="000000">
                      <w14:alpha w14:val="100000"/>
                    </w14:srgbClr>
                  </w14:solidFill>
                </w14:textFill>
              </w:rPr>
              <w:t>|</w:t>
            </w:r>
          </w:p>
        </w:tc>
        <w:tc>
          <w:tcPr>
            <w:tcW w:w="1791" w:type="dxa"/>
          </w:tcPr>
          <w:p w14:paraId="3B941DE5" w14:textId="66EF5498" w:rsidR="00254531" w:rsidRPr="002E0155" w:rsidRDefault="00C817A8" w:rsidP="00BF29EA">
            <w:pPr>
              <w:pStyle w:val="Tabletext"/>
              <w:rPr>
                <w:highlight w:val="green"/>
                <w:lang w:val="en-AU"/>
              </w:rPr>
            </w:pPr>
            <w:r w:rsidRPr="002E0155">
              <w:t>$</w:t>
            </w:r>
            <w:r w:rsidR="00443AF1" w:rsidRPr="00443AF1">
              <w:rPr>
                <w:color w:val="000000"/>
                <w:spacing w:val="54"/>
                <w:shd w:val="solid" w:color="000000" w:fill="000000"/>
                <w:fitText w:val="335" w:id="-1429520116"/>
                <w14:textFill>
                  <w14:solidFill>
                    <w14:srgbClr w14:val="000000">
                      <w14:alpha w14:val="100000"/>
                    </w14:srgbClr>
                  </w14:solidFill>
                </w14:textFill>
              </w:rPr>
              <w:t>|||</w:t>
            </w:r>
            <w:r w:rsidR="00443AF1" w:rsidRPr="00443AF1">
              <w:rPr>
                <w:color w:val="000000"/>
                <w:spacing w:val="3"/>
                <w:shd w:val="solid" w:color="000000" w:fill="000000"/>
                <w:fitText w:val="335" w:id="-1429520116"/>
                <w14:textFill>
                  <w14:solidFill>
                    <w14:srgbClr w14:val="000000">
                      <w14:alpha w14:val="100000"/>
                    </w14:srgbClr>
                  </w14:solidFill>
                </w14:textFill>
              </w:rPr>
              <w:t>|</w:t>
            </w:r>
          </w:p>
        </w:tc>
      </w:tr>
      <w:tr w:rsidR="00254531" w:rsidRPr="00D150CE" w14:paraId="3FCFEBA8" w14:textId="77777777" w:rsidTr="00443AF1">
        <w:tc>
          <w:tcPr>
            <w:tcW w:w="3823" w:type="dxa"/>
          </w:tcPr>
          <w:p w14:paraId="40ECF591" w14:textId="77777777" w:rsidR="00254531" w:rsidRPr="00D150CE" w:rsidRDefault="00254531" w:rsidP="00BF29EA">
            <w:pPr>
              <w:pStyle w:val="Tabletext"/>
              <w:rPr>
                <w:lang w:val="en-AU"/>
              </w:rPr>
            </w:pPr>
            <w:proofErr w:type="gramStart"/>
            <w:r>
              <w:t>3 year</w:t>
            </w:r>
            <w:proofErr w:type="gramEnd"/>
            <w:r>
              <w:t xml:space="preserve"> analysis</w:t>
            </w:r>
          </w:p>
        </w:tc>
        <w:tc>
          <w:tcPr>
            <w:tcW w:w="1701" w:type="dxa"/>
          </w:tcPr>
          <w:p w14:paraId="5D959D15" w14:textId="12581B86" w:rsidR="00254531" w:rsidRPr="002E0155" w:rsidRDefault="00C817A8" w:rsidP="00BF29EA">
            <w:pPr>
              <w:pStyle w:val="Tabletext"/>
              <w:rPr>
                <w:highlight w:val="green"/>
                <w:lang w:val="en-AU"/>
              </w:rPr>
            </w:pPr>
            <w:r w:rsidRPr="002E0155">
              <w:t>$</w:t>
            </w:r>
            <w:r w:rsidR="00443AF1" w:rsidRPr="00443AF1">
              <w:rPr>
                <w:color w:val="000000"/>
                <w:spacing w:val="54"/>
                <w:shd w:val="solid" w:color="000000" w:fill="000000"/>
                <w:fitText w:val="335" w:id="-1429520115"/>
                <w14:textFill>
                  <w14:solidFill>
                    <w14:srgbClr w14:val="000000">
                      <w14:alpha w14:val="100000"/>
                    </w14:srgbClr>
                  </w14:solidFill>
                </w14:textFill>
              </w:rPr>
              <w:t>|||</w:t>
            </w:r>
            <w:r w:rsidR="00443AF1" w:rsidRPr="00443AF1">
              <w:rPr>
                <w:color w:val="000000"/>
                <w:spacing w:val="3"/>
                <w:shd w:val="solid" w:color="000000" w:fill="000000"/>
                <w:fitText w:val="335" w:id="-1429520115"/>
                <w14:textFill>
                  <w14:solidFill>
                    <w14:srgbClr w14:val="000000">
                      <w14:alpha w14:val="100000"/>
                    </w14:srgbClr>
                  </w14:solidFill>
                </w14:textFill>
              </w:rPr>
              <w:t>|</w:t>
            </w:r>
          </w:p>
        </w:tc>
        <w:tc>
          <w:tcPr>
            <w:tcW w:w="1701" w:type="dxa"/>
            <w:tcBorders>
              <w:bottom w:val="single" w:sz="4" w:space="0" w:color="auto"/>
            </w:tcBorders>
            <w:shd w:val="solid" w:color="000000" w:fill="000000"/>
          </w:tcPr>
          <w:p w14:paraId="4FB80D90" w14:textId="5B606B38" w:rsidR="00254531" w:rsidRPr="002E0155" w:rsidRDefault="00443AF1" w:rsidP="00BF29EA">
            <w:pPr>
              <w:pStyle w:val="Tabletext"/>
              <w:rPr>
                <w:highlight w:val="green"/>
                <w:lang w:val="en-AU"/>
              </w:rPr>
            </w:pPr>
            <w:r w:rsidRPr="00443AF1">
              <w:rPr>
                <w:color w:val="000000"/>
                <w:spacing w:val="49"/>
                <w:fitText w:val="318" w:id="-1429520114"/>
                <w14:textFill>
                  <w14:solidFill>
                    <w14:srgbClr w14:val="000000">
                      <w14:alpha w14:val="100000"/>
                    </w14:srgbClr>
                  </w14:solidFill>
                </w14:textFill>
              </w:rPr>
              <w:t>|||</w:t>
            </w:r>
            <w:r w:rsidRPr="00443AF1">
              <w:rPr>
                <w:color w:val="000000"/>
                <w:spacing w:val="1"/>
                <w:fitText w:val="318" w:id="-1429520114"/>
                <w14:textFill>
                  <w14:solidFill>
                    <w14:srgbClr w14:val="000000">
                      <w14:alpha w14:val="100000"/>
                    </w14:srgbClr>
                  </w14:solidFill>
                </w14:textFill>
              </w:rPr>
              <w:t>|</w:t>
            </w:r>
          </w:p>
        </w:tc>
        <w:tc>
          <w:tcPr>
            <w:tcW w:w="1791" w:type="dxa"/>
          </w:tcPr>
          <w:p w14:paraId="62ED2C78" w14:textId="26E1C2CE" w:rsidR="00254531" w:rsidRPr="002E0155" w:rsidRDefault="00C817A8" w:rsidP="00BF29EA">
            <w:pPr>
              <w:pStyle w:val="Tabletext"/>
              <w:rPr>
                <w:highlight w:val="green"/>
                <w:lang w:val="en-AU"/>
              </w:rPr>
            </w:pPr>
            <w:r w:rsidRPr="002E0155">
              <w:t>$</w:t>
            </w:r>
            <w:r w:rsidR="00443AF1" w:rsidRPr="00443AF1">
              <w:rPr>
                <w:color w:val="000000"/>
                <w:spacing w:val="54"/>
                <w:shd w:val="solid" w:color="000000" w:fill="000000"/>
                <w:fitText w:val="335" w:id="-1429520113"/>
                <w14:textFill>
                  <w14:solidFill>
                    <w14:srgbClr w14:val="000000">
                      <w14:alpha w14:val="100000"/>
                    </w14:srgbClr>
                  </w14:solidFill>
                </w14:textFill>
              </w:rPr>
              <w:t>|||</w:t>
            </w:r>
            <w:r w:rsidR="00443AF1" w:rsidRPr="00443AF1">
              <w:rPr>
                <w:color w:val="000000"/>
                <w:spacing w:val="3"/>
                <w:shd w:val="solid" w:color="000000" w:fill="000000"/>
                <w:fitText w:val="335" w:id="-1429520113"/>
                <w14:textFill>
                  <w14:solidFill>
                    <w14:srgbClr w14:val="000000">
                      <w14:alpha w14:val="100000"/>
                    </w14:srgbClr>
                  </w14:solidFill>
                </w14:textFill>
              </w:rPr>
              <w:t>|</w:t>
            </w:r>
          </w:p>
        </w:tc>
      </w:tr>
      <w:tr w:rsidR="00254531" w:rsidRPr="00D150CE" w14:paraId="12CFD606" w14:textId="77777777" w:rsidTr="00443AF1">
        <w:tc>
          <w:tcPr>
            <w:tcW w:w="3823" w:type="dxa"/>
          </w:tcPr>
          <w:p w14:paraId="269073BC" w14:textId="77777777" w:rsidR="00254531" w:rsidRPr="00D150CE" w:rsidRDefault="00254531" w:rsidP="00BF29EA">
            <w:pPr>
              <w:pStyle w:val="Tabletext"/>
              <w:rPr>
                <w:lang w:val="en-AU"/>
              </w:rPr>
            </w:pPr>
            <w:proofErr w:type="gramStart"/>
            <w:r>
              <w:t>5 year</w:t>
            </w:r>
            <w:proofErr w:type="gramEnd"/>
            <w:r>
              <w:t xml:space="preserve"> analysis</w:t>
            </w:r>
          </w:p>
        </w:tc>
        <w:tc>
          <w:tcPr>
            <w:tcW w:w="1701" w:type="dxa"/>
          </w:tcPr>
          <w:p w14:paraId="0EB4B5C3" w14:textId="3C59DF57" w:rsidR="00254531" w:rsidRPr="002E0155" w:rsidRDefault="00C817A8" w:rsidP="00BF29EA">
            <w:pPr>
              <w:pStyle w:val="Tabletext"/>
              <w:rPr>
                <w:highlight w:val="green"/>
                <w:lang w:val="en-AU"/>
              </w:rPr>
            </w:pPr>
            <w:r w:rsidRPr="002E0155">
              <w:t>$</w:t>
            </w:r>
            <w:r w:rsidR="00443AF1" w:rsidRPr="00443AF1">
              <w:rPr>
                <w:color w:val="000000"/>
                <w:spacing w:val="54"/>
                <w:shd w:val="solid" w:color="000000" w:fill="000000"/>
                <w:fitText w:val="335" w:id="-1429520112"/>
                <w14:textFill>
                  <w14:solidFill>
                    <w14:srgbClr w14:val="000000">
                      <w14:alpha w14:val="100000"/>
                    </w14:srgbClr>
                  </w14:solidFill>
                </w14:textFill>
              </w:rPr>
              <w:t>|||</w:t>
            </w:r>
            <w:r w:rsidR="00443AF1" w:rsidRPr="00443AF1">
              <w:rPr>
                <w:color w:val="000000"/>
                <w:spacing w:val="3"/>
                <w:shd w:val="solid" w:color="000000" w:fill="000000"/>
                <w:fitText w:val="335" w:id="-1429520112"/>
                <w14:textFill>
                  <w14:solidFill>
                    <w14:srgbClr w14:val="000000">
                      <w14:alpha w14:val="100000"/>
                    </w14:srgbClr>
                  </w14:solidFill>
                </w14:textFill>
              </w:rPr>
              <w:t>|</w:t>
            </w:r>
          </w:p>
        </w:tc>
        <w:tc>
          <w:tcPr>
            <w:tcW w:w="1701" w:type="dxa"/>
            <w:tcBorders>
              <w:bottom w:val="single" w:sz="4" w:space="0" w:color="auto"/>
            </w:tcBorders>
            <w:shd w:val="solid" w:color="000000" w:fill="000000"/>
          </w:tcPr>
          <w:p w14:paraId="45ADB1BD" w14:textId="3849D06B" w:rsidR="00254531" w:rsidRPr="002E0155" w:rsidRDefault="00443AF1" w:rsidP="00BF29EA">
            <w:pPr>
              <w:pStyle w:val="Tabletext"/>
              <w:rPr>
                <w:highlight w:val="green"/>
                <w:lang w:val="en-AU"/>
              </w:rPr>
            </w:pPr>
            <w:r w:rsidRPr="00443AF1">
              <w:rPr>
                <w:color w:val="000000"/>
                <w:spacing w:val="49"/>
                <w:fitText w:val="318" w:id="-1429520128"/>
                <w14:textFill>
                  <w14:solidFill>
                    <w14:srgbClr w14:val="000000">
                      <w14:alpha w14:val="100000"/>
                    </w14:srgbClr>
                  </w14:solidFill>
                </w14:textFill>
              </w:rPr>
              <w:t>|||</w:t>
            </w:r>
            <w:r w:rsidRPr="00443AF1">
              <w:rPr>
                <w:color w:val="000000"/>
                <w:spacing w:val="1"/>
                <w:fitText w:val="318" w:id="-1429520128"/>
                <w14:textFill>
                  <w14:solidFill>
                    <w14:srgbClr w14:val="000000">
                      <w14:alpha w14:val="100000"/>
                    </w14:srgbClr>
                  </w14:solidFill>
                </w14:textFill>
              </w:rPr>
              <w:t>|</w:t>
            </w:r>
          </w:p>
        </w:tc>
        <w:tc>
          <w:tcPr>
            <w:tcW w:w="1791" w:type="dxa"/>
          </w:tcPr>
          <w:p w14:paraId="33886678" w14:textId="22E523F1" w:rsidR="00254531" w:rsidRPr="002E0155" w:rsidRDefault="00C817A8" w:rsidP="00BF29EA">
            <w:pPr>
              <w:pStyle w:val="Tabletext"/>
              <w:rPr>
                <w:highlight w:val="green"/>
                <w:lang w:val="en-AU"/>
              </w:rPr>
            </w:pPr>
            <w:r w:rsidRPr="002E0155">
              <w:t>$</w:t>
            </w:r>
            <w:r w:rsidR="00443AF1" w:rsidRPr="00443AF1">
              <w:rPr>
                <w:color w:val="000000"/>
                <w:spacing w:val="54"/>
                <w:shd w:val="solid" w:color="000000" w:fill="000000"/>
                <w:fitText w:val="335" w:id="-1429520127"/>
                <w14:textFill>
                  <w14:solidFill>
                    <w14:srgbClr w14:val="000000">
                      <w14:alpha w14:val="100000"/>
                    </w14:srgbClr>
                  </w14:solidFill>
                </w14:textFill>
              </w:rPr>
              <w:t>|||</w:t>
            </w:r>
            <w:r w:rsidR="00443AF1" w:rsidRPr="00443AF1">
              <w:rPr>
                <w:color w:val="000000"/>
                <w:spacing w:val="3"/>
                <w:shd w:val="solid" w:color="000000" w:fill="000000"/>
                <w:fitText w:val="335" w:id="-1429520127"/>
                <w14:textFill>
                  <w14:solidFill>
                    <w14:srgbClr w14:val="000000">
                      <w14:alpha w14:val="100000"/>
                    </w14:srgbClr>
                  </w14:solidFill>
                </w14:textFill>
              </w:rPr>
              <w:t>|</w:t>
            </w:r>
          </w:p>
        </w:tc>
      </w:tr>
      <w:tr w:rsidR="00254531" w:rsidRPr="00D150CE" w14:paraId="17C83E84" w14:textId="77777777" w:rsidTr="00443AF1">
        <w:tc>
          <w:tcPr>
            <w:tcW w:w="3823" w:type="dxa"/>
          </w:tcPr>
          <w:p w14:paraId="4A526225" w14:textId="77777777" w:rsidR="00254531" w:rsidRPr="00D150CE" w:rsidRDefault="00254531" w:rsidP="00BF29EA">
            <w:pPr>
              <w:pStyle w:val="Tabletext"/>
              <w:rPr>
                <w:lang w:val="en-AU"/>
              </w:rPr>
            </w:pPr>
            <w:proofErr w:type="gramStart"/>
            <w:r>
              <w:t>10 year</w:t>
            </w:r>
            <w:proofErr w:type="gramEnd"/>
            <w:r>
              <w:t xml:space="preserve"> analysis</w:t>
            </w:r>
          </w:p>
        </w:tc>
        <w:tc>
          <w:tcPr>
            <w:tcW w:w="1701" w:type="dxa"/>
          </w:tcPr>
          <w:p w14:paraId="558C0799" w14:textId="74DC4F63" w:rsidR="00254531" w:rsidRPr="002E0155" w:rsidRDefault="00C817A8" w:rsidP="00BF29EA">
            <w:pPr>
              <w:pStyle w:val="Tabletext"/>
              <w:rPr>
                <w:highlight w:val="green"/>
                <w:lang w:val="en-AU"/>
              </w:rPr>
            </w:pPr>
            <w:r w:rsidRPr="002E0155">
              <w:t>$</w:t>
            </w:r>
            <w:r w:rsidR="00443AF1" w:rsidRPr="00443AF1">
              <w:rPr>
                <w:color w:val="000000"/>
                <w:spacing w:val="54"/>
                <w:shd w:val="solid" w:color="000000" w:fill="000000"/>
                <w:fitText w:val="335" w:id="-1429520126"/>
                <w14:textFill>
                  <w14:solidFill>
                    <w14:srgbClr w14:val="000000">
                      <w14:alpha w14:val="100000"/>
                    </w14:srgbClr>
                  </w14:solidFill>
                </w14:textFill>
              </w:rPr>
              <w:t>|||</w:t>
            </w:r>
            <w:r w:rsidR="00443AF1" w:rsidRPr="00443AF1">
              <w:rPr>
                <w:color w:val="000000"/>
                <w:spacing w:val="3"/>
                <w:shd w:val="solid" w:color="000000" w:fill="000000"/>
                <w:fitText w:val="335" w:id="-1429520126"/>
                <w14:textFill>
                  <w14:solidFill>
                    <w14:srgbClr w14:val="000000">
                      <w14:alpha w14:val="100000"/>
                    </w14:srgbClr>
                  </w14:solidFill>
                </w14:textFill>
              </w:rPr>
              <w:t>|</w:t>
            </w:r>
          </w:p>
        </w:tc>
        <w:tc>
          <w:tcPr>
            <w:tcW w:w="1701" w:type="dxa"/>
            <w:tcBorders>
              <w:bottom w:val="single" w:sz="4" w:space="0" w:color="auto"/>
            </w:tcBorders>
            <w:shd w:val="solid" w:color="000000" w:fill="000000"/>
          </w:tcPr>
          <w:p w14:paraId="780C5078" w14:textId="7F501B08" w:rsidR="00254531" w:rsidRPr="002E0155" w:rsidRDefault="00443AF1" w:rsidP="00BF29EA">
            <w:pPr>
              <w:pStyle w:val="Tabletext"/>
              <w:rPr>
                <w:highlight w:val="green"/>
                <w:lang w:val="en-AU"/>
              </w:rPr>
            </w:pPr>
            <w:r w:rsidRPr="00443AF1">
              <w:rPr>
                <w:color w:val="000000"/>
                <w:spacing w:val="49"/>
                <w:fitText w:val="318" w:id="-1429520125"/>
                <w14:textFill>
                  <w14:solidFill>
                    <w14:srgbClr w14:val="000000">
                      <w14:alpha w14:val="100000"/>
                    </w14:srgbClr>
                  </w14:solidFill>
                </w14:textFill>
              </w:rPr>
              <w:t>|||</w:t>
            </w:r>
            <w:r w:rsidRPr="00443AF1">
              <w:rPr>
                <w:color w:val="000000"/>
                <w:spacing w:val="1"/>
                <w:fitText w:val="318" w:id="-1429520125"/>
                <w14:textFill>
                  <w14:solidFill>
                    <w14:srgbClr w14:val="000000">
                      <w14:alpha w14:val="100000"/>
                    </w14:srgbClr>
                  </w14:solidFill>
                </w14:textFill>
              </w:rPr>
              <w:t>|</w:t>
            </w:r>
          </w:p>
        </w:tc>
        <w:tc>
          <w:tcPr>
            <w:tcW w:w="1791" w:type="dxa"/>
          </w:tcPr>
          <w:p w14:paraId="0B780E46" w14:textId="28D97CD4" w:rsidR="00254531" w:rsidRPr="002E0155" w:rsidRDefault="00C817A8" w:rsidP="00BF29EA">
            <w:pPr>
              <w:pStyle w:val="Tabletext"/>
              <w:rPr>
                <w:highlight w:val="green"/>
                <w:lang w:val="en-AU"/>
              </w:rPr>
            </w:pPr>
            <w:r w:rsidRPr="002E0155">
              <w:t>$</w:t>
            </w:r>
            <w:r w:rsidR="00443AF1" w:rsidRPr="00443AF1">
              <w:rPr>
                <w:color w:val="000000"/>
                <w:spacing w:val="54"/>
                <w:shd w:val="solid" w:color="000000" w:fill="000000"/>
                <w:fitText w:val="335" w:id="-1429520124"/>
                <w14:textFill>
                  <w14:solidFill>
                    <w14:srgbClr w14:val="000000">
                      <w14:alpha w14:val="100000"/>
                    </w14:srgbClr>
                  </w14:solidFill>
                </w14:textFill>
              </w:rPr>
              <w:t>|||</w:t>
            </w:r>
            <w:r w:rsidR="00443AF1" w:rsidRPr="00443AF1">
              <w:rPr>
                <w:color w:val="000000"/>
                <w:spacing w:val="3"/>
                <w:shd w:val="solid" w:color="000000" w:fill="000000"/>
                <w:fitText w:val="335" w:id="-1429520124"/>
                <w14:textFill>
                  <w14:solidFill>
                    <w14:srgbClr w14:val="000000">
                      <w14:alpha w14:val="100000"/>
                    </w14:srgbClr>
                  </w14:solidFill>
                </w14:textFill>
              </w:rPr>
              <w:t>|</w:t>
            </w:r>
          </w:p>
        </w:tc>
      </w:tr>
      <w:tr w:rsidR="00254531" w:rsidRPr="00D150CE" w14:paraId="51111E28" w14:textId="77777777" w:rsidTr="00443AF1">
        <w:tc>
          <w:tcPr>
            <w:tcW w:w="3823" w:type="dxa"/>
          </w:tcPr>
          <w:p w14:paraId="7813126F" w14:textId="77777777" w:rsidR="00254531" w:rsidRPr="00D150CE" w:rsidRDefault="00254531" w:rsidP="00BF29EA">
            <w:pPr>
              <w:pStyle w:val="Tabletext"/>
              <w:rPr>
                <w:lang w:val="en-AU"/>
              </w:rPr>
            </w:pPr>
            <w:proofErr w:type="gramStart"/>
            <w:r>
              <w:t>12 year</w:t>
            </w:r>
            <w:proofErr w:type="gramEnd"/>
            <w:r>
              <w:t xml:space="preserve"> analysis</w:t>
            </w:r>
          </w:p>
        </w:tc>
        <w:tc>
          <w:tcPr>
            <w:tcW w:w="1701" w:type="dxa"/>
          </w:tcPr>
          <w:p w14:paraId="0EB72D47" w14:textId="5BEE4AE9" w:rsidR="00254531" w:rsidRPr="002E0155" w:rsidRDefault="00C817A8" w:rsidP="00BF29EA">
            <w:pPr>
              <w:pStyle w:val="Tabletext"/>
              <w:rPr>
                <w:highlight w:val="green"/>
                <w:lang w:val="en-AU"/>
              </w:rPr>
            </w:pPr>
            <w:r w:rsidRPr="002E0155">
              <w:t>$</w:t>
            </w:r>
            <w:r w:rsidR="00443AF1" w:rsidRPr="00443AF1">
              <w:rPr>
                <w:color w:val="000000"/>
                <w:spacing w:val="54"/>
                <w:shd w:val="solid" w:color="000000" w:fill="000000"/>
                <w:fitText w:val="335" w:id="-1429520123"/>
                <w14:textFill>
                  <w14:solidFill>
                    <w14:srgbClr w14:val="000000">
                      <w14:alpha w14:val="100000"/>
                    </w14:srgbClr>
                  </w14:solidFill>
                </w14:textFill>
              </w:rPr>
              <w:t>|||</w:t>
            </w:r>
            <w:r w:rsidR="00443AF1" w:rsidRPr="00443AF1">
              <w:rPr>
                <w:color w:val="000000"/>
                <w:spacing w:val="3"/>
                <w:shd w:val="solid" w:color="000000" w:fill="000000"/>
                <w:fitText w:val="335" w:id="-1429520123"/>
                <w14:textFill>
                  <w14:solidFill>
                    <w14:srgbClr w14:val="000000">
                      <w14:alpha w14:val="100000"/>
                    </w14:srgbClr>
                  </w14:solidFill>
                </w14:textFill>
              </w:rPr>
              <w:t>|</w:t>
            </w:r>
          </w:p>
        </w:tc>
        <w:tc>
          <w:tcPr>
            <w:tcW w:w="1701" w:type="dxa"/>
            <w:shd w:val="solid" w:color="000000" w:fill="000000"/>
          </w:tcPr>
          <w:p w14:paraId="2450C780" w14:textId="19043982" w:rsidR="00254531" w:rsidRPr="002E0155" w:rsidRDefault="00443AF1" w:rsidP="00BF29EA">
            <w:pPr>
              <w:pStyle w:val="Tabletext"/>
              <w:rPr>
                <w:highlight w:val="green"/>
                <w:lang w:val="en-AU"/>
              </w:rPr>
            </w:pPr>
            <w:r w:rsidRPr="00443AF1">
              <w:rPr>
                <w:color w:val="000000"/>
                <w:spacing w:val="49"/>
                <w:fitText w:val="318" w:id="-1429520122"/>
                <w14:textFill>
                  <w14:solidFill>
                    <w14:srgbClr w14:val="000000">
                      <w14:alpha w14:val="100000"/>
                    </w14:srgbClr>
                  </w14:solidFill>
                </w14:textFill>
              </w:rPr>
              <w:t>|||</w:t>
            </w:r>
            <w:r w:rsidRPr="00443AF1">
              <w:rPr>
                <w:color w:val="000000"/>
                <w:spacing w:val="1"/>
                <w:fitText w:val="318" w:id="-1429520122"/>
                <w14:textFill>
                  <w14:solidFill>
                    <w14:srgbClr w14:val="000000">
                      <w14:alpha w14:val="100000"/>
                    </w14:srgbClr>
                  </w14:solidFill>
                </w14:textFill>
              </w:rPr>
              <w:t>|</w:t>
            </w:r>
          </w:p>
        </w:tc>
        <w:tc>
          <w:tcPr>
            <w:tcW w:w="1791" w:type="dxa"/>
          </w:tcPr>
          <w:p w14:paraId="4A0230A6" w14:textId="096CAF6D" w:rsidR="00254531" w:rsidRPr="002E0155" w:rsidRDefault="00C817A8" w:rsidP="00BF29EA">
            <w:pPr>
              <w:pStyle w:val="Tabletext"/>
              <w:rPr>
                <w:highlight w:val="green"/>
                <w:lang w:val="en-AU"/>
              </w:rPr>
            </w:pPr>
            <w:r w:rsidRPr="002E0155">
              <w:t>$</w:t>
            </w:r>
            <w:r w:rsidR="00443AF1" w:rsidRPr="00443AF1">
              <w:rPr>
                <w:color w:val="000000"/>
                <w:spacing w:val="54"/>
                <w:shd w:val="solid" w:color="000000" w:fill="000000"/>
                <w:fitText w:val="335" w:id="-1429520121"/>
                <w14:textFill>
                  <w14:solidFill>
                    <w14:srgbClr w14:val="000000">
                      <w14:alpha w14:val="100000"/>
                    </w14:srgbClr>
                  </w14:solidFill>
                </w14:textFill>
              </w:rPr>
              <w:t>|||</w:t>
            </w:r>
            <w:r w:rsidR="00443AF1" w:rsidRPr="00443AF1">
              <w:rPr>
                <w:color w:val="000000"/>
                <w:spacing w:val="3"/>
                <w:shd w:val="solid" w:color="000000" w:fill="000000"/>
                <w:fitText w:val="335" w:id="-1429520121"/>
                <w14:textFill>
                  <w14:solidFill>
                    <w14:srgbClr w14:val="000000">
                      <w14:alpha w14:val="100000"/>
                    </w14:srgbClr>
                  </w14:solidFill>
                </w14:textFill>
              </w:rPr>
              <w:t>|</w:t>
            </w:r>
          </w:p>
        </w:tc>
      </w:tr>
    </w:tbl>
    <w:p w14:paraId="18BEB3CF" w14:textId="77777777" w:rsidR="00254531" w:rsidRDefault="00254531" w:rsidP="00254531">
      <w:pPr>
        <w:pStyle w:val="Notes-TableFigure"/>
      </w:pPr>
      <w:r>
        <w:t>Source: Submission, Table 61.</w:t>
      </w:r>
    </w:p>
    <w:p w14:paraId="6704C66B" w14:textId="77777777" w:rsidR="00254531" w:rsidRPr="009B473A" w:rsidRDefault="00254531" w:rsidP="00254531">
      <w:pPr>
        <w:pStyle w:val="Notes-TableFigure"/>
      </w:pPr>
      <w:r w:rsidRPr="009B473A">
        <w:t xml:space="preserve">ICER = incremental cost-effectiveness ratio; QALY = quality adjusted life year. </w:t>
      </w:r>
    </w:p>
    <w:p w14:paraId="608C59E4" w14:textId="4590F3C5" w:rsidR="00B90C6A" w:rsidRPr="00637A3D" w:rsidRDefault="00B90C6A" w:rsidP="00B90C6A">
      <w:pPr>
        <w:pStyle w:val="Rosscomments"/>
        <w:rPr>
          <w:rFonts w:cstheme="minorHAnsi"/>
          <w:i w:val="0"/>
          <w:iCs w:val="0"/>
          <w:color w:val="auto"/>
        </w:rPr>
      </w:pPr>
      <w:r w:rsidRPr="00637A3D">
        <w:rPr>
          <w:rFonts w:cstheme="minorHAnsi"/>
          <w:i w:val="0"/>
          <w:iCs w:val="0"/>
          <w:color w:val="auto"/>
        </w:rPr>
        <w:t xml:space="preserve">Key drivers of the model are </w:t>
      </w:r>
      <w:r w:rsidRPr="00153C8A">
        <w:rPr>
          <w:rFonts w:cstheme="minorHAnsi"/>
          <w:i w:val="0"/>
          <w:iCs w:val="0"/>
          <w:color w:val="auto"/>
        </w:rPr>
        <w:t xml:space="preserve">summarised </w:t>
      </w:r>
      <w:r w:rsidRPr="00153C8A">
        <w:rPr>
          <w:i w:val="0"/>
          <w:iCs w:val="0"/>
          <w:color w:val="auto"/>
        </w:rPr>
        <w:t xml:space="preserve">in </w:t>
      </w:r>
      <w:r w:rsidR="00921E7E" w:rsidRPr="00153C8A">
        <w:rPr>
          <w:i w:val="0"/>
          <w:iCs w:val="0"/>
          <w:color w:val="auto"/>
        </w:rPr>
        <w:fldChar w:fldCharType="begin"/>
      </w:r>
      <w:r w:rsidR="00921E7E" w:rsidRPr="00153C8A">
        <w:rPr>
          <w:i w:val="0"/>
          <w:iCs w:val="0"/>
          <w:color w:val="auto"/>
        </w:rPr>
        <w:instrText xml:space="preserve"> REF _Ref69726321 \h  \* MERGEFORMAT </w:instrText>
      </w:r>
      <w:r w:rsidR="00921E7E" w:rsidRPr="00153C8A">
        <w:rPr>
          <w:i w:val="0"/>
          <w:iCs w:val="0"/>
          <w:color w:val="auto"/>
        </w:rPr>
      </w:r>
      <w:r w:rsidR="00921E7E" w:rsidRPr="00153C8A">
        <w:rPr>
          <w:i w:val="0"/>
          <w:iCs w:val="0"/>
          <w:color w:val="auto"/>
        </w:rPr>
        <w:fldChar w:fldCharType="separate"/>
      </w:r>
      <w:r w:rsidR="0084187F" w:rsidRPr="00153C8A">
        <w:rPr>
          <w:i w:val="0"/>
          <w:iCs w:val="0"/>
          <w:color w:val="auto"/>
        </w:rPr>
        <w:t>Table 14</w:t>
      </w:r>
      <w:r w:rsidR="00921E7E" w:rsidRPr="00153C8A">
        <w:rPr>
          <w:i w:val="0"/>
          <w:iCs w:val="0"/>
          <w:color w:val="auto"/>
        </w:rPr>
        <w:fldChar w:fldCharType="end"/>
      </w:r>
      <w:r w:rsidR="0098157E" w:rsidRPr="00153C8A">
        <w:rPr>
          <w:i w:val="0"/>
          <w:iCs w:val="0"/>
          <w:color w:val="auto"/>
        </w:rPr>
        <w:t>.</w:t>
      </w:r>
    </w:p>
    <w:p w14:paraId="0361764B" w14:textId="6EE827E2" w:rsidR="00B90C6A" w:rsidRDefault="00B90C6A" w:rsidP="009C69AA">
      <w:pPr>
        <w:pStyle w:val="Caption"/>
      </w:pPr>
      <w:bookmarkStart w:id="21" w:name="_Ref69726321"/>
      <w:r w:rsidRPr="00AB6C30">
        <w:lastRenderedPageBreak/>
        <w:t>Table </w:t>
      </w:r>
      <w:r>
        <w:fldChar w:fldCharType="begin"/>
      </w:r>
      <w:r>
        <w:instrText>SEQ Table \* ARABIC</w:instrText>
      </w:r>
      <w:r>
        <w:fldChar w:fldCharType="separate"/>
      </w:r>
      <w:r w:rsidR="0084187F">
        <w:rPr>
          <w:noProof/>
        </w:rPr>
        <w:t>14</w:t>
      </w:r>
      <w:r>
        <w:fldChar w:fldCharType="end"/>
      </w:r>
      <w:bookmarkEnd w:id="21"/>
      <w:r w:rsidRPr="00AB6C30">
        <w:tab/>
        <w:t>Key drivers of the model</w:t>
      </w:r>
    </w:p>
    <w:tbl>
      <w:tblPr>
        <w:tblStyle w:val="TableGrid1"/>
        <w:tblW w:w="5000" w:type="pct"/>
        <w:tblLayout w:type="fixed"/>
        <w:tblLook w:val="04A0" w:firstRow="1" w:lastRow="0" w:firstColumn="1" w:lastColumn="0" w:noHBand="0" w:noVBand="1"/>
      </w:tblPr>
      <w:tblGrid>
        <w:gridCol w:w="1271"/>
        <w:gridCol w:w="4961"/>
        <w:gridCol w:w="2784"/>
      </w:tblGrid>
      <w:tr w:rsidR="000B68D2" w:rsidRPr="00AB6C30" w14:paraId="5732A534" w14:textId="77777777" w:rsidTr="006F47EB">
        <w:trPr>
          <w:cnfStyle w:val="100000000000" w:firstRow="1" w:lastRow="0" w:firstColumn="0" w:lastColumn="0" w:oddVBand="0" w:evenVBand="0" w:oddHBand="0" w:evenHBand="0" w:firstRowFirstColumn="0" w:firstRowLastColumn="0" w:lastRowFirstColumn="0" w:lastRowLastColumn="0"/>
          <w:tblHeader/>
        </w:trPr>
        <w:tc>
          <w:tcPr>
            <w:tcW w:w="705" w:type="pct"/>
            <w:shd w:val="clear" w:color="auto" w:fill="auto"/>
            <w:vAlign w:val="center"/>
          </w:tcPr>
          <w:p w14:paraId="13480A68" w14:textId="77777777" w:rsidR="000B68D2" w:rsidRPr="00AB6C30" w:rsidRDefault="000B68D2" w:rsidP="006F47EB">
            <w:pPr>
              <w:pStyle w:val="In-tableHeading"/>
              <w:spacing w:after="40"/>
              <w:jc w:val="center"/>
            </w:pPr>
            <w:r w:rsidRPr="00AB6C30">
              <w:t>Description</w:t>
            </w:r>
          </w:p>
        </w:tc>
        <w:tc>
          <w:tcPr>
            <w:tcW w:w="2751" w:type="pct"/>
            <w:shd w:val="clear" w:color="auto" w:fill="auto"/>
            <w:vAlign w:val="center"/>
          </w:tcPr>
          <w:p w14:paraId="4DC3FC0A" w14:textId="77777777" w:rsidR="000B68D2" w:rsidRPr="00AB6C30" w:rsidRDefault="000B68D2" w:rsidP="006F47EB">
            <w:pPr>
              <w:pStyle w:val="In-tableHeading"/>
              <w:spacing w:after="40"/>
              <w:jc w:val="center"/>
            </w:pPr>
            <w:r w:rsidRPr="00AB6C30">
              <w:t>Method/Value</w:t>
            </w:r>
          </w:p>
        </w:tc>
        <w:tc>
          <w:tcPr>
            <w:tcW w:w="1544" w:type="pct"/>
            <w:shd w:val="clear" w:color="auto" w:fill="auto"/>
            <w:vAlign w:val="center"/>
          </w:tcPr>
          <w:p w14:paraId="72A8F7AD" w14:textId="3764AF33" w:rsidR="000B68D2" w:rsidRPr="00AB6C30" w:rsidRDefault="000B68D2" w:rsidP="006F47EB">
            <w:pPr>
              <w:pStyle w:val="In-tableHeading"/>
              <w:spacing w:after="40"/>
              <w:jc w:val="center"/>
            </w:pPr>
            <w:r w:rsidRPr="00AB6C30">
              <w:t xml:space="preserve">Impact: </w:t>
            </w:r>
            <w:r w:rsidRPr="00AB6C30">
              <w:rPr>
                <w:rFonts w:cs="Arial"/>
                <w:szCs w:val="20"/>
              </w:rPr>
              <w:t xml:space="preserve">12-year ICER: </w:t>
            </w:r>
            <w:r w:rsidR="00C817A8" w:rsidRPr="002E0155">
              <w:rPr>
                <w:rFonts w:cs="Arial"/>
                <w:szCs w:val="20"/>
              </w:rPr>
              <w:t>$</w:t>
            </w:r>
            <w:r w:rsidR="00443AF1" w:rsidRPr="00443AF1">
              <w:rPr>
                <w:rFonts w:cs="Arial"/>
                <w:color w:val="000000"/>
                <w:szCs w:val="20"/>
                <w:shd w:val="solid" w:color="000000" w:fill="000000"/>
                <w14:textFill>
                  <w14:solidFill>
                    <w14:srgbClr w14:val="000000">
                      <w14:alpha w14:val="100000"/>
                    </w14:srgbClr>
                  </w14:solidFill>
                </w14:textFill>
              </w:rPr>
              <w:t>|</w:t>
            </w:r>
            <w:r w:rsidRPr="00AB6C30">
              <w:rPr>
                <w:rFonts w:cs="Arial"/>
                <w:szCs w:val="20"/>
              </w:rPr>
              <w:t>/QALY gained</w:t>
            </w:r>
          </w:p>
        </w:tc>
      </w:tr>
      <w:tr w:rsidR="000B68D2" w:rsidRPr="00AB6C30" w14:paraId="17F6DDD6" w14:textId="77777777" w:rsidTr="006F47EB">
        <w:tc>
          <w:tcPr>
            <w:tcW w:w="705" w:type="pct"/>
            <w:shd w:val="clear" w:color="auto" w:fill="auto"/>
          </w:tcPr>
          <w:p w14:paraId="4CF89162" w14:textId="77777777" w:rsidR="000B68D2" w:rsidRPr="00AB6C30" w:rsidRDefault="000B68D2" w:rsidP="006F47EB">
            <w:pPr>
              <w:pStyle w:val="TableText0"/>
              <w:rPr>
                <w:lang w:val="en-US"/>
              </w:rPr>
            </w:pPr>
            <w:r w:rsidRPr="00AB6C30">
              <w:rPr>
                <w:lang w:val="en-US"/>
              </w:rPr>
              <w:t xml:space="preserve">Long term disutility for TVPM based on </w:t>
            </w:r>
            <w:r>
              <w:rPr>
                <w:lang w:val="en-US"/>
              </w:rPr>
              <w:t xml:space="preserve">presence of </w:t>
            </w:r>
            <w:r w:rsidRPr="00AB6C30">
              <w:rPr>
                <w:lang w:val="en-US"/>
              </w:rPr>
              <w:t>lead</w:t>
            </w:r>
            <w:r>
              <w:rPr>
                <w:lang w:val="en-US"/>
              </w:rPr>
              <w:t xml:space="preserve"> and </w:t>
            </w:r>
            <w:r w:rsidRPr="00AB6C30">
              <w:rPr>
                <w:lang w:val="en-US"/>
              </w:rPr>
              <w:t>pocket</w:t>
            </w:r>
          </w:p>
        </w:tc>
        <w:tc>
          <w:tcPr>
            <w:tcW w:w="2751" w:type="pct"/>
            <w:shd w:val="clear" w:color="auto" w:fill="auto"/>
          </w:tcPr>
          <w:p w14:paraId="76EE401A" w14:textId="77777777" w:rsidR="000B68D2" w:rsidRPr="00AB6C30" w:rsidRDefault="000B68D2" w:rsidP="006F47EB">
            <w:pPr>
              <w:pStyle w:val="TableText0"/>
              <w:rPr>
                <w:lang w:val="en-US"/>
              </w:rPr>
            </w:pPr>
            <w:r w:rsidRPr="00AB6C30">
              <w:rPr>
                <w:lang w:val="en-US"/>
              </w:rPr>
              <w:t xml:space="preserve">The </w:t>
            </w:r>
            <w:r>
              <w:rPr>
                <w:lang w:val="en-US"/>
              </w:rPr>
              <w:t>s</w:t>
            </w:r>
            <w:r w:rsidRPr="00AB6C30">
              <w:rPr>
                <w:lang w:val="en-US"/>
              </w:rPr>
              <w:t xml:space="preserve">ubmission included a disutility in the TVPM cohort </w:t>
            </w:r>
            <w:r>
              <w:rPr>
                <w:lang w:val="en-US"/>
              </w:rPr>
              <w:t xml:space="preserve">equivalent to a patient </w:t>
            </w:r>
            <w:r w:rsidRPr="00AB6C30">
              <w:rPr>
                <w:lang w:val="en-US"/>
              </w:rPr>
              <w:t xml:space="preserve">experiencing </w:t>
            </w:r>
            <w:r>
              <w:rPr>
                <w:lang w:val="en-US"/>
              </w:rPr>
              <w:t xml:space="preserve">approximately one </w:t>
            </w:r>
            <w:r w:rsidRPr="00AB6C30">
              <w:rPr>
                <w:lang w:val="en-US"/>
              </w:rPr>
              <w:t xml:space="preserve">month of post-procedural </w:t>
            </w:r>
            <w:r w:rsidRPr="003127CE">
              <w:rPr>
                <w:lang w:val="en-US"/>
              </w:rPr>
              <w:t xml:space="preserve">QoL decrement (0.0608 ÷ 12). The utility improvement based on lead and pocket absence were not supported by </w:t>
            </w:r>
            <w:r>
              <w:rPr>
                <w:lang w:val="en-US"/>
              </w:rPr>
              <w:t xml:space="preserve">specific </w:t>
            </w:r>
            <w:r w:rsidRPr="003127CE">
              <w:rPr>
                <w:lang w:val="en-US"/>
              </w:rPr>
              <w:t xml:space="preserve">evidence. Clinical feedback during the </w:t>
            </w:r>
            <w:r>
              <w:rPr>
                <w:lang w:val="en-US"/>
              </w:rPr>
              <w:t>commentary</w:t>
            </w:r>
            <w:r w:rsidRPr="003127CE">
              <w:rPr>
                <w:lang w:val="en-US"/>
              </w:rPr>
              <w:t xml:space="preserve"> indicated that </w:t>
            </w:r>
            <w:r>
              <w:rPr>
                <w:lang w:val="en-US"/>
              </w:rPr>
              <w:t>an LPM</w:t>
            </w:r>
            <w:r w:rsidRPr="003127CE">
              <w:rPr>
                <w:lang w:val="en-US"/>
              </w:rPr>
              <w:t xml:space="preserve"> </w:t>
            </w:r>
            <w:r>
              <w:rPr>
                <w:lang w:val="en-US"/>
              </w:rPr>
              <w:t>c</w:t>
            </w:r>
            <w:r w:rsidRPr="003127CE">
              <w:rPr>
                <w:lang w:val="en-US"/>
              </w:rPr>
              <w:t>ould result in higher QoL, but the exact magnitude of improvement is unclear.</w:t>
            </w:r>
            <w:r w:rsidRPr="00AB6C30">
              <w:rPr>
                <w:lang w:val="en-US"/>
              </w:rPr>
              <w:t xml:space="preserve"> </w:t>
            </w:r>
          </w:p>
        </w:tc>
        <w:tc>
          <w:tcPr>
            <w:tcW w:w="1544" w:type="pct"/>
            <w:shd w:val="clear" w:color="auto" w:fill="auto"/>
          </w:tcPr>
          <w:p w14:paraId="2D1E2E0B" w14:textId="77777777" w:rsidR="000B68D2" w:rsidRDefault="000B68D2" w:rsidP="006F47EB">
            <w:pPr>
              <w:pStyle w:val="TableText0"/>
              <w:rPr>
                <w:lang w:val="en-US"/>
              </w:rPr>
            </w:pPr>
            <w:r w:rsidRPr="00AB6C30">
              <w:rPr>
                <w:lang w:val="en-US"/>
              </w:rPr>
              <w:t>High</w:t>
            </w:r>
            <w:r>
              <w:rPr>
                <w:lang w:val="en-US"/>
              </w:rPr>
              <w:t>;</w:t>
            </w:r>
            <w:r w:rsidRPr="00AB6C30">
              <w:rPr>
                <w:lang w:val="en-US"/>
              </w:rPr>
              <w:t xml:space="preserve"> favors the intervention </w:t>
            </w:r>
          </w:p>
          <w:p w14:paraId="79D91490" w14:textId="5D634902" w:rsidR="000B68D2" w:rsidRPr="00AB6C30" w:rsidRDefault="000B68D2" w:rsidP="006F47EB">
            <w:pPr>
              <w:pStyle w:val="TableText0"/>
              <w:rPr>
                <w:lang w:val="en-US"/>
              </w:rPr>
            </w:pPr>
            <w:r w:rsidRPr="00AB6C30">
              <w:rPr>
                <w:lang w:val="en-US"/>
              </w:rPr>
              <w:t>This assumption has a very large impact on</w:t>
            </w:r>
            <w:r>
              <w:rPr>
                <w:lang w:val="en-US"/>
              </w:rPr>
              <w:t xml:space="preserve"> the</w:t>
            </w:r>
            <w:r w:rsidRPr="00AB6C30">
              <w:rPr>
                <w:lang w:val="en-US"/>
              </w:rPr>
              <w:t xml:space="preserve"> results (42% of total QALY benefits). </w:t>
            </w:r>
            <w:r>
              <w:rPr>
                <w:lang w:val="en-US"/>
              </w:rPr>
              <w:t xml:space="preserve">Omitting </w:t>
            </w:r>
            <w:r w:rsidRPr="00AB6C30">
              <w:rPr>
                <w:lang w:val="en-US"/>
              </w:rPr>
              <w:t xml:space="preserve">this disutility for TVPM results in the ICER increasing to </w:t>
            </w:r>
            <w:r w:rsidR="00C817A8" w:rsidRPr="002E0155">
              <w:rPr>
                <w:lang w:val="en-US"/>
              </w:rPr>
              <w:t>$</w:t>
            </w:r>
            <w:r w:rsidR="00443AF1" w:rsidRPr="00443AF1">
              <w:rPr>
                <w:color w:val="000000"/>
                <w:spacing w:val="54"/>
                <w:shd w:val="solid" w:color="000000" w:fill="000000"/>
                <w:fitText w:val="335" w:id="-1429520120"/>
                <w:lang w:val="en-US"/>
                <w14:textFill>
                  <w14:solidFill>
                    <w14:srgbClr w14:val="000000">
                      <w14:alpha w14:val="100000"/>
                    </w14:srgbClr>
                  </w14:solidFill>
                </w14:textFill>
              </w:rPr>
              <w:t>|||</w:t>
            </w:r>
            <w:r w:rsidR="00443AF1" w:rsidRPr="00443AF1">
              <w:rPr>
                <w:color w:val="000000"/>
                <w:spacing w:val="3"/>
                <w:shd w:val="solid" w:color="000000" w:fill="000000"/>
                <w:fitText w:val="335" w:id="-1429520120"/>
                <w:lang w:val="en-US"/>
                <w14:textFill>
                  <w14:solidFill>
                    <w14:srgbClr w14:val="000000">
                      <w14:alpha w14:val="100000"/>
                    </w14:srgbClr>
                  </w14:solidFill>
                </w14:textFill>
              </w:rPr>
              <w:t>|</w:t>
            </w:r>
            <w:r w:rsidRPr="00AB6C30">
              <w:rPr>
                <w:lang w:val="en-US"/>
              </w:rPr>
              <w:t>per QALY gained.</w:t>
            </w:r>
          </w:p>
        </w:tc>
      </w:tr>
      <w:tr w:rsidR="000B68D2" w:rsidRPr="00AB6C30" w14:paraId="11B249D0" w14:textId="77777777" w:rsidTr="006F47EB">
        <w:tc>
          <w:tcPr>
            <w:tcW w:w="705" w:type="pct"/>
            <w:shd w:val="clear" w:color="auto" w:fill="auto"/>
          </w:tcPr>
          <w:p w14:paraId="74A92897" w14:textId="77777777" w:rsidR="000B68D2" w:rsidRPr="00AB6C30" w:rsidRDefault="000B68D2" w:rsidP="006F47EB">
            <w:pPr>
              <w:pStyle w:val="TableText0"/>
              <w:rPr>
                <w:lang w:val="en-US"/>
              </w:rPr>
            </w:pPr>
            <w:r w:rsidRPr="00913C05">
              <w:t xml:space="preserve">Post-procedural disutility </w:t>
            </w:r>
          </w:p>
        </w:tc>
        <w:tc>
          <w:tcPr>
            <w:tcW w:w="2751" w:type="pct"/>
            <w:shd w:val="clear" w:color="auto" w:fill="auto"/>
          </w:tcPr>
          <w:p w14:paraId="18871E7F" w14:textId="77777777" w:rsidR="000B68D2" w:rsidRPr="00AB6C30" w:rsidRDefault="000B68D2" w:rsidP="006F47EB">
            <w:pPr>
              <w:pStyle w:val="TableText0"/>
              <w:rPr>
                <w:lang w:val="en-US"/>
              </w:rPr>
            </w:pPr>
            <w:r w:rsidRPr="00913C05">
              <w:t>The -0.0304 disutility was derived from Palmisano (2021). The submission selected this study over Cabanas</w:t>
            </w:r>
            <w:r w:rsidRPr="00913C05">
              <w:rPr>
                <w:rFonts w:ascii="Cambria Math" w:hAnsi="Cambria Math" w:cs="Cambria Math"/>
              </w:rPr>
              <w:t>‐</w:t>
            </w:r>
            <w:proofErr w:type="spellStart"/>
            <w:r w:rsidRPr="00913C05">
              <w:t>Grandío</w:t>
            </w:r>
            <w:proofErr w:type="spellEnd"/>
            <w:r w:rsidRPr="00913C05">
              <w:t xml:space="preserve"> (2019) to derive the estimated disutility for TVPM because it used propensity score matching.</w:t>
            </w:r>
          </w:p>
        </w:tc>
        <w:tc>
          <w:tcPr>
            <w:tcW w:w="1544" w:type="pct"/>
            <w:shd w:val="clear" w:color="auto" w:fill="auto"/>
          </w:tcPr>
          <w:p w14:paraId="12A9A882" w14:textId="0560E03B" w:rsidR="000B68D2" w:rsidRPr="00AB6C30" w:rsidRDefault="000B68D2" w:rsidP="006F47EB">
            <w:pPr>
              <w:pStyle w:val="TableText0"/>
              <w:rPr>
                <w:lang w:val="en-US"/>
              </w:rPr>
            </w:pPr>
            <w:r w:rsidRPr="00913C05">
              <w:t>Moderate</w:t>
            </w:r>
            <w:r>
              <w:t xml:space="preserve"> in the 12-year projection</w:t>
            </w:r>
            <w:r w:rsidRPr="00913C05">
              <w:t xml:space="preserve">; </w:t>
            </w:r>
            <w:r w:rsidRPr="00CD5D63">
              <w:t>favours</w:t>
            </w:r>
            <w:r w:rsidRPr="00913C05">
              <w:t xml:space="preserve"> the comparator</w:t>
            </w:r>
            <w:r>
              <w:t xml:space="preserve">. </w:t>
            </w:r>
            <w:r w:rsidRPr="00913C05">
              <w:t xml:space="preserve">Use of the alternative value generates an ICER of </w:t>
            </w:r>
            <w:r w:rsidR="00C817A8" w:rsidRPr="002E0155">
              <w:t>$</w:t>
            </w:r>
            <w:r w:rsidR="00443AF1" w:rsidRPr="00443AF1">
              <w:rPr>
                <w:color w:val="000000"/>
                <w:spacing w:val="54"/>
                <w:shd w:val="solid" w:color="000000" w:fill="000000"/>
                <w:fitText w:val="334" w:id="-1429520119"/>
                <w14:textFill>
                  <w14:solidFill>
                    <w14:srgbClr w14:val="000000">
                      <w14:alpha w14:val="100000"/>
                    </w14:srgbClr>
                  </w14:solidFill>
                </w14:textFill>
              </w:rPr>
              <w:t>|||</w:t>
            </w:r>
            <w:r w:rsidR="00443AF1" w:rsidRPr="00443AF1">
              <w:rPr>
                <w:color w:val="000000"/>
                <w:spacing w:val="2"/>
                <w:shd w:val="solid" w:color="000000" w:fill="000000"/>
                <w:fitText w:val="334" w:id="-1429520119"/>
                <w14:textFill>
                  <w14:solidFill>
                    <w14:srgbClr w14:val="000000">
                      <w14:alpha w14:val="100000"/>
                    </w14:srgbClr>
                  </w14:solidFill>
                </w14:textFill>
              </w:rPr>
              <w:t>|</w:t>
            </w:r>
            <w:r w:rsidRPr="00913C05">
              <w:t>.</w:t>
            </w:r>
            <w:r>
              <w:t xml:space="preserve"> Omission of the </w:t>
            </w:r>
            <w:r w:rsidRPr="00913C05">
              <w:t>-0.0304 disutility</w:t>
            </w:r>
            <w:r>
              <w:t xml:space="preserve"> in the 2-year follow-up multi-variate sensitivity analysis has a large impact given the limited period of follow-up after implementation. </w:t>
            </w:r>
          </w:p>
        </w:tc>
      </w:tr>
      <w:tr w:rsidR="000B68D2" w:rsidRPr="00AB6C30" w14:paraId="1FBC4EA9" w14:textId="77777777" w:rsidTr="006F47EB">
        <w:tc>
          <w:tcPr>
            <w:tcW w:w="705" w:type="pct"/>
            <w:shd w:val="clear" w:color="auto" w:fill="auto"/>
          </w:tcPr>
          <w:p w14:paraId="7FC66815" w14:textId="77777777" w:rsidR="000B68D2" w:rsidRPr="00AB6C30" w:rsidRDefault="000B68D2" w:rsidP="006F47EB">
            <w:pPr>
              <w:pStyle w:val="TableText0"/>
              <w:rPr>
                <w:lang w:val="en-US"/>
              </w:rPr>
            </w:pPr>
            <w:r w:rsidRPr="00AB6C30">
              <w:rPr>
                <w:lang w:val="en-US"/>
              </w:rPr>
              <w:t>Extrapolation</w:t>
            </w:r>
          </w:p>
        </w:tc>
        <w:tc>
          <w:tcPr>
            <w:tcW w:w="2751" w:type="pct"/>
            <w:shd w:val="clear" w:color="auto" w:fill="auto"/>
          </w:tcPr>
          <w:p w14:paraId="7993DE51" w14:textId="77777777" w:rsidR="000B68D2" w:rsidRPr="00AB6C30" w:rsidRDefault="000B68D2" w:rsidP="006F47EB">
            <w:pPr>
              <w:pStyle w:val="TableText0"/>
              <w:rPr>
                <w:lang w:val="en-US"/>
              </w:rPr>
            </w:pPr>
            <w:r w:rsidRPr="00AB6C30">
              <w:rPr>
                <w:lang w:val="en-US"/>
              </w:rPr>
              <w:t xml:space="preserve">An extrapolated 12-year analysis which </w:t>
            </w:r>
            <w:r>
              <w:rPr>
                <w:lang w:val="en-US"/>
              </w:rPr>
              <w:t>is claimed</w:t>
            </w:r>
            <w:r w:rsidRPr="00AB6C30">
              <w:rPr>
                <w:lang w:val="en-US"/>
              </w:rPr>
              <w:t xml:space="preserve"> to correspond </w:t>
            </w:r>
            <w:r>
              <w:rPr>
                <w:lang w:val="en-US"/>
              </w:rPr>
              <w:t xml:space="preserve">with </w:t>
            </w:r>
            <w:r w:rsidRPr="00AB6C30">
              <w:rPr>
                <w:lang w:val="en-US"/>
              </w:rPr>
              <w:t xml:space="preserve">the battery life of </w:t>
            </w:r>
            <w:r>
              <w:rPr>
                <w:lang w:val="en-US"/>
              </w:rPr>
              <w:t>an LPM was included</w:t>
            </w:r>
            <w:r w:rsidRPr="00AB6C30">
              <w:rPr>
                <w:lang w:val="en-US"/>
              </w:rPr>
              <w:t xml:space="preserve">. There is uncertainty about this extrapolation as the </w:t>
            </w:r>
            <w:proofErr w:type="spellStart"/>
            <w:r w:rsidRPr="00AB6C30">
              <w:rPr>
                <w:lang w:val="en-US"/>
              </w:rPr>
              <w:t>Duray</w:t>
            </w:r>
            <w:proofErr w:type="spellEnd"/>
            <w:r w:rsidRPr="00AB6C30">
              <w:rPr>
                <w:lang w:val="en-US"/>
              </w:rPr>
              <w:t xml:space="preserve"> (2017)</w:t>
            </w:r>
            <w:r>
              <w:rPr>
                <w:rStyle w:val="FootnoteReference"/>
                <w:lang w:val="en-US"/>
              </w:rPr>
              <w:footnoteReference w:id="13"/>
            </w:r>
            <w:r w:rsidRPr="00AB6C30">
              <w:rPr>
                <w:lang w:val="en-US"/>
              </w:rPr>
              <w:t xml:space="preserve"> study includes</w:t>
            </w:r>
            <w:r>
              <w:rPr>
                <w:lang w:val="en-US"/>
              </w:rPr>
              <w:t xml:space="preserve"> only</w:t>
            </w:r>
            <w:r w:rsidRPr="00AB6C30">
              <w:rPr>
                <w:lang w:val="en-US"/>
              </w:rPr>
              <w:t xml:space="preserve"> 12 months of data. The</w:t>
            </w:r>
            <w:r>
              <w:rPr>
                <w:lang w:val="en-US"/>
              </w:rPr>
              <w:t xml:space="preserve"> predicted</w:t>
            </w:r>
            <w:r w:rsidRPr="00AB6C30">
              <w:rPr>
                <w:lang w:val="en-US"/>
              </w:rPr>
              <w:t xml:space="preserve"> battery l</w:t>
            </w:r>
            <w:r>
              <w:rPr>
                <w:lang w:val="en-US"/>
              </w:rPr>
              <w:t>ife</w:t>
            </w:r>
            <w:r w:rsidRPr="00AB6C30">
              <w:rPr>
                <w:lang w:val="en-US"/>
              </w:rPr>
              <w:t xml:space="preserve"> of 12.1 years was based on us</w:t>
            </w:r>
            <w:r>
              <w:rPr>
                <w:lang w:val="en-US"/>
              </w:rPr>
              <w:t>age</w:t>
            </w:r>
            <w:r w:rsidRPr="00AB6C30">
              <w:rPr>
                <w:lang w:val="en-US"/>
              </w:rPr>
              <w:t xml:space="preserve"> conditions at 12 months, w</w:t>
            </w:r>
            <w:r>
              <w:rPr>
                <w:lang w:val="en-US"/>
              </w:rPr>
              <w:t>here the LPMs in</w:t>
            </w:r>
            <w:r w:rsidRPr="00AB6C30">
              <w:rPr>
                <w:lang w:val="en-US"/>
              </w:rPr>
              <w:t xml:space="preserve"> 89% of patients </w:t>
            </w:r>
            <w:r>
              <w:rPr>
                <w:lang w:val="en-US"/>
              </w:rPr>
              <w:t xml:space="preserve">had </w:t>
            </w:r>
            <w:r w:rsidRPr="00AB6C30">
              <w:rPr>
                <w:lang w:val="en-US"/>
              </w:rPr>
              <w:t xml:space="preserve">a projected longevity of 10 years. </w:t>
            </w:r>
          </w:p>
        </w:tc>
        <w:tc>
          <w:tcPr>
            <w:tcW w:w="1544" w:type="pct"/>
            <w:shd w:val="clear" w:color="auto" w:fill="auto"/>
          </w:tcPr>
          <w:p w14:paraId="38C4D0D2" w14:textId="77777777" w:rsidR="000B68D2" w:rsidRDefault="000B68D2" w:rsidP="006F47EB">
            <w:pPr>
              <w:pStyle w:val="TableText0"/>
              <w:rPr>
                <w:lang w:val="en-US"/>
              </w:rPr>
            </w:pPr>
            <w:r w:rsidRPr="00AB6C30">
              <w:rPr>
                <w:lang w:val="en-US"/>
              </w:rPr>
              <w:t>High</w:t>
            </w:r>
            <w:r>
              <w:rPr>
                <w:lang w:val="en-US"/>
              </w:rPr>
              <w:t>;</w:t>
            </w:r>
            <w:r w:rsidRPr="00AB6C30">
              <w:rPr>
                <w:lang w:val="en-US"/>
              </w:rPr>
              <w:t xml:space="preserve"> favors the intervention</w:t>
            </w:r>
          </w:p>
          <w:p w14:paraId="718BEAD1" w14:textId="41B9CB17" w:rsidR="000B68D2" w:rsidRPr="00AB6C30" w:rsidRDefault="000B68D2" w:rsidP="006F47EB">
            <w:pPr>
              <w:pStyle w:val="TableText0"/>
              <w:rPr>
                <w:lang w:val="en-US"/>
              </w:rPr>
            </w:pPr>
            <w:r w:rsidRPr="00AB6C30">
              <w:rPr>
                <w:lang w:val="en-US"/>
              </w:rPr>
              <w:t xml:space="preserve">At 5 and 10 years, the calculated ICERs are </w:t>
            </w:r>
            <w:r w:rsidR="00C817A8" w:rsidRPr="002E0155">
              <w:rPr>
                <w:lang w:val="en-US"/>
              </w:rPr>
              <w:t>$</w:t>
            </w:r>
            <w:r w:rsidR="00443AF1" w:rsidRPr="00443AF1">
              <w:rPr>
                <w:color w:val="000000"/>
                <w:spacing w:val="49"/>
                <w:shd w:val="solid" w:color="000000" w:fill="000000"/>
                <w:fitText w:val="318" w:id="-1429520118"/>
                <w:lang w:val="en-US"/>
                <w14:textFill>
                  <w14:solidFill>
                    <w14:srgbClr w14:val="000000">
                      <w14:alpha w14:val="100000"/>
                    </w14:srgbClr>
                  </w14:solidFill>
                </w14:textFill>
              </w:rPr>
              <w:t>|||</w:t>
            </w:r>
            <w:r w:rsidR="00443AF1" w:rsidRPr="00443AF1">
              <w:rPr>
                <w:color w:val="000000"/>
                <w:spacing w:val="1"/>
                <w:shd w:val="solid" w:color="000000" w:fill="000000"/>
                <w:fitText w:val="318" w:id="-1429520118"/>
                <w:lang w:val="en-US"/>
                <w14:textFill>
                  <w14:solidFill>
                    <w14:srgbClr w14:val="000000">
                      <w14:alpha w14:val="100000"/>
                    </w14:srgbClr>
                  </w14:solidFill>
                </w14:textFill>
              </w:rPr>
              <w:t>|</w:t>
            </w:r>
            <w:r w:rsidRPr="002E0155">
              <w:rPr>
                <w:lang w:val="en-US"/>
              </w:rPr>
              <w:t xml:space="preserve"> and </w:t>
            </w:r>
            <w:r w:rsidR="00C817A8" w:rsidRPr="002E0155">
              <w:rPr>
                <w:lang w:val="en-US"/>
              </w:rPr>
              <w:t>$</w:t>
            </w:r>
            <w:r w:rsidR="00443AF1" w:rsidRPr="00443AF1">
              <w:rPr>
                <w:color w:val="000000"/>
                <w:spacing w:val="54"/>
                <w:shd w:val="solid" w:color="000000" w:fill="000000"/>
                <w:fitText w:val="335" w:id="-1429520117"/>
                <w:lang w:val="en-US"/>
                <w14:textFill>
                  <w14:solidFill>
                    <w14:srgbClr w14:val="000000">
                      <w14:alpha w14:val="100000"/>
                    </w14:srgbClr>
                  </w14:solidFill>
                </w14:textFill>
              </w:rPr>
              <w:t>|||</w:t>
            </w:r>
            <w:r w:rsidR="00443AF1" w:rsidRPr="00443AF1">
              <w:rPr>
                <w:color w:val="000000"/>
                <w:spacing w:val="3"/>
                <w:shd w:val="solid" w:color="000000" w:fill="000000"/>
                <w:fitText w:val="335" w:id="-1429520117"/>
                <w:lang w:val="en-US"/>
                <w14:textFill>
                  <w14:solidFill>
                    <w14:srgbClr w14:val="000000">
                      <w14:alpha w14:val="100000"/>
                    </w14:srgbClr>
                  </w14:solidFill>
                </w14:textFill>
              </w:rPr>
              <w:t>|</w:t>
            </w:r>
            <w:r w:rsidRPr="00AB6C30">
              <w:rPr>
                <w:lang w:val="en-US"/>
              </w:rPr>
              <w:t>per QALY gained, respectively</w:t>
            </w:r>
            <w:r>
              <w:rPr>
                <w:lang w:val="en-US"/>
              </w:rPr>
              <w:t>.</w:t>
            </w:r>
          </w:p>
        </w:tc>
      </w:tr>
      <w:tr w:rsidR="000B68D2" w:rsidRPr="00AB6C30" w14:paraId="0404AE21" w14:textId="77777777" w:rsidTr="006F47EB">
        <w:tc>
          <w:tcPr>
            <w:tcW w:w="705" w:type="pct"/>
            <w:shd w:val="clear" w:color="auto" w:fill="auto"/>
          </w:tcPr>
          <w:p w14:paraId="16227141" w14:textId="77777777" w:rsidR="000B68D2" w:rsidRPr="00AB6C30" w:rsidRDefault="000B68D2" w:rsidP="006F47EB">
            <w:pPr>
              <w:pStyle w:val="TableText0"/>
              <w:rPr>
                <w:lang w:val="en-US"/>
              </w:rPr>
            </w:pPr>
            <w:r w:rsidRPr="00AB6C30">
              <w:rPr>
                <w:lang w:val="en-US"/>
              </w:rPr>
              <w:t>Cost of pacemaker infection treatment</w:t>
            </w:r>
          </w:p>
        </w:tc>
        <w:tc>
          <w:tcPr>
            <w:tcW w:w="2751" w:type="pct"/>
            <w:shd w:val="clear" w:color="auto" w:fill="auto"/>
          </w:tcPr>
          <w:p w14:paraId="425F8582" w14:textId="77777777" w:rsidR="000B68D2" w:rsidRPr="00AB6C30" w:rsidRDefault="000B68D2" w:rsidP="006F47EB">
            <w:pPr>
              <w:pStyle w:val="TableText0"/>
              <w:rPr>
                <w:lang w:val="en-US"/>
              </w:rPr>
            </w:pPr>
            <w:r w:rsidRPr="00AB6C30">
              <w:rPr>
                <w:lang w:val="en-US"/>
              </w:rPr>
              <w:t>There were large differences</w:t>
            </w:r>
            <w:r>
              <w:rPr>
                <w:lang w:val="en-US"/>
              </w:rPr>
              <w:t xml:space="preserve"> between</w:t>
            </w:r>
            <w:r w:rsidRPr="00AB6C30">
              <w:rPr>
                <w:lang w:val="en-US"/>
              </w:rPr>
              <w:t xml:space="preserve"> the Barwon Health </w:t>
            </w:r>
            <w:r>
              <w:rPr>
                <w:lang w:val="en-US"/>
              </w:rPr>
              <w:t>s</w:t>
            </w:r>
            <w:r w:rsidRPr="00AB6C30">
              <w:rPr>
                <w:lang w:val="en-US"/>
              </w:rPr>
              <w:t xml:space="preserve">ervice and </w:t>
            </w:r>
            <w:r>
              <w:rPr>
                <w:lang w:val="en-US"/>
              </w:rPr>
              <w:t>state-wide</w:t>
            </w:r>
            <w:r w:rsidRPr="00AB6C30">
              <w:rPr>
                <w:lang w:val="en-US"/>
              </w:rPr>
              <w:t xml:space="preserve"> Victoria</w:t>
            </w:r>
            <w:r>
              <w:rPr>
                <w:lang w:val="en-US"/>
              </w:rPr>
              <w:t>n</w:t>
            </w:r>
            <w:r w:rsidRPr="00AB6C30">
              <w:rPr>
                <w:lang w:val="en-US"/>
              </w:rPr>
              <w:t xml:space="preserve"> estimates of pacemaker infection </w:t>
            </w:r>
            <w:r>
              <w:rPr>
                <w:lang w:val="en-US"/>
              </w:rPr>
              <w:t xml:space="preserve">treatment </w:t>
            </w:r>
            <w:r w:rsidRPr="00AB6C30">
              <w:rPr>
                <w:lang w:val="en-US"/>
              </w:rPr>
              <w:t xml:space="preserve">costs presented in </w:t>
            </w:r>
            <w:proofErr w:type="spellStart"/>
            <w:r w:rsidRPr="00AB6C30">
              <w:rPr>
                <w:lang w:val="en-US"/>
              </w:rPr>
              <w:t>Roder</w:t>
            </w:r>
            <w:proofErr w:type="spellEnd"/>
            <w:r w:rsidRPr="00AB6C30">
              <w:rPr>
                <w:lang w:val="en-US"/>
              </w:rPr>
              <w:t xml:space="preserve"> (2019)</w:t>
            </w:r>
            <w:r>
              <w:rPr>
                <w:rStyle w:val="FootnoteReference"/>
                <w:lang w:val="en-US"/>
              </w:rPr>
              <w:footnoteReference w:id="14"/>
            </w:r>
            <w:r w:rsidRPr="00AB6C30">
              <w:rPr>
                <w:lang w:val="en-US"/>
              </w:rPr>
              <w:t xml:space="preserve">. The cost </w:t>
            </w:r>
            <w:r>
              <w:rPr>
                <w:lang w:val="en-US"/>
              </w:rPr>
              <w:t>for</w:t>
            </w:r>
            <w:r w:rsidRPr="00AB6C30">
              <w:rPr>
                <w:lang w:val="en-US"/>
              </w:rPr>
              <w:t xml:space="preserve"> an admission </w:t>
            </w:r>
            <w:r>
              <w:rPr>
                <w:lang w:val="en-US"/>
              </w:rPr>
              <w:t xml:space="preserve">to treat infection </w:t>
            </w:r>
            <w:r w:rsidRPr="00AB6C30">
              <w:rPr>
                <w:lang w:val="en-US"/>
              </w:rPr>
              <w:t>was $98,097 in the Barwon Health service, which was far higher than</w:t>
            </w:r>
            <w:r>
              <w:rPr>
                <w:lang w:val="en-US"/>
              </w:rPr>
              <w:t xml:space="preserve"> the</w:t>
            </w:r>
            <w:r w:rsidRPr="00AB6C30">
              <w:rPr>
                <w:lang w:val="en-US"/>
              </w:rPr>
              <w:t xml:space="preserve"> $19,403 per infection estimated </w:t>
            </w:r>
            <w:r>
              <w:rPr>
                <w:lang w:val="en-US"/>
              </w:rPr>
              <w:t xml:space="preserve">for all of </w:t>
            </w:r>
            <w:r w:rsidRPr="00AB6C30">
              <w:rPr>
                <w:lang w:val="en-US"/>
              </w:rPr>
              <w:t>Victoria.</w:t>
            </w:r>
          </w:p>
        </w:tc>
        <w:tc>
          <w:tcPr>
            <w:tcW w:w="1544" w:type="pct"/>
            <w:shd w:val="clear" w:color="auto" w:fill="auto"/>
          </w:tcPr>
          <w:p w14:paraId="65919D39" w14:textId="77777777" w:rsidR="000B68D2" w:rsidRDefault="000B68D2" w:rsidP="006F47EB">
            <w:pPr>
              <w:pStyle w:val="TableText0"/>
              <w:rPr>
                <w:lang w:val="en-US"/>
              </w:rPr>
            </w:pPr>
            <w:r w:rsidRPr="00AB6C30">
              <w:rPr>
                <w:lang w:val="en-US"/>
              </w:rPr>
              <w:t>High</w:t>
            </w:r>
            <w:r>
              <w:rPr>
                <w:lang w:val="en-US"/>
              </w:rPr>
              <w:t>;</w:t>
            </w:r>
            <w:r w:rsidRPr="00AB6C30">
              <w:rPr>
                <w:lang w:val="en-US"/>
              </w:rPr>
              <w:t xml:space="preserve"> favors the intervention</w:t>
            </w:r>
          </w:p>
          <w:p w14:paraId="1E497B1C" w14:textId="3D533901" w:rsidR="000B68D2" w:rsidRPr="00AB6C30" w:rsidRDefault="000B68D2" w:rsidP="006F47EB">
            <w:pPr>
              <w:pStyle w:val="TableText0"/>
              <w:rPr>
                <w:lang w:val="en-US"/>
              </w:rPr>
            </w:pPr>
            <w:r>
              <w:rPr>
                <w:lang w:val="en-US"/>
              </w:rPr>
              <w:t>Including</w:t>
            </w:r>
            <w:r w:rsidRPr="00AB6C30">
              <w:rPr>
                <w:lang w:val="en-US"/>
              </w:rPr>
              <w:t xml:space="preserve"> the </w:t>
            </w:r>
            <w:r w:rsidRPr="00F422E8">
              <w:t>Victoria-based</w:t>
            </w:r>
            <w:r w:rsidRPr="00AB6C30">
              <w:rPr>
                <w:lang w:val="en-US"/>
              </w:rPr>
              <w:t xml:space="preserve"> cost indexed </w:t>
            </w:r>
            <w:r>
              <w:rPr>
                <w:lang w:val="en-US"/>
              </w:rPr>
              <w:t>to</w:t>
            </w:r>
            <w:r w:rsidRPr="00AB6C30">
              <w:rPr>
                <w:lang w:val="en-US"/>
              </w:rPr>
              <w:t xml:space="preserve"> a</w:t>
            </w:r>
            <w:r>
              <w:rPr>
                <w:lang w:val="en-US"/>
              </w:rPr>
              <w:t>n inflation rate of</w:t>
            </w:r>
            <w:r w:rsidRPr="00AB6C30">
              <w:rPr>
                <w:lang w:val="en-US"/>
              </w:rPr>
              <w:t xml:space="preserve"> 1.13 generated an ICER= </w:t>
            </w:r>
            <w:r w:rsidR="00C817A8" w:rsidRPr="002E0155">
              <w:rPr>
                <w:lang w:val="en-US"/>
              </w:rPr>
              <w:t>$</w:t>
            </w:r>
            <w:r w:rsidR="00443AF1" w:rsidRPr="00443AF1">
              <w:rPr>
                <w:color w:val="000000"/>
                <w:spacing w:val="54"/>
                <w:shd w:val="solid" w:color="000000" w:fill="000000"/>
                <w:fitText w:val="335" w:id="-1429520116"/>
                <w:lang w:val="en-US"/>
                <w14:textFill>
                  <w14:solidFill>
                    <w14:srgbClr w14:val="000000">
                      <w14:alpha w14:val="100000"/>
                    </w14:srgbClr>
                  </w14:solidFill>
                </w14:textFill>
              </w:rPr>
              <w:t>|||</w:t>
            </w:r>
            <w:r w:rsidR="00443AF1" w:rsidRPr="00443AF1">
              <w:rPr>
                <w:color w:val="000000"/>
                <w:spacing w:val="3"/>
                <w:shd w:val="solid" w:color="000000" w:fill="000000"/>
                <w:fitText w:val="335" w:id="-1429520116"/>
                <w:lang w:val="en-US"/>
                <w14:textFill>
                  <w14:solidFill>
                    <w14:srgbClr w14:val="000000">
                      <w14:alpha w14:val="100000"/>
                    </w14:srgbClr>
                  </w14:solidFill>
                </w14:textFill>
              </w:rPr>
              <w:t>|</w:t>
            </w:r>
          </w:p>
        </w:tc>
      </w:tr>
      <w:tr w:rsidR="000B68D2" w:rsidRPr="00AB6C30" w14:paraId="053E7DAF" w14:textId="77777777" w:rsidTr="006F47EB">
        <w:tc>
          <w:tcPr>
            <w:tcW w:w="705" w:type="pct"/>
            <w:tcBorders>
              <w:top w:val="single" w:sz="4" w:space="0" w:color="auto"/>
              <w:left w:val="single" w:sz="4" w:space="0" w:color="auto"/>
              <w:bottom w:val="single" w:sz="4" w:space="0" w:color="auto"/>
              <w:right w:val="single" w:sz="4" w:space="0" w:color="auto"/>
            </w:tcBorders>
            <w:shd w:val="clear" w:color="auto" w:fill="auto"/>
          </w:tcPr>
          <w:p w14:paraId="4298CA02" w14:textId="77777777" w:rsidR="000B68D2" w:rsidRPr="00AB6C30" w:rsidRDefault="000B68D2" w:rsidP="006F47EB">
            <w:pPr>
              <w:pStyle w:val="TableText0"/>
              <w:rPr>
                <w:lang w:val="en-US"/>
              </w:rPr>
            </w:pPr>
            <w:r>
              <w:t>Cost of LPM system</w:t>
            </w:r>
          </w:p>
        </w:tc>
        <w:tc>
          <w:tcPr>
            <w:tcW w:w="2751" w:type="pct"/>
            <w:tcBorders>
              <w:top w:val="single" w:sz="4" w:space="0" w:color="auto"/>
              <w:left w:val="single" w:sz="4" w:space="0" w:color="auto"/>
              <w:bottom w:val="single" w:sz="4" w:space="0" w:color="auto"/>
              <w:right w:val="single" w:sz="4" w:space="0" w:color="auto"/>
            </w:tcBorders>
            <w:shd w:val="clear" w:color="auto" w:fill="auto"/>
          </w:tcPr>
          <w:p w14:paraId="7A8A7408" w14:textId="716ED5D5" w:rsidR="000B68D2" w:rsidRPr="00AB6C30" w:rsidRDefault="000B68D2" w:rsidP="006F47EB">
            <w:pPr>
              <w:pStyle w:val="TableText0"/>
              <w:rPr>
                <w:lang w:val="en-US"/>
              </w:rPr>
            </w:pPr>
            <w:r>
              <w:t>The overall cost of the</w:t>
            </w:r>
            <w:r w:rsidRPr="0096486C">
              <w:t xml:space="preserve"> Micra VR system </w:t>
            </w:r>
            <w:r>
              <w:t xml:space="preserve">which </w:t>
            </w:r>
            <w:r w:rsidRPr="0096486C">
              <w:t>include</w:t>
            </w:r>
            <w:r>
              <w:t>s</w:t>
            </w:r>
            <w:r w:rsidRPr="0096486C">
              <w:t xml:space="preserve"> the LPM device</w:t>
            </w:r>
            <w:r>
              <w:t xml:space="preserve">, </w:t>
            </w:r>
            <w:r w:rsidRPr="0096486C">
              <w:t xml:space="preserve">a single-use delivery catheter to deliver, deploy and test device placement </w:t>
            </w:r>
            <w:r>
              <w:t xml:space="preserve">and </w:t>
            </w:r>
            <w:r w:rsidRPr="0096486C">
              <w:t>a single-use introducer (23 French sheath)</w:t>
            </w:r>
            <w:r>
              <w:t xml:space="preserve"> is a relatively expensive unit cost and was specified as a single unit cost for the device and consumables.</w:t>
            </w:r>
          </w:p>
        </w:tc>
        <w:tc>
          <w:tcPr>
            <w:tcW w:w="1544" w:type="pct"/>
            <w:tcBorders>
              <w:top w:val="single" w:sz="4" w:space="0" w:color="auto"/>
              <w:left w:val="single" w:sz="4" w:space="0" w:color="auto"/>
              <w:bottom w:val="single" w:sz="4" w:space="0" w:color="auto"/>
              <w:right w:val="single" w:sz="4" w:space="0" w:color="auto"/>
            </w:tcBorders>
            <w:shd w:val="clear" w:color="auto" w:fill="auto"/>
          </w:tcPr>
          <w:p w14:paraId="2C9257C9" w14:textId="5D79D98F" w:rsidR="000B68D2" w:rsidRPr="00AB6C30" w:rsidRDefault="000B68D2" w:rsidP="006F47EB">
            <w:pPr>
              <w:pStyle w:val="TableText0"/>
              <w:rPr>
                <w:lang w:val="en-US"/>
              </w:rPr>
            </w:pPr>
            <w:r>
              <w:t>A 10% variation in the system unit cost results in t</w:t>
            </w:r>
            <w:r w:rsidRPr="009C0BCE">
              <w:t>he ICER rang</w:t>
            </w:r>
            <w:r>
              <w:t>ing</w:t>
            </w:r>
            <w:r w:rsidRPr="009C0BCE">
              <w:t xml:space="preserve"> from </w:t>
            </w:r>
            <w:r w:rsidR="00C817A8" w:rsidRPr="002E0155">
              <w:t>$</w:t>
            </w:r>
            <w:r w:rsidR="00443AF1" w:rsidRPr="00443AF1">
              <w:rPr>
                <w:color w:val="000000"/>
                <w:spacing w:val="54"/>
                <w:shd w:val="solid" w:color="000000" w:fill="000000"/>
                <w:fitText w:val="335" w:id="-1429520115"/>
                <w14:textFill>
                  <w14:solidFill>
                    <w14:srgbClr w14:val="000000">
                      <w14:alpha w14:val="100000"/>
                    </w14:srgbClr>
                  </w14:solidFill>
                </w14:textFill>
              </w:rPr>
              <w:t>|||</w:t>
            </w:r>
            <w:r w:rsidR="00443AF1" w:rsidRPr="00443AF1">
              <w:rPr>
                <w:color w:val="000000"/>
                <w:spacing w:val="3"/>
                <w:shd w:val="solid" w:color="000000" w:fill="000000"/>
                <w:fitText w:val="335" w:id="-1429520115"/>
                <w14:textFill>
                  <w14:solidFill>
                    <w14:srgbClr w14:val="000000">
                      <w14:alpha w14:val="100000"/>
                    </w14:srgbClr>
                  </w14:solidFill>
                </w14:textFill>
              </w:rPr>
              <w:t>|</w:t>
            </w:r>
            <w:r w:rsidRPr="002E0155">
              <w:t xml:space="preserve"> to </w:t>
            </w:r>
            <w:r w:rsidR="00C817A8" w:rsidRPr="002E0155">
              <w:t>$</w:t>
            </w:r>
            <w:r w:rsidR="00443AF1" w:rsidRPr="00443AF1">
              <w:rPr>
                <w:color w:val="000000"/>
                <w:spacing w:val="54"/>
                <w:shd w:val="solid" w:color="000000" w:fill="000000"/>
                <w:fitText w:val="335" w:id="-1429520114"/>
                <w14:textFill>
                  <w14:solidFill>
                    <w14:srgbClr w14:val="000000">
                      <w14:alpha w14:val="100000"/>
                    </w14:srgbClr>
                  </w14:solidFill>
                </w14:textFill>
              </w:rPr>
              <w:t>|||</w:t>
            </w:r>
            <w:r w:rsidR="00443AF1" w:rsidRPr="00443AF1">
              <w:rPr>
                <w:color w:val="000000"/>
                <w:spacing w:val="3"/>
                <w:shd w:val="solid" w:color="000000" w:fill="000000"/>
                <w:fitText w:val="335" w:id="-1429520114"/>
                <w14:textFill>
                  <w14:solidFill>
                    <w14:srgbClr w14:val="000000">
                      <w14:alpha w14:val="100000"/>
                    </w14:srgbClr>
                  </w14:solidFill>
                </w14:textFill>
              </w:rPr>
              <w:t>|</w:t>
            </w:r>
            <w:r w:rsidRPr="009C0BCE">
              <w:t>.</w:t>
            </w:r>
            <w:r>
              <w:t xml:space="preserve"> The lack of disaggregation of </w:t>
            </w:r>
            <w:r w:rsidRPr="009C0BCE">
              <w:t>cost of the Micra device and consumables</w:t>
            </w:r>
            <w:r>
              <w:t xml:space="preserve"> creates uncertainty but the direction is unclear.</w:t>
            </w:r>
          </w:p>
        </w:tc>
      </w:tr>
    </w:tbl>
    <w:p w14:paraId="547D5A20" w14:textId="67F762B3" w:rsidR="00705427" w:rsidRDefault="00B90C6A" w:rsidP="00705427">
      <w:pPr>
        <w:pStyle w:val="Notes-TableFigure"/>
      </w:pPr>
      <w:bookmarkStart w:id="22" w:name="_Hlk68276635"/>
      <w:r w:rsidRPr="00CE28E3">
        <w:t>ICER</w:t>
      </w:r>
      <w:r w:rsidR="00B91680">
        <w:t>,</w:t>
      </w:r>
      <w:r w:rsidRPr="00CE28E3">
        <w:t xml:space="preserve"> incremental cost-effectiveness ratio; </w:t>
      </w:r>
      <w:r w:rsidR="00B91680">
        <w:t xml:space="preserve">LPM, leadless pacemaker; </w:t>
      </w:r>
      <w:r w:rsidRPr="00CE28E3">
        <w:t>QALY</w:t>
      </w:r>
      <w:r w:rsidR="00B91680">
        <w:t xml:space="preserve">, </w:t>
      </w:r>
      <w:r w:rsidRPr="00CE28E3">
        <w:t>quality-adjusted life</w:t>
      </w:r>
      <w:r w:rsidR="00B91680">
        <w:t>-</w:t>
      </w:r>
      <w:r w:rsidRPr="00CE28E3">
        <w:t>year</w:t>
      </w:r>
      <w:bookmarkEnd w:id="20"/>
      <w:bookmarkEnd w:id="22"/>
      <w:r w:rsidR="00B91680">
        <w:t xml:space="preserve">; </w:t>
      </w:r>
      <w:r w:rsidR="00D23716">
        <w:t xml:space="preserve">QoL, quality of life; </w:t>
      </w:r>
      <w:r w:rsidR="00B91680">
        <w:t>TVPM</w:t>
      </w:r>
      <w:r w:rsidR="00B91680" w:rsidRPr="001F697C">
        <w:t>, transvenous pacemaker</w:t>
      </w:r>
      <w:r w:rsidR="00705427">
        <w:t>.</w:t>
      </w:r>
    </w:p>
    <w:p w14:paraId="1C7E3583" w14:textId="4F75EF08" w:rsidR="00705427" w:rsidRPr="0086353C" w:rsidRDefault="00705427" w:rsidP="00E503E9">
      <w:pPr>
        <w:pStyle w:val="Notes-TableFigure"/>
      </w:pPr>
      <w:r w:rsidRPr="0086353C">
        <w:t xml:space="preserve">Source: </w:t>
      </w:r>
      <w:r>
        <w:t>Commentary report.</w:t>
      </w:r>
    </w:p>
    <w:p w14:paraId="5584F170" w14:textId="77777777" w:rsidR="00705427" w:rsidRDefault="00705427" w:rsidP="00494844">
      <w:pPr>
        <w:pStyle w:val="Notes-TableFigure"/>
      </w:pPr>
    </w:p>
    <w:p w14:paraId="304FE63B" w14:textId="621B3B54" w:rsidR="009B473A" w:rsidRDefault="005E13F3" w:rsidP="00D27D2E">
      <w:pPr>
        <w:pStyle w:val="Heading2execsummary"/>
        <w:spacing w:before="360"/>
      </w:pPr>
      <w:r w:rsidRPr="005E13F3">
        <w:t>Financial/budgetary impacts</w:t>
      </w:r>
    </w:p>
    <w:p w14:paraId="33698FC5" w14:textId="58C6E744" w:rsidR="00901ACC" w:rsidRDefault="00B274AF" w:rsidP="00645477">
      <w:pPr>
        <w:rPr>
          <w:rFonts w:eastAsia="Calibri"/>
        </w:rPr>
      </w:pPr>
      <w:r w:rsidRPr="00B274AF">
        <w:rPr>
          <w:lang w:val="en-US"/>
        </w:rPr>
        <w:t xml:space="preserve">The financial implications to the </w:t>
      </w:r>
      <w:r w:rsidR="00475314" w:rsidRPr="00914717">
        <w:rPr>
          <w:lang w:val="en-US"/>
        </w:rPr>
        <w:t>MBS</w:t>
      </w:r>
      <w:r w:rsidRPr="00914717">
        <w:rPr>
          <w:lang w:val="en-US"/>
        </w:rPr>
        <w:t xml:space="preserve"> resulting from the</w:t>
      </w:r>
      <w:r w:rsidRPr="00B274AF">
        <w:rPr>
          <w:lang w:val="en-US"/>
        </w:rPr>
        <w:t xml:space="preserve"> proposed listing of </w:t>
      </w:r>
      <w:r w:rsidR="0059038F">
        <w:rPr>
          <w:lang w:val="en-US"/>
        </w:rPr>
        <w:t>LPM</w:t>
      </w:r>
      <w:r w:rsidRPr="00B274AF">
        <w:rPr>
          <w:lang w:val="en-US"/>
        </w:rPr>
        <w:t xml:space="preserve"> are </w:t>
      </w:r>
      <w:proofErr w:type="spellStart"/>
      <w:r w:rsidRPr="00B274AF">
        <w:rPr>
          <w:lang w:val="en-US"/>
        </w:rPr>
        <w:t>summarised</w:t>
      </w:r>
      <w:proofErr w:type="spellEnd"/>
      <w:r w:rsidRPr="00B274AF">
        <w:rPr>
          <w:lang w:val="en-US"/>
        </w:rPr>
        <w:t xml:space="preserve"> in </w:t>
      </w:r>
      <w:r w:rsidR="0059620E">
        <w:rPr>
          <w:lang w:val="en-US"/>
        </w:rPr>
        <w:fldChar w:fldCharType="begin"/>
      </w:r>
      <w:r w:rsidR="0059620E">
        <w:rPr>
          <w:lang w:val="en-US"/>
        </w:rPr>
        <w:instrText xml:space="preserve"> REF _Ref69726382 \h </w:instrText>
      </w:r>
      <w:r w:rsidR="0059620E">
        <w:rPr>
          <w:lang w:val="en-US"/>
        </w:rPr>
      </w:r>
      <w:r w:rsidR="0059620E">
        <w:rPr>
          <w:lang w:val="en-US"/>
        </w:rPr>
        <w:fldChar w:fldCharType="separate"/>
      </w:r>
      <w:r w:rsidR="0059620E" w:rsidRPr="00CE28E3">
        <w:t>Table</w:t>
      </w:r>
      <w:r w:rsidR="0059620E">
        <w:t xml:space="preserve"> </w:t>
      </w:r>
      <w:r w:rsidR="0059620E">
        <w:rPr>
          <w:noProof/>
        </w:rPr>
        <w:t>15</w:t>
      </w:r>
      <w:r w:rsidR="0059620E">
        <w:rPr>
          <w:lang w:val="en-US"/>
        </w:rPr>
        <w:fldChar w:fldCharType="end"/>
      </w:r>
      <w:r w:rsidRPr="00B274AF">
        <w:rPr>
          <w:lang w:val="en-US"/>
        </w:rPr>
        <w:t xml:space="preserve">. </w:t>
      </w:r>
      <w:r w:rsidR="00B70A42" w:rsidRPr="005F328E">
        <w:rPr>
          <w:rFonts w:eastAsia="Calibri"/>
        </w:rPr>
        <w:t xml:space="preserve">The </w:t>
      </w:r>
      <w:r w:rsidR="00611C3E">
        <w:rPr>
          <w:rFonts w:eastAsia="Calibri"/>
        </w:rPr>
        <w:t>s</w:t>
      </w:r>
      <w:r w:rsidR="00B70A42" w:rsidRPr="005F328E">
        <w:rPr>
          <w:rFonts w:eastAsia="Calibri"/>
        </w:rPr>
        <w:t xml:space="preserve">ubmission provided a financial analysis </w:t>
      </w:r>
      <w:r w:rsidR="00B70A42">
        <w:rPr>
          <w:rFonts w:eastAsia="Calibri"/>
        </w:rPr>
        <w:t xml:space="preserve">using </w:t>
      </w:r>
      <w:r w:rsidR="00B70A42" w:rsidRPr="00227DD4">
        <w:rPr>
          <w:rFonts w:eastAsia="Calibri"/>
        </w:rPr>
        <w:t>a market share approach</w:t>
      </w:r>
      <w:r w:rsidR="00B70A42">
        <w:rPr>
          <w:rFonts w:eastAsia="Calibri"/>
        </w:rPr>
        <w:t xml:space="preserve">. </w:t>
      </w:r>
      <w:r w:rsidR="000774EE">
        <w:rPr>
          <w:rFonts w:eastAsia="Calibri"/>
        </w:rPr>
        <w:t xml:space="preserve">The </w:t>
      </w:r>
      <w:r w:rsidR="00B70A42">
        <w:rPr>
          <w:rFonts w:eastAsia="Calibri"/>
        </w:rPr>
        <w:t xml:space="preserve">LPM is assumed to substitute for </w:t>
      </w:r>
      <w:r w:rsidR="000774EE">
        <w:rPr>
          <w:rFonts w:eastAsia="Calibri"/>
        </w:rPr>
        <w:t xml:space="preserve">the </w:t>
      </w:r>
      <w:r w:rsidR="00B70A42">
        <w:rPr>
          <w:rFonts w:eastAsia="Calibri"/>
        </w:rPr>
        <w:t>TVPM using</w:t>
      </w:r>
      <w:r w:rsidR="00B70A42" w:rsidRPr="001E6FFE">
        <w:rPr>
          <w:rFonts w:eastAsia="Calibri"/>
        </w:rPr>
        <w:t xml:space="preserve"> Medicare statistics for MBS item 38350, the current MBS-funded service procedure for </w:t>
      </w:r>
      <w:r w:rsidR="00B70A42" w:rsidRPr="00ED7BBB">
        <w:rPr>
          <w:rFonts w:eastAsia="Calibri"/>
        </w:rPr>
        <w:t xml:space="preserve">transvenous leads </w:t>
      </w:r>
      <w:r w:rsidR="00B70A42">
        <w:rPr>
          <w:rFonts w:eastAsia="Calibri"/>
        </w:rPr>
        <w:t xml:space="preserve">associated with </w:t>
      </w:r>
      <w:r w:rsidR="00B70A42" w:rsidRPr="001E6FFE">
        <w:rPr>
          <w:rFonts w:eastAsia="Calibri"/>
        </w:rPr>
        <w:t xml:space="preserve">single-chamber </w:t>
      </w:r>
      <w:r w:rsidR="000774EE">
        <w:rPr>
          <w:rFonts w:eastAsia="Calibri"/>
        </w:rPr>
        <w:t>pacemakers</w:t>
      </w:r>
      <w:r w:rsidR="00B70A42">
        <w:rPr>
          <w:rFonts w:eastAsia="Calibri"/>
        </w:rPr>
        <w:t>. This approach is reasonable as all single</w:t>
      </w:r>
      <w:r w:rsidR="00432EF3">
        <w:rPr>
          <w:rFonts w:eastAsia="Calibri"/>
        </w:rPr>
        <w:t>-</w:t>
      </w:r>
      <w:r w:rsidR="00B70A42">
        <w:rPr>
          <w:rFonts w:eastAsia="Calibri"/>
        </w:rPr>
        <w:t xml:space="preserve">chamber </w:t>
      </w:r>
      <w:r w:rsidR="00432EF3">
        <w:rPr>
          <w:rFonts w:eastAsia="Calibri"/>
        </w:rPr>
        <w:t xml:space="preserve">pacemakers </w:t>
      </w:r>
      <w:r w:rsidR="00B70A42">
        <w:rPr>
          <w:rFonts w:eastAsia="Calibri"/>
        </w:rPr>
        <w:t xml:space="preserve">require a </w:t>
      </w:r>
      <w:r w:rsidR="00B70A42">
        <w:rPr>
          <w:rFonts w:eastAsia="Calibri"/>
        </w:rPr>
        <w:lastRenderedPageBreak/>
        <w:t>lead.</w:t>
      </w:r>
      <w:r w:rsidR="00B70A42" w:rsidRPr="00227DD4">
        <w:rPr>
          <w:rFonts w:eastAsia="Calibri"/>
        </w:rPr>
        <w:t xml:space="preserve"> </w:t>
      </w:r>
      <w:r w:rsidR="00B70A42" w:rsidRPr="00ED7BBB">
        <w:rPr>
          <w:rFonts w:eastAsia="Calibri"/>
        </w:rPr>
        <w:t xml:space="preserve">An additional validation analysis </w:t>
      </w:r>
      <w:r w:rsidR="00B70A42">
        <w:rPr>
          <w:rFonts w:eastAsia="Calibri"/>
        </w:rPr>
        <w:t xml:space="preserve">was also included which used </w:t>
      </w:r>
      <w:r w:rsidR="00FE755B">
        <w:rPr>
          <w:rFonts w:eastAsia="Calibri"/>
        </w:rPr>
        <w:t>pacemaker</w:t>
      </w:r>
      <w:r w:rsidR="00B70A42" w:rsidRPr="00ED7BBB">
        <w:rPr>
          <w:rFonts w:eastAsia="Calibri"/>
        </w:rPr>
        <w:t xml:space="preserve"> sales data reported in the Australian and New Zealand Cardiac Implantable Electronic Device Survey</w:t>
      </w:r>
      <w:r w:rsidR="00B70A42">
        <w:rPr>
          <w:rFonts w:eastAsia="Calibri"/>
        </w:rPr>
        <w:t>.</w:t>
      </w:r>
      <w:r w:rsidR="00B70A42" w:rsidRPr="00ED7BBB">
        <w:rPr>
          <w:rFonts w:eastAsia="Calibri"/>
        </w:rPr>
        <w:t xml:space="preserve"> </w:t>
      </w:r>
    </w:p>
    <w:p w14:paraId="723EF67E" w14:textId="7F501BF0" w:rsidR="00B70A42" w:rsidRPr="005F328E" w:rsidRDefault="00B70A42" w:rsidP="00645477">
      <w:pPr>
        <w:rPr>
          <w:rFonts w:eastAsia="Calibri"/>
          <w:i/>
        </w:rPr>
      </w:pPr>
      <w:r>
        <w:t xml:space="preserve">It is evident that the </w:t>
      </w:r>
      <w:r w:rsidR="00FE755B">
        <w:t xml:space="preserve">submission </w:t>
      </w:r>
      <w:r>
        <w:t>calculated the new item to have a cost neutral impact on the MBS.</w:t>
      </w:r>
      <w:r w:rsidR="00901ACC" w:rsidRPr="00901ACC">
        <w:t xml:space="preserve"> </w:t>
      </w:r>
      <w:r w:rsidR="00901ACC">
        <w:t>The requested item is for t</w:t>
      </w:r>
      <w:r w:rsidR="00901ACC" w:rsidRPr="00277E84">
        <w:t xml:space="preserve">ranscatheter insertion, </w:t>
      </w:r>
      <w:proofErr w:type="gramStart"/>
      <w:r w:rsidR="00901ACC" w:rsidRPr="00277E84">
        <w:t>retrieval</w:t>
      </w:r>
      <w:proofErr w:type="gramEnd"/>
      <w:r w:rsidR="00901ACC" w:rsidRPr="00277E84">
        <w:t xml:space="preserve"> or removal </w:t>
      </w:r>
      <w:r w:rsidR="00901ACC">
        <w:t xml:space="preserve">at a cost of </w:t>
      </w:r>
      <w:r w:rsidR="00901ACC" w:rsidRPr="00277E84">
        <w:t>$797.45</w:t>
      </w:r>
      <w:r w:rsidR="00901ACC">
        <w:t xml:space="preserve">, which would substitute for the existing items </w:t>
      </w:r>
      <w:r w:rsidR="00901ACC" w:rsidRPr="00277E84">
        <w:t>MBS item 38350 for insertion, replacement or removal of lead</w:t>
      </w:r>
      <w:r w:rsidR="00901ACC">
        <w:t xml:space="preserve"> (c</w:t>
      </w:r>
      <w:r w:rsidR="00901ACC" w:rsidRPr="00277E84">
        <w:t>urrent MBS fee $664.55</w:t>
      </w:r>
      <w:r w:rsidR="00901ACC">
        <w:t xml:space="preserve">) and </w:t>
      </w:r>
      <w:r w:rsidR="00901ACC" w:rsidRPr="00277E84">
        <w:t>MBS item 38353 for insertion, replacement or removal of pacing device</w:t>
      </w:r>
      <w:r w:rsidR="00901ACC">
        <w:t xml:space="preserve"> (</w:t>
      </w:r>
      <w:r w:rsidR="00901ACC" w:rsidRPr="00277E84">
        <w:t>$132.90</w:t>
      </w:r>
      <w:r w:rsidR="00901ACC">
        <w:t>; c</w:t>
      </w:r>
      <w:r w:rsidR="00901ACC" w:rsidRPr="00277E84">
        <w:t>urrent MBS fee</w:t>
      </w:r>
      <w:r w:rsidR="00901ACC">
        <w:t xml:space="preserve"> of </w:t>
      </w:r>
      <w:r w:rsidR="00901ACC" w:rsidRPr="00277E84">
        <w:t>$265.80 adjusted for multiple operation rule x 50%)</w:t>
      </w:r>
      <w:r w:rsidR="00901ACC">
        <w:t>.</w:t>
      </w:r>
    </w:p>
    <w:p w14:paraId="3AA507BE" w14:textId="48C6A6DF" w:rsidR="009640DA" w:rsidRPr="00CE28E3" w:rsidRDefault="009640DA" w:rsidP="009640DA">
      <w:pPr>
        <w:pStyle w:val="Caption"/>
      </w:pPr>
      <w:bookmarkStart w:id="23" w:name="_Ref69726382"/>
      <w:r w:rsidRPr="00CE28E3">
        <w:t>Table</w:t>
      </w:r>
      <w:r>
        <w:t xml:space="preserve"> </w:t>
      </w:r>
      <w:r>
        <w:fldChar w:fldCharType="begin"/>
      </w:r>
      <w:r>
        <w:instrText>SEQ Table \* ARABIC</w:instrText>
      </w:r>
      <w:r>
        <w:fldChar w:fldCharType="separate"/>
      </w:r>
      <w:r w:rsidR="0084187F">
        <w:rPr>
          <w:noProof/>
        </w:rPr>
        <w:t>15</w:t>
      </w:r>
      <w:r>
        <w:fldChar w:fldCharType="end"/>
      </w:r>
      <w:bookmarkEnd w:id="23"/>
      <w:r w:rsidRPr="00CE28E3">
        <w:tab/>
        <w:t xml:space="preserve">Net financial implications of </w:t>
      </w:r>
      <w:r w:rsidR="000B6227">
        <w:t>an LPM</w:t>
      </w:r>
      <w:r>
        <w:t xml:space="preserve"> </w:t>
      </w:r>
      <w:r w:rsidRPr="00CE28E3">
        <w:t xml:space="preserve">to the </w:t>
      </w:r>
      <w:r>
        <w:t>MBS</w:t>
      </w:r>
    </w:p>
    <w:tbl>
      <w:tblPr>
        <w:tblStyle w:val="TableGrid1"/>
        <w:tblW w:w="9204" w:type="dxa"/>
        <w:tblCellMar>
          <w:left w:w="0" w:type="dxa"/>
          <w:right w:w="0" w:type="dxa"/>
        </w:tblCellMar>
        <w:tblLook w:val="04A0" w:firstRow="1" w:lastRow="0" w:firstColumn="1" w:lastColumn="0" w:noHBand="0" w:noVBand="1"/>
      </w:tblPr>
      <w:tblGrid>
        <w:gridCol w:w="2684"/>
        <w:gridCol w:w="1053"/>
        <w:gridCol w:w="1054"/>
        <w:gridCol w:w="1054"/>
        <w:gridCol w:w="1053"/>
        <w:gridCol w:w="1172"/>
        <w:gridCol w:w="1134"/>
      </w:tblGrid>
      <w:tr w:rsidR="009640DA" w:rsidRPr="00CE28E3" w14:paraId="3FB4A076" w14:textId="77777777" w:rsidTr="00637A3D">
        <w:trPr>
          <w:cnfStyle w:val="100000000000" w:firstRow="1" w:lastRow="0" w:firstColumn="0" w:lastColumn="0" w:oddVBand="0" w:evenVBand="0" w:oddHBand="0" w:evenHBand="0" w:firstRowFirstColumn="0" w:firstRowLastColumn="0" w:lastRowFirstColumn="0" w:lastRowLastColumn="0"/>
          <w:tblHeader/>
        </w:trPr>
        <w:tc>
          <w:tcPr>
            <w:tcW w:w="268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26E9A0" w14:textId="77777777" w:rsidR="009640DA" w:rsidRPr="00CE28E3" w:rsidRDefault="009640DA" w:rsidP="009640DA">
            <w:pPr>
              <w:pStyle w:val="TableText0"/>
              <w:rPr>
                <w:b/>
                <w:bCs/>
              </w:rPr>
            </w:pPr>
            <w:bookmarkStart w:id="24" w:name="Title_Table12" w:colFirst="0" w:colLast="0"/>
            <w:bookmarkStart w:id="25" w:name="_Hlk68276802"/>
            <w:r>
              <w:rPr>
                <w:b/>
                <w:bCs/>
              </w:rPr>
              <w:t xml:space="preserve">Parameter </w:t>
            </w:r>
          </w:p>
        </w:tc>
        <w:tc>
          <w:tcPr>
            <w:tcW w:w="105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7DD84A7" w14:textId="77777777" w:rsidR="009640DA" w:rsidRPr="00CE28E3" w:rsidRDefault="009640DA" w:rsidP="00637A3D">
            <w:pPr>
              <w:pStyle w:val="TableText0"/>
              <w:jc w:val="center"/>
              <w:rPr>
                <w:b/>
                <w:bCs/>
              </w:rPr>
            </w:pPr>
            <w:r w:rsidRPr="00CE28E3">
              <w:rPr>
                <w:b/>
                <w:bCs/>
              </w:rPr>
              <w:t>Year 1</w:t>
            </w:r>
          </w:p>
        </w:tc>
        <w:tc>
          <w:tcPr>
            <w:tcW w:w="105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836D93A" w14:textId="77777777" w:rsidR="009640DA" w:rsidRPr="00CE28E3" w:rsidRDefault="009640DA" w:rsidP="00637A3D">
            <w:pPr>
              <w:pStyle w:val="TableText0"/>
              <w:jc w:val="center"/>
              <w:rPr>
                <w:b/>
                <w:bCs/>
              </w:rPr>
            </w:pPr>
            <w:r w:rsidRPr="00CE28E3">
              <w:rPr>
                <w:b/>
                <w:bCs/>
              </w:rPr>
              <w:t>Year 2</w:t>
            </w:r>
          </w:p>
        </w:tc>
        <w:tc>
          <w:tcPr>
            <w:tcW w:w="105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B3868BF" w14:textId="77777777" w:rsidR="009640DA" w:rsidRPr="00CE28E3" w:rsidRDefault="009640DA" w:rsidP="00637A3D">
            <w:pPr>
              <w:pStyle w:val="TableText0"/>
              <w:jc w:val="center"/>
              <w:rPr>
                <w:b/>
                <w:bCs/>
              </w:rPr>
            </w:pPr>
            <w:r w:rsidRPr="00CE28E3">
              <w:rPr>
                <w:b/>
                <w:bCs/>
              </w:rPr>
              <w:t>Year 3</w:t>
            </w:r>
          </w:p>
        </w:tc>
        <w:tc>
          <w:tcPr>
            <w:tcW w:w="105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E17700E" w14:textId="77777777" w:rsidR="009640DA" w:rsidRPr="00CE28E3" w:rsidRDefault="009640DA" w:rsidP="00637A3D">
            <w:pPr>
              <w:pStyle w:val="TableText0"/>
              <w:jc w:val="center"/>
              <w:rPr>
                <w:b/>
                <w:bCs/>
              </w:rPr>
            </w:pPr>
            <w:r w:rsidRPr="00CE28E3">
              <w:rPr>
                <w:b/>
                <w:bCs/>
              </w:rPr>
              <w:t>Year 4</w:t>
            </w:r>
          </w:p>
        </w:tc>
        <w:tc>
          <w:tcPr>
            <w:tcW w:w="11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432AEEA" w14:textId="77777777" w:rsidR="009640DA" w:rsidRPr="00CE28E3" w:rsidRDefault="009640DA" w:rsidP="00637A3D">
            <w:pPr>
              <w:pStyle w:val="TableText0"/>
              <w:jc w:val="center"/>
              <w:rPr>
                <w:b/>
                <w:bCs/>
              </w:rPr>
            </w:pPr>
            <w:r w:rsidRPr="00CE28E3">
              <w:rPr>
                <w:b/>
                <w:bCs/>
              </w:rPr>
              <w:t>Year 5</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6D1B14" w14:textId="77777777" w:rsidR="009640DA" w:rsidRPr="00CE28E3" w:rsidRDefault="009640DA" w:rsidP="00637A3D">
            <w:pPr>
              <w:pStyle w:val="TableText0"/>
              <w:jc w:val="center"/>
              <w:rPr>
                <w:b/>
                <w:bCs/>
              </w:rPr>
            </w:pPr>
            <w:r w:rsidRPr="00CE28E3">
              <w:rPr>
                <w:b/>
                <w:bCs/>
              </w:rPr>
              <w:t>Year 6</w:t>
            </w:r>
          </w:p>
        </w:tc>
      </w:tr>
      <w:bookmarkEnd w:id="24"/>
      <w:tr w:rsidR="009640DA" w:rsidRPr="00CE28E3" w14:paraId="3DDF483A" w14:textId="77777777" w:rsidTr="00637A3D">
        <w:tc>
          <w:tcPr>
            <w:tcW w:w="9204" w:type="dxa"/>
            <w:gridSpan w:val="7"/>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7CB2AD" w14:textId="77777777" w:rsidR="009640DA" w:rsidRPr="00CE28E3" w:rsidRDefault="009640DA" w:rsidP="009640DA">
            <w:pPr>
              <w:pStyle w:val="TableText0"/>
              <w:rPr>
                <w:b/>
                <w:bCs/>
              </w:rPr>
            </w:pPr>
            <w:r w:rsidRPr="00CE28E3">
              <w:rPr>
                <w:b/>
                <w:bCs/>
              </w:rPr>
              <w:t xml:space="preserve">Estimated use and cost of </w:t>
            </w:r>
            <w:r>
              <w:rPr>
                <w:b/>
                <w:bCs/>
              </w:rPr>
              <w:t>LPM</w:t>
            </w:r>
          </w:p>
        </w:tc>
      </w:tr>
      <w:tr w:rsidR="00443AF1" w:rsidRPr="00CE28E3" w14:paraId="546D3C37" w14:textId="77777777" w:rsidTr="00443AF1">
        <w:tc>
          <w:tcPr>
            <w:tcW w:w="268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9E2A772" w14:textId="50A9AF1E" w:rsidR="009640DA" w:rsidRPr="00CE28E3" w:rsidRDefault="007C044F" w:rsidP="009640DA">
            <w:pPr>
              <w:pStyle w:val="TableText0"/>
            </w:pPr>
            <w:r>
              <w:t>Number of s</w:t>
            </w:r>
            <w:r w:rsidR="009640DA" w:rsidRPr="008743DE">
              <w:t>ingle-chamber PM</w:t>
            </w:r>
            <w:r w:rsidR="009640DA">
              <w:t xml:space="preserve"> patients</w:t>
            </w:r>
            <w:r w:rsidR="009640DA" w:rsidRPr="008743DE">
              <w:t>, projected</w:t>
            </w:r>
          </w:p>
        </w:tc>
        <w:tc>
          <w:tcPr>
            <w:tcW w:w="1053" w:type="dxa"/>
            <w:tcBorders>
              <w:top w:val="nil"/>
              <w:left w:val="nil"/>
              <w:bottom w:val="single" w:sz="4" w:space="0" w:color="auto"/>
              <w:right w:val="single" w:sz="8" w:space="0" w:color="auto"/>
            </w:tcBorders>
            <w:tcMar>
              <w:top w:w="0" w:type="dxa"/>
              <w:left w:w="108" w:type="dxa"/>
              <w:bottom w:w="0" w:type="dxa"/>
              <w:right w:w="108" w:type="dxa"/>
            </w:tcMar>
          </w:tcPr>
          <w:p w14:paraId="473E9A1A" w14:textId="77777777" w:rsidR="009640DA" w:rsidRPr="00CE28E3" w:rsidRDefault="009640DA" w:rsidP="009640DA">
            <w:pPr>
              <w:pStyle w:val="TableText0"/>
              <w:jc w:val="center"/>
            </w:pPr>
            <w:r w:rsidRPr="00F77A6D">
              <w:t>3,509</w:t>
            </w:r>
          </w:p>
        </w:tc>
        <w:tc>
          <w:tcPr>
            <w:tcW w:w="1054" w:type="dxa"/>
            <w:tcBorders>
              <w:top w:val="nil"/>
              <w:left w:val="nil"/>
              <w:bottom w:val="single" w:sz="4" w:space="0" w:color="auto"/>
              <w:right w:val="single" w:sz="8" w:space="0" w:color="auto"/>
            </w:tcBorders>
            <w:tcMar>
              <w:top w:w="0" w:type="dxa"/>
              <w:left w:w="108" w:type="dxa"/>
              <w:bottom w:w="0" w:type="dxa"/>
              <w:right w:w="108" w:type="dxa"/>
            </w:tcMar>
          </w:tcPr>
          <w:p w14:paraId="47AAC18B" w14:textId="77777777" w:rsidR="009640DA" w:rsidRPr="00CE28E3" w:rsidRDefault="009640DA" w:rsidP="009640DA">
            <w:pPr>
              <w:pStyle w:val="TableText0"/>
              <w:jc w:val="center"/>
            </w:pPr>
            <w:r w:rsidRPr="00F77A6D">
              <w:t>3,623</w:t>
            </w:r>
          </w:p>
        </w:tc>
        <w:tc>
          <w:tcPr>
            <w:tcW w:w="1054" w:type="dxa"/>
            <w:tcBorders>
              <w:top w:val="nil"/>
              <w:left w:val="nil"/>
              <w:bottom w:val="single" w:sz="4" w:space="0" w:color="auto"/>
              <w:right w:val="single" w:sz="8" w:space="0" w:color="auto"/>
            </w:tcBorders>
            <w:tcMar>
              <w:top w:w="0" w:type="dxa"/>
              <w:left w:w="108" w:type="dxa"/>
              <w:bottom w:w="0" w:type="dxa"/>
              <w:right w:w="108" w:type="dxa"/>
            </w:tcMar>
          </w:tcPr>
          <w:p w14:paraId="7CCFD320" w14:textId="77777777" w:rsidR="009640DA" w:rsidRPr="00CE28E3" w:rsidRDefault="009640DA" w:rsidP="009640DA">
            <w:pPr>
              <w:pStyle w:val="TableText0"/>
              <w:jc w:val="center"/>
            </w:pPr>
            <w:r w:rsidRPr="00F77A6D">
              <w:t>3,736</w:t>
            </w:r>
          </w:p>
        </w:tc>
        <w:tc>
          <w:tcPr>
            <w:tcW w:w="1053" w:type="dxa"/>
            <w:tcBorders>
              <w:top w:val="nil"/>
              <w:left w:val="nil"/>
              <w:bottom w:val="single" w:sz="4" w:space="0" w:color="auto"/>
              <w:right w:val="single" w:sz="8" w:space="0" w:color="auto"/>
            </w:tcBorders>
            <w:tcMar>
              <w:top w:w="0" w:type="dxa"/>
              <w:left w:w="108" w:type="dxa"/>
              <w:bottom w:w="0" w:type="dxa"/>
              <w:right w:w="108" w:type="dxa"/>
            </w:tcMar>
          </w:tcPr>
          <w:p w14:paraId="4BE36677" w14:textId="77777777" w:rsidR="009640DA" w:rsidRPr="00CE28E3" w:rsidRDefault="009640DA" w:rsidP="009640DA">
            <w:pPr>
              <w:pStyle w:val="TableText0"/>
              <w:jc w:val="center"/>
            </w:pPr>
            <w:r w:rsidRPr="00F77A6D">
              <w:t>3,850</w:t>
            </w:r>
          </w:p>
        </w:tc>
        <w:tc>
          <w:tcPr>
            <w:tcW w:w="1172" w:type="dxa"/>
            <w:tcBorders>
              <w:top w:val="nil"/>
              <w:left w:val="nil"/>
              <w:bottom w:val="single" w:sz="4" w:space="0" w:color="auto"/>
              <w:right w:val="single" w:sz="8" w:space="0" w:color="auto"/>
            </w:tcBorders>
            <w:tcMar>
              <w:top w:w="0" w:type="dxa"/>
              <w:left w:w="108" w:type="dxa"/>
              <w:bottom w:w="0" w:type="dxa"/>
              <w:right w:w="108" w:type="dxa"/>
            </w:tcMar>
          </w:tcPr>
          <w:p w14:paraId="6DDEB62C" w14:textId="77777777" w:rsidR="009640DA" w:rsidRPr="00CE28E3" w:rsidRDefault="009640DA" w:rsidP="009640DA">
            <w:pPr>
              <w:pStyle w:val="TableText0"/>
              <w:jc w:val="center"/>
            </w:pPr>
            <w:r w:rsidRPr="00F77A6D">
              <w:t>3,964</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14:paraId="13FFB91D" w14:textId="77777777" w:rsidR="009640DA" w:rsidRPr="00CE28E3" w:rsidRDefault="009640DA" w:rsidP="009640DA">
            <w:pPr>
              <w:pStyle w:val="TableText0"/>
              <w:jc w:val="center"/>
            </w:pPr>
            <w:r w:rsidRPr="00F77A6D">
              <w:t>4,078</w:t>
            </w:r>
          </w:p>
        </w:tc>
      </w:tr>
      <w:tr w:rsidR="00443AF1" w:rsidRPr="00CE28E3" w14:paraId="5DD2FF28" w14:textId="77777777" w:rsidTr="00443AF1">
        <w:tc>
          <w:tcPr>
            <w:tcW w:w="2684"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7DABEA09" w14:textId="7A25A7C1" w:rsidR="009640DA" w:rsidRPr="00CE28E3" w:rsidRDefault="009640DA" w:rsidP="009640DA">
            <w:pPr>
              <w:pStyle w:val="TableText0"/>
            </w:pPr>
            <w:r w:rsidRPr="00CE28E3">
              <w:t xml:space="preserve">Number of people who receive </w:t>
            </w:r>
            <w:r w:rsidR="000B6227">
              <w:t>an LPM</w:t>
            </w:r>
          </w:p>
        </w:tc>
        <w:tc>
          <w:tcPr>
            <w:tcW w:w="1053" w:type="dxa"/>
            <w:tcBorders>
              <w:top w:val="single" w:sz="4" w:space="0" w:color="auto"/>
              <w:left w:val="single" w:sz="4" w:space="0" w:color="auto"/>
              <w:bottom w:val="single" w:sz="4" w:space="0" w:color="auto"/>
              <w:right w:val="single" w:sz="4" w:space="0" w:color="auto"/>
            </w:tcBorders>
            <w:shd w:val="solid" w:color="000000" w:fill="000000"/>
            <w:tcMar>
              <w:top w:w="0" w:type="dxa"/>
              <w:left w:w="108" w:type="dxa"/>
              <w:bottom w:w="0" w:type="dxa"/>
              <w:right w:w="108" w:type="dxa"/>
            </w:tcMar>
          </w:tcPr>
          <w:p w14:paraId="473E563A" w14:textId="5AADB29D" w:rsidR="009640DA" w:rsidRPr="002E0155" w:rsidRDefault="00443AF1" w:rsidP="009640DA">
            <w:pPr>
              <w:pStyle w:val="TableText0"/>
              <w:jc w:val="center"/>
              <w:rPr>
                <w:highlight w:val="green"/>
              </w:rPr>
            </w:pPr>
            <w:r w:rsidRPr="00443AF1">
              <w:rPr>
                <w:rFonts w:hint="eastAsia"/>
                <w:color w:val="000000"/>
                <w:w w:val="15"/>
                <w:fitText w:val="67" w:id="-1429520113"/>
                <w14:textFill>
                  <w14:solidFill>
                    <w14:srgbClr w14:val="000000">
                      <w14:alpha w14:val="100000"/>
                    </w14:srgbClr>
                  </w14:solidFill>
                </w14:textFill>
              </w:rPr>
              <w:t xml:space="preserve">　</w:t>
            </w:r>
            <w:r w:rsidRPr="00443AF1">
              <w:rPr>
                <w:color w:val="000000"/>
                <w:w w:val="15"/>
                <w:fitText w:val="67" w:id="-1429520113"/>
                <w14:textFill>
                  <w14:solidFill>
                    <w14:srgbClr w14:val="000000">
                      <w14:alpha w14:val="100000"/>
                    </w14:srgbClr>
                  </w14:solidFill>
                </w14:textFill>
              </w:rPr>
              <w:t>|</w:t>
            </w:r>
            <w:r w:rsidRPr="00443AF1">
              <w:rPr>
                <w:rFonts w:hint="eastAsia"/>
                <w:color w:val="000000"/>
                <w:w w:val="15"/>
                <w:fitText w:val="67" w:id="-1429520113"/>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4" w:space="0" w:color="auto"/>
              <w:right w:val="single" w:sz="4" w:space="0" w:color="auto"/>
            </w:tcBorders>
            <w:shd w:val="solid" w:color="000000" w:fill="000000"/>
            <w:tcMar>
              <w:top w:w="0" w:type="dxa"/>
              <w:left w:w="108" w:type="dxa"/>
              <w:bottom w:w="0" w:type="dxa"/>
              <w:right w:w="108" w:type="dxa"/>
            </w:tcMar>
          </w:tcPr>
          <w:p w14:paraId="3D7ECBC2" w14:textId="064C19FE" w:rsidR="009640DA" w:rsidRPr="002E0155" w:rsidRDefault="00443AF1" w:rsidP="009640DA">
            <w:pPr>
              <w:pStyle w:val="TableText0"/>
              <w:jc w:val="center"/>
              <w:rPr>
                <w:highlight w:val="green"/>
              </w:rPr>
            </w:pPr>
            <w:r w:rsidRPr="00443AF1">
              <w:rPr>
                <w:rFonts w:hint="eastAsia"/>
                <w:color w:val="000000"/>
                <w:w w:val="15"/>
                <w:fitText w:val="67" w:id="-1429520112"/>
                <w14:textFill>
                  <w14:solidFill>
                    <w14:srgbClr w14:val="000000">
                      <w14:alpha w14:val="100000"/>
                    </w14:srgbClr>
                  </w14:solidFill>
                </w14:textFill>
              </w:rPr>
              <w:t xml:space="preserve">　</w:t>
            </w:r>
            <w:r w:rsidRPr="00443AF1">
              <w:rPr>
                <w:color w:val="000000"/>
                <w:w w:val="15"/>
                <w:fitText w:val="67" w:id="-1429520112"/>
                <w14:textFill>
                  <w14:solidFill>
                    <w14:srgbClr w14:val="000000">
                      <w14:alpha w14:val="100000"/>
                    </w14:srgbClr>
                  </w14:solidFill>
                </w14:textFill>
              </w:rPr>
              <w:t>|</w:t>
            </w:r>
            <w:r w:rsidRPr="00443AF1">
              <w:rPr>
                <w:rFonts w:hint="eastAsia"/>
                <w:color w:val="000000"/>
                <w:w w:val="15"/>
                <w:fitText w:val="67" w:id="-1429520112"/>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4" w:space="0" w:color="auto"/>
              <w:right w:val="single" w:sz="4" w:space="0" w:color="auto"/>
            </w:tcBorders>
            <w:shd w:val="solid" w:color="000000" w:fill="000000"/>
            <w:tcMar>
              <w:top w:w="0" w:type="dxa"/>
              <w:left w:w="108" w:type="dxa"/>
              <w:bottom w:w="0" w:type="dxa"/>
              <w:right w:w="108" w:type="dxa"/>
            </w:tcMar>
          </w:tcPr>
          <w:p w14:paraId="445B9F67" w14:textId="0C1D2663" w:rsidR="009640DA" w:rsidRPr="002E0155" w:rsidRDefault="00443AF1" w:rsidP="009640DA">
            <w:pPr>
              <w:pStyle w:val="TableText0"/>
              <w:jc w:val="center"/>
              <w:rPr>
                <w:highlight w:val="green"/>
              </w:rPr>
            </w:pPr>
            <w:r w:rsidRPr="00443AF1">
              <w:rPr>
                <w:rFonts w:hint="eastAsia"/>
                <w:color w:val="000000"/>
                <w:w w:val="15"/>
                <w:fitText w:val="67" w:id="-1429520128"/>
                <w14:textFill>
                  <w14:solidFill>
                    <w14:srgbClr w14:val="000000">
                      <w14:alpha w14:val="100000"/>
                    </w14:srgbClr>
                  </w14:solidFill>
                </w14:textFill>
              </w:rPr>
              <w:t xml:space="preserve">　</w:t>
            </w:r>
            <w:r w:rsidRPr="00443AF1">
              <w:rPr>
                <w:color w:val="000000"/>
                <w:w w:val="15"/>
                <w:fitText w:val="67" w:id="-1429520128"/>
                <w14:textFill>
                  <w14:solidFill>
                    <w14:srgbClr w14:val="000000">
                      <w14:alpha w14:val="100000"/>
                    </w14:srgbClr>
                  </w14:solidFill>
                </w14:textFill>
              </w:rPr>
              <w:t>|</w:t>
            </w:r>
            <w:r w:rsidRPr="00443AF1">
              <w:rPr>
                <w:rFonts w:hint="eastAsia"/>
                <w:color w:val="000000"/>
                <w:w w:val="15"/>
                <w:fitText w:val="67" w:id="-1429520128"/>
                <w14:textFill>
                  <w14:solidFill>
                    <w14:srgbClr w14:val="000000">
                      <w14:alpha w14:val="100000"/>
                    </w14:srgbClr>
                  </w14:solidFill>
                </w14:textFill>
              </w:rPr>
              <w:t xml:space="preserve">　</w:t>
            </w:r>
          </w:p>
        </w:tc>
        <w:tc>
          <w:tcPr>
            <w:tcW w:w="1053" w:type="dxa"/>
            <w:tcBorders>
              <w:top w:val="single" w:sz="4" w:space="0" w:color="auto"/>
              <w:left w:val="single" w:sz="4" w:space="0" w:color="auto"/>
              <w:bottom w:val="single" w:sz="4" w:space="0" w:color="auto"/>
              <w:right w:val="single" w:sz="4" w:space="0" w:color="auto"/>
            </w:tcBorders>
            <w:shd w:val="solid" w:color="000000" w:fill="000000"/>
            <w:tcMar>
              <w:top w:w="0" w:type="dxa"/>
              <w:left w:w="108" w:type="dxa"/>
              <w:bottom w:w="0" w:type="dxa"/>
              <w:right w:w="108" w:type="dxa"/>
            </w:tcMar>
          </w:tcPr>
          <w:p w14:paraId="09FF08AA" w14:textId="4F546A2B" w:rsidR="009640DA" w:rsidRPr="002E0155" w:rsidRDefault="00443AF1" w:rsidP="009640DA">
            <w:pPr>
              <w:pStyle w:val="TableText0"/>
              <w:jc w:val="center"/>
              <w:rPr>
                <w:highlight w:val="green"/>
              </w:rPr>
            </w:pPr>
            <w:r w:rsidRPr="00443AF1">
              <w:rPr>
                <w:rFonts w:hint="eastAsia"/>
                <w:color w:val="000000"/>
                <w:w w:val="15"/>
                <w:fitText w:val="67" w:id="-1429520127"/>
                <w14:textFill>
                  <w14:solidFill>
                    <w14:srgbClr w14:val="000000">
                      <w14:alpha w14:val="100000"/>
                    </w14:srgbClr>
                  </w14:solidFill>
                </w14:textFill>
              </w:rPr>
              <w:t xml:space="preserve">　</w:t>
            </w:r>
            <w:r w:rsidRPr="00443AF1">
              <w:rPr>
                <w:color w:val="000000"/>
                <w:w w:val="15"/>
                <w:fitText w:val="67" w:id="-1429520127"/>
                <w14:textFill>
                  <w14:solidFill>
                    <w14:srgbClr w14:val="000000">
                      <w14:alpha w14:val="100000"/>
                    </w14:srgbClr>
                  </w14:solidFill>
                </w14:textFill>
              </w:rPr>
              <w:t>|</w:t>
            </w:r>
            <w:r w:rsidRPr="00443AF1">
              <w:rPr>
                <w:rFonts w:hint="eastAsia"/>
                <w:color w:val="000000"/>
                <w:w w:val="15"/>
                <w:fitText w:val="67" w:id="-1429520127"/>
                <w14:textFill>
                  <w14:solidFill>
                    <w14:srgbClr w14:val="000000">
                      <w14:alpha w14:val="100000"/>
                    </w14:srgbClr>
                  </w14:solidFill>
                </w14:textFill>
              </w:rPr>
              <w:t xml:space="preserve">　</w:t>
            </w:r>
          </w:p>
        </w:tc>
        <w:tc>
          <w:tcPr>
            <w:tcW w:w="1172" w:type="dxa"/>
            <w:tcBorders>
              <w:top w:val="single" w:sz="4" w:space="0" w:color="auto"/>
              <w:left w:val="single" w:sz="4" w:space="0" w:color="auto"/>
              <w:bottom w:val="single" w:sz="4" w:space="0" w:color="auto"/>
              <w:right w:val="single" w:sz="4" w:space="0" w:color="auto"/>
            </w:tcBorders>
            <w:shd w:val="solid" w:color="000000" w:fill="000000"/>
            <w:tcMar>
              <w:top w:w="0" w:type="dxa"/>
              <w:left w:w="108" w:type="dxa"/>
              <w:bottom w:w="0" w:type="dxa"/>
              <w:right w:w="108" w:type="dxa"/>
            </w:tcMar>
          </w:tcPr>
          <w:p w14:paraId="17FC17DC" w14:textId="600C42A2" w:rsidR="009640DA" w:rsidRPr="002E0155" w:rsidRDefault="00443AF1" w:rsidP="009640DA">
            <w:pPr>
              <w:pStyle w:val="TableText0"/>
              <w:jc w:val="center"/>
              <w:rPr>
                <w:highlight w:val="green"/>
              </w:rPr>
            </w:pPr>
            <w:r w:rsidRPr="00443AF1">
              <w:rPr>
                <w:rFonts w:hint="eastAsia"/>
                <w:color w:val="000000"/>
                <w:w w:val="15"/>
                <w:fitText w:val="67" w:id="-1429520126"/>
                <w14:textFill>
                  <w14:solidFill>
                    <w14:srgbClr w14:val="000000">
                      <w14:alpha w14:val="100000"/>
                    </w14:srgbClr>
                  </w14:solidFill>
                </w14:textFill>
              </w:rPr>
              <w:t xml:space="preserve">　</w:t>
            </w:r>
            <w:r w:rsidRPr="00443AF1">
              <w:rPr>
                <w:color w:val="000000"/>
                <w:w w:val="15"/>
                <w:fitText w:val="67" w:id="-1429520126"/>
                <w14:textFill>
                  <w14:solidFill>
                    <w14:srgbClr w14:val="000000">
                      <w14:alpha w14:val="100000"/>
                    </w14:srgbClr>
                  </w14:solidFill>
                </w14:textFill>
              </w:rPr>
              <w:t>|</w:t>
            </w:r>
            <w:r w:rsidRPr="00443AF1">
              <w:rPr>
                <w:rFonts w:hint="eastAsia"/>
                <w:color w:val="000000"/>
                <w:w w:val="15"/>
                <w:fitText w:val="67" w:id="-1429520126"/>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8" w:space="0" w:color="auto"/>
            </w:tcBorders>
            <w:shd w:val="solid" w:color="000000" w:fill="000000"/>
            <w:tcMar>
              <w:top w:w="0" w:type="dxa"/>
              <w:left w:w="108" w:type="dxa"/>
              <w:bottom w:w="0" w:type="dxa"/>
              <w:right w:w="108" w:type="dxa"/>
            </w:tcMar>
          </w:tcPr>
          <w:p w14:paraId="3D2C0BF1" w14:textId="3239DC30" w:rsidR="009640DA" w:rsidRPr="002E0155" w:rsidRDefault="00443AF1" w:rsidP="009640DA">
            <w:pPr>
              <w:pStyle w:val="TableText0"/>
              <w:jc w:val="center"/>
              <w:rPr>
                <w:highlight w:val="green"/>
              </w:rPr>
            </w:pPr>
            <w:r w:rsidRPr="00443AF1">
              <w:rPr>
                <w:rFonts w:hint="eastAsia"/>
                <w:color w:val="000000"/>
                <w:w w:val="15"/>
                <w:fitText w:val="67" w:id="-1429520125"/>
                <w14:textFill>
                  <w14:solidFill>
                    <w14:srgbClr w14:val="000000">
                      <w14:alpha w14:val="100000"/>
                    </w14:srgbClr>
                  </w14:solidFill>
                </w14:textFill>
              </w:rPr>
              <w:t xml:space="preserve">　</w:t>
            </w:r>
            <w:r w:rsidRPr="00443AF1">
              <w:rPr>
                <w:color w:val="000000"/>
                <w:w w:val="15"/>
                <w:fitText w:val="67" w:id="-1429520125"/>
                <w14:textFill>
                  <w14:solidFill>
                    <w14:srgbClr w14:val="000000">
                      <w14:alpha w14:val="100000"/>
                    </w14:srgbClr>
                  </w14:solidFill>
                </w14:textFill>
              </w:rPr>
              <w:t>|</w:t>
            </w:r>
            <w:r w:rsidRPr="00443AF1">
              <w:rPr>
                <w:rFonts w:hint="eastAsia"/>
                <w:color w:val="000000"/>
                <w:w w:val="15"/>
                <w:fitText w:val="67" w:id="-1429520125"/>
                <w14:textFill>
                  <w14:solidFill>
                    <w14:srgbClr w14:val="000000">
                      <w14:alpha w14:val="100000"/>
                    </w14:srgbClr>
                  </w14:solidFill>
                </w14:textFill>
              </w:rPr>
              <w:t xml:space="preserve">　</w:t>
            </w:r>
          </w:p>
        </w:tc>
      </w:tr>
      <w:tr w:rsidR="009640DA" w:rsidRPr="00CE28E3" w14:paraId="4B70A221" w14:textId="77777777" w:rsidTr="00637A3D">
        <w:tc>
          <w:tcPr>
            <w:tcW w:w="2684"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02937CDF" w14:textId="77777777" w:rsidR="009640DA" w:rsidRPr="00CE28E3" w:rsidRDefault="009640DA" w:rsidP="009640DA">
            <w:pPr>
              <w:pStyle w:val="TableText0"/>
            </w:pPr>
            <w:r>
              <w:t>LPM</w:t>
            </w:r>
            <w:r w:rsidRPr="00377E6B">
              <w:t xml:space="preserve"> costs, 75% benefit </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A3A98" w14:textId="7A59E9F4" w:rsidR="009640DA" w:rsidRPr="002E0155" w:rsidRDefault="00C817A8" w:rsidP="009640DA">
            <w:pPr>
              <w:pStyle w:val="TableText0"/>
              <w:jc w:val="center"/>
              <w:rPr>
                <w:highlight w:val="green"/>
              </w:rPr>
            </w:pPr>
            <w:r w:rsidRPr="002E0155">
              <w:t>$</w:t>
            </w:r>
            <w:r w:rsidR="00443AF1" w:rsidRPr="00443AF1">
              <w:rPr>
                <w:rFonts w:hint="eastAsia"/>
                <w:color w:val="000000"/>
                <w:w w:val="26"/>
                <w:shd w:val="solid" w:color="000000" w:fill="000000"/>
                <w:fitText w:val="117" w:id="-1429520124"/>
                <w14:textFill>
                  <w14:solidFill>
                    <w14:srgbClr w14:val="000000">
                      <w14:alpha w14:val="100000"/>
                    </w14:srgbClr>
                  </w14:solidFill>
                </w14:textFill>
              </w:rPr>
              <w:t xml:space="preserve">　</w:t>
            </w:r>
            <w:r w:rsidR="00443AF1" w:rsidRPr="00443AF1">
              <w:rPr>
                <w:color w:val="000000"/>
                <w:w w:val="26"/>
                <w:shd w:val="solid" w:color="000000" w:fill="000000"/>
                <w:fitText w:val="117" w:id="-1429520124"/>
                <w14:textFill>
                  <w14:solidFill>
                    <w14:srgbClr w14:val="000000">
                      <w14:alpha w14:val="100000"/>
                    </w14:srgbClr>
                  </w14:solidFill>
                </w14:textFill>
              </w:rPr>
              <w:t>|</w:t>
            </w:r>
            <w:r w:rsidR="00443AF1" w:rsidRPr="00443AF1">
              <w:rPr>
                <w:rFonts w:hint="eastAsia"/>
                <w:color w:val="000000"/>
                <w:spacing w:val="2"/>
                <w:w w:val="26"/>
                <w:shd w:val="solid" w:color="000000" w:fill="000000"/>
                <w:fitText w:val="117" w:id="-1429520124"/>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D348" w14:textId="4186F3EA" w:rsidR="009640DA" w:rsidRPr="002E0155" w:rsidRDefault="00C817A8" w:rsidP="009640DA">
            <w:pPr>
              <w:pStyle w:val="TableText0"/>
              <w:jc w:val="center"/>
              <w:rPr>
                <w:highlight w:val="green"/>
              </w:rPr>
            </w:pPr>
            <w:r w:rsidRPr="002E0155">
              <w:t>$</w:t>
            </w:r>
            <w:r w:rsidR="00443AF1" w:rsidRPr="00443AF1">
              <w:rPr>
                <w:rFonts w:hint="eastAsia"/>
                <w:color w:val="000000"/>
                <w:w w:val="26"/>
                <w:shd w:val="solid" w:color="000000" w:fill="000000"/>
                <w:fitText w:val="117" w:id="-1429520123"/>
                <w14:textFill>
                  <w14:solidFill>
                    <w14:srgbClr w14:val="000000">
                      <w14:alpha w14:val="100000"/>
                    </w14:srgbClr>
                  </w14:solidFill>
                </w14:textFill>
              </w:rPr>
              <w:t xml:space="preserve">　</w:t>
            </w:r>
            <w:r w:rsidR="00443AF1" w:rsidRPr="00443AF1">
              <w:rPr>
                <w:color w:val="000000"/>
                <w:w w:val="26"/>
                <w:shd w:val="solid" w:color="000000" w:fill="000000"/>
                <w:fitText w:val="117" w:id="-1429520123"/>
                <w14:textFill>
                  <w14:solidFill>
                    <w14:srgbClr w14:val="000000">
                      <w14:alpha w14:val="100000"/>
                    </w14:srgbClr>
                  </w14:solidFill>
                </w14:textFill>
              </w:rPr>
              <w:t>|</w:t>
            </w:r>
            <w:r w:rsidR="00443AF1" w:rsidRPr="00443AF1">
              <w:rPr>
                <w:rFonts w:hint="eastAsia"/>
                <w:color w:val="000000"/>
                <w:spacing w:val="2"/>
                <w:w w:val="26"/>
                <w:shd w:val="solid" w:color="000000" w:fill="000000"/>
                <w:fitText w:val="117" w:id="-1429520123"/>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43785" w14:textId="035E53E5" w:rsidR="009640DA" w:rsidRPr="002E0155" w:rsidRDefault="00C817A8" w:rsidP="009640DA">
            <w:pPr>
              <w:pStyle w:val="TableText0"/>
              <w:jc w:val="center"/>
              <w:rPr>
                <w:highlight w:val="green"/>
              </w:rPr>
            </w:pPr>
            <w:r w:rsidRPr="002E0155">
              <w:t>$</w:t>
            </w:r>
            <w:r w:rsidR="00443AF1" w:rsidRPr="00443AF1">
              <w:rPr>
                <w:rFonts w:hint="eastAsia"/>
                <w:color w:val="000000"/>
                <w:w w:val="26"/>
                <w:shd w:val="solid" w:color="000000" w:fill="000000"/>
                <w:fitText w:val="117" w:id="-1429520122"/>
                <w14:textFill>
                  <w14:solidFill>
                    <w14:srgbClr w14:val="000000">
                      <w14:alpha w14:val="100000"/>
                    </w14:srgbClr>
                  </w14:solidFill>
                </w14:textFill>
              </w:rPr>
              <w:t xml:space="preserve">　</w:t>
            </w:r>
            <w:r w:rsidR="00443AF1" w:rsidRPr="00443AF1">
              <w:rPr>
                <w:color w:val="000000"/>
                <w:w w:val="26"/>
                <w:shd w:val="solid" w:color="000000" w:fill="000000"/>
                <w:fitText w:val="117" w:id="-1429520122"/>
                <w14:textFill>
                  <w14:solidFill>
                    <w14:srgbClr w14:val="000000">
                      <w14:alpha w14:val="100000"/>
                    </w14:srgbClr>
                  </w14:solidFill>
                </w14:textFill>
              </w:rPr>
              <w:t>|</w:t>
            </w:r>
            <w:r w:rsidR="00443AF1" w:rsidRPr="00443AF1">
              <w:rPr>
                <w:rFonts w:hint="eastAsia"/>
                <w:color w:val="000000"/>
                <w:spacing w:val="2"/>
                <w:w w:val="26"/>
                <w:shd w:val="solid" w:color="000000" w:fill="000000"/>
                <w:fitText w:val="117" w:id="-1429520122"/>
                <w14:textFill>
                  <w14:solidFill>
                    <w14:srgbClr w14:val="000000">
                      <w14:alpha w14:val="100000"/>
                    </w14:srgbClr>
                  </w14:solidFill>
                </w14:textFill>
              </w:rPr>
              <w:t xml:space="preserve">　</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28BF0" w14:textId="1A79480B" w:rsidR="009640DA" w:rsidRPr="002E0155" w:rsidRDefault="00C817A8" w:rsidP="009640DA">
            <w:pPr>
              <w:pStyle w:val="TableText0"/>
              <w:jc w:val="center"/>
              <w:rPr>
                <w:highlight w:val="green"/>
              </w:rPr>
            </w:pPr>
            <w:r w:rsidRPr="002E0155">
              <w:t>$</w:t>
            </w:r>
            <w:r w:rsidR="00443AF1" w:rsidRPr="00443AF1">
              <w:rPr>
                <w:rFonts w:hint="eastAsia"/>
                <w:color w:val="000000"/>
                <w:w w:val="26"/>
                <w:shd w:val="solid" w:color="000000" w:fill="000000"/>
                <w:fitText w:val="118" w:id="-1429520121"/>
                <w14:textFill>
                  <w14:solidFill>
                    <w14:srgbClr w14:val="000000">
                      <w14:alpha w14:val="100000"/>
                    </w14:srgbClr>
                  </w14:solidFill>
                </w14:textFill>
              </w:rPr>
              <w:t xml:space="preserve">　</w:t>
            </w:r>
            <w:r w:rsidR="00443AF1" w:rsidRPr="00443AF1">
              <w:rPr>
                <w:color w:val="000000"/>
                <w:w w:val="26"/>
                <w:shd w:val="solid" w:color="000000" w:fill="000000"/>
                <w:fitText w:val="118" w:id="-1429520121"/>
                <w14:textFill>
                  <w14:solidFill>
                    <w14:srgbClr w14:val="000000">
                      <w14:alpha w14:val="100000"/>
                    </w14:srgbClr>
                  </w14:solidFill>
                </w14:textFill>
              </w:rPr>
              <w:t>|</w:t>
            </w:r>
            <w:r w:rsidR="00443AF1" w:rsidRPr="00443AF1">
              <w:rPr>
                <w:rFonts w:hint="eastAsia"/>
                <w:color w:val="000000"/>
                <w:spacing w:val="3"/>
                <w:w w:val="26"/>
                <w:shd w:val="solid" w:color="000000" w:fill="000000"/>
                <w:fitText w:val="118" w:id="-1429520121"/>
                <w14:textFill>
                  <w14:solidFill>
                    <w14:srgbClr w14:val="000000">
                      <w14:alpha w14:val="100000"/>
                    </w14:srgbClr>
                  </w14:solidFill>
                </w14:textFill>
              </w:rPr>
              <w:t xml:space="preserve">　</w:t>
            </w:r>
          </w:p>
        </w:tc>
        <w:tc>
          <w:tcPr>
            <w:tcW w:w="11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2684" w14:textId="6A7F55BB" w:rsidR="009640DA" w:rsidRPr="002E0155" w:rsidRDefault="00C817A8" w:rsidP="009640DA">
            <w:pPr>
              <w:pStyle w:val="TableText0"/>
              <w:jc w:val="center"/>
              <w:rPr>
                <w:highlight w:val="green"/>
              </w:rPr>
            </w:pPr>
            <w:r w:rsidRPr="002E0155">
              <w:t>$</w:t>
            </w:r>
            <w:r w:rsidR="00443AF1" w:rsidRPr="00443AF1">
              <w:rPr>
                <w:rFonts w:hint="eastAsia"/>
                <w:color w:val="000000"/>
                <w:w w:val="26"/>
                <w:shd w:val="solid" w:color="000000" w:fill="000000"/>
                <w:fitText w:val="118" w:id="-1429520120"/>
                <w14:textFill>
                  <w14:solidFill>
                    <w14:srgbClr w14:val="000000">
                      <w14:alpha w14:val="100000"/>
                    </w14:srgbClr>
                  </w14:solidFill>
                </w14:textFill>
              </w:rPr>
              <w:t xml:space="preserve">　</w:t>
            </w:r>
            <w:r w:rsidR="00443AF1" w:rsidRPr="00443AF1">
              <w:rPr>
                <w:color w:val="000000"/>
                <w:w w:val="26"/>
                <w:shd w:val="solid" w:color="000000" w:fill="000000"/>
                <w:fitText w:val="118" w:id="-1429520120"/>
                <w14:textFill>
                  <w14:solidFill>
                    <w14:srgbClr w14:val="000000">
                      <w14:alpha w14:val="100000"/>
                    </w14:srgbClr>
                  </w14:solidFill>
                </w14:textFill>
              </w:rPr>
              <w:t>|</w:t>
            </w:r>
            <w:r w:rsidR="00443AF1" w:rsidRPr="00443AF1">
              <w:rPr>
                <w:rFonts w:hint="eastAsia"/>
                <w:color w:val="000000"/>
                <w:spacing w:val="3"/>
                <w:w w:val="26"/>
                <w:shd w:val="solid" w:color="000000" w:fill="000000"/>
                <w:fitText w:val="118" w:id="-1429520120"/>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EF5815D" w14:textId="71E22F0B" w:rsidR="009640DA" w:rsidRPr="002E0155" w:rsidRDefault="00C817A8" w:rsidP="009640DA">
            <w:pPr>
              <w:pStyle w:val="TableText0"/>
              <w:jc w:val="center"/>
              <w:rPr>
                <w:highlight w:val="green"/>
              </w:rPr>
            </w:pPr>
            <w:r w:rsidRPr="002E0155">
              <w:t>$</w:t>
            </w:r>
            <w:r w:rsidR="00443AF1" w:rsidRPr="00443AF1">
              <w:rPr>
                <w:rFonts w:hint="eastAsia"/>
                <w:color w:val="000000"/>
                <w:w w:val="26"/>
                <w:shd w:val="solid" w:color="000000" w:fill="000000"/>
                <w:fitText w:val="117" w:id="-1429520119"/>
                <w14:textFill>
                  <w14:solidFill>
                    <w14:srgbClr w14:val="000000">
                      <w14:alpha w14:val="100000"/>
                    </w14:srgbClr>
                  </w14:solidFill>
                </w14:textFill>
              </w:rPr>
              <w:t xml:space="preserve">　</w:t>
            </w:r>
            <w:r w:rsidR="00443AF1" w:rsidRPr="00443AF1">
              <w:rPr>
                <w:color w:val="000000"/>
                <w:w w:val="26"/>
                <w:shd w:val="solid" w:color="000000" w:fill="000000"/>
                <w:fitText w:val="117" w:id="-1429520119"/>
                <w14:textFill>
                  <w14:solidFill>
                    <w14:srgbClr w14:val="000000">
                      <w14:alpha w14:val="100000"/>
                    </w14:srgbClr>
                  </w14:solidFill>
                </w14:textFill>
              </w:rPr>
              <w:t>|</w:t>
            </w:r>
            <w:r w:rsidR="00443AF1" w:rsidRPr="00443AF1">
              <w:rPr>
                <w:rFonts w:hint="eastAsia"/>
                <w:color w:val="000000"/>
                <w:spacing w:val="2"/>
                <w:w w:val="26"/>
                <w:shd w:val="solid" w:color="000000" w:fill="000000"/>
                <w:fitText w:val="117" w:id="-1429520119"/>
                <w14:textFill>
                  <w14:solidFill>
                    <w14:srgbClr w14:val="000000">
                      <w14:alpha w14:val="100000"/>
                    </w14:srgbClr>
                  </w14:solidFill>
                </w14:textFill>
              </w:rPr>
              <w:t xml:space="preserve">　</w:t>
            </w:r>
          </w:p>
        </w:tc>
      </w:tr>
      <w:tr w:rsidR="009640DA" w:rsidRPr="00CE28E3" w14:paraId="406AC447" w14:textId="77777777" w:rsidTr="00637A3D">
        <w:tc>
          <w:tcPr>
            <w:tcW w:w="2684"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552AAF0F" w14:textId="18045BC7" w:rsidR="009640DA" w:rsidRPr="00CE28E3" w:rsidRDefault="009640DA" w:rsidP="004C07A8">
            <w:pPr>
              <w:pStyle w:val="TableText0"/>
            </w:pPr>
            <w:r>
              <w:t xml:space="preserve">Fluoroscopy costs (MBS item </w:t>
            </w:r>
            <w:r w:rsidRPr="001F697C">
              <w:t>60503</w:t>
            </w:r>
            <w:r>
              <w:t>)</w:t>
            </w:r>
            <w:r w:rsidRPr="00377E6B">
              <w:t>, 75% benefit</w:t>
            </w:r>
          </w:p>
        </w:tc>
        <w:tc>
          <w:tcPr>
            <w:tcW w:w="1053"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618AB08F" w14:textId="205FB5CB" w:rsidR="009640DA" w:rsidRPr="002E0155" w:rsidRDefault="00C817A8" w:rsidP="009640DA">
            <w:pPr>
              <w:pStyle w:val="TableText0"/>
              <w:jc w:val="center"/>
              <w:rPr>
                <w:highlight w:val="green"/>
              </w:rPr>
            </w:pPr>
            <w:r w:rsidRPr="002E0155">
              <w:t>$</w:t>
            </w:r>
            <w:r w:rsidR="00443AF1" w:rsidRPr="00443AF1">
              <w:rPr>
                <w:rFonts w:hint="eastAsia"/>
                <w:color w:val="000000"/>
                <w:w w:val="26"/>
                <w:shd w:val="solid" w:color="000000" w:fill="000000"/>
                <w:fitText w:val="117" w:id="-1429520118"/>
                <w14:textFill>
                  <w14:solidFill>
                    <w14:srgbClr w14:val="000000">
                      <w14:alpha w14:val="100000"/>
                    </w14:srgbClr>
                  </w14:solidFill>
                </w14:textFill>
              </w:rPr>
              <w:t xml:space="preserve">　</w:t>
            </w:r>
            <w:r w:rsidR="00443AF1" w:rsidRPr="00443AF1">
              <w:rPr>
                <w:color w:val="000000"/>
                <w:w w:val="26"/>
                <w:shd w:val="solid" w:color="000000" w:fill="000000"/>
                <w:fitText w:val="117" w:id="-1429520118"/>
                <w14:textFill>
                  <w14:solidFill>
                    <w14:srgbClr w14:val="000000">
                      <w14:alpha w14:val="100000"/>
                    </w14:srgbClr>
                  </w14:solidFill>
                </w14:textFill>
              </w:rPr>
              <w:t>|</w:t>
            </w:r>
            <w:r w:rsidR="00443AF1" w:rsidRPr="00443AF1">
              <w:rPr>
                <w:rFonts w:hint="eastAsia"/>
                <w:color w:val="000000"/>
                <w:spacing w:val="2"/>
                <w:w w:val="26"/>
                <w:shd w:val="solid" w:color="000000" w:fill="000000"/>
                <w:fitText w:val="117" w:id="-1429520118"/>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20A43D2F" w14:textId="2DF9F2C9" w:rsidR="009640DA" w:rsidRPr="002E0155" w:rsidRDefault="00C817A8" w:rsidP="009640DA">
            <w:pPr>
              <w:pStyle w:val="TableText0"/>
              <w:jc w:val="center"/>
              <w:rPr>
                <w:highlight w:val="green"/>
              </w:rPr>
            </w:pPr>
            <w:r w:rsidRPr="002E0155">
              <w:t>$</w:t>
            </w:r>
            <w:r w:rsidR="00443AF1" w:rsidRPr="00443AF1">
              <w:rPr>
                <w:rFonts w:hint="eastAsia"/>
                <w:color w:val="000000"/>
                <w:w w:val="26"/>
                <w:shd w:val="solid" w:color="000000" w:fill="000000"/>
                <w:fitText w:val="117" w:id="-1429520117"/>
                <w14:textFill>
                  <w14:solidFill>
                    <w14:srgbClr w14:val="000000">
                      <w14:alpha w14:val="100000"/>
                    </w14:srgbClr>
                  </w14:solidFill>
                </w14:textFill>
              </w:rPr>
              <w:t xml:space="preserve">　</w:t>
            </w:r>
            <w:r w:rsidR="00443AF1" w:rsidRPr="00443AF1">
              <w:rPr>
                <w:color w:val="000000"/>
                <w:w w:val="26"/>
                <w:shd w:val="solid" w:color="000000" w:fill="000000"/>
                <w:fitText w:val="117" w:id="-1429520117"/>
                <w14:textFill>
                  <w14:solidFill>
                    <w14:srgbClr w14:val="000000">
                      <w14:alpha w14:val="100000"/>
                    </w14:srgbClr>
                  </w14:solidFill>
                </w14:textFill>
              </w:rPr>
              <w:t>|</w:t>
            </w:r>
            <w:r w:rsidR="00443AF1" w:rsidRPr="00443AF1">
              <w:rPr>
                <w:rFonts w:hint="eastAsia"/>
                <w:color w:val="000000"/>
                <w:spacing w:val="2"/>
                <w:w w:val="26"/>
                <w:shd w:val="solid" w:color="000000" w:fill="000000"/>
                <w:fitText w:val="117" w:id="-1429520117"/>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57CC08BE" w14:textId="0C93B4D6" w:rsidR="009640DA" w:rsidRPr="002E0155" w:rsidRDefault="00C817A8" w:rsidP="009640DA">
            <w:pPr>
              <w:pStyle w:val="TableText0"/>
              <w:jc w:val="center"/>
              <w:rPr>
                <w:highlight w:val="green"/>
              </w:rPr>
            </w:pPr>
            <w:r w:rsidRPr="002E0155">
              <w:t>$</w:t>
            </w:r>
            <w:r w:rsidR="00443AF1" w:rsidRPr="00443AF1">
              <w:rPr>
                <w:rFonts w:hint="eastAsia"/>
                <w:color w:val="000000"/>
                <w:w w:val="26"/>
                <w:shd w:val="solid" w:color="000000" w:fill="000000"/>
                <w:fitText w:val="117" w:id="-1429520116"/>
                <w14:textFill>
                  <w14:solidFill>
                    <w14:srgbClr w14:val="000000">
                      <w14:alpha w14:val="100000"/>
                    </w14:srgbClr>
                  </w14:solidFill>
                </w14:textFill>
              </w:rPr>
              <w:t xml:space="preserve">　</w:t>
            </w:r>
            <w:r w:rsidR="00443AF1" w:rsidRPr="00443AF1">
              <w:rPr>
                <w:color w:val="000000"/>
                <w:w w:val="26"/>
                <w:shd w:val="solid" w:color="000000" w:fill="000000"/>
                <w:fitText w:val="117" w:id="-1429520116"/>
                <w14:textFill>
                  <w14:solidFill>
                    <w14:srgbClr w14:val="000000">
                      <w14:alpha w14:val="100000"/>
                    </w14:srgbClr>
                  </w14:solidFill>
                </w14:textFill>
              </w:rPr>
              <w:t>|</w:t>
            </w:r>
            <w:r w:rsidR="00443AF1" w:rsidRPr="00443AF1">
              <w:rPr>
                <w:rFonts w:hint="eastAsia"/>
                <w:color w:val="000000"/>
                <w:spacing w:val="2"/>
                <w:w w:val="26"/>
                <w:shd w:val="solid" w:color="000000" w:fill="000000"/>
                <w:fitText w:val="117" w:id="-1429520116"/>
                <w14:textFill>
                  <w14:solidFill>
                    <w14:srgbClr w14:val="000000">
                      <w14:alpha w14:val="100000"/>
                    </w14:srgbClr>
                  </w14:solidFill>
                </w14:textFill>
              </w:rPr>
              <w:t xml:space="preserve">　</w:t>
            </w:r>
          </w:p>
        </w:tc>
        <w:tc>
          <w:tcPr>
            <w:tcW w:w="1053"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4978449A" w14:textId="5D482CE6" w:rsidR="009640DA" w:rsidRPr="002E0155" w:rsidRDefault="00C817A8" w:rsidP="009640DA">
            <w:pPr>
              <w:pStyle w:val="TableText0"/>
              <w:jc w:val="center"/>
              <w:rPr>
                <w:highlight w:val="green"/>
              </w:rPr>
            </w:pPr>
            <w:r w:rsidRPr="002E0155">
              <w:t>$</w:t>
            </w:r>
            <w:r w:rsidR="00443AF1" w:rsidRPr="00443AF1">
              <w:rPr>
                <w:rFonts w:hint="eastAsia"/>
                <w:color w:val="000000"/>
                <w:w w:val="26"/>
                <w:shd w:val="solid" w:color="000000" w:fill="000000"/>
                <w:fitText w:val="118" w:id="-1429520115"/>
                <w14:textFill>
                  <w14:solidFill>
                    <w14:srgbClr w14:val="000000">
                      <w14:alpha w14:val="100000"/>
                    </w14:srgbClr>
                  </w14:solidFill>
                </w14:textFill>
              </w:rPr>
              <w:t xml:space="preserve">　</w:t>
            </w:r>
            <w:r w:rsidR="00443AF1" w:rsidRPr="00443AF1">
              <w:rPr>
                <w:color w:val="000000"/>
                <w:w w:val="26"/>
                <w:shd w:val="solid" w:color="000000" w:fill="000000"/>
                <w:fitText w:val="118" w:id="-1429520115"/>
                <w14:textFill>
                  <w14:solidFill>
                    <w14:srgbClr w14:val="000000">
                      <w14:alpha w14:val="100000"/>
                    </w14:srgbClr>
                  </w14:solidFill>
                </w14:textFill>
              </w:rPr>
              <w:t>|</w:t>
            </w:r>
            <w:r w:rsidR="00443AF1" w:rsidRPr="00443AF1">
              <w:rPr>
                <w:rFonts w:hint="eastAsia"/>
                <w:color w:val="000000"/>
                <w:spacing w:val="3"/>
                <w:w w:val="26"/>
                <w:shd w:val="solid" w:color="000000" w:fill="000000"/>
                <w:fitText w:val="118" w:id="-1429520115"/>
                <w14:textFill>
                  <w14:solidFill>
                    <w14:srgbClr w14:val="000000">
                      <w14:alpha w14:val="100000"/>
                    </w14:srgbClr>
                  </w14:solidFill>
                </w14:textFill>
              </w:rPr>
              <w:t xml:space="preserve">　</w:t>
            </w:r>
          </w:p>
        </w:tc>
        <w:tc>
          <w:tcPr>
            <w:tcW w:w="117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25ECB126" w14:textId="22C4F69F" w:rsidR="009640DA" w:rsidRPr="002E0155" w:rsidRDefault="00C817A8" w:rsidP="009640DA">
            <w:pPr>
              <w:pStyle w:val="TableText0"/>
              <w:jc w:val="center"/>
              <w:rPr>
                <w:highlight w:val="green"/>
              </w:rPr>
            </w:pPr>
            <w:r w:rsidRPr="002E0155">
              <w:t>$</w:t>
            </w:r>
            <w:r w:rsidR="00443AF1" w:rsidRPr="00443AF1">
              <w:rPr>
                <w:rFonts w:hint="eastAsia"/>
                <w:color w:val="000000"/>
                <w:w w:val="26"/>
                <w:shd w:val="solid" w:color="000000" w:fill="000000"/>
                <w:fitText w:val="118" w:id="-1429520114"/>
                <w14:textFill>
                  <w14:solidFill>
                    <w14:srgbClr w14:val="000000">
                      <w14:alpha w14:val="100000"/>
                    </w14:srgbClr>
                  </w14:solidFill>
                </w14:textFill>
              </w:rPr>
              <w:t xml:space="preserve">　</w:t>
            </w:r>
            <w:r w:rsidR="00443AF1" w:rsidRPr="00443AF1">
              <w:rPr>
                <w:color w:val="000000"/>
                <w:w w:val="26"/>
                <w:shd w:val="solid" w:color="000000" w:fill="000000"/>
                <w:fitText w:val="118" w:id="-1429520114"/>
                <w14:textFill>
                  <w14:solidFill>
                    <w14:srgbClr w14:val="000000">
                      <w14:alpha w14:val="100000"/>
                    </w14:srgbClr>
                  </w14:solidFill>
                </w14:textFill>
              </w:rPr>
              <w:t>|</w:t>
            </w:r>
            <w:r w:rsidR="00443AF1" w:rsidRPr="00443AF1">
              <w:rPr>
                <w:rFonts w:hint="eastAsia"/>
                <w:color w:val="000000"/>
                <w:spacing w:val="3"/>
                <w:w w:val="26"/>
                <w:shd w:val="solid" w:color="000000" w:fill="000000"/>
                <w:fitText w:val="118" w:id="-1429520114"/>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0454B32F" w14:textId="356265DD" w:rsidR="009640DA" w:rsidRPr="002E0155" w:rsidRDefault="00C817A8" w:rsidP="009640DA">
            <w:pPr>
              <w:pStyle w:val="TableText0"/>
              <w:jc w:val="center"/>
              <w:rPr>
                <w:highlight w:val="green"/>
              </w:rPr>
            </w:pPr>
            <w:r w:rsidRPr="002E0155">
              <w:t>$</w:t>
            </w:r>
            <w:r w:rsidR="00443AF1" w:rsidRPr="00443AF1">
              <w:rPr>
                <w:rFonts w:hint="eastAsia"/>
                <w:color w:val="000000"/>
                <w:w w:val="26"/>
                <w:shd w:val="solid" w:color="000000" w:fill="000000"/>
                <w:fitText w:val="117" w:id="-1429520113"/>
                <w14:textFill>
                  <w14:solidFill>
                    <w14:srgbClr w14:val="000000">
                      <w14:alpha w14:val="100000"/>
                    </w14:srgbClr>
                  </w14:solidFill>
                </w14:textFill>
              </w:rPr>
              <w:t xml:space="preserve">　</w:t>
            </w:r>
            <w:r w:rsidR="00443AF1" w:rsidRPr="00443AF1">
              <w:rPr>
                <w:color w:val="000000"/>
                <w:w w:val="26"/>
                <w:shd w:val="solid" w:color="000000" w:fill="000000"/>
                <w:fitText w:val="117" w:id="-1429520113"/>
                <w14:textFill>
                  <w14:solidFill>
                    <w14:srgbClr w14:val="000000">
                      <w14:alpha w14:val="100000"/>
                    </w14:srgbClr>
                  </w14:solidFill>
                </w14:textFill>
              </w:rPr>
              <w:t>|</w:t>
            </w:r>
            <w:r w:rsidR="00443AF1" w:rsidRPr="00443AF1">
              <w:rPr>
                <w:rFonts w:hint="eastAsia"/>
                <w:color w:val="000000"/>
                <w:spacing w:val="2"/>
                <w:w w:val="26"/>
                <w:shd w:val="solid" w:color="000000" w:fill="000000"/>
                <w:fitText w:val="117" w:id="-1429520113"/>
                <w14:textFill>
                  <w14:solidFill>
                    <w14:srgbClr w14:val="000000">
                      <w14:alpha w14:val="100000"/>
                    </w14:srgbClr>
                  </w14:solidFill>
                </w14:textFill>
              </w:rPr>
              <w:t xml:space="preserve">　</w:t>
            </w:r>
          </w:p>
        </w:tc>
      </w:tr>
      <w:tr w:rsidR="009640DA" w:rsidRPr="00CE28E3" w14:paraId="1900216E" w14:textId="77777777" w:rsidTr="00637A3D">
        <w:tc>
          <w:tcPr>
            <w:tcW w:w="26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AF8A617" w14:textId="77777777" w:rsidR="009640DA" w:rsidRPr="00CE28E3" w:rsidRDefault="009640DA" w:rsidP="009640DA">
            <w:pPr>
              <w:pStyle w:val="TableText0"/>
            </w:pPr>
            <w:r w:rsidRPr="00CE28E3">
              <w:t xml:space="preserve">Cost to the </w:t>
            </w:r>
            <w:r>
              <w:t>MBS</w:t>
            </w:r>
          </w:p>
        </w:tc>
        <w:tc>
          <w:tcPr>
            <w:tcW w:w="1053" w:type="dxa"/>
            <w:tcBorders>
              <w:top w:val="nil"/>
              <w:left w:val="nil"/>
              <w:bottom w:val="single" w:sz="4" w:space="0" w:color="auto"/>
              <w:right w:val="single" w:sz="8" w:space="0" w:color="auto"/>
            </w:tcBorders>
            <w:tcMar>
              <w:top w:w="0" w:type="dxa"/>
              <w:left w:w="108" w:type="dxa"/>
              <w:bottom w:w="0" w:type="dxa"/>
              <w:right w:w="108" w:type="dxa"/>
            </w:tcMar>
          </w:tcPr>
          <w:p w14:paraId="1008B971" w14:textId="14F7E5A4" w:rsidR="009640DA" w:rsidRPr="002E0155" w:rsidRDefault="00C817A8" w:rsidP="009640DA">
            <w:pPr>
              <w:pStyle w:val="TableText0"/>
              <w:jc w:val="center"/>
              <w:rPr>
                <w:highlight w:val="green"/>
              </w:rPr>
            </w:pPr>
            <w:r w:rsidRPr="002E0155">
              <w:t>$</w:t>
            </w:r>
            <w:r w:rsidR="00443AF1" w:rsidRPr="00443AF1">
              <w:rPr>
                <w:rFonts w:hint="eastAsia"/>
                <w:color w:val="000000"/>
                <w:w w:val="26"/>
                <w:shd w:val="solid" w:color="000000" w:fill="000000"/>
                <w:fitText w:val="117" w:id="-1429520112"/>
                <w14:textFill>
                  <w14:solidFill>
                    <w14:srgbClr w14:val="000000">
                      <w14:alpha w14:val="100000"/>
                    </w14:srgbClr>
                  </w14:solidFill>
                </w14:textFill>
              </w:rPr>
              <w:t xml:space="preserve">　</w:t>
            </w:r>
            <w:r w:rsidR="00443AF1" w:rsidRPr="00443AF1">
              <w:rPr>
                <w:color w:val="000000"/>
                <w:w w:val="26"/>
                <w:shd w:val="solid" w:color="000000" w:fill="000000"/>
                <w:fitText w:val="117" w:id="-1429520112"/>
                <w14:textFill>
                  <w14:solidFill>
                    <w14:srgbClr w14:val="000000">
                      <w14:alpha w14:val="100000"/>
                    </w14:srgbClr>
                  </w14:solidFill>
                </w14:textFill>
              </w:rPr>
              <w:t>|</w:t>
            </w:r>
            <w:r w:rsidR="00443AF1" w:rsidRPr="00443AF1">
              <w:rPr>
                <w:rFonts w:hint="eastAsia"/>
                <w:color w:val="000000"/>
                <w:spacing w:val="2"/>
                <w:w w:val="26"/>
                <w:shd w:val="solid" w:color="000000" w:fill="000000"/>
                <w:fitText w:val="117" w:id="-1429520112"/>
                <w14:textFill>
                  <w14:solidFill>
                    <w14:srgbClr w14:val="000000">
                      <w14:alpha w14:val="100000"/>
                    </w14:srgbClr>
                  </w14:solidFill>
                </w14:textFill>
              </w:rPr>
              <w:t xml:space="preserve">　</w:t>
            </w:r>
          </w:p>
        </w:tc>
        <w:tc>
          <w:tcPr>
            <w:tcW w:w="1054" w:type="dxa"/>
            <w:tcBorders>
              <w:top w:val="nil"/>
              <w:left w:val="nil"/>
              <w:bottom w:val="single" w:sz="4" w:space="0" w:color="auto"/>
              <w:right w:val="single" w:sz="8" w:space="0" w:color="auto"/>
            </w:tcBorders>
            <w:tcMar>
              <w:top w:w="0" w:type="dxa"/>
              <w:left w:w="108" w:type="dxa"/>
              <w:bottom w:w="0" w:type="dxa"/>
              <w:right w:w="108" w:type="dxa"/>
            </w:tcMar>
          </w:tcPr>
          <w:p w14:paraId="39BEEBE8" w14:textId="7764CC40" w:rsidR="009640DA" w:rsidRPr="002E0155" w:rsidRDefault="00C817A8" w:rsidP="009640DA">
            <w:pPr>
              <w:pStyle w:val="TableText0"/>
              <w:jc w:val="center"/>
              <w:rPr>
                <w:highlight w:val="green"/>
              </w:rPr>
            </w:pPr>
            <w:r w:rsidRPr="002E0155">
              <w:t>$</w:t>
            </w:r>
            <w:r w:rsidR="00443AF1" w:rsidRPr="00443AF1">
              <w:rPr>
                <w:rFonts w:hint="eastAsia"/>
                <w:color w:val="000000"/>
                <w:w w:val="26"/>
                <w:shd w:val="solid" w:color="000000" w:fill="000000"/>
                <w:fitText w:val="118" w:id="-1429520128"/>
                <w14:textFill>
                  <w14:solidFill>
                    <w14:srgbClr w14:val="000000">
                      <w14:alpha w14:val="100000"/>
                    </w14:srgbClr>
                  </w14:solidFill>
                </w14:textFill>
              </w:rPr>
              <w:t xml:space="preserve">　</w:t>
            </w:r>
            <w:r w:rsidR="00443AF1" w:rsidRPr="00443AF1">
              <w:rPr>
                <w:color w:val="000000"/>
                <w:w w:val="26"/>
                <w:shd w:val="solid" w:color="000000" w:fill="000000"/>
                <w:fitText w:val="118" w:id="-1429520128"/>
                <w14:textFill>
                  <w14:solidFill>
                    <w14:srgbClr w14:val="000000">
                      <w14:alpha w14:val="100000"/>
                    </w14:srgbClr>
                  </w14:solidFill>
                </w14:textFill>
              </w:rPr>
              <w:t>|</w:t>
            </w:r>
            <w:r w:rsidR="00443AF1" w:rsidRPr="00443AF1">
              <w:rPr>
                <w:rFonts w:hint="eastAsia"/>
                <w:color w:val="000000"/>
                <w:spacing w:val="3"/>
                <w:w w:val="26"/>
                <w:shd w:val="solid" w:color="000000" w:fill="000000"/>
                <w:fitText w:val="118" w:id="-1429520128"/>
                <w14:textFill>
                  <w14:solidFill>
                    <w14:srgbClr w14:val="000000">
                      <w14:alpha w14:val="100000"/>
                    </w14:srgbClr>
                  </w14:solidFill>
                </w14:textFill>
              </w:rPr>
              <w:t xml:space="preserve">　</w:t>
            </w:r>
          </w:p>
        </w:tc>
        <w:tc>
          <w:tcPr>
            <w:tcW w:w="1054" w:type="dxa"/>
            <w:tcBorders>
              <w:top w:val="nil"/>
              <w:left w:val="nil"/>
              <w:bottom w:val="single" w:sz="4" w:space="0" w:color="auto"/>
              <w:right w:val="single" w:sz="8" w:space="0" w:color="auto"/>
            </w:tcBorders>
            <w:tcMar>
              <w:top w:w="0" w:type="dxa"/>
              <w:left w:w="108" w:type="dxa"/>
              <w:bottom w:w="0" w:type="dxa"/>
              <w:right w:w="108" w:type="dxa"/>
            </w:tcMar>
          </w:tcPr>
          <w:p w14:paraId="6C6D0489" w14:textId="4DE52898" w:rsidR="009640DA" w:rsidRPr="002E0155" w:rsidRDefault="00C817A8" w:rsidP="009640DA">
            <w:pPr>
              <w:pStyle w:val="TableText0"/>
              <w:jc w:val="center"/>
              <w:rPr>
                <w:highlight w:val="green"/>
              </w:rPr>
            </w:pPr>
            <w:r w:rsidRPr="002E0155">
              <w:t>$</w:t>
            </w:r>
            <w:r w:rsidR="00443AF1" w:rsidRPr="00443AF1">
              <w:rPr>
                <w:rFonts w:hint="eastAsia"/>
                <w:color w:val="000000"/>
                <w:w w:val="26"/>
                <w:shd w:val="solid" w:color="000000" w:fill="000000"/>
                <w:fitText w:val="117" w:id="-1429520127"/>
                <w14:textFill>
                  <w14:solidFill>
                    <w14:srgbClr w14:val="000000">
                      <w14:alpha w14:val="100000"/>
                    </w14:srgbClr>
                  </w14:solidFill>
                </w14:textFill>
              </w:rPr>
              <w:t xml:space="preserve">　</w:t>
            </w:r>
            <w:r w:rsidR="00443AF1" w:rsidRPr="00443AF1">
              <w:rPr>
                <w:color w:val="000000"/>
                <w:w w:val="26"/>
                <w:shd w:val="solid" w:color="000000" w:fill="000000"/>
                <w:fitText w:val="117" w:id="-1429520127"/>
                <w14:textFill>
                  <w14:solidFill>
                    <w14:srgbClr w14:val="000000">
                      <w14:alpha w14:val="100000"/>
                    </w14:srgbClr>
                  </w14:solidFill>
                </w14:textFill>
              </w:rPr>
              <w:t>|</w:t>
            </w:r>
            <w:r w:rsidR="00443AF1" w:rsidRPr="00443AF1">
              <w:rPr>
                <w:rFonts w:hint="eastAsia"/>
                <w:color w:val="000000"/>
                <w:spacing w:val="2"/>
                <w:w w:val="26"/>
                <w:shd w:val="solid" w:color="000000" w:fill="000000"/>
                <w:fitText w:val="117" w:id="-1429520127"/>
                <w14:textFill>
                  <w14:solidFill>
                    <w14:srgbClr w14:val="000000">
                      <w14:alpha w14:val="100000"/>
                    </w14:srgbClr>
                  </w14:solidFill>
                </w14:textFill>
              </w:rPr>
              <w:t xml:space="preserve">　</w:t>
            </w:r>
          </w:p>
        </w:tc>
        <w:tc>
          <w:tcPr>
            <w:tcW w:w="1053" w:type="dxa"/>
            <w:tcBorders>
              <w:top w:val="nil"/>
              <w:left w:val="nil"/>
              <w:bottom w:val="single" w:sz="4" w:space="0" w:color="auto"/>
              <w:right w:val="single" w:sz="8" w:space="0" w:color="auto"/>
            </w:tcBorders>
            <w:tcMar>
              <w:top w:w="0" w:type="dxa"/>
              <w:left w:w="108" w:type="dxa"/>
              <w:bottom w:w="0" w:type="dxa"/>
              <w:right w:w="108" w:type="dxa"/>
            </w:tcMar>
          </w:tcPr>
          <w:p w14:paraId="2D53F322" w14:textId="6BEDB61F" w:rsidR="009640DA" w:rsidRPr="002E0155" w:rsidRDefault="00C817A8" w:rsidP="009640DA">
            <w:pPr>
              <w:pStyle w:val="TableText0"/>
              <w:jc w:val="center"/>
              <w:rPr>
                <w:highlight w:val="green"/>
              </w:rPr>
            </w:pPr>
            <w:r w:rsidRPr="002E0155">
              <w:t>$</w:t>
            </w:r>
            <w:r w:rsidR="00443AF1" w:rsidRPr="00443AF1">
              <w:rPr>
                <w:rFonts w:hint="eastAsia"/>
                <w:color w:val="000000"/>
                <w:w w:val="26"/>
                <w:shd w:val="solid" w:color="000000" w:fill="000000"/>
                <w:fitText w:val="118" w:id="-1429520126"/>
                <w14:textFill>
                  <w14:solidFill>
                    <w14:srgbClr w14:val="000000">
                      <w14:alpha w14:val="100000"/>
                    </w14:srgbClr>
                  </w14:solidFill>
                </w14:textFill>
              </w:rPr>
              <w:t xml:space="preserve">　</w:t>
            </w:r>
            <w:r w:rsidR="00443AF1" w:rsidRPr="00443AF1">
              <w:rPr>
                <w:color w:val="000000"/>
                <w:w w:val="26"/>
                <w:shd w:val="solid" w:color="000000" w:fill="000000"/>
                <w:fitText w:val="118" w:id="-1429520126"/>
                <w14:textFill>
                  <w14:solidFill>
                    <w14:srgbClr w14:val="000000">
                      <w14:alpha w14:val="100000"/>
                    </w14:srgbClr>
                  </w14:solidFill>
                </w14:textFill>
              </w:rPr>
              <w:t>|</w:t>
            </w:r>
            <w:r w:rsidR="00443AF1" w:rsidRPr="00443AF1">
              <w:rPr>
                <w:rFonts w:hint="eastAsia"/>
                <w:color w:val="000000"/>
                <w:spacing w:val="3"/>
                <w:w w:val="26"/>
                <w:shd w:val="solid" w:color="000000" w:fill="000000"/>
                <w:fitText w:val="118" w:id="-1429520126"/>
                <w14:textFill>
                  <w14:solidFill>
                    <w14:srgbClr w14:val="000000">
                      <w14:alpha w14:val="100000"/>
                    </w14:srgbClr>
                  </w14:solidFill>
                </w14:textFill>
              </w:rPr>
              <w:t xml:space="preserve">　</w:t>
            </w:r>
          </w:p>
        </w:tc>
        <w:tc>
          <w:tcPr>
            <w:tcW w:w="1172" w:type="dxa"/>
            <w:tcBorders>
              <w:top w:val="nil"/>
              <w:left w:val="nil"/>
              <w:bottom w:val="single" w:sz="4" w:space="0" w:color="auto"/>
              <w:right w:val="single" w:sz="8" w:space="0" w:color="auto"/>
            </w:tcBorders>
            <w:tcMar>
              <w:top w:w="0" w:type="dxa"/>
              <w:left w:w="108" w:type="dxa"/>
              <w:bottom w:w="0" w:type="dxa"/>
              <w:right w:w="108" w:type="dxa"/>
            </w:tcMar>
          </w:tcPr>
          <w:p w14:paraId="08A32078" w14:textId="3D35B8DB" w:rsidR="009640DA" w:rsidRPr="002E0155" w:rsidRDefault="00C817A8" w:rsidP="009640DA">
            <w:pPr>
              <w:pStyle w:val="TableText0"/>
              <w:jc w:val="center"/>
              <w:rPr>
                <w:highlight w:val="green"/>
              </w:rPr>
            </w:pPr>
            <w:r w:rsidRPr="002E0155">
              <w:t>$</w:t>
            </w:r>
            <w:r w:rsidR="00443AF1" w:rsidRPr="00443AF1">
              <w:rPr>
                <w:rFonts w:hint="eastAsia"/>
                <w:color w:val="000000"/>
                <w:w w:val="26"/>
                <w:shd w:val="solid" w:color="000000" w:fill="000000"/>
                <w:fitText w:val="117" w:id="-1429520125"/>
                <w14:textFill>
                  <w14:solidFill>
                    <w14:srgbClr w14:val="000000">
                      <w14:alpha w14:val="100000"/>
                    </w14:srgbClr>
                  </w14:solidFill>
                </w14:textFill>
              </w:rPr>
              <w:t xml:space="preserve">　</w:t>
            </w:r>
            <w:r w:rsidR="00443AF1" w:rsidRPr="00443AF1">
              <w:rPr>
                <w:color w:val="000000"/>
                <w:w w:val="26"/>
                <w:shd w:val="solid" w:color="000000" w:fill="000000"/>
                <w:fitText w:val="117" w:id="-1429520125"/>
                <w14:textFill>
                  <w14:solidFill>
                    <w14:srgbClr w14:val="000000">
                      <w14:alpha w14:val="100000"/>
                    </w14:srgbClr>
                  </w14:solidFill>
                </w14:textFill>
              </w:rPr>
              <w:t>|</w:t>
            </w:r>
            <w:r w:rsidR="00443AF1" w:rsidRPr="00443AF1">
              <w:rPr>
                <w:rFonts w:hint="eastAsia"/>
                <w:color w:val="000000"/>
                <w:spacing w:val="2"/>
                <w:w w:val="26"/>
                <w:shd w:val="solid" w:color="000000" w:fill="000000"/>
                <w:fitText w:val="117" w:id="-1429520125"/>
                <w14:textFill>
                  <w14:solidFill>
                    <w14:srgbClr w14:val="000000">
                      <w14:alpha w14:val="100000"/>
                    </w14:srgbClr>
                  </w14:solidFill>
                </w14:textFill>
              </w:rPr>
              <w:t xml:space="preserve">　</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14:paraId="75214926" w14:textId="4462D314" w:rsidR="009640DA" w:rsidRPr="002E0155" w:rsidRDefault="00C817A8" w:rsidP="009640DA">
            <w:pPr>
              <w:pStyle w:val="TableText0"/>
              <w:jc w:val="center"/>
              <w:rPr>
                <w:highlight w:val="green"/>
              </w:rPr>
            </w:pPr>
            <w:r w:rsidRPr="002E0155">
              <w:t>$</w:t>
            </w:r>
            <w:r w:rsidR="00443AF1" w:rsidRPr="00443AF1">
              <w:rPr>
                <w:rFonts w:hint="eastAsia"/>
                <w:color w:val="000000"/>
                <w:w w:val="26"/>
                <w:shd w:val="solid" w:color="000000" w:fill="000000"/>
                <w:fitText w:val="117" w:id="-1429520124"/>
                <w14:textFill>
                  <w14:solidFill>
                    <w14:srgbClr w14:val="000000">
                      <w14:alpha w14:val="100000"/>
                    </w14:srgbClr>
                  </w14:solidFill>
                </w14:textFill>
              </w:rPr>
              <w:t xml:space="preserve">　</w:t>
            </w:r>
            <w:r w:rsidR="00443AF1" w:rsidRPr="00443AF1">
              <w:rPr>
                <w:color w:val="000000"/>
                <w:w w:val="26"/>
                <w:shd w:val="solid" w:color="000000" w:fill="000000"/>
                <w:fitText w:val="117" w:id="-1429520124"/>
                <w14:textFill>
                  <w14:solidFill>
                    <w14:srgbClr w14:val="000000">
                      <w14:alpha w14:val="100000"/>
                    </w14:srgbClr>
                  </w14:solidFill>
                </w14:textFill>
              </w:rPr>
              <w:t>|</w:t>
            </w:r>
            <w:r w:rsidR="00443AF1" w:rsidRPr="00443AF1">
              <w:rPr>
                <w:rFonts w:hint="eastAsia"/>
                <w:color w:val="000000"/>
                <w:spacing w:val="2"/>
                <w:w w:val="26"/>
                <w:shd w:val="solid" w:color="000000" w:fill="000000"/>
                <w:fitText w:val="117" w:id="-1429520124"/>
                <w14:textFill>
                  <w14:solidFill>
                    <w14:srgbClr w14:val="000000">
                      <w14:alpha w14:val="100000"/>
                    </w14:srgbClr>
                  </w14:solidFill>
                </w14:textFill>
              </w:rPr>
              <w:t xml:space="preserve">　</w:t>
            </w:r>
          </w:p>
        </w:tc>
      </w:tr>
      <w:tr w:rsidR="009640DA" w:rsidRPr="00CE28E3" w14:paraId="24E5F6CE" w14:textId="77777777" w:rsidTr="00637A3D">
        <w:tc>
          <w:tcPr>
            <w:tcW w:w="9204" w:type="dxa"/>
            <w:gridSpan w:val="7"/>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50F3EB8" w14:textId="77777777" w:rsidR="009640DA" w:rsidRPr="002E0155" w:rsidRDefault="009640DA" w:rsidP="009640DA">
            <w:pPr>
              <w:pStyle w:val="TableText0"/>
              <w:rPr>
                <w:b/>
                <w:bCs/>
              </w:rPr>
            </w:pPr>
            <w:r w:rsidRPr="002E0155">
              <w:rPr>
                <w:b/>
                <w:bCs/>
              </w:rPr>
              <w:t>Change in use and cost of TVPM</w:t>
            </w:r>
          </w:p>
        </w:tc>
      </w:tr>
      <w:tr w:rsidR="00443AF1" w:rsidRPr="00CE28E3" w14:paraId="73386B5C" w14:textId="77777777" w:rsidTr="00443AF1">
        <w:tc>
          <w:tcPr>
            <w:tcW w:w="2684"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253A0E23" w14:textId="77777777" w:rsidR="009640DA" w:rsidRPr="00CE28E3" w:rsidRDefault="009640DA" w:rsidP="009640DA">
            <w:pPr>
              <w:pStyle w:val="TableText0"/>
            </w:pPr>
            <w:r w:rsidRPr="00CE28E3">
              <w:t xml:space="preserve">Change in use of </w:t>
            </w:r>
            <w:r>
              <w:t>TVPM</w:t>
            </w:r>
          </w:p>
        </w:tc>
        <w:tc>
          <w:tcPr>
            <w:tcW w:w="1053" w:type="dxa"/>
            <w:tcBorders>
              <w:top w:val="single" w:sz="4" w:space="0" w:color="auto"/>
              <w:left w:val="single" w:sz="4" w:space="0" w:color="auto"/>
              <w:bottom w:val="single" w:sz="4" w:space="0" w:color="auto"/>
              <w:right w:val="single" w:sz="4" w:space="0" w:color="auto"/>
            </w:tcBorders>
            <w:shd w:val="solid" w:color="000000" w:fill="000000"/>
            <w:tcMar>
              <w:top w:w="0" w:type="dxa"/>
              <w:left w:w="108" w:type="dxa"/>
              <w:bottom w:w="0" w:type="dxa"/>
              <w:right w:w="108" w:type="dxa"/>
            </w:tcMar>
          </w:tcPr>
          <w:p w14:paraId="3F3D0B43" w14:textId="1CFAE403" w:rsidR="009640DA" w:rsidRPr="002E0155" w:rsidRDefault="00443AF1" w:rsidP="009640DA">
            <w:pPr>
              <w:pStyle w:val="TableText0"/>
              <w:jc w:val="center"/>
              <w:rPr>
                <w:highlight w:val="green"/>
              </w:rPr>
            </w:pPr>
            <w:r w:rsidRPr="00443AF1">
              <w:rPr>
                <w:rFonts w:hint="eastAsia"/>
                <w:color w:val="000000"/>
                <w:w w:val="15"/>
                <w:fitText w:val="67" w:id="-1429520123"/>
                <w14:textFill>
                  <w14:solidFill>
                    <w14:srgbClr w14:val="000000">
                      <w14:alpha w14:val="100000"/>
                    </w14:srgbClr>
                  </w14:solidFill>
                </w14:textFill>
              </w:rPr>
              <w:t xml:space="preserve">　</w:t>
            </w:r>
            <w:r w:rsidRPr="00443AF1">
              <w:rPr>
                <w:color w:val="000000"/>
                <w:w w:val="15"/>
                <w:fitText w:val="67" w:id="-1429520123"/>
                <w14:textFill>
                  <w14:solidFill>
                    <w14:srgbClr w14:val="000000">
                      <w14:alpha w14:val="100000"/>
                    </w14:srgbClr>
                  </w14:solidFill>
                </w14:textFill>
              </w:rPr>
              <w:t>|</w:t>
            </w:r>
            <w:r w:rsidRPr="00443AF1">
              <w:rPr>
                <w:rFonts w:hint="eastAsia"/>
                <w:color w:val="000000"/>
                <w:w w:val="15"/>
                <w:fitText w:val="67" w:id="-1429520123"/>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4" w:space="0" w:color="auto"/>
              <w:right w:val="single" w:sz="4" w:space="0" w:color="auto"/>
            </w:tcBorders>
            <w:shd w:val="solid" w:color="000000" w:fill="000000"/>
            <w:tcMar>
              <w:top w:w="0" w:type="dxa"/>
              <w:left w:w="108" w:type="dxa"/>
              <w:bottom w:w="0" w:type="dxa"/>
              <w:right w:w="108" w:type="dxa"/>
            </w:tcMar>
          </w:tcPr>
          <w:p w14:paraId="23E5EC2C" w14:textId="66CDBC3C" w:rsidR="009640DA" w:rsidRPr="002E0155" w:rsidRDefault="00443AF1" w:rsidP="009640DA">
            <w:pPr>
              <w:pStyle w:val="TableText0"/>
              <w:jc w:val="center"/>
              <w:rPr>
                <w:highlight w:val="green"/>
              </w:rPr>
            </w:pPr>
            <w:r w:rsidRPr="00443AF1">
              <w:rPr>
                <w:rFonts w:hint="eastAsia"/>
                <w:color w:val="000000"/>
                <w:w w:val="15"/>
                <w:fitText w:val="67" w:id="-1429520122"/>
                <w14:textFill>
                  <w14:solidFill>
                    <w14:srgbClr w14:val="000000">
                      <w14:alpha w14:val="100000"/>
                    </w14:srgbClr>
                  </w14:solidFill>
                </w14:textFill>
              </w:rPr>
              <w:t xml:space="preserve">　</w:t>
            </w:r>
            <w:r w:rsidRPr="00443AF1">
              <w:rPr>
                <w:color w:val="000000"/>
                <w:w w:val="15"/>
                <w:fitText w:val="67" w:id="-1429520122"/>
                <w14:textFill>
                  <w14:solidFill>
                    <w14:srgbClr w14:val="000000">
                      <w14:alpha w14:val="100000"/>
                    </w14:srgbClr>
                  </w14:solidFill>
                </w14:textFill>
              </w:rPr>
              <w:t>|</w:t>
            </w:r>
            <w:r w:rsidRPr="00443AF1">
              <w:rPr>
                <w:rFonts w:hint="eastAsia"/>
                <w:color w:val="000000"/>
                <w:w w:val="15"/>
                <w:fitText w:val="67" w:id="-1429520122"/>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4" w:space="0" w:color="auto"/>
              <w:right w:val="single" w:sz="4" w:space="0" w:color="auto"/>
            </w:tcBorders>
            <w:shd w:val="solid" w:color="000000" w:fill="000000"/>
            <w:tcMar>
              <w:top w:w="0" w:type="dxa"/>
              <w:left w:w="108" w:type="dxa"/>
              <w:bottom w:w="0" w:type="dxa"/>
              <w:right w:w="108" w:type="dxa"/>
            </w:tcMar>
          </w:tcPr>
          <w:p w14:paraId="46A21DDD" w14:textId="780B9DE8" w:rsidR="009640DA" w:rsidRPr="002E0155" w:rsidRDefault="00443AF1" w:rsidP="009640DA">
            <w:pPr>
              <w:pStyle w:val="TableText0"/>
              <w:jc w:val="center"/>
              <w:rPr>
                <w:highlight w:val="green"/>
              </w:rPr>
            </w:pPr>
            <w:r w:rsidRPr="00443AF1">
              <w:rPr>
                <w:rFonts w:hint="eastAsia"/>
                <w:color w:val="000000"/>
                <w:w w:val="15"/>
                <w:fitText w:val="67" w:id="-1429520121"/>
                <w14:textFill>
                  <w14:solidFill>
                    <w14:srgbClr w14:val="000000">
                      <w14:alpha w14:val="100000"/>
                    </w14:srgbClr>
                  </w14:solidFill>
                </w14:textFill>
              </w:rPr>
              <w:t xml:space="preserve">　</w:t>
            </w:r>
            <w:r w:rsidRPr="00443AF1">
              <w:rPr>
                <w:color w:val="000000"/>
                <w:w w:val="15"/>
                <w:fitText w:val="67" w:id="-1429520121"/>
                <w14:textFill>
                  <w14:solidFill>
                    <w14:srgbClr w14:val="000000">
                      <w14:alpha w14:val="100000"/>
                    </w14:srgbClr>
                  </w14:solidFill>
                </w14:textFill>
              </w:rPr>
              <w:t>|</w:t>
            </w:r>
            <w:r w:rsidRPr="00443AF1">
              <w:rPr>
                <w:rFonts w:hint="eastAsia"/>
                <w:color w:val="000000"/>
                <w:w w:val="15"/>
                <w:fitText w:val="67" w:id="-1429520121"/>
                <w14:textFill>
                  <w14:solidFill>
                    <w14:srgbClr w14:val="000000">
                      <w14:alpha w14:val="100000"/>
                    </w14:srgbClr>
                  </w14:solidFill>
                </w14:textFill>
              </w:rPr>
              <w:t xml:space="preserve">　</w:t>
            </w:r>
          </w:p>
        </w:tc>
        <w:tc>
          <w:tcPr>
            <w:tcW w:w="1053" w:type="dxa"/>
            <w:tcBorders>
              <w:top w:val="single" w:sz="4" w:space="0" w:color="auto"/>
              <w:left w:val="single" w:sz="4" w:space="0" w:color="auto"/>
              <w:bottom w:val="single" w:sz="4" w:space="0" w:color="auto"/>
              <w:right w:val="single" w:sz="4" w:space="0" w:color="auto"/>
            </w:tcBorders>
            <w:shd w:val="solid" w:color="000000" w:fill="000000"/>
            <w:tcMar>
              <w:top w:w="0" w:type="dxa"/>
              <w:left w:w="108" w:type="dxa"/>
              <w:bottom w:w="0" w:type="dxa"/>
              <w:right w:w="108" w:type="dxa"/>
            </w:tcMar>
          </w:tcPr>
          <w:p w14:paraId="546084DF" w14:textId="0B974AC5" w:rsidR="009640DA" w:rsidRPr="002E0155" w:rsidRDefault="00443AF1" w:rsidP="009640DA">
            <w:pPr>
              <w:pStyle w:val="TableText0"/>
              <w:jc w:val="center"/>
              <w:rPr>
                <w:highlight w:val="green"/>
              </w:rPr>
            </w:pPr>
            <w:r w:rsidRPr="00443AF1">
              <w:rPr>
                <w:rFonts w:hint="eastAsia"/>
                <w:color w:val="000000"/>
                <w:w w:val="15"/>
                <w:fitText w:val="67" w:id="-1429520120"/>
                <w14:textFill>
                  <w14:solidFill>
                    <w14:srgbClr w14:val="000000">
                      <w14:alpha w14:val="100000"/>
                    </w14:srgbClr>
                  </w14:solidFill>
                </w14:textFill>
              </w:rPr>
              <w:t xml:space="preserve">　</w:t>
            </w:r>
            <w:r w:rsidRPr="00443AF1">
              <w:rPr>
                <w:color w:val="000000"/>
                <w:w w:val="15"/>
                <w:fitText w:val="67" w:id="-1429520120"/>
                <w14:textFill>
                  <w14:solidFill>
                    <w14:srgbClr w14:val="000000">
                      <w14:alpha w14:val="100000"/>
                    </w14:srgbClr>
                  </w14:solidFill>
                </w14:textFill>
              </w:rPr>
              <w:t>|</w:t>
            </w:r>
            <w:r w:rsidRPr="00443AF1">
              <w:rPr>
                <w:rFonts w:hint="eastAsia"/>
                <w:color w:val="000000"/>
                <w:w w:val="15"/>
                <w:fitText w:val="67" w:id="-1429520120"/>
                <w14:textFill>
                  <w14:solidFill>
                    <w14:srgbClr w14:val="000000">
                      <w14:alpha w14:val="100000"/>
                    </w14:srgbClr>
                  </w14:solidFill>
                </w14:textFill>
              </w:rPr>
              <w:t xml:space="preserve">　</w:t>
            </w:r>
          </w:p>
        </w:tc>
        <w:tc>
          <w:tcPr>
            <w:tcW w:w="1172" w:type="dxa"/>
            <w:tcBorders>
              <w:top w:val="single" w:sz="4" w:space="0" w:color="auto"/>
              <w:left w:val="single" w:sz="4" w:space="0" w:color="auto"/>
              <w:bottom w:val="single" w:sz="4" w:space="0" w:color="auto"/>
              <w:right w:val="single" w:sz="4" w:space="0" w:color="auto"/>
            </w:tcBorders>
            <w:shd w:val="solid" w:color="000000" w:fill="000000"/>
            <w:tcMar>
              <w:top w:w="0" w:type="dxa"/>
              <w:left w:w="108" w:type="dxa"/>
              <w:bottom w:w="0" w:type="dxa"/>
              <w:right w:w="108" w:type="dxa"/>
            </w:tcMar>
          </w:tcPr>
          <w:p w14:paraId="15D633D5" w14:textId="72F0E99A" w:rsidR="009640DA" w:rsidRPr="002E0155" w:rsidRDefault="00443AF1" w:rsidP="009640DA">
            <w:pPr>
              <w:pStyle w:val="TableText0"/>
              <w:jc w:val="center"/>
              <w:rPr>
                <w:highlight w:val="green"/>
              </w:rPr>
            </w:pPr>
            <w:r w:rsidRPr="00443AF1">
              <w:rPr>
                <w:rFonts w:hint="eastAsia"/>
                <w:color w:val="000000"/>
                <w:w w:val="15"/>
                <w:fitText w:val="67" w:id="-1429520119"/>
                <w14:textFill>
                  <w14:solidFill>
                    <w14:srgbClr w14:val="000000">
                      <w14:alpha w14:val="100000"/>
                    </w14:srgbClr>
                  </w14:solidFill>
                </w14:textFill>
              </w:rPr>
              <w:t xml:space="preserve">　</w:t>
            </w:r>
            <w:r w:rsidRPr="00443AF1">
              <w:rPr>
                <w:color w:val="000000"/>
                <w:w w:val="15"/>
                <w:fitText w:val="67" w:id="-1429520119"/>
                <w14:textFill>
                  <w14:solidFill>
                    <w14:srgbClr w14:val="000000">
                      <w14:alpha w14:val="100000"/>
                    </w14:srgbClr>
                  </w14:solidFill>
                </w14:textFill>
              </w:rPr>
              <w:t>|</w:t>
            </w:r>
            <w:r w:rsidRPr="00443AF1">
              <w:rPr>
                <w:rFonts w:hint="eastAsia"/>
                <w:color w:val="000000"/>
                <w:w w:val="15"/>
                <w:fitText w:val="67" w:id="-1429520119"/>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8" w:space="0" w:color="auto"/>
            </w:tcBorders>
            <w:shd w:val="solid" w:color="000000" w:fill="000000"/>
            <w:tcMar>
              <w:top w:w="0" w:type="dxa"/>
              <w:left w:w="108" w:type="dxa"/>
              <w:bottom w:w="0" w:type="dxa"/>
              <w:right w:w="108" w:type="dxa"/>
            </w:tcMar>
          </w:tcPr>
          <w:p w14:paraId="558F3D88" w14:textId="219B3D10" w:rsidR="009640DA" w:rsidRPr="002E0155" w:rsidRDefault="00443AF1" w:rsidP="009640DA">
            <w:pPr>
              <w:pStyle w:val="TableText0"/>
              <w:jc w:val="center"/>
              <w:rPr>
                <w:highlight w:val="green"/>
              </w:rPr>
            </w:pPr>
            <w:r w:rsidRPr="00443AF1">
              <w:rPr>
                <w:rFonts w:hint="eastAsia"/>
                <w:color w:val="000000"/>
                <w:w w:val="15"/>
                <w:fitText w:val="67" w:id="-1429520118"/>
                <w14:textFill>
                  <w14:solidFill>
                    <w14:srgbClr w14:val="000000">
                      <w14:alpha w14:val="100000"/>
                    </w14:srgbClr>
                  </w14:solidFill>
                </w14:textFill>
              </w:rPr>
              <w:t xml:space="preserve">　</w:t>
            </w:r>
            <w:r w:rsidRPr="00443AF1">
              <w:rPr>
                <w:color w:val="000000"/>
                <w:w w:val="15"/>
                <w:fitText w:val="67" w:id="-1429520118"/>
                <w14:textFill>
                  <w14:solidFill>
                    <w14:srgbClr w14:val="000000">
                      <w14:alpha w14:val="100000"/>
                    </w14:srgbClr>
                  </w14:solidFill>
                </w14:textFill>
              </w:rPr>
              <w:t>|</w:t>
            </w:r>
            <w:r w:rsidRPr="00443AF1">
              <w:rPr>
                <w:rFonts w:hint="eastAsia"/>
                <w:color w:val="000000"/>
                <w:w w:val="15"/>
                <w:fitText w:val="67" w:id="-1429520118"/>
                <w14:textFill>
                  <w14:solidFill>
                    <w14:srgbClr w14:val="000000">
                      <w14:alpha w14:val="100000"/>
                    </w14:srgbClr>
                  </w14:solidFill>
                </w14:textFill>
              </w:rPr>
              <w:t xml:space="preserve">　</w:t>
            </w:r>
          </w:p>
        </w:tc>
      </w:tr>
      <w:tr w:rsidR="009640DA" w:rsidRPr="00CE28E3" w14:paraId="7CDE0EEF" w14:textId="77777777" w:rsidTr="00637A3D">
        <w:tc>
          <w:tcPr>
            <w:tcW w:w="2684"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14:paraId="567BAA46" w14:textId="77777777" w:rsidR="009640DA" w:rsidRPr="00CE28E3" w:rsidRDefault="009640DA" w:rsidP="009640DA">
            <w:pPr>
              <w:pStyle w:val="TableText0"/>
            </w:pPr>
            <w:r w:rsidRPr="00BB71CD">
              <w:t xml:space="preserve">MBS item 38350 for insertion, </w:t>
            </w:r>
            <w:proofErr w:type="gramStart"/>
            <w:r w:rsidRPr="00BB71CD">
              <w:t>replacement</w:t>
            </w:r>
            <w:proofErr w:type="gramEnd"/>
            <w:r w:rsidRPr="00BB71CD">
              <w:t xml:space="preserve"> or removal of lead</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01106" w14:textId="1004B687" w:rsidR="009640DA" w:rsidRPr="002E0155" w:rsidRDefault="00443AF1" w:rsidP="009640DA">
            <w:pPr>
              <w:pStyle w:val="TableText0"/>
              <w:jc w:val="center"/>
              <w:rPr>
                <w:highlight w:val="green"/>
              </w:rPr>
            </w:pPr>
            <w:r w:rsidRPr="00443AF1">
              <w:rPr>
                <w:color w:val="000000"/>
                <w:spacing w:val="43"/>
                <w:shd w:val="solid" w:color="000000" w:fill="000000"/>
                <w:fitText w:val="302" w:id="-1429520117"/>
                <w14:textFill>
                  <w14:solidFill>
                    <w14:srgbClr w14:val="000000">
                      <w14:alpha w14:val="100000"/>
                    </w14:srgbClr>
                  </w14:solidFill>
                </w14:textFill>
              </w:rPr>
              <w:t>|||</w:t>
            </w:r>
            <w:r w:rsidRPr="00443AF1">
              <w:rPr>
                <w:color w:val="000000"/>
                <w:spacing w:val="3"/>
                <w:shd w:val="solid" w:color="000000" w:fill="000000"/>
                <w:fitText w:val="302" w:id="-1429520117"/>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20116"/>
                <w14:textFill>
                  <w14:solidFill>
                    <w14:srgbClr w14:val="000000">
                      <w14:alpha w14:val="100000"/>
                    </w14:srgbClr>
                  </w14:solidFill>
                </w14:textFill>
              </w:rPr>
              <w:t>|</w:t>
            </w:r>
            <w:r w:rsidRPr="00443AF1">
              <w:rPr>
                <w:color w:val="000000"/>
                <w:spacing w:val="1"/>
                <w:shd w:val="solid" w:color="000000" w:fill="000000"/>
                <w:fitText w:val="268" w:id="-1429520116"/>
                <w14:textFill>
                  <w14:solidFill>
                    <w14:srgbClr w14:val="000000">
                      <w14:alpha w14:val="100000"/>
                    </w14:srgbClr>
                  </w14:solidFill>
                </w14:textFill>
              </w:rPr>
              <w:t>|</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DA0BF6" w14:textId="562EF9DD" w:rsidR="009640DA" w:rsidRPr="002E0155" w:rsidRDefault="00443AF1" w:rsidP="009640DA">
            <w:pPr>
              <w:pStyle w:val="TableText0"/>
              <w:jc w:val="center"/>
              <w:rPr>
                <w:highlight w:val="green"/>
              </w:rPr>
            </w:pPr>
            <w:r w:rsidRPr="00443AF1">
              <w:rPr>
                <w:color w:val="000000"/>
                <w:spacing w:val="43"/>
                <w:shd w:val="solid" w:color="000000" w:fill="000000"/>
                <w:fitText w:val="302" w:id="-1429520115"/>
                <w14:textFill>
                  <w14:solidFill>
                    <w14:srgbClr w14:val="000000">
                      <w14:alpha w14:val="100000"/>
                    </w14:srgbClr>
                  </w14:solidFill>
                </w14:textFill>
              </w:rPr>
              <w:t>|||</w:t>
            </w:r>
            <w:r w:rsidRPr="00443AF1">
              <w:rPr>
                <w:color w:val="000000"/>
                <w:spacing w:val="3"/>
                <w:shd w:val="solid" w:color="000000" w:fill="000000"/>
                <w:fitText w:val="302" w:id="-1429520115"/>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20114"/>
                <w14:textFill>
                  <w14:solidFill>
                    <w14:srgbClr w14:val="000000">
                      <w14:alpha w14:val="100000"/>
                    </w14:srgbClr>
                  </w14:solidFill>
                </w14:textFill>
              </w:rPr>
              <w:t>|</w:t>
            </w:r>
            <w:r w:rsidRPr="00443AF1">
              <w:rPr>
                <w:color w:val="000000"/>
                <w:spacing w:val="1"/>
                <w:shd w:val="solid" w:color="000000" w:fill="000000"/>
                <w:fitText w:val="268" w:id="-1429520114"/>
                <w14:textFill>
                  <w14:solidFill>
                    <w14:srgbClr w14:val="000000">
                      <w14:alpha w14:val="100000"/>
                    </w14:srgbClr>
                  </w14:solidFill>
                </w14:textFill>
              </w:rPr>
              <w:t>|</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09D513" w14:textId="083AAC11" w:rsidR="009640DA" w:rsidRPr="002E0155" w:rsidRDefault="00443AF1" w:rsidP="009640DA">
            <w:pPr>
              <w:pStyle w:val="TableText0"/>
              <w:jc w:val="center"/>
              <w:rPr>
                <w:highlight w:val="green"/>
              </w:rPr>
            </w:pPr>
            <w:r w:rsidRPr="00443AF1">
              <w:rPr>
                <w:color w:val="000000"/>
                <w:spacing w:val="43"/>
                <w:shd w:val="solid" w:color="000000" w:fill="000000"/>
                <w:fitText w:val="302" w:id="-1429520113"/>
                <w14:textFill>
                  <w14:solidFill>
                    <w14:srgbClr w14:val="000000">
                      <w14:alpha w14:val="100000"/>
                    </w14:srgbClr>
                  </w14:solidFill>
                </w14:textFill>
              </w:rPr>
              <w:t>|||</w:t>
            </w:r>
            <w:r w:rsidRPr="00443AF1">
              <w:rPr>
                <w:color w:val="000000"/>
                <w:spacing w:val="3"/>
                <w:shd w:val="solid" w:color="000000" w:fill="000000"/>
                <w:fitText w:val="302" w:id="-1429520113"/>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20112"/>
                <w14:textFill>
                  <w14:solidFill>
                    <w14:srgbClr w14:val="000000">
                      <w14:alpha w14:val="100000"/>
                    </w14:srgbClr>
                  </w14:solidFill>
                </w14:textFill>
              </w:rPr>
              <w:t>|</w:t>
            </w:r>
            <w:r w:rsidRPr="00443AF1">
              <w:rPr>
                <w:color w:val="000000"/>
                <w:spacing w:val="1"/>
                <w:shd w:val="solid" w:color="000000" w:fill="000000"/>
                <w:fitText w:val="268" w:id="-1429520112"/>
                <w14:textFill>
                  <w14:solidFill>
                    <w14:srgbClr w14:val="000000">
                      <w14:alpha w14:val="100000"/>
                    </w14:srgbClr>
                  </w14:solidFill>
                </w14:textFill>
              </w:rPr>
              <w:t>|</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402BB7" w14:textId="1E816163" w:rsidR="009640DA" w:rsidRPr="002E0155" w:rsidRDefault="00443AF1" w:rsidP="009640DA">
            <w:pPr>
              <w:pStyle w:val="TableText0"/>
              <w:jc w:val="center"/>
              <w:rPr>
                <w:highlight w:val="green"/>
              </w:rPr>
            </w:pPr>
            <w:r w:rsidRPr="00443AF1">
              <w:rPr>
                <w:color w:val="000000"/>
                <w:spacing w:val="43"/>
                <w:shd w:val="solid" w:color="000000" w:fill="000000"/>
                <w:fitText w:val="301" w:id="-1429520128"/>
                <w14:textFill>
                  <w14:solidFill>
                    <w14:srgbClr w14:val="000000">
                      <w14:alpha w14:val="100000"/>
                    </w14:srgbClr>
                  </w14:solidFill>
                </w14:textFill>
              </w:rPr>
              <w:t>|||</w:t>
            </w:r>
            <w:r w:rsidRPr="00443AF1">
              <w:rPr>
                <w:color w:val="000000"/>
                <w:spacing w:val="2"/>
                <w:shd w:val="solid" w:color="000000" w:fill="000000"/>
                <w:fitText w:val="301" w:id="-1429520128"/>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20127"/>
                <w14:textFill>
                  <w14:solidFill>
                    <w14:srgbClr w14:val="000000">
                      <w14:alpha w14:val="100000"/>
                    </w14:srgbClr>
                  </w14:solidFill>
                </w14:textFill>
              </w:rPr>
              <w:t>|</w:t>
            </w:r>
            <w:r w:rsidRPr="00443AF1">
              <w:rPr>
                <w:color w:val="000000"/>
                <w:spacing w:val="1"/>
                <w:shd w:val="solid" w:color="000000" w:fill="000000"/>
                <w:fitText w:val="268" w:id="-1429520127"/>
                <w14:textFill>
                  <w14:solidFill>
                    <w14:srgbClr w14:val="000000">
                      <w14:alpha w14:val="100000"/>
                    </w14:srgbClr>
                  </w14:solidFill>
                </w14:textFill>
              </w:rPr>
              <w:t>|</w:t>
            </w:r>
          </w:p>
        </w:tc>
        <w:tc>
          <w:tcPr>
            <w:tcW w:w="11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A0850" w14:textId="45DD05B4" w:rsidR="009640DA" w:rsidRPr="002E0155" w:rsidRDefault="00443AF1" w:rsidP="009640DA">
            <w:pPr>
              <w:pStyle w:val="TableText0"/>
              <w:jc w:val="center"/>
              <w:rPr>
                <w:highlight w:val="green"/>
              </w:rPr>
            </w:pPr>
            <w:r w:rsidRPr="00443AF1">
              <w:rPr>
                <w:color w:val="000000"/>
                <w:spacing w:val="43"/>
                <w:shd w:val="solid" w:color="000000" w:fill="000000"/>
                <w:fitText w:val="301" w:id="-1429520126"/>
                <w14:textFill>
                  <w14:solidFill>
                    <w14:srgbClr w14:val="000000">
                      <w14:alpha w14:val="100000"/>
                    </w14:srgbClr>
                  </w14:solidFill>
                </w14:textFill>
              </w:rPr>
              <w:t>|||</w:t>
            </w:r>
            <w:r w:rsidRPr="00443AF1">
              <w:rPr>
                <w:color w:val="000000"/>
                <w:spacing w:val="2"/>
                <w:shd w:val="solid" w:color="000000" w:fill="000000"/>
                <w:fitText w:val="301" w:id="-1429520126"/>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20125"/>
                <w14:textFill>
                  <w14:solidFill>
                    <w14:srgbClr w14:val="000000">
                      <w14:alpha w14:val="100000"/>
                    </w14:srgbClr>
                  </w14:solidFill>
                </w14:textFill>
              </w:rPr>
              <w:t>|</w:t>
            </w:r>
            <w:r w:rsidRPr="00443AF1">
              <w:rPr>
                <w:color w:val="000000"/>
                <w:spacing w:val="1"/>
                <w:shd w:val="solid" w:color="000000" w:fill="000000"/>
                <w:fitText w:val="268" w:id="-1429520125"/>
                <w14:textFill>
                  <w14:solidFill>
                    <w14:srgbClr w14:val="000000">
                      <w14:alpha w14:val="100000"/>
                    </w14:srgbClr>
                  </w14:solidFill>
                </w14:textFill>
              </w:rPr>
              <w:t>|</w:t>
            </w:r>
          </w:p>
        </w:tc>
        <w:tc>
          <w:tcPr>
            <w:tcW w:w="113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7C7DB036" w14:textId="58DDFDE0" w:rsidR="009640DA" w:rsidRPr="002E0155" w:rsidRDefault="00443AF1" w:rsidP="009640DA">
            <w:pPr>
              <w:pStyle w:val="TableText0"/>
              <w:jc w:val="center"/>
              <w:rPr>
                <w:highlight w:val="green"/>
              </w:rPr>
            </w:pPr>
            <w:r w:rsidRPr="00443AF1">
              <w:rPr>
                <w:color w:val="000000"/>
                <w:spacing w:val="43"/>
                <w:shd w:val="solid" w:color="000000" w:fill="000000"/>
                <w:fitText w:val="301" w:id="-1429520124"/>
                <w14:textFill>
                  <w14:solidFill>
                    <w14:srgbClr w14:val="000000">
                      <w14:alpha w14:val="100000"/>
                    </w14:srgbClr>
                  </w14:solidFill>
                </w14:textFill>
              </w:rPr>
              <w:t>|||</w:t>
            </w:r>
            <w:r w:rsidRPr="00443AF1">
              <w:rPr>
                <w:color w:val="000000"/>
                <w:spacing w:val="2"/>
                <w:shd w:val="solid" w:color="000000" w:fill="000000"/>
                <w:fitText w:val="301" w:id="-1429520124"/>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20123"/>
                <w14:textFill>
                  <w14:solidFill>
                    <w14:srgbClr w14:val="000000">
                      <w14:alpha w14:val="100000"/>
                    </w14:srgbClr>
                  </w14:solidFill>
                </w14:textFill>
              </w:rPr>
              <w:t>|</w:t>
            </w:r>
            <w:r w:rsidRPr="00443AF1">
              <w:rPr>
                <w:color w:val="000000"/>
                <w:spacing w:val="1"/>
                <w:shd w:val="solid" w:color="000000" w:fill="000000"/>
                <w:fitText w:val="268" w:id="-1429520123"/>
                <w14:textFill>
                  <w14:solidFill>
                    <w14:srgbClr w14:val="000000">
                      <w14:alpha w14:val="100000"/>
                    </w14:srgbClr>
                  </w14:solidFill>
                </w14:textFill>
              </w:rPr>
              <w:t>|</w:t>
            </w:r>
          </w:p>
        </w:tc>
      </w:tr>
      <w:tr w:rsidR="009640DA" w:rsidRPr="00CE28E3" w14:paraId="565C8345" w14:textId="77777777" w:rsidTr="00637A3D">
        <w:tc>
          <w:tcPr>
            <w:tcW w:w="2684"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6DEFE8D3" w14:textId="77777777" w:rsidR="009640DA" w:rsidRPr="00CE28E3" w:rsidRDefault="009640DA" w:rsidP="009640DA">
            <w:pPr>
              <w:pStyle w:val="TableText0"/>
            </w:pPr>
            <w:r w:rsidRPr="00BB71CD">
              <w:t xml:space="preserve">MBS item 38353 for insertion, </w:t>
            </w:r>
            <w:proofErr w:type="gramStart"/>
            <w:r w:rsidRPr="00BB71CD">
              <w:t>replacement</w:t>
            </w:r>
            <w:proofErr w:type="gramEnd"/>
            <w:r w:rsidRPr="00BB71CD">
              <w:t xml:space="preserve"> or removal of pacing device</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C3C630" w14:textId="10BF1905" w:rsidR="009640DA" w:rsidRPr="002E0155" w:rsidRDefault="00443AF1" w:rsidP="009640DA">
            <w:pPr>
              <w:pStyle w:val="TableText0"/>
              <w:jc w:val="center"/>
              <w:rPr>
                <w:highlight w:val="green"/>
              </w:rPr>
            </w:pPr>
            <w:r w:rsidRPr="00443AF1">
              <w:rPr>
                <w:color w:val="000000"/>
                <w:spacing w:val="43"/>
                <w:shd w:val="solid" w:color="000000" w:fill="000000"/>
                <w:fitText w:val="302" w:id="-1429520122"/>
                <w14:textFill>
                  <w14:solidFill>
                    <w14:srgbClr w14:val="000000">
                      <w14:alpha w14:val="100000"/>
                    </w14:srgbClr>
                  </w14:solidFill>
                </w14:textFill>
              </w:rPr>
              <w:t>|||</w:t>
            </w:r>
            <w:r w:rsidRPr="00443AF1">
              <w:rPr>
                <w:color w:val="000000"/>
                <w:spacing w:val="3"/>
                <w:shd w:val="solid" w:color="000000" w:fill="000000"/>
                <w:fitText w:val="302" w:id="-1429520122"/>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20121"/>
                <w14:textFill>
                  <w14:solidFill>
                    <w14:srgbClr w14:val="000000">
                      <w14:alpha w14:val="100000"/>
                    </w14:srgbClr>
                  </w14:solidFill>
                </w14:textFill>
              </w:rPr>
              <w:t>|</w:t>
            </w:r>
            <w:r w:rsidRPr="00443AF1">
              <w:rPr>
                <w:color w:val="000000"/>
                <w:spacing w:val="1"/>
                <w:shd w:val="solid" w:color="000000" w:fill="000000"/>
                <w:fitText w:val="268" w:id="-1429520121"/>
                <w14:textFill>
                  <w14:solidFill>
                    <w14:srgbClr w14:val="000000">
                      <w14:alpha w14:val="100000"/>
                    </w14:srgbClr>
                  </w14:solidFill>
                </w14:textFill>
              </w:rPr>
              <w:t>|</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96E9B2" w14:textId="4C951502" w:rsidR="009640DA" w:rsidRPr="002E0155" w:rsidRDefault="00443AF1" w:rsidP="009640DA">
            <w:pPr>
              <w:pStyle w:val="TableText0"/>
              <w:jc w:val="center"/>
              <w:rPr>
                <w:highlight w:val="green"/>
              </w:rPr>
            </w:pPr>
            <w:r w:rsidRPr="00443AF1">
              <w:rPr>
                <w:color w:val="000000"/>
                <w:spacing w:val="43"/>
                <w:shd w:val="solid" w:color="000000" w:fill="000000"/>
                <w:fitText w:val="302" w:id="-1429520120"/>
                <w14:textFill>
                  <w14:solidFill>
                    <w14:srgbClr w14:val="000000">
                      <w14:alpha w14:val="100000"/>
                    </w14:srgbClr>
                  </w14:solidFill>
                </w14:textFill>
              </w:rPr>
              <w:t>|||</w:t>
            </w:r>
            <w:r w:rsidRPr="00443AF1">
              <w:rPr>
                <w:color w:val="000000"/>
                <w:spacing w:val="3"/>
                <w:shd w:val="solid" w:color="000000" w:fill="000000"/>
                <w:fitText w:val="302" w:id="-1429520120"/>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20119"/>
                <w14:textFill>
                  <w14:solidFill>
                    <w14:srgbClr w14:val="000000">
                      <w14:alpha w14:val="100000"/>
                    </w14:srgbClr>
                  </w14:solidFill>
                </w14:textFill>
              </w:rPr>
              <w:t>|</w:t>
            </w:r>
            <w:r w:rsidRPr="00443AF1">
              <w:rPr>
                <w:color w:val="000000"/>
                <w:spacing w:val="1"/>
                <w:shd w:val="solid" w:color="000000" w:fill="000000"/>
                <w:fitText w:val="268" w:id="-1429520119"/>
                <w14:textFill>
                  <w14:solidFill>
                    <w14:srgbClr w14:val="000000">
                      <w14:alpha w14:val="100000"/>
                    </w14:srgbClr>
                  </w14:solidFill>
                </w14:textFill>
              </w:rPr>
              <w:t>|</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90055D" w14:textId="0987CD1E" w:rsidR="009640DA" w:rsidRPr="002E0155" w:rsidRDefault="00443AF1" w:rsidP="009640DA">
            <w:pPr>
              <w:pStyle w:val="TableText0"/>
              <w:jc w:val="center"/>
              <w:rPr>
                <w:highlight w:val="green"/>
              </w:rPr>
            </w:pPr>
            <w:r w:rsidRPr="00443AF1">
              <w:rPr>
                <w:color w:val="000000"/>
                <w:spacing w:val="43"/>
                <w:shd w:val="solid" w:color="000000" w:fill="000000"/>
                <w:fitText w:val="302" w:id="-1429520118"/>
                <w14:textFill>
                  <w14:solidFill>
                    <w14:srgbClr w14:val="000000">
                      <w14:alpha w14:val="100000"/>
                    </w14:srgbClr>
                  </w14:solidFill>
                </w14:textFill>
              </w:rPr>
              <w:t>|||</w:t>
            </w:r>
            <w:r w:rsidRPr="00443AF1">
              <w:rPr>
                <w:color w:val="000000"/>
                <w:spacing w:val="3"/>
                <w:shd w:val="solid" w:color="000000" w:fill="000000"/>
                <w:fitText w:val="302" w:id="-1429520118"/>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20117"/>
                <w14:textFill>
                  <w14:solidFill>
                    <w14:srgbClr w14:val="000000">
                      <w14:alpha w14:val="100000"/>
                    </w14:srgbClr>
                  </w14:solidFill>
                </w14:textFill>
              </w:rPr>
              <w:t>|</w:t>
            </w:r>
            <w:r w:rsidRPr="00443AF1">
              <w:rPr>
                <w:color w:val="000000"/>
                <w:spacing w:val="1"/>
                <w:shd w:val="solid" w:color="000000" w:fill="000000"/>
                <w:fitText w:val="268" w:id="-1429520117"/>
                <w14:textFill>
                  <w14:solidFill>
                    <w14:srgbClr w14:val="000000">
                      <w14:alpha w14:val="100000"/>
                    </w14:srgbClr>
                  </w14:solidFill>
                </w14:textFill>
              </w:rPr>
              <w:t>|</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2AA75E" w14:textId="0D102595" w:rsidR="009640DA" w:rsidRPr="002E0155" w:rsidRDefault="00443AF1" w:rsidP="009640DA">
            <w:pPr>
              <w:pStyle w:val="TableText0"/>
              <w:jc w:val="center"/>
              <w:rPr>
                <w:highlight w:val="green"/>
              </w:rPr>
            </w:pPr>
            <w:r w:rsidRPr="00443AF1">
              <w:rPr>
                <w:color w:val="000000"/>
                <w:spacing w:val="43"/>
                <w:shd w:val="solid" w:color="000000" w:fill="000000"/>
                <w:fitText w:val="301" w:id="-1429520116"/>
                <w14:textFill>
                  <w14:solidFill>
                    <w14:srgbClr w14:val="000000">
                      <w14:alpha w14:val="100000"/>
                    </w14:srgbClr>
                  </w14:solidFill>
                </w14:textFill>
              </w:rPr>
              <w:t>|||</w:t>
            </w:r>
            <w:r w:rsidRPr="00443AF1">
              <w:rPr>
                <w:color w:val="000000"/>
                <w:spacing w:val="2"/>
                <w:shd w:val="solid" w:color="000000" w:fill="000000"/>
                <w:fitText w:val="301" w:id="-1429520116"/>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20115"/>
                <w14:textFill>
                  <w14:solidFill>
                    <w14:srgbClr w14:val="000000">
                      <w14:alpha w14:val="100000"/>
                    </w14:srgbClr>
                  </w14:solidFill>
                </w14:textFill>
              </w:rPr>
              <w:t>|</w:t>
            </w:r>
            <w:r w:rsidRPr="00443AF1">
              <w:rPr>
                <w:color w:val="000000"/>
                <w:spacing w:val="1"/>
                <w:shd w:val="solid" w:color="000000" w:fill="000000"/>
                <w:fitText w:val="268" w:id="-1429520115"/>
                <w14:textFill>
                  <w14:solidFill>
                    <w14:srgbClr w14:val="000000">
                      <w14:alpha w14:val="100000"/>
                    </w14:srgbClr>
                  </w14:solidFill>
                </w14:textFill>
              </w:rPr>
              <w:t>|</w:t>
            </w:r>
          </w:p>
        </w:tc>
        <w:tc>
          <w:tcPr>
            <w:tcW w:w="11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6367CF" w14:textId="05210F87" w:rsidR="009640DA" w:rsidRPr="002E0155" w:rsidRDefault="00443AF1" w:rsidP="009640DA">
            <w:pPr>
              <w:pStyle w:val="TableText0"/>
              <w:jc w:val="center"/>
              <w:rPr>
                <w:highlight w:val="green"/>
              </w:rPr>
            </w:pPr>
            <w:r w:rsidRPr="00443AF1">
              <w:rPr>
                <w:color w:val="000000"/>
                <w:spacing w:val="43"/>
                <w:shd w:val="solid" w:color="000000" w:fill="000000"/>
                <w:fitText w:val="301" w:id="-1429520114"/>
                <w14:textFill>
                  <w14:solidFill>
                    <w14:srgbClr w14:val="000000">
                      <w14:alpha w14:val="100000"/>
                    </w14:srgbClr>
                  </w14:solidFill>
                </w14:textFill>
              </w:rPr>
              <w:t>|||</w:t>
            </w:r>
            <w:r w:rsidRPr="00443AF1">
              <w:rPr>
                <w:color w:val="000000"/>
                <w:spacing w:val="2"/>
                <w:shd w:val="solid" w:color="000000" w:fill="000000"/>
                <w:fitText w:val="301" w:id="-1429520114"/>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20113"/>
                <w14:textFill>
                  <w14:solidFill>
                    <w14:srgbClr w14:val="000000">
                      <w14:alpha w14:val="100000"/>
                    </w14:srgbClr>
                  </w14:solidFill>
                </w14:textFill>
              </w:rPr>
              <w:t>|</w:t>
            </w:r>
            <w:r w:rsidRPr="00443AF1">
              <w:rPr>
                <w:color w:val="000000"/>
                <w:spacing w:val="1"/>
                <w:shd w:val="solid" w:color="000000" w:fill="000000"/>
                <w:fitText w:val="268" w:id="-1429520113"/>
                <w14:textFill>
                  <w14:solidFill>
                    <w14:srgbClr w14:val="000000">
                      <w14:alpha w14:val="100000"/>
                    </w14:srgbClr>
                  </w14:solidFill>
                </w14:textFill>
              </w:rPr>
              <w:t>|</w:t>
            </w:r>
          </w:p>
        </w:tc>
        <w:tc>
          <w:tcPr>
            <w:tcW w:w="113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479265E9" w14:textId="688F71AB" w:rsidR="009640DA" w:rsidRPr="002E0155" w:rsidRDefault="00443AF1" w:rsidP="009640DA">
            <w:pPr>
              <w:pStyle w:val="TableText0"/>
              <w:jc w:val="center"/>
              <w:rPr>
                <w:highlight w:val="green"/>
              </w:rPr>
            </w:pPr>
            <w:r w:rsidRPr="00443AF1">
              <w:rPr>
                <w:color w:val="000000"/>
                <w:spacing w:val="43"/>
                <w:shd w:val="solid" w:color="000000" w:fill="000000"/>
                <w:fitText w:val="301" w:id="-1429520112"/>
                <w14:textFill>
                  <w14:solidFill>
                    <w14:srgbClr w14:val="000000">
                      <w14:alpha w14:val="100000"/>
                    </w14:srgbClr>
                  </w14:solidFill>
                </w14:textFill>
              </w:rPr>
              <w:t>|||</w:t>
            </w:r>
            <w:r w:rsidRPr="00443AF1">
              <w:rPr>
                <w:color w:val="000000"/>
                <w:spacing w:val="2"/>
                <w:shd w:val="solid" w:color="000000" w:fill="000000"/>
                <w:fitText w:val="301" w:id="-1429520112"/>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20128"/>
                <w14:textFill>
                  <w14:solidFill>
                    <w14:srgbClr w14:val="000000">
                      <w14:alpha w14:val="100000"/>
                    </w14:srgbClr>
                  </w14:solidFill>
                </w14:textFill>
              </w:rPr>
              <w:t>|</w:t>
            </w:r>
            <w:r w:rsidRPr="00443AF1">
              <w:rPr>
                <w:color w:val="000000"/>
                <w:spacing w:val="1"/>
                <w:shd w:val="solid" w:color="000000" w:fill="000000"/>
                <w:fitText w:val="268" w:id="-1429520128"/>
                <w14:textFill>
                  <w14:solidFill>
                    <w14:srgbClr w14:val="000000">
                      <w14:alpha w14:val="100000"/>
                    </w14:srgbClr>
                  </w14:solidFill>
                </w14:textFill>
              </w:rPr>
              <w:t>|</w:t>
            </w:r>
          </w:p>
        </w:tc>
      </w:tr>
      <w:tr w:rsidR="009640DA" w:rsidRPr="00CE28E3" w14:paraId="20327236" w14:textId="77777777" w:rsidTr="00637A3D">
        <w:tc>
          <w:tcPr>
            <w:tcW w:w="2684" w:type="dxa"/>
            <w:tcBorders>
              <w:top w:val="single" w:sz="4" w:space="0" w:color="auto"/>
              <w:left w:val="single" w:sz="8" w:space="0" w:color="auto"/>
              <w:bottom w:val="single" w:sz="12" w:space="0" w:color="auto"/>
              <w:right w:val="single" w:sz="4" w:space="0" w:color="auto"/>
            </w:tcBorders>
            <w:tcMar>
              <w:top w:w="0" w:type="dxa"/>
              <w:left w:w="108" w:type="dxa"/>
              <w:bottom w:w="0" w:type="dxa"/>
              <w:right w:w="108" w:type="dxa"/>
            </w:tcMar>
            <w:vAlign w:val="center"/>
          </w:tcPr>
          <w:p w14:paraId="3624CFEC" w14:textId="77777777" w:rsidR="009640DA" w:rsidRPr="00CE28E3" w:rsidRDefault="009640DA" w:rsidP="009640DA">
            <w:pPr>
              <w:pStyle w:val="TableText0"/>
            </w:pPr>
            <w:r w:rsidRPr="00BB71CD">
              <w:t>MBS item 60503 for fluoroscopy</w:t>
            </w:r>
          </w:p>
        </w:tc>
        <w:tc>
          <w:tcPr>
            <w:tcW w:w="1053"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3D49731E" w14:textId="0353965A" w:rsidR="009640DA" w:rsidRPr="002E0155" w:rsidRDefault="00443AF1" w:rsidP="009640DA">
            <w:pPr>
              <w:pStyle w:val="TableText0"/>
              <w:jc w:val="center"/>
              <w:rPr>
                <w:highlight w:val="green"/>
              </w:rPr>
            </w:pPr>
            <w:r w:rsidRPr="00443AF1">
              <w:rPr>
                <w:color w:val="000000"/>
                <w:spacing w:val="43"/>
                <w:shd w:val="solid" w:color="000000" w:fill="000000"/>
                <w:fitText w:val="302" w:id="-1429520127"/>
                <w14:textFill>
                  <w14:solidFill>
                    <w14:srgbClr w14:val="000000">
                      <w14:alpha w14:val="100000"/>
                    </w14:srgbClr>
                  </w14:solidFill>
                </w14:textFill>
              </w:rPr>
              <w:t>|||</w:t>
            </w:r>
            <w:r w:rsidRPr="00443AF1">
              <w:rPr>
                <w:color w:val="000000"/>
                <w:spacing w:val="3"/>
                <w:shd w:val="solid" w:color="000000" w:fill="000000"/>
                <w:fitText w:val="302" w:id="-1429520127"/>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20126"/>
                <w14:textFill>
                  <w14:solidFill>
                    <w14:srgbClr w14:val="000000">
                      <w14:alpha w14:val="100000"/>
                    </w14:srgbClr>
                  </w14:solidFill>
                </w14:textFill>
              </w:rPr>
              <w:t>|</w:t>
            </w:r>
            <w:r w:rsidRPr="00443AF1">
              <w:rPr>
                <w:color w:val="000000"/>
                <w:spacing w:val="1"/>
                <w:shd w:val="solid" w:color="000000" w:fill="000000"/>
                <w:fitText w:val="268" w:id="-1429520126"/>
                <w14:textFill>
                  <w14:solidFill>
                    <w14:srgbClr w14:val="000000">
                      <w14:alpha w14:val="100000"/>
                    </w14:srgbClr>
                  </w14:solidFill>
                </w14:textFill>
              </w:rPr>
              <w:t>|</w:t>
            </w:r>
          </w:p>
        </w:tc>
        <w:tc>
          <w:tcPr>
            <w:tcW w:w="1054"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45D20C55" w14:textId="0E590968" w:rsidR="009640DA" w:rsidRPr="002E0155" w:rsidRDefault="00443AF1" w:rsidP="009640DA">
            <w:pPr>
              <w:pStyle w:val="TableText0"/>
              <w:jc w:val="center"/>
              <w:rPr>
                <w:highlight w:val="green"/>
              </w:rPr>
            </w:pPr>
            <w:r w:rsidRPr="00443AF1">
              <w:rPr>
                <w:color w:val="000000"/>
                <w:spacing w:val="43"/>
                <w:shd w:val="solid" w:color="000000" w:fill="000000"/>
                <w:fitText w:val="302" w:id="-1429520125"/>
                <w14:textFill>
                  <w14:solidFill>
                    <w14:srgbClr w14:val="000000">
                      <w14:alpha w14:val="100000"/>
                    </w14:srgbClr>
                  </w14:solidFill>
                </w14:textFill>
              </w:rPr>
              <w:t>|||</w:t>
            </w:r>
            <w:r w:rsidRPr="00443AF1">
              <w:rPr>
                <w:color w:val="000000"/>
                <w:spacing w:val="3"/>
                <w:shd w:val="solid" w:color="000000" w:fill="000000"/>
                <w:fitText w:val="302" w:id="-1429520125"/>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20124"/>
                <w14:textFill>
                  <w14:solidFill>
                    <w14:srgbClr w14:val="000000">
                      <w14:alpha w14:val="100000"/>
                    </w14:srgbClr>
                  </w14:solidFill>
                </w14:textFill>
              </w:rPr>
              <w:t>|</w:t>
            </w:r>
            <w:r w:rsidRPr="00443AF1">
              <w:rPr>
                <w:color w:val="000000"/>
                <w:spacing w:val="1"/>
                <w:shd w:val="solid" w:color="000000" w:fill="000000"/>
                <w:fitText w:val="268" w:id="-1429520124"/>
                <w14:textFill>
                  <w14:solidFill>
                    <w14:srgbClr w14:val="000000">
                      <w14:alpha w14:val="100000"/>
                    </w14:srgbClr>
                  </w14:solidFill>
                </w14:textFill>
              </w:rPr>
              <w:t>|</w:t>
            </w:r>
          </w:p>
        </w:tc>
        <w:tc>
          <w:tcPr>
            <w:tcW w:w="1054"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262FE8D4" w14:textId="37BD8715" w:rsidR="009640DA" w:rsidRPr="002E0155" w:rsidRDefault="00443AF1" w:rsidP="009640DA">
            <w:pPr>
              <w:pStyle w:val="TableText0"/>
              <w:jc w:val="center"/>
              <w:rPr>
                <w:highlight w:val="green"/>
              </w:rPr>
            </w:pPr>
            <w:r w:rsidRPr="00443AF1">
              <w:rPr>
                <w:color w:val="000000"/>
                <w:spacing w:val="43"/>
                <w:shd w:val="solid" w:color="000000" w:fill="000000"/>
                <w:fitText w:val="302" w:id="-1429520123"/>
                <w14:textFill>
                  <w14:solidFill>
                    <w14:srgbClr w14:val="000000">
                      <w14:alpha w14:val="100000"/>
                    </w14:srgbClr>
                  </w14:solidFill>
                </w14:textFill>
              </w:rPr>
              <w:t>|||</w:t>
            </w:r>
            <w:r w:rsidRPr="00443AF1">
              <w:rPr>
                <w:color w:val="000000"/>
                <w:spacing w:val="3"/>
                <w:shd w:val="solid" w:color="000000" w:fill="000000"/>
                <w:fitText w:val="302" w:id="-1429520123"/>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20122"/>
                <w14:textFill>
                  <w14:solidFill>
                    <w14:srgbClr w14:val="000000">
                      <w14:alpha w14:val="100000"/>
                    </w14:srgbClr>
                  </w14:solidFill>
                </w14:textFill>
              </w:rPr>
              <w:t>|</w:t>
            </w:r>
            <w:r w:rsidRPr="00443AF1">
              <w:rPr>
                <w:color w:val="000000"/>
                <w:spacing w:val="1"/>
                <w:shd w:val="solid" w:color="000000" w:fill="000000"/>
                <w:fitText w:val="268" w:id="-1429520122"/>
                <w14:textFill>
                  <w14:solidFill>
                    <w14:srgbClr w14:val="000000">
                      <w14:alpha w14:val="100000"/>
                    </w14:srgbClr>
                  </w14:solidFill>
                </w14:textFill>
              </w:rPr>
              <w:t>|</w:t>
            </w:r>
          </w:p>
        </w:tc>
        <w:tc>
          <w:tcPr>
            <w:tcW w:w="1053"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1703DF97" w14:textId="27CE9999" w:rsidR="009640DA" w:rsidRPr="002E0155" w:rsidRDefault="00443AF1" w:rsidP="009640DA">
            <w:pPr>
              <w:pStyle w:val="TableText0"/>
              <w:jc w:val="center"/>
              <w:rPr>
                <w:highlight w:val="green"/>
              </w:rPr>
            </w:pPr>
            <w:r w:rsidRPr="00443AF1">
              <w:rPr>
                <w:color w:val="000000"/>
                <w:spacing w:val="43"/>
                <w:shd w:val="solid" w:color="000000" w:fill="000000"/>
                <w:fitText w:val="301" w:id="-1429520121"/>
                <w14:textFill>
                  <w14:solidFill>
                    <w14:srgbClr w14:val="000000">
                      <w14:alpha w14:val="100000"/>
                    </w14:srgbClr>
                  </w14:solidFill>
                </w14:textFill>
              </w:rPr>
              <w:t>|||</w:t>
            </w:r>
            <w:r w:rsidRPr="00443AF1">
              <w:rPr>
                <w:color w:val="000000"/>
                <w:spacing w:val="2"/>
                <w:shd w:val="solid" w:color="000000" w:fill="000000"/>
                <w:fitText w:val="301" w:id="-1429520121"/>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20120"/>
                <w14:textFill>
                  <w14:solidFill>
                    <w14:srgbClr w14:val="000000">
                      <w14:alpha w14:val="100000"/>
                    </w14:srgbClr>
                  </w14:solidFill>
                </w14:textFill>
              </w:rPr>
              <w:t>|</w:t>
            </w:r>
            <w:r w:rsidRPr="00443AF1">
              <w:rPr>
                <w:color w:val="000000"/>
                <w:spacing w:val="1"/>
                <w:shd w:val="solid" w:color="000000" w:fill="000000"/>
                <w:fitText w:val="268" w:id="-1429520120"/>
                <w14:textFill>
                  <w14:solidFill>
                    <w14:srgbClr w14:val="000000">
                      <w14:alpha w14:val="100000"/>
                    </w14:srgbClr>
                  </w14:solidFill>
                </w14:textFill>
              </w:rPr>
              <w:t>|</w:t>
            </w:r>
          </w:p>
        </w:tc>
        <w:tc>
          <w:tcPr>
            <w:tcW w:w="1172"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0AA55DC7" w14:textId="32E265B1" w:rsidR="009640DA" w:rsidRPr="002E0155" w:rsidRDefault="00443AF1" w:rsidP="009640DA">
            <w:pPr>
              <w:pStyle w:val="TableText0"/>
              <w:jc w:val="center"/>
              <w:rPr>
                <w:highlight w:val="green"/>
              </w:rPr>
            </w:pPr>
            <w:r w:rsidRPr="00443AF1">
              <w:rPr>
                <w:color w:val="000000"/>
                <w:spacing w:val="43"/>
                <w:shd w:val="solid" w:color="000000" w:fill="000000"/>
                <w:fitText w:val="301" w:id="-1429520119"/>
                <w14:textFill>
                  <w14:solidFill>
                    <w14:srgbClr w14:val="000000">
                      <w14:alpha w14:val="100000"/>
                    </w14:srgbClr>
                  </w14:solidFill>
                </w14:textFill>
              </w:rPr>
              <w:t>|||</w:t>
            </w:r>
            <w:r w:rsidRPr="00443AF1">
              <w:rPr>
                <w:color w:val="000000"/>
                <w:spacing w:val="2"/>
                <w:shd w:val="solid" w:color="000000" w:fill="000000"/>
                <w:fitText w:val="301" w:id="-1429520119"/>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20118"/>
                <w14:textFill>
                  <w14:solidFill>
                    <w14:srgbClr w14:val="000000">
                      <w14:alpha w14:val="100000"/>
                    </w14:srgbClr>
                  </w14:solidFill>
                </w14:textFill>
              </w:rPr>
              <w:t>|</w:t>
            </w:r>
            <w:r w:rsidRPr="00443AF1">
              <w:rPr>
                <w:color w:val="000000"/>
                <w:spacing w:val="1"/>
                <w:shd w:val="solid" w:color="000000" w:fill="000000"/>
                <w:fitText w:val="268" w:id="-1429520118"/>
                <w14:textFill>
                  <w14:solidFill>
                    <w14:srgbClr w14:val="000000">
                      <w14:alpha w14:val="100000"/>
                    </w14:srgbClr>
                  </w14:solidFill>
                </w14:textFill>
              </w:rPr>
              <w:t>|</w:t>
            </w:r>
          </w:p>
        </w:tc>
        <w:tc>
          <w:tcPr>
            <w:tcW w:w="1134" w:type="dxa"/>
            <w:tcBorders>
              <w:top w:val="single" w:sz="4" w:space="0" w:color="auto"/>
              <w:left w:val="single" w:sz="4" w:space="0" w:color="auto"/>
              <w:bottom w:val="single" w:sz="12" w:space="0" w:color="auto"/>
              <w:right w:val="single" w:sz="8" w:space="0" w:color="auto"/>
            </w:tcBorders>
            <w:tcMar>
              <w:top w:w="0" w:type="dxa"/>
              <w:left w:w="108" w:type="dxa"/>
              <w:bottom w:w="0" w:type="dxa"/>
              <w:right w:w="108" w:type="dxa"/>
            </w:tcMar>
            <w:vAlign w:val="center"/>
          </w:tcPr>
          <w:p w14:paraId="050B5E6F" w14:textId="7002A88A" w:rsidR="009640DA" w:rsidRPr="002E0155" w:rsidRDefault="00443AF1" w:rsidP="009640DA">
            <w:pPr>
              <w:pStyle w:val="TableText0"/>
              <w:jc w:val="center"/>
              <w:rPr>
                <w:highlight w:val="green"/>
              </w:rPr>
            </w:pPr>
            <w:r w:rsidRPr="00443AF1">
              <w:rPr>
                <w:color w:val="000000"/>
                <w:spacing w:val="43"/>
                <w:shd w:val="solid" w:color="000000" w:fill="000000"/>
                <w:fitText w:val="301" w:id="-1429520117"/>
                <w14:textFill>
                  <w14:solidFill>
                    <w14:srgbClr w14:val="000000">
                      <w14:alpha w14:val="100000"/>
                    </w14:srgbClr>
                  </w14:solidFill>
                </w14:textFill>
              </w:rPr>
              <w:t>|||</w:t>
            </w:r>
            <w:r w:rsidRPr="00443AF1">
              <w:rPr>
                <w:color w:val="000000"/>
                <w:spacing w:val="2"/>
                <w:shd w:val="solid" w:color="000000" w:fill="000000"/>
                <w:fitText w:val="301" w:id="-1429520117"/>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19872"/>
                <w14:textFill>
                  <w14:solidFill>
                    <w14:srgbClr w14:val="000000">
                      <w14:alpha w14:val="100000"/>
                    </w14:srgbClr>
                  </w14:solidFill>
                </w14:textFill>
              </w:rPr>
              <w:t>|</w:t>
            </w:r>
            <w:r w:rsidRPr="00443AF1">
              <w:rPr>
                <w:color w:val="000000"/>
                <w:spacing w:val="1"/>
                <w:shd w:val="solid" w:color="000000" w:fill="000000"/>
                <w:fitText w:val="268" w:id="-1429519872"/>
                <w14:textFill>
                  <w14:solidFill>
                    <w14:srgbClr w14:val="000000">
                      <w14:alpha w14:val="100000"/>
                    </w14:srgbClr>
                  </w14:solidFill>
                </w14:textFill>
              </w:rPr>
              <w:t>|</w:t>
            </w:r>
          </w:p>
        </w:tc>
      </w:tr>
      <w:tr w:rsidR="009640DA" w:rsidRPr="00CE28E3" w14:paraId="76C97E83" w14:textId="77777777" w:rsidTr="00637A3D">
        <w:tc>
          <w:tcPr>
            <w:tcW w:w="2684"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5449B3" w14:textId="77777777" w:rsidR="009640DA" w:rsidRPr="00CE28E3" w:rsidRDefault="009640DA" w:rsidP="009640DA">
            <w:pPr>
              <w:pStyle w:val="TableText0"/>
            </w:pPr>
            <w:r w:rsidRPr="00FB3306">
              <w:rPr>
                <w:b/>
                <w:bCs/>
              </w:rPr>
              <w:t>Total, full benefit</w:t>
            </w:r>
          </w:p>
        </w:tc>
        <w:tc>
          <w:tcPr>
            <w:tcW w:w="105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1E9C27D4" w14:textId="579F8083" w:rsidR="009640DA" w:rsidRPr="002E0155" w:rsidRDefault="00443AF1" w:rsidP="009640DA">
            <w:pPr>
              <w:pStyle w:val="TableText0"/>
              <w:jc w:val="center"/>
              <w:rPr>
                <w:highlight w:val="green"/>
              </w:rPr>
            </w:pPr>
            <w:r w:rsidRPr="00443AF1">
              <w:rPr>
                <w:color w:val="000000"/>
                <w:spacing w:val="43"/>
                <w:shd w:val="solid" w:color="000000" w:fill="000000"/>
                <w:fitText w:val="302" w:id="-1429519871"/>
                <w14:textFill>
                  <w14:solidFill>
                    <w14:srgbClr w14:val="000000">
                      <w14:alpha w14:val="100000"/>
                    </w14:srgbClr>
                  </w14:solidFill>
                </w14:textFill>
              </w:rPr>
              <w:t>|||</w:t>
            </w:r>
            <w:r w:rsidRPr="00443AF1">
              <w:rPr>
                <w:color w:val="000000"/>
                <w:spacing w:val="3"/>
                <w:shd w:val="solid" w:color="000000" w:fill="000000"/>
                <w:fitText w:val="302" w:id="-1429519871"/>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19870"/>
                <w14:textFill>
                  <w14:solidFill>
                    <w14:srgbClr w14:val="000000">
                      <w14:alpha w14:val="100000"/>
                    </w14:srgbClr>
                  </w14:solidFill>
                </w14:textFill>
              </w:rPr>
              <w:t>|</w:t>
            </w:r>
            <w:r w:rsidRPr="00443AF1">
              <w:rPr>
                <w:color w:val="000000"/>
                <w:spacing w:val="1"/>
                <w:shd w:val="solid" w:color="000000" w:fill="000000"/>
                <w:fitText w:val="268" w:id="-1429519870"/>
                <w14:textFill>
                  <w14:solidFill>
                    <w14:srgbClr w14:val="000000">
                      <w14:alpha w14:val="100000"/>
                    </w14:srgbClr>
                  </w14:solidFill>
                </w14:textFill>
              </w:rPr>
              <w:t>|</w:t>
            </w:r>
          </w:p>
        </w:tc>
        <w:tc>
          <w:tcPr>
            <w:tcW w:w="105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67B0B4A6" w14:textId="28DDD013" w:rsidR="009640DA" w:rsidRPr="002E0155" w:rsidRDefault="00443AF1" w:rsidP="009640DA">
            <w:pPr>
              <w:pStyle w:val="TableText0"/>
              <w:jc w:val="center"/>
              <w:rPr>
                <w:highlight w:val="green"/>
              </w:rPr>
            </w:pPr>
            <w:r w:rsidRPr="00443AF1">
              <w:rPr>
                <w:color w:val="000000"/>
                <w:spacing w:val="43"/>
                <w:shd w:val="solid" w:color="000000" w:fill="000000"/>
                <w:fitText w:val="301" w:id="-1429519869"/>
                <w14:textFill>
                  <w14:solidFill>
                    <w14:srgbClr w14:val="000000">
                      <w14:alpha w14:val="100000"/>
                    </w14:srgbClr>
                  </w14:solidFill>
                </w14:textFill>
              </w:rPr>
              <w:t>|||</w:t>
            </w:r>
            <w:r w:rsidRPr="00443AF1">
              <w:rPr>
                <w:color w:val="000000"/>
                <w:spacing w:val="2"/>
                <w:shd w:val="solid" w:color="000000" w:fill="000000"/>
                <w:fitText w:val="301" w:id="-1429519869"/>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19868"/>
                <w14:textFill>
                  <w14:solidFill>
                    <w14:srgbClr w14:val="000000">
                      <w14:alpha w14:val="100000"/>
                    </w14:srgbClr>
                  </w14:solidFill>
                </w14:textFill>
              </w:rPr>
              <w:t>|</w:t>
            </w:r>
            <w:r w:rsidRPr="00443AF1">
              <w:rPr>
                <w:color w:val="000000"/>
                <w:spacing w:val="1"/>
                <w:shd w:val="solid" w:color="000000" w:fill="000000"/>
                <w:fitText w:val="268" w:id="-1429519868"/>
                <w14:textFill>
                  <w14:solidFill>
                    <w14:srgbClr w14:val="000000">
                      <w14:alpha w14:val="100000"/>
                    </w14:srgbClr>
                  </w14:solidFill>
                </w14:textFill>
              </w:rPr>
              <w:t>|</w:t>
            </w:r>
          </w:p>
        </w:tc>
        <w:tc>
          <w:tcPr>
            <w:tcW w:w="105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010F2CD5" w14:textId="5E930EC3" w:rsidR="009640DA" w:rsidRPr="002E0155" w:rsidRDefault="00443AF1" w:rsidP="009640DA">
            <w:pPr>
              <w:pStyle w:val="TableText0"/>
              <w:jc w:val="center"/>
              <w:rPr>
                <w:highlight w:val="green"/>
              </w:rPr>
            </w:pPr>
            <w:r w:rsidRPr="00443AF1">
              <w:rPr>
                <w:color w:val="000000"/>
                <w:spacing w:val="43"/>
                <w:shd w:val="solid" w:color="000000" w:fill="000000"/>
                <w:fitText w:val="301" w:id="-1429519867"/>
                <w14:textFill>
                  <w14:solidFill>
                    <w14:srgbClr w14:val="000000">
                      <w14:alpha w14:val="100000"/>
                    </w14:srgbClr>
                  </w14:solidFill>
                </w14:textFill>
              </w:rPr>
              <w:t>|||</w:t>
            </w:r>
            <w:r w:rsidRPr="00443AF1">
              <w:rPr>
                <w:color w:val="000000"/>
                <w:spacing w:val="2"/>
                <w:shd w:val="solid" w:color="000000" w:fill="000000"/>
                <w:fitText w:val="301" w:id="-1429519867"/>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19866"/>
                <w14:textFill>
                  <w14:solidFill>
                    <w14:srgbClr w14:val="000000">
                      <w14:alpha w14:val="100000"/>
                    </w14:srgbClr>
                  </w14:solidFill>
                </w14:textFill>
              </w:rPr>
              <w:t>|</w:t>
            </w:r>
            <w:r w:rsidRPr="00443AF1">
              <w:rPr>
                <w:color w:val="000000"/>
                <w:spacing w:val="1"/>
                <w:shd w:val="solid" w:color="000000" w:fill="000000"/>
                <w:fitText w:val="268" w:id="-1429519866"/>
                <w14:textFill>
                  <w14:solidFill>
                    <w14:srgbClr w14:val="000000">
                      <w14:alpha w14:val="100000"/>
                    </w14:srgbClr>
                  </w14:solidFill>
                </w14:textFill>
              </w:rPr>
              <w:t>|</w:t>
            </w:r>
          </w:p>
        </w:tc>
        <w:tc>
          <w:tcPr>
            <w:tcW w:w="105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3E37A9C4" w14:textId="3ACF4858" w:rsidR="009640DA" w:rsidRPr="002E0155" w:rsidRDefault="00443AF1" w:rsidP="009640DA">
            <w:pPr>
              <w:pStyle w:val="TableText0"/>
              <w:jc w:val="center"/>
              <w:rPr>
                <w:highlight w:val="green"/>
              </w:rPr>
            </w:pPr>
            <w:r w:rsidRPr="00443AF1">
              <w:rPr>
                <w:color w:val="000000"/>
                <w:spacing w:val="43"/>
                <w:shd w:val="solid" w:color="000000" w:fill="000000"/>
                <w:fitText w:val="301" w:id="-1429519865"/>
                <w14:textFill>
                  <w14:solidFill>
                    <w14:srgbClr w14:val="000000">
                      <w14:alpha w14:val="100000"/>
                    </w14:srgbClr>
                  </w14:solidFill>
                </w14:textFill>
              </w:rPr>
              <w:t>|||</w:t>
            </w:r>
            <w:r w:rsidRPr="00443AF1">
              <w:rPr>
                <w:color w:val="000000"/>
                <w:spacing w:val="2"/>
                <w:shd w:val="solid" w:color="000000" w:fill="000000"/>
                <w:fitText w:val="301" w:id="-1429519865"/>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19864"/>
                <w14:textFill>
                  <w14:solidFill>
                    <w14:srgbClr w14:val="000000">
                      <w14:alpha w14:val="100000"/>
                    </w14:srgbClr>
                  </w14:solidFill>
                </w14:textFill>
              </w:rPr>
              <w:t>|</w:t>
            </w:r>
            <w:r w:rsidRPr="00443AF1">
              <w:rPr>
                <w:color w:val="000000"/>
                <w:spacing w:val="1"/>
                <w:shd w:val="solid" w:color="000000" w:fill="000000"/>
                <w:fitText w:val="268" w:id="-1429519864"/>
                <w14:textFill>
                  <w14:solidFill>
                    <w14:srgbClr w14:val="000000">
                      <w14:alpha w14:val="100000"/>
                    </w14:srgbClr>
                  </w14:solidFill>
                </w14:textFill>
              </w:rPr>
              <w:t>|</w:t>
            </w:r>
          </w:p>
        </w:tc>
        <w:tc>
          <w:tcPr>
            <w:tcW w:w="117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78789B7E" w14:textId="61726C77" w:rsidR="009640DA" w:rsidRPr="002E0155" w:rsidRDefault="00443AF1" w:rsidP="009640DA">
            <w:pPr>
              <w:pStyle w:val="TableText0"/>
              <w:jc w:val="center"/>
              <w:rPr>
                <w:highlight w:val="green"/>
              </w:rPr>
            </w:pPr>
            <w:r w:rsidRPr="00443AF1">
              <w:rPr>
                <w:color w:val="000000"/>
                <w:spacing w:val="43"/>
                <w:shd w:val="solid" w:color="000000" w:fill="000000"/>
                <w:fitText w:val="301" w:id="-1429519863"/>
                <w14:textFill>
                  <w14:solidFill>
                    <w14:srgbClr w14:val="000000">
                      <w14:alpha w14:val="100000"/>
                    </w14:srgbClr>
                  </w14:solidFill>
                </w14:textFill>
              </w:rPr>
              <w:t>|||</w:t>
            </w:r>
            <w:r w:rsidRPr="00443AF1">
              <w:rPr>
                <w:color w:val="000000"/>
                <w:spacing w:val="2"/>
                <w:shd w:val="solid" w:color="000000" w:fill="000000"/>
                <w:fitText w:val="301" w:id="-1429519863"/>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19862"/>
                <w14:textFill>
                  <w14:solidFill>
                    <w14:srgbClr w14:val="000000">
                      <w14:alpha w14:val="100000"/>
                    </w14:srgbClr>
                  </w14:solidFill>
                </w14:textFill>
              </w:rPr>
              <w:t>|</w:t>
            </w:r>
            <w:r w:rsidRPr="00443AF1">
              <w:rPr>
                <w:color w:val="000000"/>
                <w:spacing w:val="1"/>
                <w:shd w:val="solid" w:color="000000" w:fill="000000"/>
                <w:fitText w:val="268" w:id="-1429519862"/>
                <w14:textFill>
                  <w14:solidFill>
                    <w14:srgbClr w14:val="000000">
                      <w14:alpha w14:val="100000"/>
                    </w14:srgbClr>
                  </w14:solidFill>
                </w14:textFill>
              </w:rPr>
              <w:t>|</w:t>
            </w:r>
          </w:p>
        </w:tc>
        <w:tc>
          <w:tcPr>
            <w:tcW w:w="113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45F22D87" w14:textId="6AA2C17F" w:rsidR="009640DA" w:rsidRPr="002E0155" w:rsidRDefault="00443AF1" w:rsidP="009640DA">
            <w:pPr>
              <w:pStyle w:val="TableText0"/>
              <w:jc w:val="center"/>
              <w:rPr>
                <w:highlight w:val="green"/>
              </w:rPr>
            </w:pPr>
            <w:r w:rsidRPr="00443AF1">
              <w:rPr>
                <w:color w:val="000000"/>
                <w:spacing w:val="43"/>
                <w:shd w:val="solid" w:color="000000" w:fill="000000"/>
                <w:fitText w:val="301" w:id="-1429519861"/>
                <w14:textFill>
                  <w14:solidFill>
                    <w14:srgbClr w14:val="000000">
                      <w14:alpha w14:val="100000"/>
                    </w14:srgbClr>
                  </w14:solidFill>
                </w14:textFill>
              </w:rPr>
              <w:t>|||</w:t>
            </w:r>
            <w:r w:rsidRPr="00443AF1">
              <w:rPr>
                <w:color w:val="000000"/>
                <w:spacing w:val="2"/>
                <w:shd w:val="solid" w:color="000000" w:fill="000000"/>
                <w:fitText w:val="301" w:id="-1429519861"/>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19860"/>
                <w14:textFill>
                  <w14:solidFill>
                    <w14:srgbClr w14:val="000000">
                      <w14:alpha w14:val="100000"/>
                    </w14:srgbClr>
                  </w14:solidFill>
                </w14:textFill>
              </w:rPr>
              <w:t>|</w:t>
            </w:r>
            <w:r w:rsidRPr="00443AF1">
              <w:rPr>
                <w:color w:val="000000"/>
                <w:spacing w:val="1"/>
                <w:shd w:val="solid" w:color="000000" w:fill="000000"/>
                <w:fitText w:val="268" w:id="-1429519860"/>
                <w14:textFill>
                  <w14:solidFill>
                    <w14:srgbClr w14:val="000000">
                      <w14:alpha w14:val="100000"/>
                    </w14:srgbClr>
                  </w14:solidFill>
                </w14:textFill>
              </w:rPr>
              <w:t>|</w:t>
            </w:r>
          </w:p>
        </w:tc>
      </w:tr>
      <w:tr w:rsidR="009640DA" w:rsidRPr="00CE28E3" w14:paraId="4990D6AD" w14:textId="77777777" w:rsidTr="00637A3D">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076C11" w14:textId="77777777" w:rsidR="009640DA" w:rsidRPr="00CE28E3" w:rsidRDefault="009640DA" w:rsidP="009640DA">
            <w:pPr>
              <w:pStyle w:val="TableText0"/>
            </w:pPr>
            <w:r w:rsidRPr="00FB3306">
              <w:rPr>
                <w:b/>
                <w:bCs/>
              </w:rPr>
              <w:t>Total, 75% benefit</w:t>
            </w:r>
          </w:p>
        </w:tc>
        <w:tc>
          <w:tcPr>
            <w:tcW w:w="1053" w:type="dxa"/>
            <w:tcBorders>
              <w:top w:val="nil"/>
              <w:left w:val="nil"/>
              <w:bottom w:val="single" w:sz="8" w:space="0" w:color="auto"/>
              <w:right w:val="single" w:sz="8" w:space="0" w:color="auto"/>
            </w:tcBorders>
            <w:tcMar>
              <w:top w:w="0" w:type="dxa"/>
              <w:left w:w="108" w:type="dxa"/>
              <w:bottom w:w="0" w:type="dxa"/>
              <w:right w:w="108" w:type="dxa"/>
            </w:tcMar>
            <w:vAlign w:val="center"/>
          </w:tcPr>
          <w:p w14:paraId="56C9810C" w14:textId="48DC0686" w:rsidR="009640DA" w:rsidRPr="002E0155" w:rsidRDefault="00443AF1" w:rsidP="009640DA">
            <w:pPr>
              <w:pStyle w:val="TableText0"/>
              <w:jc w:val="center"/>
              <w:rPr>
                <w:highlight w:val="green"/>
              </w:rPr>
            </w:pPr>
            <w:r w:rsidRPr="00443AF1">
              <w:rPr>
                <w:color w:val="000000"/>
                <w:spacing w:val="43"/>
                <w:shd w:val="solid" w:color="000000" w:fill="000000"/>
                <w:fitText w:val="302" w:id="-1429519859"/>
                <w14:textFill>
                  <w14:solidFill>
                    <w14:srgbClr w14:val="000000">
                      <w14:alpha w14:val="100000"/>
                    </w14:srgbClr>
                  </w14:solidFill>
                </w14:textFill>
              </w:rPr>
              <w:t>|||</w:t>
            </w:r>
            <w:r w:rsidRPr="00443AF1">
              <w:rPr>
                <w:color w:val="000000"/>
                <w:spacing w:val="3"/>
                <w:shd w:val="solid" w:color="000000" w:fill="000000"/>
                <w:fitText w:val="302" w:id="-1429519859"/>
                <w14:textFill>
                  <w14:solidFill>
                    <w14:srgbClr w14:val="000000">
                      <w14:alpha w14:val="100000"/>
                    </w14:srgbClr>
                  </w14:solidFill>
                </w14:textFill>
              </w:rPr>
              <w:t>|</w:t>
            </w:r>
            <w:r w:rsidR="00C817A8" w:rsidRPr="002E0155">
              <w:t>$</w:t>
            </w:r>
            <w:r w:rsidRPr="00443AF1">
              <w:rPr>
                <w:color w:val="000000"/>
                <w:spacing w:val="49"/>
                <w:shd w:val="solid" w:color="000000" w:fill="000000"/>
                <w:fitText w:val="318" w:id="-1429519858"/>
                <w14:textFill>
                  <w14:solidFill>
                    <w14:srgbClr w14:val="000000">
                      <w14:alpha w14:val="100000"/>
                    </w14:srgbClr>
                  </w14:solidFill>
                </w14:textFill>
              </w:rPr>
              <w:t>|||</w:t>
            </w:r>
            <w:r w:rsidRPr="00443AF1">
              <w:rPr>
                <w:color w:val="000000"/>
                <w:spacing w:val="1"/>
                <w:shd w:val="solid" w:color="000000" w:fill="000000"/>
                <w:fitText w:val="318" w:id="-1429519858"/>
                <w14:textFill>
                  <w14:solidFill>
                    <w14:srgbClr w14:val="000000">
                      <w14:alpha w14:val="100000"/>
                    </w14:srgbClr>
                  </w14:solidFill>
                </w14:textFill>
              </w:rPr>
              <w:t>|</w:t>
            </w:r>
          </w:p>
        </w:tc>
        <w:tc>
          <w:tcPr>
            <w:tcW w:w="1054" w:type="dxa"/>
            <w:tcBorders>
              <w:top w:val="nil"/>
              <w:left w:val="nil"/>
              <w:bottom w:val="single" w:sz="8" w:space="0" w:color="auto"/>
              <w:right w:val="single" w:sz="8" w:space="0" w:color="auto"/>
            </w:tcBorders>
            <w:tcMar>
              <w:top w:w="0" w:type="dxa"/>
              <w:left w:w="108" w:type="dxa"/>
              <w:bottom w:w="0" w:type="dxa"/>
              <w:right w:w="108" w:type="dxa"/>
            </w:tcMar>
            <w:vAlign w:val="center"/>
          </w:tcPr>
          <w:p w14:paraId="0B687E08" w14:textId="17DF0474" w:rsidR="009640DA" w:rsidRPr="002E0155" w:rsidRDefault="00443AF1" w:rsidP="009640DA">
            <w:pPr>
              <w:pStyle w:val="TableText0"/>
              <w:jc w:val="center"/>
              <w:rPr>
                <w:highlight w:val="green"/>
              </w:rPr>
            </w:pPr>
            <w:r w:rsidRPr="00443AF1">
              <w:rPr>
                <w:color w:val="000000"/>
                <w:spacing w:val="43"/>
                <w:shd w:val="solid" w:color="000000" w:fill="000000"/>
                <w:fitText w:val="301" w:id="-1429519857"/>
                <w14:textFill>
                  <w14:solidFill>
                    <w14:srgbClr w14:val="000000">
                      <w14:alpha w14:val="100000"/>
                    </w14:srgbClr>
                  </w14:solidFill>
                </w14:textFill>
              </w:rPr>
              <w:t>|||</w:t>
            </w:r>
            <w:r w:rsidRPr="00443AF1">
              <w:rPr>
                <w:color w:val="000000"/>
                <w:spacing w:val="2"/>
                <w:shd w:val="solid" w:color="000000" w:fill="000000"/>
                <w:fitText w:val="301" w:id="-1429519857"/>
                <w14:textFill>
                  <w14:solidFill>
                    <w14:srgbClr w14:val="000000">
                      <w14:alpha w14:val="100000"/>
                    </w14:srgbClr>
                  </w14:solidFill>
                </w14:textFill>
              </w:rPr>
              <w:t>|</w:t>
            </w:r>
            <w:r w:rsidR="00C817A8" w:rsidRPr="002E0155">
              <w:t>$</w:t>
            </w:r>
            <w:r w:rsidRPr="00443AF1">
              <w:rPr>
                <w:color w:val="000000"/>
                <w:spacing w:val="49"/>
                <w:shd w:val="solid" w:color="000000" w:fill="000000"/>
                <w:fitText w:val="318" w:id="-1429519856"/>
                <w14:textFill>
                  <w14:solidFill>
                    <w14:srgbClr w14:val="000000">
                      <w14:alpha w14:val="100000"/>
                    </w14:srgbClr>
                  </w14:solidFill>
                </w14:textFill>
              </w:rPr>
              <w:t>|||</w:t>
            </w:r>
            <w:r w:rsidRPr="00443AF1">
              <w:rPr>
                <w:color w:val="000000"/>
                <w:spacing w:val="1"/>
                <w:shd w:val="solid" w:color="000000" w:fill="000000"/>
                <w:fitText w:val="318" w:id="-1429519856"/>
                <w14:textFill>
                  <w14:solidFill>
                    <w14:srgbClr w14:val="000000">
                      <w14:alpha w14:val="100000"/>
                    </w14:srgbClr>
                  </w14:solidFill>
                </w14:textFill>
              </w:rPr>
              <w:t>|</w:t>
            </w:r>
          </w:p>
        </w:tc>
        <w:tc>
          <w:tcPr>
            <w:tcW w:w="1054" w:type="dxa"/>
            <w:tcBorders>
              <w:top w:val="nil"/>
              <w:left w:val="nil"/>
              <w:bottom w:val="single" w:sz="8" w:space="0" w:color="auto"/>
              <w:right w:val="single" w:sz="8" w:space="0" w:color="auto"/>
            </w:tcBorders>
            <w:tcMar>
              <w:top w:w="0" w:type="dxa"/>
              <w:left w:w="108" w:type="dxa"/>
              <w:bottom w:w="0" w:type="dxa"/>
              <w:right w:w="108" w:type="dxa"/>
            </w:tcMar>
            <w:vAlign w:val="center"/>
          </w:tcPr>
          <w:p w14:paraId="42B7B61F" w14:textId="3E6BD7EF" w:rsidR="009640DA" w:rsidRPr="002E0155" w:rsidRDefault="00443AF1" w:rsidP="009640DA">
            <w:pPr>
              <w:pStyle w:val="TableText0"/>
              <w:jc w:val="center"/>
              <w:rPr>
                <w:highlight w:val="green"/>
              </w:rPr>
            </w:pPr>
            <w:r w:rsidRPr="00443AF1">
              <w:rPr>
                <w:color w:val="000000"/>
                <w:spacing w:val="43"/>
                <w:shd w:val="solid" w:color="000000" w:fill="000000"/>
                <w:fitText w:val="301" w:id="-1429519872"/>
                <w14:textFill>
                  <w14:solidFill>
                    <w14:srgbClr w14:val="000000">
                      <w14:alpha w14:val="100000"/>
                    </w14:srgbClr>
                  </w14:solidFill>
                </w14:textFill>
              </w:rPr>
              <w:t>|||</w:t>
            </w:r>
            <w:r w:rsidRPr="00443AF1">
              <w:rPr>
                <w:color w:val="000000"/>
                <w:spacing w:val="2"/>
                <w:shd w:val="solid" w:color="000000" w:fill="000000"/>
                <w:fitText w:val="301" w:id="-1429519872"/>
                <w14:textFill>
                  <w14:solidFill>
                    <w14:srgbClr w14:val="000000">
                      <w14:alpha w14:val="100000"/>
                    </w14:srgbClr>
                  </w14:solidFill>
                </w14:textFill>
              </w:rPr>
              <w:t>|</w:t>
            </w:r>
            <w:r w:rsidR="00C817A8" w:rsidRPr="002E0155">
              <w:t>$</w:t>
            </w:r>
            <w:r w:rsidRPr="00443AF1">
              <w:rPr>
                <w:color w:val="000000"/>
                <w:spacing w:val="49"/>
                <w:shd w:val="solid" w:color="000000" w:fill="000000"/>
                <w:fitText w:val="318" w:id="-1429519871"/>
                <w14:textFill>
                  <w14:solidFill>
                    <w14:srgbClr w14:val="000000">
                      <w14:alpha w14:val="100000"/>
                    </w14:srgbClr>
                  </w14:solidFill>
                </w14:textFill>
              </w:rPr>
              <w:t>|||</w:t>
            </w:r>
            <w:r w:rsidRPr="00443AF1">
              <w:rPr>
                <w:color w:val="000000"/>
                <w:spacing w:val="1"/>
                <w:shd w:val="solid" w:color="000000" w:fill="000000"/>
                <w:fitText w:val="318" w:id="-1429519871"/>
                <w14:textFill>
                  <w14:solidFill>
                    <w14:srgbClr w14:val="000000">
                      <w14:alpha w14:val="100000"/>
                    </w14:srgbClr>
                  </w14:solidFill>
                </w14:textFill>
              </w:rPr>
              <w:t>|</w:t>
            </w:r>
          </w:p>
        </w:tc>
        <w:tc>
          <w:tcPr>
            <w:tcW w:w="105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2AC77" w14:textId="122DFB05" w:rsidR="009640DA" w:rsidRPr="002E0155" w:rsidRDefault="00443AF1" w:rsidP="009640DA">
            <w:pPr>
              <w:pStyle w:val="TableText0"/>
              <w:jc w:val="center"/>
              <w:rPr>
                <w:highlight w:val="green"/>
              </w:rPr>
            </w:pPr>
            <w:r w:rsidRPr="00443AF1">
              <w:rPr>
                <w:color w:val="000000"/>
                <w:spacing w:val="43"/>
                <w:shd w:val="solid" w:color="000000" w:fill="000000"/>
                <w:fitText w:val="301" w:id="-1429519870"/>
                <w14:textFill>
                  <w14:solidFill>
                    <w14:srgbClr w14:val="000000">
                      <w14:alpha w14:val="100000"/>
                    </w14:srgbClr>
                  </w14:solidFill>
                </w14:textFill>
              </w:rPr>
              <w:t>|||</w:t>
            </w:r>
            <w:r w:rsidRPr="00443AF1">
              <w:rPr>
                <w:color w:val="000000"/>
                <w:spacing w:val="2"/>
                <w:shd w:val="solid" w:color="000000" w:fill="000000"/>
                <w:fitText w:val="301" w:id="-1429519870"/>
                <w14:textFill>
                  <w14:solidFill>
                    <w14:srgbClr w14:val="000000">
                      <w14:alpha w14:val="100000"/>
                    </w14:srgbClr>
                  </w14:solidFill>
                </w14:textFill>
              </w:rPr>
              <w:t>|</w:t>
            </w:r>
            <w:r w:rsidR="00C817A8" w:rsidRPr="002E0155">
              <w:t>$</w:t>
            </w:r>
            <w:r w:rsidRPr="00443AF1">
              <w:rPr>
                <w:color w:val="000000"/>
                <w:spacing w:val="49"/>
                <w:shd w:val="solid" w:color="000000" w:fill="000000"/>
                <w:fitText w:val="318" w:id="-1429519869"/>
                <w14:textFill>
                  <w14:solidFill>
                    <w14:srgbClr w14:val="000000">
                      <w14:alpha w14:val="100000"/>
                    </w14:srgbClr>
                  </w14:solidFill>
                </w14:textFill>
              </w:rPr>
              <w:t>|||</w:t>
            </w:r>
            <w:r w:rsidRPr="00443AF1">
              <w:rPr>
                <w:color w:val="000000"/>
                <w:spacing w:val="1"/>
                <w:shd w:val="solid" w:color="000000" w:fill="000000"/>
                <w:fitText w:val="318" w:id="-1429519869"/>
                <w14:textFill>
                  <w14:solidFill>
                    <w14:srgbClr w14:val="000000">
                      <w14:alpha w14:val="100000"/>
                    </w14:srgbClr>
                  </w14:solidFill>
                </w14:textFill>
              </w:rPr>
              <w:t>|</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F059B" w14:textId="09E64D44" w:rsidR="009640DA" w:rsidRPr="002E0155" w:rsidRDefault="00443AF1" w:rsidP="009640DA">
            <w:pPr>
              <w:pStyle w:val="TableText0"/>
              <w:jc w:val="center"/>
              <w:rPr>
                <w:highlight w:val="green"/>
              </w:rPr>
            </w:pPr>
            <w:r w:rsidRPr="00443AF1">
              <w:rPr>
                <w:color w:val="000000"/>
                <w:spacing w:val="43"/>
                <w:shd w:val="solid" w:color="000000" w:fill="000000"/>
                <w:fitText w:val="301" w:id="-1429519868"/>
                <w14:textFill>
                  <w14:solidFill>
                    <w14:srgbClr w14:val="000000">
                      <w14:alpha w14:val="100000"/>
                    </w14:srgbClr>
                  </w14:solidFill>
                </w14:textFill>
              </w:rPr>
              <w:t>|||</w:t>
            </w:r>
            <w:r w:rsidRPr="00443AF1">
              <w:rPr>
                <w:color w:val="000000"/>
                <w:spacing w:val="2"/>
                <w:shd w:val="solid" w:color="000000" w:fill="000000"/>
                <w:fitText w:val="301" w:id="-1429519868"/>
                <w14:textFill>
                  <w14:solidFill>
                    <w14:srgbClr w14:val="000000">
                      <w14:alpha w14:val="100000"/>
                    </w14:srgbClr>
                  </w14:solidFill>
                </w14:textFill>
              </w:rPr>
              <w:t>|</w:t>
            </w:r>
            <w:r w:rsidR="00C817A8" w:rsidRPr="002E0155">
              <w:t>$</w:t>
            </w:r>
            <w:r w:rsidRPr="00443AF1">
              <w:rPr>
                <w:color w:val="000000"/>
                <w:spacing w:val="165"/>
                <w:shd w:val="solid" w:color="000000" w:fill="000000"/>
                <w:fitText w:val="251" w:id="-1429519867"/>
                <w14:textFill>
                  <w14:solidFill>
                    <w14:srgbClr w14:val="000000">
                      <w14:alpha w14:val="100000"/>
                    </w14:srgbClr>
                  </w14:solidFill>
                </w14:textFill>
              </w:rPr>
              <w:t>|</w:t>
            </w:r>
            <w:r w:rsidRPr="00443AF1">
              <w:rPr>
                <w:color w:val="000000"/>
                <w:spacing w:val="1"/>
                <w:shd w:val="solid" w:color="000000" w:fill="000000"/>
                <w:fitText w:val="251" w:id="-1429519867"/>
                <w14:textFill>
                  <w14:solidFill>
                    <w14:srgbClr w14:val="000000">
                      <w14:alpha w14:val="100000"/>
                    </w14:srgbClr>
                  </w14:solidFill>
                </w14:textFill>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F6E3DF" w14:textId="5FAEF82B" w:rsidR="009640DA" w:rsidRPr="002E0155" w:rsidRDefault="00443AF1" w:rsidP="009640DA">
            <w:pPr>
              <w:pStyle w:val="TableText0"/>
              <w:jc w:val="center"/>
              <w:rPr>
                <w:highlight w:val="green"/>
              </w:rPr>
            </w:pPr>
            <w:r w:rsidRPr="00443AF1">
              <w:rPr>
                <w:color w:val="000000"/>
                <w:spacing w:val="43"/>
                <w:shd w:val="solid" w:color="000000" w:fill="000000"/>
                <w:fitText w:val="301" w:id="-1429519866"/>
                <w14:textFill>
                  <w14:solidFill>
                    <w14:srgbClr w14:val="000000">
                      <w14:alpha w14:val="100000"/>
                    </w14:srgbClr>
                  </w14:solidFill>
                </w14:textFill>
              </w:rPr>
              <w:t>|||</w:t>
            </w:r>
            <w:r w:rsidRPr="00443AF1">
              <w:rPr>
                <w:color w:val="000000"/>
                <w:spacing w:val="2"/>
                <w:shd w:val="solid" w:color="000000" w:fill="000000"/>
                <w:fitText w:val="301" w:id="-1429519866"/>
                <w14:textFill>
                  <w14:solidFill>
                    <w14:srgbClr w14:val="000000">
                      <w14:alpha w14:val="100000"/>
                    </w14:srgbClr>
                  </w14:solidFill>
                </w14:textFill>
              </w:rPr>
              <w:t>|</w:t>
            </w:r>
            <w:r w:rsidR="00C817A8" w:rsidRPr="002E0155">
              <w:t>$</w:t>
            </w:r>
            <w:r w:rsidRPr="00443AF1">
              <w:rPr>
                <w:color w:val="000000"/>
                <w:spacing w:val="182"/>
                <w:shd w:val="solid" w:color="000000" w:fill="000000"/>
                <w:fitText w:val="268" w:id="-1429519865"/>
                <w14:textFill>
                  <w14:solidFill>
                    <w14:srgbClr w14:val="000000">
                      <w14:alpha w14:val="100000"/>
                    </w14:srgbClr>
                  </w14:solidFill>
                </w14:textFill>
              </w:rPr>
              <w:t>|</w:t>
            </w:r>
            <w:r w:rsidRPr="00443AF1">
              <w:rPr>
                <w:color w:val="000000"/>
                <w:spacing w:val="1"/>
                <w:shd w:val="solid" w:color="000000" w:fill="000000"/>
                <w:fitText w:val="268" w:id="-1429519865"/>
                <w14:textFill>
                  <w14:solidFill>
                    <w14:srgbClr w14:val="000000">
                      <w14:alpha w14:val="100000"/>
                    </w14:srgbClr>
                  </w14:solidFill>
                </w14:textFill>
              </w:rPr>
              <w:t>|</w:t>
            </w:r>
          </w:p>
        </w:tc>
      </w:tr>
      <w:tr w:rsidR="009640DA" w:rsidRPr="00CE28E3" w14:paraId="68EC817A" w14:textId="77777777" w:rsidTr="00637A3D">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87DA4" w14:textId="77777777" w:rsidR="009640DA" w:rsidRPr="00CE28E3" w:rsidRDefault="009640DA" w:rsidP="009640DA">
            <w:pPr>
              <w:pStyle w:val="TableText0"/>
              <w:rPr>
                <w:b/>
                <w:bCs/>
              </w:rPr>
            </w:pPr>
            <w:r w:rsidRPr="00CE28E3">
              <w:rPr>
                <w:b/>
                <w:bCs/>
              </w:rPr>
              <w:t xml:space="preserve">Net financial impact to the </w:t>
            </w:r>
            <w:r>
              <w:rPr>
                <w:b/>
                <w:bCs/>
              </w:rPr>
              <w:t>MBS</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14:paraId="1348F1C5" w14:textId="77777777" w:rsidR="009640DA" w:rsidRPr="00CE28E3" w:rsidRDefault="009640DA" w:rsidP="009640DA">
            <w:pPr>
              <w:pStyle w:val="TableText0"/>
              <w:jc w:val="center"/>
              <w:rPr>
                <w:b/>
                <w:bCs/>
              </w:rPr>
            </w:pPr>
            <w:r w:rsidRPr="00363874">
              <w:rPr>
                <w:b/>
                <w:bCs/>
              </w:rPr>
              <w:t>0</w:t>
            </w:r>
          </w:p>
        </w:tc>
        <w:tc>
          <w:tcPr>
            <w:tcW w:w="1054" w:type="dxa"/>
            <w:tcBorders>
              <w:top w:val="nil"/>
              <w:left w:val="nil"/>
              <w:bottom w:val="single" w:sz="8" w:space="0" w:color="auto"/>
              <w:right w:val="single" w:sz="8" w:space="0" w:color="auto"/>
            </w:tcBorders>
            <w:tcMar>
              <w:top w:w="0" w:type="dxa"/>
              <w:left w:w="108" w:type="dxa"/>
              <w:bottom w:w="0" w:type="dxa"/>
              <w:right w:w="108" w:type="dxa"/>
            </w:tcMar>
          </w:tcPr>
          <w:p w14:paraId="706FC956" w14:textId="77777777" w:rsidR="009640DA" w:rsidRPr="00CE28E3" w:rsidRDefault="009640DA" w:rsidP="009640DA">
            <w:pPr>
              <w:pStyle w:val="TableText0"/>
              <w:jc w:val="center"/>
              <w:rPr>
                <w:b/>
                <w:bCs/>
              </w:rPr>
            </w:pPr>
            <w:r w:rsidRPr="00363874">
              <w:rPr>
                <w:b/>
                <w:bCs/>
              </w:rPr>
              <w:t>0</w:t>
            </w:r>
          </w:p>
        </w:tc>
        <w:tc>
          <w:tcPr>
            <w:tcW w:w="1054" w:type="dxa"/>
            <w:tcBorders>
              <w:top w:val="nil"/>
              <w:left w:val="nil"/>
              <w:bottom w:val="single" w:sz="8" w:space="0" w:color="auto"/>
              <w:right w:val="single" w:sz="8" w:space="0" w:color="auto"/>
            </w:tcBorders>
            <w:tcMar>
              <w:top w:w="0" w:type="dxa"/>
              <w:left w:w="108" w:type="dxa"/>
              <w:bottom w:w="0" w:type="dxa"/>
              <w:right w:w="108" w:type="dxa"/>
            </w:tcMar>
          </w:tcPr>
          <w:p w14:paraId="0B8BDFFB" w14:textId="77777777" w:rsidR="009640DA" w:rsidRPr="00CE28E3" w:rsidRDefault="009640DA" w:rsidP="009640DA">
            <w:pPr>
              <w:pStyle w:val="TableText0"/>
              <w:jc w:val="center"/>
              <w:rPr>
                <w:b/>
                <w:bCs/>
              </w:rPr>
            </w:pPr>
            <w:r w:rsidRPr="00363874">
              <w:rPr>
                <w:b/>
                <w:bCs/>
              </w:rPr>
              <w:t>0</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14:paraId="101C5DDA" w14:textId="77777777" w:rsidR="009640DA" w:rsidRPr="00CE28E3" w:rsidRDefault="009640DA" w:rsidP="009640DA">
            <w:pPr>
              <w:pStyle w:val="TableText0"/>
              <w:jc w:val="center"/>
              <w:rPr>
                <w:b/>
                <w:bCs/>
              </w:rPr>
            </w:pPr>
            <w:r w:rsidRPr="00363874">
              <w:rPr>
                <w:b/>
                <w:bCs/>
              </w:rPr>
              <w:t>0</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2B493A7B" w14:textId="77777777" w:rsidR="009640DA" w:rsidRPr="00CE28E3" w:rsidRDefault="009640DA" w:rsidP="009640DA">
            <w:pPr>
              <w:pStyle w:val="TableText0"/>
              <w:jc w:val="center"/>
              <w:rPr>
                <w:b/>
                <w:bCs/>
              </w:rPr>
            </w:pPr>
            <w:r w:rsidRPr="00363874">
              <w:rPr>
                <w:b/>
                <w:bCs/>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35542B2" w14:textId="77777777" w:rsidR="009640DA" w:rsidRPr="00CE28E3" w:rsidRDefault="009640DA" w:rsidP="009640DA">
            <w:pPr>
              <w:pStyle w:val="TableText0"/>
              <w:jc w:val="center"/>
              <w:rPr>
                <w:b/>
                <w:bCs/>
              </w:rPr>
            </w:pPr>
            <w:r w:rsidRPr="00363874">
              <w:rPr>
                <w:b/>
                <w:bCs/>
              </w:rPr>
              <w:t>0</w:t>
            </w:r>
          </w:p>
        </w:tc>
      </w:tr>
    </w:tbl>
    <w:bookmarkEnd w:id="25"/>
    <w:p w14:paraId="19E63FFB" w14:textId="5BC1D12C" w:rsidR="00E66351" w:rsidRDefault="00276F79" w:rsidP="00637A3D">
      <w:pPr>
        <w:spacing w:before="40" w:after="240" w:line="240" w:lineRule="auto"/>
      </w:pPr>
      <w:r w:rsidRPr="00637A3D">
        <w:rPr>
          <w:rFonts w:ascii="Arial Narrow" w:hAnsi="Arial Narrow"/>
          <w:sz w:val="18"/>
          <w:lang w:val="en-US"/>
        </w:rPr>
        <w:t>L</w:t>
      </w:r>
      <w:r w:rsidR="006A2457">
        <w:rPr>
          <w:rFonts w:ascii="Arial Narrow" w:hAnsi="Arial Narrow"/>
          <w:sz w:val="18"/>
          <w:lang w:val="en-US"/>
        </w:rPr>
        <w:t>PM, leadless pacemaker;</w:t>
      </w:r>
      <w:r w:rsidRPr="00637A3D">
        <w:rPr>
          <w:rFonts w:ascii="Arial Narrow" w:hAnsi="Arial Narrow"/>
          <w:sz w:val="18"/>
          <w:lang w:val="en-US"/>
        </w:rPr>
        <w:t xml:space="preserve"> </w:t>
      </w:r>
      <w:r w:rsidR="006A2457">
        <w:rPr>
          <w:rFonts w:ascii="Arial Narrow" w:hAnsi="Arial Narrow"/>
          <w:sz w:val="18"/>
          <w:lang w:val="en-US"/>
        </w:rPr>
        <w:t>PM, pacemaker</w:t>
      </w:r>
      <w:r w:rsidR="00E66351">
        <w:rPr>
          <w:rFonts w:ascii="Arial Narrow" w:hAnsi="Arial Narrow"/>
          <w:sz w:val="18"/>
          <w:lang w:val="en-US"/>
        </w:rPr>
        <w:t>; TVPM, transvenous pacemaker</w:t>
      </w:r>
    </w:p>
    <w:p w14:paraId="486398C1" w14:textId="7FD61367" w:rsidR="009640DA" w:rsidRDefault="009640DA" w:rsidP="00F014D9">
      <w:r>
        <w:t xml:space="preserve">The </w:t>
      </w:r>
      <w:r w:rsidR="00276521">
        <w:t xml:space="preserve">submission </w:t>
      </w:r>
      <w:r w:rsidRPr="008743DE">
        <w:t xml:space="preserve">requested </w:t>
      </w:r>
      <w:r w:rsidR="005232FB">
        <w:t xml:space="preserve">four </w:t>
      </w:r>
      <w:r w:rsidR="00276521">
        <w:t xml:space="preserve">separate listings </w:t>
      </w:r>
      <w:r w:rsidRPr="008743DE">
        <w:t>for LPM</w:t>
      </w:r>
      <w:r w:rsidR="00276521">
        <w:t xml:space="preserve">s </w:t>
      </w:r>
      <w:r w:rsidRPr="008743DE">
        <w:t>(</w:t>
      </w:r>
      <w:r w:rsidR="00E56C68" w:rsidRPr="008743DE">
        <w:t>i.e.</w:t>
      </w:r>
      <w:r w:rsidRPr="008743DE">
        <w:t>, insertion, retrieval</w:t>
      </w:r>
      <w:r w:rsidR="005232FB">
        <w:t xml:space="preserve"> only,</w:t>
      </w:r>
      <w:r w:rsidRPr="008743DE">
        <w:t xml:space="preserve"> replacement and retrieval</w:t>
      </w:r>
      <w:r w:rsidR="005232FB">
        <w:t>, and explantation</w:t>
      </w:r>
      <w:r w:rsidRPr="008743DE">
        <w:t xml:space="preserve">), </w:t>
      </w:r>
      <w:r w:rsidR="00E56C68">
        <w:t>although</w:t>
      </w:r>
      <w:r>
        <w:t xml:space="preserve"> financial impact is only calculated for insertion. It is noted in the </w:t>
      </w:r>
      <w:r w:rsidR="00E56C68">
        <w:t xml:space="preserve">submission </w:t>
      </w:r>
      <w:r>
        <w:t>that</w:t>
      </w:r>
      <w:r w:rsidRPr="008743DE">
        <w:t xml:space="preserve"> most LPM-related procedures on the MBS will be for the insertion procedur</w:t>
      </w:r>
      <w:r>
        <w:t xml:space="preserve">e. This is likely to be the case over the next </w:t>
      </w:r>
      <w:r w:rsidR="00E56C68">
        <w:t xml:space="preserve">six </w:t>
      </w:r>
      <w:r>
        <w:t xml:space="preserve">years given device failure rates and the estimated life of the device. It is unclear in the </w:t>
      </w:r>
      <w:r w:rsidR="0025645E">
        <w:t xml:space="preserve">submission </w:t>
      </w:r>
      <w:r>
        <w:t xml:space="preserve">whether </w:t>
      </w:r>
      <w:r w:rsidRPr="008743DE">
        <w:t xml:space="preserve">insertion, retrieval and replacement </w:t>
      </w:r>
      <w:r>
        <w:t xml:space="preserve">require different amounts of time </w:t>
      </w:r>
      <w:r w:rsidR="0025645E">
        <w:t xml:space="preserve">or </w:t>
      </w:r>
      <w:r>
        <w:t xml:space="preserve">differential fees. Justification of equivalent item costs for each should have been provided. </w:t>
      </w:r>
    </w:p>
    <w:p w14:paraId="2FE80ED0" w14:textId="0CBD1F19" w:rsidR="009640DA" w:rsidRDefault="009640DA" w:rsidP="00645477">
      <w:r w:rsidRPr="008743DE">
        <w:t xml:space="preserve">The base-case analysis assumes an uptake rate of </w:t>
      </w:r>
      <w:r w:rsidR="00443AF1" w:rsidRPr="00443AF1">
        <w:rPr>
          <w:color w:val="000000"/>
          <w:spacing w:val="25"/>
          <w:w w:val="47"/>
          <w:shd w:val="solid" w:color="000000" w:fill="000000"/>
          <w:fitText w:val="436" w:id="-1429519864"/>
          <w14:textFill>
            <w14:solidFill>
              <w14:srgbClr w14:val="000000">
                <w14:alpha w14:val="100000"/>
              </w14:srgbClr>
            </w14:solidFill>
          </w14:textFill>
        </w:rPr>
        <w:t>|||||</w:t>
      </w:r>
      <w:r w:rsidR="00443AF1" w:rsidRPr="00443AF1">
        <w:rPr>
          <w:color w:val="000000"/>
          <w:spacing w:val="1"/>
          <w:w w:val="47"/>
          <w:shd w:val="solid" w:color="000000" w:fill="000000"/>
          <w:fitText w:val="436" w:id="-1429519864"/>
          <w14:textFill>
            <w14:solidFill>
              <w14:srgbClr w14:val="000000">
                <w14:alpha w14:val="100000"/>
              </w14:srgbClr>
            </w14:solidFill>
          </w14:textFill>
        </w:rPr>
        <w:t>|</w:t>
      </w:r>
      <w:r w:rsidRPr="002E0155">
        <w:t xml:space="preserve"> in Year 1, increasing to </w:t>
      </w:r>
      <w:r w:rsidR="00443AF1" w:rsidRPr="00443AF1">
        <w:rPr>
          <w:color w:val="000000"/>
          <w:spacing w:val="27"/>
          <w:w w:val="48"/>
          <w:shd w:val="solid" w:color="000000" w:fill="000000"/>
          <w:fitText w:val="452" w:id="-1429519863"/>
          <w14:textFill>
            <w14:solidFill>
              <w14:srgbClr w14:val="000000">
                <w14:alpha w14:val="100000"/>
              </w14:srgbClr>
            </w14:solidFill>
          </w14:textFill>
        </w:rPr>
        <w:t>|||||</w:t>
      </w:r>
      <w:r w:rsidR="00443AF1" w:rsidRPr="00443AF1">
        <w:rPr>
          <w:color w:val="000000"/>
          <w:spacing w:val="1"/>
          <w:w w:val="48"/>
          <w:shd w:val="solid" w:color="000000" w:fill="000000"/>
          <w:fitText w:val="452" w:id="-1429519863"/>
          <w14:textFill>
            <w14:solidFill>
              <w14:srgbClr w14:val="000000">
                <w14:alpha w14:val="100000"/>
              </w14:srgbClr>
            </w14:solidFill>
          </w14:textFill>
        </w:rPr>
        <w:t>|</w:t>
      </w:r>
      <w:r w:rsidRPr="002E0155">
        <w:t xml:space="preserve"> in Year 6</w:t>
      </w:r>
      <w:r w:rsidRPr="0086353C">
        <w:t xml:space="preserve">. </w:t>
      </w:r>
      <w:r w:rsidRPr="008743DE">
        <w:t>There is a high degree of uncertainty about uptake of LPM</w:t>
      </w:r>
      <w:r w:rsidR="00E45167">
        <w:t>s</w:t>
      </w:r>
      <w:r w:rsidRPr="008743DE">
        <w:t xml:space="preserve">. </w:t>
      </w:r>
      <w:r w:rsidR="00E45167">
        <w:t>Consequently</w:t>
      </w:r>
      <w:r w:rsidRPr="008743DE">
        <w:t xml:space="preserve">, maximum adoption </w:t>
      </w:r>
      <w:r w:rsidR="00E45167">
        <w:t xml:space="preserve">rates </w:t>
      </w:r>
      <w:r w:rsidRPr="008743DE">
        <w:t xml:space="preserve">of </w:t>
      </w:r>
      <w:r w:rsidR="00443AF1" w:rsidRPr="00443AF1">
        <w:rPr>
          <w:color w:val="000000"/>
          <w:spacing w:val="27"/>
          <w:w w:val="48"/>
          <w:shd w:val="solid" w:color="000000" w:fill="000000"/>
          <w:fitText w:val="452" w:id="-1429519862"/>
          <w14:textFill>
            <w14:solidFill>
              <w14:srgbClr w14:val="000000">
                <w14:alpha w14:val="100000"/>
              </w14:srgbClr>
            </w14:solidFill>
          </w14:textFill>
        </w:rPr>
        <w:t>|||||</w:t>
      </w:r>
      <w:r w:rsidR="00443AF1" w:rsidRPr="00443AF1">
        <w:rPr>
          <w:color w:val="000000"/>
          <w:spacing w:val="1"/>
          <w:w w:val="48"/>
          <w:shd w:val="solid" w:color="000000" w:fill="000000"/>
          <w:fitText w:val="452" w:id="-1429519862"/>
          <w14:textFill>
            <w14:solidFill>
              <w14:srgbClr w14:val="000000">
                <w14:alpha w14:val="100000"/>
              </w14:srgbClr>
            </w14:solidFill>
          </w14:textFill>
        </w:rPr>
        <w:t>|</w:t>
      </w:r>
      <w:r w:rsidRPr="002E0155">
        <w:t xml:space="preserve"> and </w:t>
      </w:r>
      <w:r w:rsidR="00443AF1" w:rsidRPr="00443AF1">
        <w:rPr>
          <w:color w:val="000000"/>
          <w:spacing w:val="24"/>
          <w:w w:val="47"/>
          <w:shd w:val="solid" w:color="000000" w:fill="000000"/>
          <w:fitText w:val="435" w:id="-1429519861"/>
          <w14:textFill>
            <w14:solidFill>
              <w14:srgbClr w14:val="000000">
                <w14:alpha w14:val="100000"/>
              </w14:srgbClr>
            </w14:solidFill>
          </w14:textFill>
        </w:rPr>
        <w:t>|||||</w:t>
      </w:r>
      <w:r w:rsidR="00443AF1" w:rsidRPr="00443AF1">
        <w:rPr>
          <w:color w:val="000000"/>
          <w:spacing w:val="5"/>
          <w:w w:val="47"/>
          <w:shd w:val="solid" w:color="000000" w:fill="000000"/>
          <w:fitText w:val="435" w:id="-1429519861"/>
          <w14:textFill>
            <w14:solidFill>
              <w14:srgbClr w14:val="000000">
                <w14:alpha w14:val="100000"/>
              </w14:srgbClr>
            </w14:solidFill>
          </w14:textFill>
        </w:rPr>
        <w:t>|</w:t>
      </w:r>
      <w:r w:rsidRPr="008743DE">
        <w:t xml:space="preserve">are included as sensitivity analyses </w:t>
      </w:r>
      <w:r w:rsidR="00E45167">
        <w:t xml:space="preserve">in </w:t>
      </w:r>
      <w:r w:rsidRPr="008743DE">
        <w:t>the critique</w:t>
      </w:r>
      <w:r>
        <w:t>. As the new and current items have the same unit cost value, changes in uptake are also cost neutral.</w:t>
      </w:r>
    </w:p>
    <w:p w14:paraId="748D0E36" w14:textId="7A35623F" w:rsidR="009640DA" w:rsidRPr="002E0155" w:rsidRDefault="009640DA" w:rsidP="00645477">
      <w:pPr>
        <w:rPr>
          <w:rStyle w:val="CommentChar"/>
          <w:rFonts w:eastAsiaTheme="minorHAnsi"/>
          <w:i w:val="0"/>
        </w:rPr>
      </w:pPr>
      <w:r w:rsidRPr="002E0155">
        <w:t xml:space="preserve">The major cost impact </w:t>
      </w:r>
      <w:r w:rsidR="00393BB3" w:rsidRPr="002E0155">
        <w:t xml:space="preserve">for LPMs </w:t>
      </w:r>
      <w:r w:rsidRPr="002E0155">
        <w:t>is for prosthes</w:t>
      </w:r>
      <w:r w:rsidR="000B3928" w:rsidRPr="002E0155">
        <w:t>e</w:t>
      </w:r>
      <w:r w:rsidRPr="002E0155">
        <w:t xml:space="preserve">s costs to </w:t>
      </w:r>
      <w:r w:rsidR="00393BB3" w:rsidRPr="002E0155">
        <w:t>private health insurer</w:t>
      </w:r>
      <w:r w:rsidRPr="002E0155">
        <w:t>s. LPM</w:t>
      </w:r>
      <w:r w:rsidR="00393BB3" w:rsidRPr="002E0155">
        <w:t>s</w:t>
      </w:r>
      <w:r w:rsidRPr="002E0155">
        <w:t xml:space="preserve"> </w:t>
      </w:r>
      <w:r w:rsidR="00393BB3" w:rsidRPr="002E0155">
        <w:t xml:space="preserve">have </w:t>
      </w:r>
      <w:r w:rsidRPr="002E0155">
        <w:t xml:space="preserve">a higher prosthesis unit cost </w:t>
      </w:r>
      <w:r w:rsidR="00393BB3" w:rsidRPr="002E0155">
        <w:t xml:space="preserve">than </w:t>
      </w:r>
      <w:r w:rsidRPr="002E0155">
        <w:t>TVPM</w:t>
      </w:r>
      <w:r w:rsidR="00393BB3" w:rsidRPr="002E0155">
        <w:t>s</w:t>
      </w:r>
      <w:r w:rsidRPr="002E0155">
        <w:t>.</w:t>
      </w:r>
      <w:r w:rsidR="00393BB3" w:rsidRPr="002E0155">
        <w:t xml:space="preserve"> </w:t>
      </w:r>
      <w:r w:rsidRPr="002E0155">
        <w:t>TVPM unit costs include the pacing device ($3,948, Prosthes</w:t>
      </w:r>
      <w:r w:rsidR="000B3928" w:rsidRPr="002E0155">
        <w:t>e</w:t>
      </w:r>
      <w:r w:rsidRPr="002E0155">
        <w:t xml:space="preserve">s List </w:t>
      </w:r>
      <w:r w:rsidR="000B3928" w:rsidRPr="002E0155">
        <w:t xml:space="preserve">group </w:t>
      </w:r>
      <w:r w:rsidRPr="002E0155">
        <w:t xml:space="preserve">08.04.03) and lead ($831, </w:t>
      </w:r>
      <w:r w:rsidR="000B3928" w:rsidRPr="002E0155">
        <w:t xml:space="preserve">Prostheses </w:t>
      </w:r>
      <w:r w:rsidRPr="002E0155">
        <w:t xml:space="preserve">List </w:t>
      </w:r>
      <w:r w:rsidR="009560ED" w:rsidRPr="002E0155">
        <w:t xml:space="preserve">group </w:t>
      </w:r>
      <w:r w:rsidRPr="002E0155">
        <w:t xml:space="preserve">08.08.09), while the </w:t>
      </w:r>
      <w:r w:rsidRPr="002E0155">
        <w:lastRenderedPageBreak/>
        <w:t xml:space="preserve">LPM unit cost is </w:t>
      </w:r>
      <w:r w:rsidR="00C817A8" w:rsidRPr="002E0155">
        <w:t>$</w:t>
      </w:r>
      <w:r w:rsidR="00443AF1" w:rsidRPr="00443AF1">
        <w:rPr>
          <w:color w:val="000000"/>
          <w:spacing w:val="25"/>
          <w:w w:val="47"/>
          <w:shd w:val="solid" w:color="000000" w:fill="000000"/>
          <w:fitText w:val="436" w:id="-1429519860"/>
          <w14:textFill>
            <w14:solidFill>
              <w14:srgbClr w14:val="000000">
                <w14:alpha w14:val="100000"/>
              </w14:srgbClr>
            </w14:solidFill>
          </w14:textFill>
        </w:rPr>
        <w:t>|||||</w:t>
      </w:r>
      <w:r w:rsidR="00443AF1" w:rsidRPr="00443AF1">
        <w:rPr>
          <w:color w:val="000000"/>
          <w:spacing w:val="1"/>
          <w:w w:val="47"/>
          <w:shd w:val="solid" w:color="000000" w:fill="000000"/>
          <w:fitText w:val="436" w:id="-1429519860"/>
          <w14:textFill>
            <w14:solidFill>
              <w14:srgbClr w14:val="000000">
                <w14:alpha w14:val="100000"/>
              </w14:srgbClr>
            </w14:solidFill>
          </w14:textFill>
        </w:rPr>
        <w:t>|</w:t>
      </w:r>
      <w:r w:rsidRPr="002E0155">
        <w:t xml:space="preserve">. </w:t>
      </w:r>
      <w:r w:rsidR="00EF4BD7" w:rsidRPr="002E0155">
        <w:t xml:space="preserve">Thus, the aggregate </w:t>
      </w:r>
      <w:r w:rsidRPr="002E0155">
        <w:t xml:space="preserve">national </w:t>
      </w:r>
      <w:r w:rsidR="000B3928" w:rsidRPr="002E0155">
        <w:t xml:space="preserve">prostheses </w:t>
      </w:r>
      <w:r w:rsidRPr="002E0155">
        <w:t xml:space="preserve">costs to health insurers are forecast to increase by </w:t>
      </w:r>
      <w:r w:rsidR="00C817A8" w:rsidRPr="002E0155">
        <w:t>$</w:t>
      </w:r>
      <w:r w:rsidR="00443AF1" w:rsidRPr="00443AF1">
        <w:rPr>
          <w:color w:val="000000"/>
          <w:spacing w:val="27"/>
          <w:w w:val="48"/>
          <w:shd w:val="solid" w:color="000000" w:fill="000000"/>
          <w:fitText w:val="452" w:id="-1429519859"/>
          <w14:textFill>
            <w14:solidFill>
              <w14:srgbClr w14:val="000000">
                <w14:alpha w14:val="100000"/>
              </w14:srgbClr>
            </w14:solidFill>
          </w14:textFill>
        </w:rPr>
        <w:t>|||||</w:t>
      </w:r>
      <w:r w:rsidR="00443AF1" w:rsidRPr="00443AF1">
        <w:rPr>
          <w:color w:val="000000"/>
          <w:spacing w:val="1"/>
          <w:w w:val="48"/>
          <w:shd w:val="solid" w:color="000000" w:fill="000000"/>
          <w:fitText w:val="452" w:id="-1429519859"/>
          <w14:textFill>
            <w14:solidFill>
              <w14:srgbClr w14:val="000000">
                <w14:alpha w14:val="100000"/>
              </w14:srgbClr>
            </w14:solidFill>
          </w14:textFill>
        </w:rPr>
        <w:t>|</w:t>
      </w:r>
      <w:r w:rsidRPr="002E0155">
        <w:t xml:space="preserve"> in </w:t>
      </w:r>
      <w:r w:rsidR="00306654" w:rsidRPr="002E0155">
        <w:t>Y</w:t>
      </w:r>
      <w:r w:rsidRPr="002E0155">
        <w:t>ear 1</w:t>
      </w:r>
      <w:r w:rsidR="00EF4BD7" w:rsidRPr="002E0155">
        <w:t>,</w:t>
      </w:r>
      <w:r w:rsidRPr="002E0155">
        <w:t xml:space="preserve"> </w:t>
      </w:r>
      <w:r w:rsidR="00E8293D" w:rsidRPr="002E0155">
        <w:t xml:space="preserve">rising </w:t>
      </w:r>
      <w:r w:rsidRPr="002E0155">
        <w:t xml:space="preserve">to </w:t>
      </w:r>
      <w:r w:rsidR="00C817A8" w:rsidRPr="002E0155">
        <w:t>$</w:t>
      </w:r>
      <w:r w:rsidR="00443AF1" w:rsidRPr="00443AF1">
        <w:rPr>
          <w:color w:val="000000"/>
          <w:spacing w:val="24"/>
          <w:w w:val="47"/>
          <w:shd w:val="solid" w:color="000000" w:fill="000000"/>
          <w:fitText w:val="435" w:id="-1429519858"/>
          <w14:textFill>
            <w14:solidFill>
              <w14:srgbClr w14:val="000000">
                <w14:alpha w14:val="100000"/>
              </w14:srgbClr>
            </w14:solidFill>
          </w14:textFill>
        </w:rPr>
        <w:t>|||||</w:t>
      </w:r>
      <w:r w:rsidR="00443AF1" w:rsidRPr="00443AF1">
        <w:rPr>
          <w:color w:val="000000"/>
          <w:spacing w:val="5"/>
          <w:w w:val="47"/>
          <w:shd w:val="solid" w:color="000000" w:fill="000000"/>
          <w:fitText w:val="435" w:id="-1429519858"/>
          <w14:textFill>
            <w14:solidFill>
              <w14:srgbClr w14:val="000000">
                <w14:alpha w14:val="100000"/>
              </w14:srgbClr>
            </w14:solidFill>
          </w14:textFill>
        </w:rPr>
        <w:t>|</w:t>
      </w:r>
      <w:r w:rsidRPr="002E0155">
        <w:t xml:space="preserve"> in </w:t>
      </w:r>
      <w:r w:rsidR="00306654" w:rsidRPr="002E0155">
        <w:t>Y</w:t>
      </w:r>
      <w:r w:rsidRPr="002E0155">
        <w:t>ear 6.</w:t>
      </w:r>
    </w:p>
    <w:p w14:paraId="14F7FEBA" w14:textId="3C263ADE" w:rsidR="00BF6559" w:rsidRDefault="00BF6559" w:rsidP="00D27D2E">
      <w:pPr>
        <w:pStyle w:val="Heading2execsummary"/>
        <w:spacing w:before="360"/>
      </w:pPr>
      <w:r w:rsidRPr="00BF6559">
        <w:t>Other relevant information</w:t>
      </w:r>
    </w:p>
    <w:p w14:paraId="21AD1C09" w14:textId="79083ED0" w:rsidR="00EA1B55" w:rsidRDefault="007106DF" w:rsidP="00645477">
      <w:pPr>
        <w:rPr>
          <w:lang w:val="en-US"/>
        </w:rPr>
      </w:pPr>
      <w:r>
        <w:rPr>
          <w:lang w:val="en-US"/>
        </w:rPr>
        <w:t>Nil</w:t>
      </w:r>
    </w:p>
    <w:p w14:paraId="7D4200CE" w14:textId="5E2DD03C" w:rsidR="00B54396" w:rsidRDefault="00B54396" w:rsidP="00B54396">
      <w:pPr>
        <w:pStyle w:val="Heading2execsummary"/>
        <w:spacing w:before="360"/>
      </w:pPr>
      <w:r>
        <w:t>Key issues from ESC to MSAC</w:t>
      </w:r>
    </w:p>
    <w:tbl>
      <w:tblPr>
        <w:tblStyle w:val="ASDTable2"/>
        <w:tblW w:w="9209" w:type="dxa"/>
        <w:tblInd w:w="-147" w:type="dxa"/>
        <w:tblLook w:val="04A0" w:firstRow="1" w:lastRow="0" w:firstColumn="1" w:lastColumn="0" w:noHBand="0" w:noVBand="1"/>
      </w:tblPr>
      <w:tblGrid>
        <w:gridCol w:w="9209"/>
      </w:tblGrid>
      <w:tr w:rsidR="00B54396" w:rsidRPr="00F90BD9" w14:paraId="32E87823" w14:textId="77777777" w:rsidTr="00FA218A">
        <w:tc>
          <w:tcPr>
            <w:tcW w:w="9209" w:type="dxa"/>
          </w:tcPr>
          <w:p w14:paraId="0965C317" w14:textId="77777777" w:rsidR="00B54396" w:rsidRPr="00F90BD9" w:rsidRDefault="00B54396" w:rsidP="00FA218A">
            <w:pPr>
              <w:spacing w:before="240" w:after="240"/>
              <w:rPr>
                <w:b/>
                <w:sz w:val="24"/>
                <w:szCs w:val="24"/>
              </w:rPr>
            </w:pPr>
            <w:bookmarkStart w:id="26" w:name="_Hlk69734340"/>
            <w:r w:rsidRPr="00F90BD9">
              <w:rPr>
                <w:b/>
                <w:sz w:val="24"/>
                <w:szCs w:val="24"/>
              </w:rPr>
              <w:t xml:space="preserve">Main issues for MSAC consideration </w:t>
            </w:r>
          </w:p>
          <w:p w14:paraId="1FF9ED79" w14:textId="77777777" w:rsidR="00B54396" w:rsidRPr="00F90BD9" w:rsidRDefault="00B54396" w:rsidP="00FA218A">
            <w:pPr>
              <w:spacing w:after="160" w:line="259" w:lineRule="auto"/>
              <w:rPr>
                <w:rFonts w:eastAsia="Calibri" w:cs="Times New Roman"/>
                <w:b/>
              </w:rPr>
            </w:pPr>
            <w:r w:rsidRPr="00F90BD9">
              <w:rPr>
                <w:rFonts w:eastAsia="Calibri" w:cs="Times New Roman"/>
                <w:b/>
              </w:rPr>
              <w:t>Clinical issues</w:t>
            </w:r>
          </w:p>
          <w:p w14:paraId="52180390" w14:textId="77777777" w:rsidR="00B54396" w:rsidRDefault="00B54396" w:rsidP="00FA218A">
            <w:pPr>
              <w:spacing w:before="0" w:after="120"/>
            </w:pPr>
            <w:r>
              <w:rPr>
                <w:rFonts w:eastAsia="Calibri" w:cs="Times New Roman"/>
              </w:rPr>
              <w:t xml:space="preserve">Comparative safety </w:t>
            </w:r>
            <w:r w:rsidRPr="00220649">
              <w:rPr>
                <w:rFonts w:eastAsia="Calibri" w:cs="Times New Roman"/>
              </w:rPr>
              <w:t>–</w:t>
            </w:r>
            <w:r>
              <w:rPr>
                <w:rFonts w:eastAsia="Calibri" w:cs="Times New Roman"/>
              </w:rPr>
              <w:t xml:space="preserve"> </w:t>
            </w:r>
            <w:r>
              <w:t xml:space="preserve">Short-term </w:t>
            </w:r>
            <w:r w:rsidRPr="00F90BD9">
              <w:t xml:space="preserve">safety </w:t>
            </w:r>
            <w:r>
              <w:t xml:space="preserve">is </w:t>
            </w:r>
            <w:r w:rsidRPr="00F90BD9">
              <w:t xml:space="preserve">generally non-inferior and </w:t>
            </w:r>
            <w:r>
              <w:t>may</w:t>
            </w:r>
            <w:r w:rsidRPr="00F90BD9">
              <w:t xml:space="preserve"> </w:t>
            </w:r>
            <w:r>
              <w:t>improve</w:t>
            </w:r>
            <w:r w:rsidRPr="00F90BD9">
              <w:t xml:space="preserve"> with increasing expertise with </w:t>
            </w:r>
            <w:r>
              <w:t>the percutaneous transcatheter</w:t>
            </w:r>
            <w:r w:rsidRPr="00F90BD9">
              <w:t xml:space="preserve"> delivery of </w:t>
            </w:r>
            <w:r>
              <w:t xml:space="preserve">the </w:t>
            </w:r>
            <w:r w:rsidRPr="00F90BD9">
              <w:t>device</w:t>
            </w:r>
            <w:r>
              <w:t xml:space="preserve">. For </w:t>
            </w:r>
            <w:r w:rsidRPr="00F90BD9">
              <w:t>longer-term safety</w:t>
            </w:r>
            <w:r>
              <w:t xml:space="preserve"> it was demonstrated from low quality evidence that leadless pacemaker (LPM) was superior with</w:t>
            </w:r>
            <w:r w:rsidRPr="00F90BD9">
              <w:t xml:space="preserve"> </w:t>
            </w:r>
            <w:r>
              <w:t>respect to</w:t>
            </w:r>
            <w:r w:rsidRPr="00F90BD9">
              <w:t xml:space="preserve"> reduced device-related complications and re-interventions 2-years post-implantation.</w:t>
            </w:r>
          </w:p>
          <w:p w14:paraId="7E4D8586" w14:textId="77777777" w:rsidR="00B54396" w:rsidRPr="00F90BD9" w:rsidRDefault="00B54396" w:rsidP="00FA218A">
            <w:pPr>
              <w:spacing w:before="0" w:after="120"/>
            </w:pPr>
            <w:r>
              <w:t xml:space="preserve">Comparative effectiveness </w:t>
            </w:r>
            <w:r w:rsidRPr="00220649">
              <w:rPr>
                <w:rFonts w:eastAsia="Calibri" w:cs="Times New Roman"/>
              </w:rPr>
              <w:t>–</w:t>
            </w:r>
            <w:r>
              <w:t>The data showed</w:t>
            </w:r>
            <w:r w:rsidRPr="00F90BD9">
              <w:t xml:space="preserve"> consistent finding</w:t>
            </w:r>
            <w:r>
              <w:t>s</w:t>
            </w:r>
            <w:r w:rsidRPr="00F90BD9">
              <w:t xml:space="preserve"> of noninferiority with regards to mortality</w:t>
            </w:r>
            <w:r>
              <w:t xml:space="preserve"> and</w:t>
            </w:r>
            <w:r w:rsidRPr="00F90BD9">
              <w:t xml:space="preserve"> improvement in </w:t>
            </w:r>
            <w:r>
              <w:t xml:space="preserve">health-related </w:t>
            </w:r>
            <w:r w:rsidRPr="00F90BD9">
              <w:t>quality of life (mental and physical domains)</w:t>
            </w:r>
            <w:r>
              <w:t>, but it is informed from low to very low-quality evidence (GRADE).</w:t>
            </w:r>
          </w:p>
          <w:p w14:paraId="7F085A31" w14:textId="77777777" w:rsidR="00B54396" w:rsidRPr="00F90BD9" w:rsidRDefault="00B54396" w:rsidP="00FA218A">
            <w:pPr>
              <w:spacing w:after="160" w:line="259" w:lineRule="auto"/>
              <w:rPr>
                <w:rFonts w:eastAsia="Calibri" w:cs="Times New Roman"/>
                <w:b/>
                <w:bCs/>
              </w:rPr>
            </w:pPr>
            <w:r w:rsidRPr="00F90BD9">
              <w:rPr>
                <w:rFonts w:eastAsia="Calibri" w:cs="Times New Roman"/>
                <w:b/>
                <w:bCs/>
              </w:rPr>
              <w:t>Economic issues</w:t>
            </w:r>
          </w:p>
          <w:p w14:paraId="7E78F505" w14:textId="1DECBC66" w:rsidR="00B54396" w:rsidRPr="009445DF" w:rsidRDefault="00B54396" w:rsidP="00FA218A">
            <w:pPr>
              <w:spacing w:after="120"/>
              <w:rPr>
                <w:strike/>
              </w:rPr>
            </w:pPr>
            <w:r>
              <w:t xml:space="preserve">Time horizon </w:t>
            </w:r>
            <w:r w:rsidRPr="00CA6955">
              <w:t xml:space="preserve">– </w:t>
            </w:r>
            <w:r w:rsidRPr="00F90BD9">
              <w:t>A key driver of the economic model was the</w:t>
            </w:r>
            <w:r>
              <w:t xml:space="preserve"> time horizon of the model based on</w:t>
            </w:r>
            <w:r w:rsidRPr="00F90BD9">
              <w:t xml:space="preserve"> assumed battery life of 12 years.</w:t>
            </w:r>
            <w:r>
              <w:t xml:space="preserve"> Using the trial follow-up time increased the ICER to</w:t>
            </w:r>
            <w:r w:rsidRPr="00F90BD9">
              <w:t xml:space="preserve"> </w:t>
            </w:r>
            <w:r w:rsidR="00C817A8" w:rsidRPr="002E0155">
              <w:t>$</w:t>
            </w:r>
            <w:r w:rsidR="00443AF1" w:rsidRPr="00443AF1">
              <w:rPr>
                <w:color w:val="000000"/>
                <w:w w:val="66"/>
                <w:shd w:val="solid" w:color="000000" w:fill="000000"/>
                <w:fitText w:val="436" w:id="-1429519857"/>
                <w14:textFill>
                  <w14:solidFill>
                    <w14:srgbClr w14:val="000000">
                      <w14:alpha w14:val="100000"/>
                    </w14:srgbClr>
                  </w14:solidFill>
                </w14:textFill>
              </w:rPr>
              <w:t>||||||</w:t>
            </w:r>
            <w:r w:rsidRPr="002E0155">
              <w:t xml:space="preserve"> per QALY, up from </w:t>
            </w:r>
            <w:r w:rsidR="00C817A8" w:rsidRPr="002E0155">
              <w:t>$</w:t>
            </w:r>
            <w:r w:rsidR="00443AF1" w:rsidRPr="00443AF1">
              <w:rPr>
                <w:color w:val="000000"/>
                <w:w w:val="66"/>
                <w:shd w:val="solid" w:color="000000" w:fill="000000"/>
                <w:fitText w:val="436" w:id="-1429519856"/>
                <w14:textFill>
                  <w14:solidFill>
                    <w14:srgbClr w14:val="000000">
                      <w14:alpha w14:val="100000"/>
                    </w14:srgbClr>
                  </w14:solidFill>
                </w14:textFill>
              </w:rPr>
              <w:t>||||||</w:t>
            </w:r>
            <w:r w:rsidRPr="002E0155">
              <w:t xml:space="preserve"> in the base case.</w:t>
            </w:r>
          </w:p>
          <w:p w14:paraId="015CBE53" w14:textId="77777777" w:rsidR="00B54396" w:rsidRPr="00F90BD9" w:rsidRDefault="00B54396" w:rsidP="00FA218A">
            <w:pPr>
              <w:spacing w:after="120"/>
            </w:pPr>
            <w:r w:rsidRPr="00F90BD9">
              <w:t xml:space="preserve">The lifetime model needs to be considered. If lifetime, ~48% of people would need another device at 12 years </w:t>
            </w:r>
            <w:r>
              <w:t>at an older age (89 years of age) accruing additional costs, but t</w:t>
            </w:r>
            <w:r w:rsidRPr="00F90BD9">
              <w:t>here would be few</w:t>
            </w:r>
            <w:r>
              <w:t>er</w:t>
            </w:r>
            <w:r w:rsidRPr="00F90BD9">
              <w:t xml:space="preserve"> additional QALYs gained from this point, meaning the ICER would likely be higher.</w:t>
            </w:r>
          </w:p>
          <w:p w14:paraId="5DFE3338" w14:textId="46300F15" w:rsidR="00B54396" w:rsidRDefault="00B54396" w:rsidP="00FA218A">
            <w:pPr>
              <w:spacing w:after="120"/>
            </w:pPr>
            <w:r>
              <w:t xml:space="preserve">Modelled incremental effectiveness based on assumption </w:t>
            </w:r>
            <w:r w:rsidRPr="00CA6955">
              <w:t xml:space="preserve">– </w:t>
            </w:r>
            <w:r>
              <w:t xml:space="preserve">Long term disutility of transvenous pacemaker (TVPM) is a key driver of cost effectiveness but not based on evidence. Removing the disutility results in an </w:t>
            </w:r>
            <w:r w:rsidRPr="00364C2F">
              <w:t xml:space="preserve">ICER of </w:t>
            </w:r>
            <w:r w:rsidR="00C817A8" w:rsidRPr="002E0155">
              <w:t>$</w:t>
            </w:r>
            <w:r w:rsidR="00443AF1" w:rsidRPr="00443AF1">
              <w:rPr>
                <w:color w:val="000000"/>
                <w:w w:val="66"/>
                <w:shd w:val="solid" w:color="000000" w:fill="000000"/>
                <w:fitText w:val="436" w:id="-1429519872"/>
                <w14:textFill>
                  <w14:solidFill>
                    <w14:srgbClr w14:val="000000">
                      <w14:alpha w14:val="100000"/>
                    </w14:srgbClr>
                  </w14:solidFill>
                </w14:textFill>
              </w:rPr>
              <w:t>||||||</w:t>
            </w:r>
            <w:r w:rsidRPr="002E0155">
              <w:t>.</w:t>
            </w:r>
          </w:p>
          <w:p w14:paraId="7BFFC69B" w14:textId="77777777" w:rsidR="00B54396" w:rsidRPr="00F90BD9" w:rsidRDefault="00B54396" w:rsidP="00FA218A">
            <w:pPr>
              <w:spacing w:after="160" w:line="259" w:lineRule="auto"/>
              <w:rPr>
                <w:rFonts w:eastAsia="Calibri" w:cs="Times New Roman"/>
                <w:b/>
                <w:bCs/>
              </w:rPr>
            </w:pPr>
            <w:r w:rsidRPr="00F90BD9">
              <w:rPr>
                <w:rFonts w:eastAsia="Calibri" w:cs="Times New Roman"/>
                <w:b/>
                <w:bCs/>
              </w:rPr>
              <w:t>Financial issues</w:t>
            </w:r>
          </w:p>
          <w:p w14:paraId="1E7316C1" w14:textId="2BC3B78C" w:rsidR="00B54396" w:rsidRPr="00F90BD9" w:rsidRDefault="00B54396" w:rsidP="00FA218A">
            <w:r>
              <w:t>T</w:t>
            </w:r>
            <w:r w:rsidRPr="00F90BD9">
              <w:t xml:space="preserve">he major financial impact will be on the </w:t>
            </w:r>
            <w:proofErr w:type="gramStart"/>
            <w:r w:rsidRPr="00F90BD9">
              <w:t>prosthes</w:t>
            </w:r>
            <w:r w:rsidR="000B3928">
              <w:t>e</w:t>
            </w:r>
            <w:r w:rsidRPr="00F90BD9">
              <w:t>s</w:t>
            </w:r>
            <w:proofErr w:type="gramEnd"/>
            <w:r w:rsidRPr="00F90BD9">
              <w:t xml:space="preserve"> costs to private health insurers because LPMs have a higher prosthesis unit cost than TVPMs.</w:t>
            </w:r>
          </w:p>
          <w:p w14:paraId="403CBA10" w14:textId="77777777" w:rsidR="00B54396" w:rsidRDefault="00B54396" w:rsidP="00FA218A">
            <w:pPr>
              <w:spacing w:after="120"/>
            </w:pPr>
            <w:r w:rsidRPr="00F90BD9">
              <w:t>MBS costs are equivalent (apart from extraction), and listing should be cost neutral to the MBS for insertion.</w:t>
            </w:r>
          </w:p>
          <w:p w14:paraId="74BACA61" w14:textId="77777777" w:rsidR="00B54396" w:rsidRPr="00F90BD9" w:rsidRDefault="00B54396" w:rsidP="00FA218A">
            <w:pPr>
              <w:spacing w:after="160" w:line="259" w:lineRule="auto"/>
              <w:rPr>
                <w:rFonts w:eastAsia="Calibri" w:cs="Times New Roman"/>
                <w:b/>
                <w:bCs/>
              </w:rPr>
            </w:pPr>
            <w:r>
              <w:rPr>
                <w:rFonts w:eastAsia="Calibri" w:cs="Times New Roman"/>
                <w:b/>
                <w:bCs/>
              </w:rPr>
              <w:t>Policy relevant information</w:t>
            </w:r>
            <w:r w:rsidRPr="00F90BD9">
              <w:rPr>
                <w:rFonts w:eastAsia="Calibri" w:cs="Times New Roman"/>
                <w:b/>
                <w:bCs/>
              </w:rPr>
              <w:t xml:space="preserve"> issues</w:t>
            </w:r>
          </w:p>
          <w:p w14:paraId="3CF2F1E3" w14:textId="77777777" w:rsidR="00B54396" w:rsidRPr="00F90BD9" w:rsidRDefault="00B54396" w:rsidP="00FA218A">
            <w:pPr>
              <w:spacing w:after="120"/>
            </w:pPr>
            <w:r w:rsidRPr="00F90BD9">
              <w:t>Credentialling for removal of leadless pacemaker should be consistent with CSANZ</w:t>
            </w:r>
            <w:r>
              <w:t>’s</w:t>
            </w:r>
            <w:r w:rsidRPr="00F90BD9">
              <w:t xml:space="preserve"> recommendations for explantation.</w:t>
            </w:r>
          </w:p>
          <w:p w14:paraId="725B4810" w14:textId="1E9A8409" w:rsidR="00B54396" w:rsidRPr="00F90BD9" w:rsidRDefault="00B54396" w:rsidP="00FA218A">
            <w:pPr>
              <w:spacing w:after="120"/>
            </w:pPr>
            <w:r w:rsidRPr="00F90BD9">
              <w:t xml:space="preserve">Ceiling </w:t>
            </w:r>
            <w:r>
              <w:t xml:space="preserve">for the total </w:t>
            </w:r>
            <w:r w:rsidRPr="00F90BD9">
              <w:t>number of LPM devices should be consistent with CSANZ</w:t>
            </w:r>
            <w:r>
              <w:t>’s</w:t>
            </w:r>
            <w:r w:rsidRPr="00F90BD9">
              <w:t xml:space="preserve"> recommendations, which will likely change as the technology evolves.</w:t>
            </w:r>
          </w:p>
        </w:tc>
      </w:tr>
    </w:tbl>
    <w:bookmarkEnd w:id="26"/>
    <w:p w14:paraId="3FF319D0" w14:textId="77777777" w:rsidR="00B54396" w:rsidRPr="00B54396" w:rsidRDefault="00B54396" w:rsidP="00B54396">
      <w:pPr>
        <w:keepNext/>
        <w:spacing w:before="240" w:after="240" w:line="240" w:lineRule="auto"/>
        <w:outlineLvl w:val="1"/>
        <w:rPr>
          <w:rFonts w:eastAsia="Times New Roman" w:cs="Arial"/>
          <w:b/>
          <w:bCs/>
          <w:iCs/>
          <w:color w:val="000000"/>
          <w:lang w:eastAsia="en-AU"/>
        </w:rPr>
      </w:pPr>
      <w:r w:rsidRPr="00B54396">
        <w:rPr>
          <w:rFonts w:eastAsia="Times New Roman" w:cs="Arial"/>
          <w:b/>
          <w:bCs/>
          <w:iCs/>
          <w:color w:val="000000"/>
          <w:lang w:eastAsia="en-AU"/>
        </w:rPr>
        <w:t>ESC discussion</w:t>
      </w:r>
    </w:p>
    <w:p w14:paraId="6C32105C" w14:textId="46BE101C" w:rsidR="00B54396" w:rsidRDefault="00B54396" w:rsidP="00B54396">
      <w:pPr>
        <w:spacing w:after="240"/>
      </w:pPr>
      <w:r w:rsidRPr="00F90BD9">
        <w:t xml:space="preserve">ESC noted that this is an application from Medtronic Australasia Pty Ltd requesting Medicare Benefits Schedule (MBS) listing of </w:t>
      </w:r>
      <w:r>
        <w:t xml:space="preserve">percutaneous </w:t>
      </w:r>
      <w:r w:rsidRPr="00F90BD9">
        <w:t xml:space="preserve">transcatheter insertion (initial or otherwise), </w:t>
      </w:r>
      <w:r w:rsidRPr="00F90BD9">
        <w:lastRenderedPageBreak/>
        <w:t>percutaneous retrieval with or without replacement and surgical explantation of a LPM for the treatment of bradycardia that requires single-chamber ventricular</w:t>
      </w:r>
      <w:r>
        <w:t xml:space="preserve"> pacing</w:t>
      </w:r>
      <w:r w:rsidRPr="00F90BD9">
        <w:t>.</w:t>
      </w:r>
    </w:p>
    <w:p w14:paraId="57AA846B" w14:textId="77777777" w:rsidR="00B54396" w:rsidRDefault="00B54396" w:rsidP="00B54396">
      <w:pPr>
        <w:spacing w:after="240"/>
      </w:pPr>
      <w:r w:rsidRPr="00F90BD9">
        <w:t xml:space="preserve">ESC noted that </w:t>
      </w:r>
      <w:r>
        <w:t xml:space="preserve">consultation </w:t>
      </w:r>
      <w:r w:rsidRPr="00F90BD9">
        <w:t>feedback</w:t>
      </w:r>
      <w:r>
        <w:t xml:space="preserve"> was received from a single individual in support of the application. ESC noted this feedback, highlighting </w:t>
      </w:r>
      <w:proofErr w:type="gramStart"/>
      <w:r>
        <w:t>that possible advantages</w:t>
      </w:r>
      <w:proofErr w:type="gramEnd"/>
      <w:r>
        <w:t xml:space="preserve"> of</w:t>
      </w:r>
      <w:r w:rsidRPr="00F90BD9">
        <w:t xml:space="preserve"> LPM would</w:t>
      </w:r>
      <w:r>
        <w:t xml:space="preserve"> include patient satisfaction due to the absence of</w:t>
      </w:r>
      <w:r w:rsidRPr="00F90BD9">
        <w:t xml:space="preserve"> a scar, which would be valuable for young</w:t>
      </w:r>
      <w:r>
        <w:t>er</w:t>
      </w:r>
      <w:r w:rsidRPr="00F90BD9">
        <w:t xml:space="preserve"> </w:t>
      </w:r>
      <w:r>
        <w:t>patients</w:t>
      </w:r>
      <w:r w:rsidRPr="00F90BD9">
        <w:t>.</w:t>
      </w:r>
    </w:p>
    <w:p w14:paraId="43A6E565" w14:textId="77777777" w:rsidR="00B54396" w:rsidRPr="00F90BD9" w:rsidRDefault="00B54396" w:rsidP="00B54396">
      <w:pPr>
        <w:spacing w:after="240"/>
      </w:pPr>
      <w:r w:rsidRPr="00F90BD9">
        <w:t>ESC noted that</w:t>
      </w:r>
      <w:r>
        <w:t xml:space="preserve"> the proposed population</w:t>
      </w:r>
      <w:r w:rsidRPr="00F90BD9">
        <w:t xml:space="preserve"> </w:t>
      </w:r>
      <w:r>
        <w:t>includes</w:t>
      </w:r>
      <w:r w:rsidRPr="00F90BD9">
        <w:t xml:space="preserve"> a difficult group of patients to treat because of complications (e.g., infections).</w:t>
      </w:r>
      <w:r>
        <w:t xml:space="preserve"> </w:t>
      </w:r>
      <w:r w:rsidRPr="00F90BD9" w:rsidDel="00BD711F">
        <w:t>ESC noted that the applicant-developed assessment report (ADAR) focused on insertion of the device (Micra VR TPS). ESC noted that removal of the device is not mentioned in the purpose of application or in subsequent clinical or economic evaluations, despite being stated in the application title and proposed MBS items.</w:t>
      </w:r>
    </w:p>
    <w:p w14:paraId="74BB3C70" w14:textId="77777777" w:rsidR="00B54396" w:rsidRDefault="00B54396" w:rsidP="00B54396">
      <w:pPr>
        <w:spacing w:after="240"/>
      </w:pPr>
      <w:r>
        <w:t>ESC noted the Department’s advice for the item descriptor and agreed with:</w:t>
      </w:r>
    </w:p>
    <w:p w14:paraId="4E0A9257" w14:textId="77777777" w:rsidR="00B54396" w:rsidRDefault="00B54396" w:rsidP="00B54396">
      <w:pPr>
        <w:pStyle w:val="ListParagraph"/>
        <w:numPr>
          <w:ilvl w:val="0"/>
          <w:numId w:val="21"/>
        </w:numPr>
        <w:spacing w:after="240"/>
      </w:pPr>
      <w:r>
        <w:t xml:space="preserve">The addition of the clinical indication for the procedure “for the treatment of bradycardia” in the insertion item (WWWWW) </w:t>
      </w:r>
      <w:r w:rsidRPr="00CF7B78">
        <w:t xml:space="preserve">noting </w:t>
      </w:r>
      <w:r>
        <w:t xml:space="preserve">previous </w:t>
      </w:r>
      <w:r w:rsidRPr="00CF7B78">
        <w:t xml:space="preserve">PASC </w:t>
      </w:r>
      <w:r>
        <w:t>advice</w:t>
      </w:r>
      <w:r w:rsidRPr="00CF7B78">
        <w:t xml:space="preserve"> that this application is specifically intended for a single indication – the treatment of bradyarrhythmia –and there are many other reasons why people receive pacemakers</w:t>
      </w:r>
    </w:p>
    <w:p w14:paraId="069D04FA" w14:textId="77777777" w:rsidR="00B54396" w:rsidRPr="00CF7B78" w:rsidRDefault="00B54396" w:rsidP="00B54396">
      <w:pPr>
        <w:pStyle w:val="ListParagraph"/>
        <w:numPr>
          <w:ilvl w:val="0"/>
          <w:numId w:val="21"/>
        </w:numPr>
      </w:pPr>
      <w:r w:rsidRPr="00CF7B78">
        <w:t>The addition of a "Hospital only" (75%) rebate</w:t>
      </w:r>
      <w:r>
        <w:t xml:space="preserve"> for all items</w:t>
      </w:r>
      <w:r w:rsidRPr="00CF7B78">
        <w:t>, as this procedure is only appropriate to be performed in the in</w:t>
      </w:r>
      <w:r>
        <w:t>-</w:t>
      </w:r>
      <w:r w:rsidRPr="00CF7B78">
        <w:t>hospital setting.</w:t>
      </w:r>
    </w:p>
    <w:p w14:paraId="50D4977A" w14:textId="45648D03" w:rsidR="00B54396" w:rsidRDefault="00B54396" w:rsidP="00B54396">
      <w:r w:rsidRPr="00F90BD9">
        <w:t xml:space="preserve">ESC </w:t>
      </w:r>
      <w:r>
        <w:t xml:space="preserve">advised that </w:t>
      </w:r>
      <w:r w:rsidRPr="00F90BD9">
        <w:t>the word “surgical” should be removed from the item descriptor</w:t>
      </w:r>
      <w:r>
        <w:t xml:space="preserve"> for explantation (ZZZZZ)</w:t>
      </w:r>
      <w:r w:rsidRPr="00F90BD9">
        <w:t xml:space="preserve"> because it suggests th</w:t>
      </w:r>
      <w:r>
        <w:t>at</w:t>
      </w:r>
      <w:r w:rsidRPr="00F90BD9">
        <w:t xml:space="preserve"> </w:t>
      </w:r>
      <w:r>
        <w:t>the</w:t>
      </w:r>
      <w:r w:rsidRPr="00F90BD9">
        <w:t xml:space="preserve"> procedure should be </w:t>
      </w:r>
      <w:r>
        <w:t>performed</w:t>
      </w:r>
      <w:r w:rsidRPr="00F90BD9">
        <w:t xml:space="preserve"> by surgeons; however, </w:t>
      </w:r>
      <w:r>
        <w:t>the procedure</w:t>
      </w:r>
      <w:r w:rsidRPr="00F90BD9">
        <w:t xml:space="preserve"> is mostly </w:t>
      </w:r>
      <w:r>
        <w:t>performed</w:t>
      </w:r>
      <w:r w:rsidRPr="00F90BD9">
        <w:t xml:space="preserve"> by cardiologists.</w:t>
      </w:r>
      <w:r>
        <w:t xml:space="preserve"> In addition, ESC considered that the credentialling for removal of LPMs should be consistent with the CSANZ recommendations regarding explantation.</w:t>
      </w:r>
    </w:p>
    <w:p w14:paraId="06C4070E" w14:textId="77777777" w:rsidR="00B54396" w:rsidRPr="00F90BD9" w:rsidRDefault="00B54396" w:rsidP="00B54396">
      <w:pPr>
        <w:spacing w:after="240"/>
      </w:pPr>
      <w:r>
        <w:t>ESC considered that the same remote monitoring items (MBS item 11719 and 11720) for TVPM would apply to LPM.</w:t>
      </w:r>
    </w:p>
    <w:p w14:paraId="294F4E7F" w14:textId="70595B58" w:rsidR="00B54396" w:rsidRDefault="00B54396" w:rsidP="00B54396">
      <w:pPr>
        <w:spacing w:after="240"/>
      </w:pPr>
      <w:r w:rsidRPr="00F90BD9">
        <w:t xml:space="preserve">ESC </w:t>
      </w:r>
      <w:r>
        <w:t>considered</w:t>
      </w:r>
      <w:r w:rsidRPr="00F90BD9">
        <w:t xml:space="preserve"> that </w:t>
      </w:r>
      <w:r>
        <w:t>it was appropriate that the proposed</w:t>
      </w:r>
      <w:r w:rsidRPr="00F90BD9">
        <w:t xml:space="preserve"> fee</w:t>
      </w:r>
      <w:r>
        <w:t>s</w:t>
      </w:r>
      <w:r w:rsidRPr="00F90BD9">
        <w:t xml:space="preserve"> be benchmarked on </w:t>
      </w:r>
      <w:r>
        <w:t>the</w:t>
      </w:r>
      <w:r w:rsidRPr="00F90BD9">
        <w:t xml:space="preserve"> current fee</w:t>
      </w:r>
      <w:r>
        <w:t xml:space="preserve">s for the comparator </w:t>
      </w:r>
      <w:r w:rsidRPr="00F90BD9">
        <w:t xml:space="preserve">transvenous pacemaker </w:t>
      </w:r>
      <w:r>
        <w:t xml:space="preserve">(TVPM), despite some differences in the procedures (such as use of the femoral vein for access as opposed to the </w:t>
      </w:r>
      <w:r w:rsidRPr="00250186">
        <w:t>cephalic or subclavian vein for a TVPM lead</w:t>
      </w:r>
      <w:r>
        <w:t>; and no requirement for additional insertion of a subcutaneous generator)</w:t>
      </w:r>
      <w:r w:rsidRPr="00F90BD9">
        <w:t>.</w:t>
      </w:r>
      <w:r>
        <w:t xml:space="preserve"> This would ensure one technique wasn’t financially incentivised over the other. ESC also noted that proceduralists experienced in LPM insertion would be able to perform the procedure in a shorter time than taken to insert a TVPM. </w:t>
      </w:r>
    </w:p>
    <w:p w14:paraId="628330A2" w14:textId="77777777" w:rsidR="00B54396" w:rsidRPr="00351969" w:rsidRDefault="00B54396" w:rsidP="00B54396">
      <w:pPr>
        <w:spacing w:after="240"/>
      </w:pPr>
      <w:r w:rsidRPr="00F90BD9">
        <w:t xml:space="preserve">ESC noted </w:t>
      </w:r>
      <w:r>
        <w:t>that the</w:t>
      </w:r>
      <w:r w:rsidRPr="00351969">
        <w:t xml:space="preserve"> applicant has separated the </w:t>
      </w:r>
      <w:r>
        <w:t xml:space="preserve">data from the </w:t>
      </w:r>
      <w:r w:rsidRPr="00351969">
        <w:t xml:space="preserve">CED study from the </w:t>
      </w:r>
      <w:r>
        <w:t xml:space="preserve">data of the </w:t>
      </w:r>
      <w:r w:rsidRPr="00351969">
        <w:t>studies considered to be supportive.</w:t>
      </w:r>
      <w:r>
        <w:t xml:space="preserve"> The Commentary noted</w:t>
      </w:r>
      <w:r w:rsidRPr="00351969">
        <w:t xml:space="preserve"> that the </w:t>
      </w:r>
      <w:r>
        <w:t xml:space="preserve">large sample </w:t>
      </w:r>
      <w:r w:rsidRPr="00351969">
        <w:t>size of the CED study mean</w:t>
      </w:r>
      <w:r>
        <w:t>t</w:t>
      </w:r>
      <w:r w:rsidRPr="00351969">
        <w:t xml:space="preserve"> that any data reported by the much smaller supportive studies would not be sufficient to alter the </w:t>
      </w:r>
      <w:r>
        <w:t xml:space="preserve">impact of the </w:t>
      </w:r>
      <w:r w:rsidRPr="00351969">
        <w:t>results of the CED study</w:t>
      </w:r>
      <w:r>
        <w:t xml:space="preserve"> in a systematic review, if all studies were included</w:t>
      </w:r>
      <w:r w:rsidRPr="00351969">
        <w:t xml:space="preserve">. The applicant reports the supportive studies separately from the CED study “on the basis of these studies being small in sample size, heterogenous with respect to population, and less robust in the designs.” However, </w:t>
      </w:r>
      <w:r>
        <w:t>the Commentary noted</w:t>
      </w:r>
      <w:r w:rsidRPr="00351969">
        <w:t xml:space="preserve"> this is not appropriate for a systematic review. </w:t>
      </w:r>
      <w:proofErr w:type="gramStart"/>
      <w:r w:rsidRPr="00351969">
        <w:t>With the exception of</w:t>
      </w:r>
      <w:proofErr w:type="gramEnd"/>
      <w:r w:rsidRPr="00351969">
        <w:t xml:space="preserve"> Tachibana (2020) (which does not meet the inclusion criteria for sample size), the supportive studies meet these eligibility criteria.</w:t>
      </w:r>
    </w:p>
    <w:p w14:paraId="5DED902A" w14:textId="77777777" w:rsidR="00B54396" w:rsidRDefault="00B54396" w:rsidP="00B54396">
      <w:pPr>
        <w:spacing w:after="240"/>
      </w:pPr>
      <w:r w:rsidRPr="00351969">
        <w:t xml:space="preserve">The </w:t>
      </w:r>
      <w:r w:rsidRPr="00794AA8">
        <w:rPr>
          <w:i/>
          <w:iCs/>
        </w:rPr>
        <w:t>a priori</w:t>
      </w:r>
      <w:r w:rsidRPr="00351969">
        <w:t xml:space="preserve"> eligibility criteria appear to have been amended during the study selection process to include only particular publication types (no conference abstracts) and only studies with demographic specific (heterogeneous studies - presumably compared to the CED study - were excluded) and “large” sample sizes. </w:t>
      </w:r>
      <w:r>
        <w:t>The Commentary considered this inappropriate and</w:t>
      </w:r>
      <w:r w:rsidRPr="00351969">
        <w:t xml:space="preserve"> </w:t>
      </w:r>
      <w:r>
        <w:t xml:space="preserve">stated </w:t>
      </w:r>
      <w:r>
        <w:lastRenderedPageBreak/>
        <w:t xml:space="preserve">that this </w:t>
      </w:r>
      <w:r w:rsidRPr="00351969">
        <w:t>undermine</w:t>
      </w:r>
      <w:r>
        <w:t>d</w:t>
      </w:r>
      <w:r w:rsidRPr="00351969">
        <w:t xml:space="preserve"> the validity of systematic review methodology, which should include all studies meeting the eligibility criteria </w:t>
      </w:r>
      <w:r>
        <w:t>to minimise</w:t>
      </w:r>
      <w:r w:rsidRPr="00351969">
        <w:t xml:space="preserve"> study selection bias</w:t>
      </w:r>
      <w:r>
        <w:t>.</w:t>
      </w:r>
    </w:p>
    <w:p w14:paraId="7DC088E0" w14:textId="77777777" w:rsidR="00B54396" w:rsidRPr="00351969" w:rsidRDefault="00B54396" w:rsidP="00B54396">
      <w:pPr>
        <w:spacing w:after="240"/>
      </w:pPr>
      <w:r>
        <w:t xml:space="preserve">ESC noted that confounding was a significant issue with the </w:t>
      </w:r>
      <w:r w:rsidRPr="004917B5">
        <w:t xml:space="preserve">CED study. Propensity </w:t>
      </w:r>
      <w:proofErr w:type="gramStart"/>
      <w:r w:rsidRPr="004917B5">
        <w:t>score</w:t>
      </w:r>
      <w:proofErr w:type="gramEnd"/>
      <w:r w:rsidRPr="004917B5">
        <w:t xml:space="preserve"> overlap weights were used to </w:t>
      </w:r>
      <w:r>
        <w:t>adjust</w:t>
      </w:r>
      <w:r w:rsidRPr="004917B5">
        <w:t xml:space="preserve"> for differences in population characteristics between the treatment groups at baseline, which </w:t>
      </w:r>
      <w:r>
        <w:t>ESC considered was</w:t>
      </w:r>
      <w:r w:rsidRPr="004917B5">
        <w:t xml:space="preserve"> appropriate given the study design</w:t>
      </w:r>
      <w:r>
        <w:t xml:space="preserve"> however may not adjust for all group differences if there are unobserved confounders</w:t>
      </w:r>
      <w:r w:rsidRPr="004917B5">
        <w:t>.</w:t>
      </w:r>
    </w:p>
    <w:p w14:paraId="5E4FEF9C" w14:textId="3136F68F" w:rsidR="00B54396" w:rsidRPr="00F90BD9" w:rsidRDefault="00B54396" w:rsidP="00B54396">
      <w:pPr>
        <w:spacing w:after="240"/>
      </w:pPr>
      <w:r w:rsidRPr="00F90BD9">
        <w:t xml:space="preserve">ESC noted that only the CED </w:t>
      </w:r>
      <w:r>
        <w:t>study</w:t>
      </w:r>
      <w:r w:rsidRPr="00F90BD9">
        <w:t xml:space="preserve"> was used to evaluate safety. </w:t>
      </w:r>
      <w:r>
        <w:t xml:space="preserve">ESC noted that despite </w:t>
      </w:r>
      <w:r>
        <w:rPr>
          <w:lang w:val="en-US"/>
        </w:rPr>
        <w:t xml:space="preserve">significant baseline differences between treatment groups in the CED study (LPM group were less healthy), that the </w:t>
      </w:r>
      <w:r>
        <w:t xml:space="preserve">unadjusted rates </w:t>
      </w:r>
      <w:r>
        <w:rPr>
          <w:lang w:val="en-US"/>
        </w:rPr>
        <w:t>of overall complications at 30 days’ follow-up (8.4% for the Micra VR TPS and 7.3% for the TVPM)</w:t>
      </w:r>
      <w:r w:rsidRPr="007461D6">
        <w:rPr>
          <w:lang w:val="en-US"/>
        </w:rPr>
        <w:t xml:space="preserve"> </w:t>
      </w:r>
      <w:r>
        <w:rPr>
          <w:lang w:val="en-US"/>
        </w:rPr>
        <w:t xml:space="preserve">were not substantially different between the treatment groups. </w:t>
      </w:r>
      <w:r>
        <w:t xml:space="preserve">The </w:t>
      </w:r>
      <w:r w:rsidRPr="00F90BD9">
        <w:t>ADAR present</w:t>
      </w:r>
      <w:r>
        <w:t>ed</w:t>
      </w:r>
      <w:r w:rsidRPr="00F90BD9">
        <w:t xml:space="preserve"> </w:t>
      </w:r>
      <w:r>
        <w:t>the adjusted rates for</w:t>
      </w:r>
      <w:r w:rsidRPr="00F90BD9">
        <w:t xml:space="preserve"> acute complications at 30 days post-implantation for the CED study (relative risk [RR] 1.04, 95% confidence interval [CI] 0.93 to 1.16). While there were no differences in the overall complication rates between the Micra VR TPS and TVPM groups, this composite outcome was derived from several acute complications that warranted further discussion by the applicant. ESC noted that the commentary stated that it would have been more helpful to focus on complications by type rather than overall, so that any trade-offs can be clearly seen.</w:t>
      </w:r>
    </w:p>
    <w:p w14:paraId="3BA825CA" w14:textId="249D9049" w:rsidR="00B54396" w:rsidRPr="00F90BD9" w:rsidRDefault="00B54396" w:rsidP="00B54396">
      <w:pPr>
        <w:spacing w:after="240"/>
      </w:pPr>
      <w:r w:rsidRPr="00F90BD9">
        <w:t>The ADAR reported results at 2 years after device implantation from the CED study, but these were provided as an overall composite outcome made up of several individual complications. There were significantly more complications in the TVPM group compared to the Micra VR TPS at 2 years, with adjusted rates of 6.5% and 4.6%, respectively (hazard ratio 0.69, 95% CI 0.60 to 0.81, p&lt;0.0001).</w:t>
      </w:r>
      <w:r w:rsidRPr="002A0068">
        <w:t xml:space="preserve"> </w:t>
      </w:r>
      <w:r>
        <w:t xml:space="preserve">ESC noted that, when the data was adjusted, that the difference in the overall complication rates between the </w:t>
      </w:r>
      <w:r>
        <w:rPr>
          <w:lang w:val="en-US"/>
        </w:rPr>
        <w:t xml:space="preserve">Micra VR TPS </w:t>
      </w:r>
      <w:r>
        <w:t>and the TVPM groups changed was small.</w:t>
      </w:r>
    </w:p>
    <w:p w14:paraId="3CBE825C" w14:textId="77777777" w:rsidR="00B54396" w:rsidRDefault="00B54396" w:rsidP="00B54396">
      <w:pPr>
        <w:spacing w:after="240"/>
      </w:pPr>
      <w:r w:rsidRPr="00F90BD9">
        <w:t xml:space="preserve">ESC noted that patients implanted with an LPM had significantly fewer overall reinterventions over 2 years compared with patients implanted with a TVPM, with the adjusted rates of 3.1% versus 4.9%, respectively (p=0.003). ESC noted that reinterventions was defined as a composite score that included revision, replacement, </w:t>
      </w:r>
      <w:proofErr w:type="gramStart"/>
      <w:r w:rsidRPr="00F90BD9">
        <w:t>upgrade</w:t>
      </w:r>
      <w:proofErr w:type="gramEnd"/>
      <w:r w:rsidRPr="00F90BD9">
        <w:t xml:space="preserve"> and removal. In terms of the individual outcomes, LPM patients experienced significantly fewer revisions (adjusted HR [95% CI]: 0.20 [0.08, 0.50], p=0.01), removals (0.05 [0.01, 0.20], &lt;0.0001) and upgrades to </w:t>
      </w:r>
      <w:r>
        <w:t>cardiac resynchronisation therapy (</w:t>
      </w:r>
      <w:r w:rsidRPr="00F90BD9">
        <w:t>CRT</w:t>
      </w:r>
      <w:r>
        <w:t>)</w:t>
      </w:r>
      <w:r w:rsidRPr="00F90BD9">
        <w:t xml:space="preserve"> (0.70 [0.51, 0.96], p=0.025), whereas fewer replacements were observed in TVPM patients (2.50 [1.40, 4.46], p=0.002). ESC noted that the applicant does not explain why almost three times as many patients in the LPM group had a replacement compared to TVPM patients. There is no definition of replacement, or any details related to this including whether the original (presumably faulty) LPM remained in situ while a second device was deployed.</w:t>
      </w:r>
      <w:r>
        <w:t xml:space="preserve"> Overall, ESC considered that short-term</w:t>
      </w:r>
      <w:r w:rsidRPr="00595048">
        <w:t xml:space="preserve"> safety</w:t>
      </w:r>
      <w:r>
        <w:t xml:space="preserve"> (30 days post-implantation)</w:t>
      </w:r>
      <w:r w:rsidRPr="00595048">
        <w:t xml:space="preserve"> is generally non-inferior, and</w:t>
      </w:r>
      <w:r>
        <w:t xml:space="preserve"> that it</w:t>
      </w:r>
      <w:r w:rsidRPr="00595048">
        <w:t xml:space="preserve"> may improve</w:t>
      </w:r>
      <w:r>
        <w:t xml:space="preserve"> over time</w:t>
      </w:r>
      <w:r w:rsidRPr="00595048">
        <w:t xml:space="preserve"> with increasing expertise with </w:t>
      </w:r>
      <w:r>
        <w:t xml:space="preserve">the percutaneous transcatheter </w:t>
      </w:r>
      <w:r w:rsidRPr="00595048">
        <w:t>delivery of device. For longer-term safety</w:t>
      </w:r>
      <w:r>
        <w:t>,</w:t>
      </w:r>
      <w:r w:rsidRPr="00595048">
        <w:t xml:space="preserve"> it was demonstrated from low quality evidence that LPM </w:t>
      </w:r>
      <w:r>
        <w:t>was superior</w:t>
      </w:r>
      <w:r w:rsidRPr="00595048">
        <w:t xml:space="preserve"> </w:t>
      </w:r>
      <w:r>
        <w:t>in</w:t>
      </w:r>
      <w:r w:rsidRPr="00595048">
        <w:t xml:space="preserve"> respect to reduced device-related complications and re-interventions 2-years post-implantation.</w:t>
      </w:r>
    </w:p>
    <w:p w14:paraId="739BE44D" w14:textId="03A6CDEF" w:rsidR="00B54396" w:rsidRPr="00F90BD9" w:rsidRDefault="00B54396" w:rsidP="00B54396">
      <w:pPr>
        <w:spacing w:after="240"/>
      </w:pPr>
      <w:r w:rsidRPr="00F90BD9">
        <w:t>Regarding effectiveness, ESC noted tha</w:t>
      </w:r>
      <w:r>
        <w:t>t low to very low-quality evidence (GRADE)</w:t>
      </w:r>
      <w:r w:rsidRPr="00332E31">
        <w:t xml:space="preserve"> show</w:t>
      </w:r>
      <w:r>
        <w:t>ed</w:t>
      </w:r>
      <w:r w:rsidRPr="00332E31">
        <w:t xml:space="preserve"> consistent findings of noninferiority with regards to mortality</w:t>
      </w:r>
      <w:r>
        <w:t xml:space="preserve"> and</w:t>
      </w:r>
      <w:r w:rsidRPr="00332E31">
        <w:t xml:space="preserve"> improvement in quality of life (mental and physical domains), but </w:t>
      </w:r>
      <w:r>
        <w:t xml:space="preserve">it was unknown if the </w:t>
      </w:r>
      <w:proofErr w:type="gramStart"/>
      <w:r>
        <w:t>quality of life</w:t>
      </w:r>
      <w:proofErr w:type="gramEnd"/>
      <w:r>
        <w:t xml:space="preserve"> scores (using 36-Item SF-36) were clinically significant as no MCID was provided in the ADAR.</w:t>
      </w:r>
    </w:p>
    <w:p w14:paraId="3E9258DB" w14:textId="77777777" w:rsidR="00B54396" w:rsidRDefault="00B54396" w:rsidP="00B54396">
      <w:pPr>
        <w:spacing w:after="240"/>
      </w:pPr>
      <w:r w:rsidRPr="00F90BD9">
        <w:t xml:space="preserve">ESC noted that the economic modelling was a cost-utility analysis with most evidence from the CED study. ESC </w:t>
      </w:r>
      <w:r>
        <w:t>considered</w:t>
      </w:r>
      <w:r w:rsidRPr="00F90BD9">
        <w:t xml:space="preserve"> </w:t>
      </w:r>
      <w:r>
        <w:t>that</w:t>
      </w:r>
      <w:r w:rsidRPr="00F90BD9">
        <w:t xml:space="preserve"> th</w:t>
      </w:r>
      <w:r>
        <w:t>e use of the simple Markov model using alive and dead states</w:t>
      </w:r>
      <w:r w:rsidRPr="00F90BD9">
        <w:t xml:space="preserve"> </w:t>
      </w:r>
      <w:r w:rsidRPr="00F90BD9">
        <w:lastRenderedPageBreak/>
        <w:t>was reasonable</w:t>
      </w:r>
      <w:r>
        <w:t xml:space="preserve">. ESC noted there was a small difference in SF-36 scores which were converted to EQ-5D utility values by using a mapping equation developed by </w:t>
      </w:r>
      <w:bookmarkStart w:id="27" w:name="_Hlk94537498"/>
      <w:r>
        <w:t>Ara and Brazier (2008</w:t>
      </w:r>
      <w:bookmarkEnd w:id="27"/>
      <w:r>
        <w:t>).</w:t>
      </w:r>
    </w:p>
    <w:p w14:paraId="0F679F34" w14:textId="77777777" w:rsidR="00B54396" w:rsidRPr="00F90BD9" w:rsidRDefault="00B54396" w:rsidP="00B54396">
      <w:pPr>
        <w:spacing w:after="240"/>
      </w:pPr>
      <w:r>
        <w:t xml:space="preserve">ESC noted that the ADAR did not discuss patient selection, but it was clear that selection criteria were being applied because patients who received the </w:t>
      </w:r>
      <w:r>
        <w:rPr>
          <w:lang w:val="en-NZ"/>
        </w:rPr>
        <w:t>Micra VR TPS</w:t>
      </w:r>
      <w:r>
        <w:t xml:space="preserve"> in the CED study were younger and had significantly more comorbidities than patients who received the TVPM. ESC noted that the starting age of the model was assumed </w:t>
      </w:r>
      <w:r w:rsidRPr="00113480">
        <w:t>to be 77 years old and 41.8% being female, as informed by</w:t>
      </w:r>
      <w:r>
        <w:t xml:space="preserve"> Australian data from</w:t>
      </w:r>
      <w:r w:rsidRPr="00113480">
        <w:t xml:space="preserve"> Ranasinghe (2019)</w:t>
      </w:r>
      <w:r>
        <w:t>,</w:t>
      </w:r>
      <w:r w:rsidRPr="00113480">
        <w:t>)</w:t>
      </w:r>
      <w:r>
        <w:t xml:space="preserve"> compared with the</w:t>
      </w:r>
      <w:r w:rsidRPr="00113480">
        <w:t xml:space="preserve"> mean age </w:t>
      </w:r>
      <w:r>
        <w:t>of about</w:t>
      </w:r>
      <w:r w:rsidRPr="00113480">
        <w:t xml:space="preserve"> 80 years old across the two </w:t>
      </w:r>
      <w:r>
        <w:t>study</w:t>
      </w:r>
      <w:r w:rsidRPr="00113480">
        <w:t xml:space="preserve"> arms and 44% were female</w:t>
      </w:r>
      <w:r>
        <w:t xml:space="preserve"> in the CED study. ESC considered it was unclear how this would affect the model or applicability to the Australian population.</w:t>
      </w:r>
    </w:p>
    <w:p w14:paraId="155358F9" w14:textId="66F91178" w:rsidR="00B54396" w:rsidRPr="00F90BD9" w:rsidRDefault="00B54396" w:rsidP="00B54396">
      <w:pPr>
        <w:spacing w:after="240"/>
      </w:pPr>
      <w:r w:rsidRPr="00F90BD9">
        <w:t>ESC noted</w:t>
      </w:r>
      <w:r>
        <w:t xml:space="preserve"> that the tim</w:t>
      </w:r>
      <w:r w:rsidDel="00031178">
        <w:t>e</w:t>
      </w:r>
      <w:r>
        <w:t xml:space="preserve"> horizon (assumed based on 12-year battery life) is a major driver of the model. T</w:t>
      </w:r>
      <w:r w:rsidRPr="00F90BD9">
        <w:t>he incremental cost-effectiveness ratio (ICER) for trial follow-up</w:t>
      </w:r>
      <w:r>
        <w:t xml:space="preserve"> (2-year)</w:t>
      </w:r>
      <w:r w:rsidRPr="00F90BD9">
        <w:t xml:space="preserve"> was </w:t>
      </w:r>
      <w:r w:rsidR="00C817A8" w:rsidRPr="002E0155">
        <w:t>$</w:t>
      </w:r>
      <w:r w:rsidR="00443AF1" w:rsidRPr="00443AF1">
        <w:rPr>
          <w:color w:val="000000"/>
          <w:spacing w:val="24"/>
          <w:w w:val="47"/>
          <w:shd w:val="solid" w:color="000000" w:fill="000000"/>
          <w:fitText w:val="435" w:id="-1429519871"/>
          <w14:textFill>
            <w14:solidFill>
              <w14:srgbClr w14:val="000000">
                <w14:alpha w14:val="100000"/>
              </w14:srgbClr>
            </w14:solidFill>
          </w14:textFill>
        </w:rPr>
        <w:t>|||||</w:t>
      </w:r>
      <w:r w:rsidR="00443AF1" w:rsidRPr="00443AF1">
        <w:rPr>
          <w:color w:val="000000"/>
          <w:spacing w:val="5"/>
          <w:w w:val="47"/>
          <w:shd w:val="solid" w:color="000000" w:fill="000000"/>
          <w:fitText w:val="435" w:id="-1429519871"/>
          <w14:textFill>
            <w14:solidFill>
              <w14:srgbClr w14:val="000000">
                <w14:alpha w14:val="100000"/>
              </w14:srgbClr>
            </w14:solidFill>
          </w14:textFill>
        </w:rPr>
        <w:t>|</w:t>
      </w:r>
      <w:r w:rsidRPr="00F90BD9">
        <w:t xml:space="preserve">per quality-adjusted life year (QALY), reduced </w:t>
      </w:r>
      <w:r w:rsidRPr="002E0155">
        <w:t xml:space="preserve">to </w:t>
      </w:r>
      <w:r w:rsidR="00C817A8" w:rsidRPr="002E0155">
        <w:t>$</w:t>
      </w:r>
      <w:r w:rsidR="00443AF1" w:rsidRPr="00443AF1">
        <w:rPr>
          <w:color w:val="000000"/>
          <w:spacing w:val="26"/>
          <w:w w:val="49"/>
          <w:shd w:val="solid" w:color="000000" w:fill="000000"/>
          <w:fitText w:val="453" w:id="-1429519870"/>
          <w14:textFill>
            <w14:solidFill>
              <w14:srgbClr w14:val="000000">
                <w14:alpha w14:val="100000"/>
              </w14:srgbClr>
            </w14:solidFill>
          </w14:textFill>
        </w:rPr>
        <w:t>|||||</w:t>
      </w:r>
      <w:r w:rsidR="00443AF1" w:rsidRPr="00443AF1">
        <w:rPr>
          <w:color w:val="000000"/>
          <w:spacing w:val="1"/>
          <w:w w:val="49"/>
          <w:shd w:val="solid" w:color="000000" w:fill="000000"/>
          <w:fitText w:val="453" w:id="-1429519870"/>
          <w14:textFill>
            <w14:solidFill>
              <w14:srgbClr w14:val="000000">
                <w14:alpha w14:val="100000"/>
              </w14:srgbClr>
            </w14:solidFill>
          </w14:textFill>
        </w:rPr>
        <w:t>|</w:t>
      </w:r>
      <w:r w:rsidRPr="00F90BD9">
        <w:t>in the base case</w:t>
      </w:r>
      <w:r>
        <w:t xml:space="preserve"> (12-year)</w:t>
      </w:r>
      <w:r w:rsidRPr="00F90BD9">
        <w:t xml:space="preserve">. </w:t>
      </w:r>
      <w:r>
        <w:t xml:space="preserve"> </w:t>
      </w:r>
      <w:r w:rsidRPr="00B909D6">
        <w:t xml:space="preserve">In the pre-ESC response, the </w:t>
      </w:r>
      <w:r>
        <w:t>a</w:t>
      </w:r>
      <w:r w:rsidRPr="00B909D6">
        <w:t xml:space="preserve">pplicant provided data from routine monitoring of device information such as battery longevity and electrical parameters. The median projected longevity when standardised from implant was </w:t>
      </w:r>
      <w:r w:rsidR="00443AF1" w:rsidRPr="00443AF1">
        <w:rPr>
          <w:color w:val="000000"/>
          <w:spacing w:val="25"/>
          <w:w w:val="47"/>
          <w:shd w:val="solid" w:color="000000" w:fill="000000"/>
          <w:fitText w:val="436" w:id="-1429519869"/>
          <w14:textFill>
            <w14:solidFill>
              <w14:srgbClr w14:val="000000">
                <w14:alpha w14:val="100000"/>
              </w14:srgbClr>
            </w14:solidFill>
          </w14:textFill>
        </w:rPr>
        <w:t>|||||</w:t>
      </w:r>
      <w:r w:rsidR="00443AF1" w:rsidRPr="00443AF1">
        <w:rPr>
          <w:color w:val="000000"/>
          <w:spacing w:val="1"/>
          <w:w w:val="47"/>
          <w:shd w:val="solid" w:color="000000" w:fill="000000"/>
          <w:fitText w:val="436" w:id="-1429519869"/>
          <w14:textFill>
            <w14:solidFill>
              <w14:srgbClr w14:val="000000">
                <w14:alpha w14:val="100000"/>
              </w14:srgbClr>
            </w14:solidFill>
          </w14:textFill>
        </w:rPr>
        <w:t>|</w:t>
      </w:r>
      <w:r w:rsidRPr="002E0155">
        <w:t xml:space="preserve"> with </w:t>
      </w:r>
      <w:r w:rsidR="00443AF1" w:rsidRPr="00443AF1">
        <w:rPr>
          <w:color w:val="000000"/>
          <w:spacing w:val="27"/>
          <w:w w:val="48"/>
          <w:shd w:val="solid" w:color="000000" w:fill="000000"/>
          <w:fitText w:val="452" w:id="-1429519868"/>
          <w14:textFill>
            <w14:solidFill>
              <w14:srgbClr w14:val="000000">
                <w14:alpha w14:val="100000"/>
              </w14:srgbClr>
            </w14:solidFill>
          </w14:textFill>
        </w:rPr>
        <w:t>|||||</w:t>
      </w:r>
      <w:r w:rsidR="00443AF1" w:rsidRPr="00443AF1">
        <w:rPr>
          <w:color w:val="000000"/>
          <w:spacing w:val="1"/>
          <w:w w:val="48"/>
          <w:shd w:val="solid" w:color="000000" w:fill="000000"/>
          <w:fitText w:val="452" w:id="-1429519868"/>
          <w14:textFill>
            <w14:solidFill>
              <w14:srgbClr w14:val="000000">
                <w14:alpha w14:val="100000"/>
              </w14:srgbClr>
            </w14:solidFill>
          </w14:textFill>
        </w:rPr>
        <w:t>|</w:t>
      </w:r>
      <w:r w:rsidRPr="002E0155">
        <w:t xml:space="preserve"> of devices having a projected longevity exceeding </w:t>
      </w:r>
      <w:r w:rsidR="00443AF1" w:rsidRPr="00443AF1">
        <w:rPr>
          <w:color w:val="000000"/>
          <w:spacing w:val="24"/>
          <w:w w:val="47"/>
          <w:shd w:val="solid" w:color="000000" w:fill="000000"/>
          <w:fitText w:val="435" w:id="-1429519867"/>
          <w14:textFill>
            <w14:solidFill>
              <w14:srgbClr w14:val="000000">
                <w14:alpha w14:val="100000"/>
              </w14:srgbClr>
            </w14:solidFill>
          </w14:textFill>
        </w:rPr>
        <w:t>|||||</w:t>
      </w:r>
      <w:r w:rsidR="00443AF1" w:rsidRPr="00443AF1">
        <w:rPr>
          <w:color w:val="000000"/>
          <w:spacing w:val="5"/>
          <w:w w:val="47"/>
          <w:shd w:val="solid" w:color="000000" w:fill="000000"/>
          <w:fitText w:val="435" w:id="-1429519867"/>
          <w14:textFill>
            <w14:solidFill>
              <w14:srgbClr w14:val="000000">
                <w14:alpha w14:val="100000"/>
              </w14:srgbClr>
            </w14:solidFill>
          </w14:textFill>
        </w:rPr>
        <w:t>|</w:t>
      </w:r>
      <w:r w:rsidRPr="002E0155">
        <w:t>.</w:t>
      </w:r>
      <w:r w:rsidRPr="00031178">
        <w:t xml:space="preserve"> </w:t>
      </w:r>
      <w:r>
        <w:t>ESC considered</w:t>
      </w:r>
      <w:r w:rsidRPr="00F90BD9">
        <w:t xml:space="preserve"> that </w:t>
      </w:r>
      <w:r>
        <w:t xml:space="preserve">although </w:t>
      </w:r>
      <w:r w:rsidRPr="00F90BD9">
        <w:t>the length of the battery life (12 years) is supported by evidence</w:t>
      </w:r>
      <w:r>
        <w:t>,</w:t>
      </w:r>
      <w:r w:rsidRPr="00F90BD9">
        <w:t xml:space="preserve"> </w:t>
      </w:r>
      <w:r>
        <w:t xml:space="preserve">the model should have considered a lifetime analysis; after </w:t>
      </w:r>
      <w:r w:rsidRPr="00F90BD9">
        <w:t xml:space="preserve">12 years, </w:t>
      </w:r>
      <w:r>
        <w:t xml:space="preserve">~48% of </w:t>
      </w:r>
      <w:r w:rsidRPr="00F90BD9">
        <w:t xml:space="preserve">patients </w:t>
      </w:r>
      <w:r>
        <w:t>would require</w:t>
      </w:r>
      <w:r w:rsidRPr="00F90BD9">
        <w:t xml:space="preserve"> another device at </w:t>
      </w:r>
      <w:r>
        <w:t>an</w:t>
      </w:r>
      <w:r w:rsidRPr="00F90BD9">
        <w:t xml:space="preserve"> older age.</w:t>
      </w:r>
      <w:r>
        <w:t xml:space="preserve"> Additional costs would be accrued with this next device, but f</w:t>
      </w:r>
      <w:r w:rsidRPr="00633B11">
        <w:t>ew</w:t>
      </w:r>
      <w:r>
        <w:t>er</w:t>
      </w:r>
      <w:r w:rsidRPr="00633B11">
        <w:t xml:space="preserve"> additional QALYs </w:t>
      </w:r>
      <w:r>
        <w:t xml:space="preserve">would be </w:t>
      </w:r>
      <w:r w:rsidRPr="00633B11">
        <w:t>gained from this point</w:t>
      </w:r>
      <w:r>
        <w:t xml:space="preserve"> and would likely further drive up the ICER.</w:t>
      </w:r>
    </w:p>
    <w:p w14:paraId="3988FC15" w14:textId="26A0C764" w:rsidR="00B54396" w:rsidRPr="00F90BD9" w:rsidRDefault="00B54396" w:rsidP="00B54396">
      <w:pPr>
        <w:spacing w:after="240"/>
      </w:pPr>
      <w:r w:rsidRPr="00F90BD9">
        <w:t xml:space="preserve">ESC </w:t>
      </w:r>
      <w:r>
        <w:t xml:space="preserve">also </w:t>
      </w:r>
      <w:r w:rsidRPr="00F90BD9">
        <w:t xml:space="preserve">noted that </w:t>
      </w:r>
      <w:r>
        <w:t>the other key drivers</w:t>
      </w:r>
      <w:r w:rsidRPr="00F90BD9">
        <w:t xml:space="preserve"> </w:t>
      </w:r>
      <w:r>
        <w:t xml:space="preserve">were </w:t>
      </w:r>
      <w:r w:rsidRPr="00F90BD9">
        <w:t xml:space="preserve">mainly </w:t>
      </w:r>
      <w:r>
        <w:t>in</w:t>
      </w:r>
      <w:r w:rsidRPr="00F90BD9">
        <w:t xml:space="preserve"> favour </w:t>
      </w:r>
      <w:r>
        <w:t xml:space="preserve">of </w:t>
      </w:r>
      <w:r w:rsidRPr="00F90BD9">
        <w:t xml:space="preserve">the intervention. The long-term disutility of TVPM </w:t>
      </w:r>
      <w:proofErr w:type="gramStart"/>
      <w:r w:rsidRPr="00F90BD9">
        <w:t>is</w:t>
      </w:r>
      <w:r>
        <w:t xml:space="preserve"> based on an assumption</w:t>
      </w:r>
      <w:proofErr w:type="gramEnd"/>
      <w:r>
        <w:t xml:space="preserve"> rather than specific evidence;</w:t>
      </w:r>
      <w:r w:rsidRPr="00F90BD9">
        <w:t xml:space="preserve"> its impact is high </w:t>
      </w:r>
      <w:r>
        <w:t>as this assumption is driving the incremental difference in benefit between model arms (</w:t>
      </w:r>
      <w:r w:rsidRPr="00A42CDD">
        <w:t>accounting for 42% of the total QALY benefits)</w:t>
      </w:r>
      <w:r w:rsidRPr="00F90BD9">
        <w:t>.</w:t>
      </w:r>
      <w:r>
        <w:t xml:space="preserve"> Removing </w:t>
      </w:r>
      <w:r w:rsidRPr="00F90BD9">
        <w:t xml:space="preserve">the disutility results in an ICER of </w:t>
      </w:r>
      <w:r w:rsidR="00C817A8" w:rsidRPr="00C817A8">
        <w:t>$</w:t>
      </w:r>
      <w:r w:rsidR="00443AF1" w:rsidRPr="00443AF1">
        <w:rPr>
          <w:color w:val="000000"/>
          <w:spacing w:val="27"/>
          <w:w w:val="48"/>
          <w:shd w:val="solid" w:color="000000" w:fill="000000"/>
          <w:fitText w:val="452" w:id="-1429519866"/>
          <w14:textFill>
            <w14:solidFill>
              <w14:srgbClr w14:val="000000">
                <w14:alpha w14:val="100000"/>
              </w14:srgbClr>
            </w14:solidFill>
          </w14:textFill>
        </w:rPr>
        <w:t>|||||</w:t>
      </w:r>
      <w:r w:rsidR="00443AF1" w:rsidRPr="00443AF1">
        <w:rPr>
          <w:color w:val="000000"/>
          <w:spacing w:val="1"/>
          <w:w w:val="48"/>
          <w:shd w:val="solid" w:color="000000" w:fill="000000"/>
          <w:fitText w:val="452" w:id="-1429519866"/>
          <w14:textFill>
            <w14:solidFill>
              <w14:srgbClr w14:val="000000">
                <w14:alpha w14:val="100000"/>
              </w14:srgbClr>
            </w14:solidFill>
          </w14:textFill>
        </w:rPr>
        <w:t>|</w:t>
      </w:r>
      <w:r w:rsidRPr="00F90BD9">
        <w:t>.</w:t>
      </w:r>
      <w:r>
        <w:t xml:space="preserve"> ESC also noted that the ICER was sensitive to the cost of pacemaker infection treatment. Overall, </w:t>
      </w:r>
      <w:r w:rsidRPr="00F90BD9">
        <w:t xml:space="preserve">ESC </w:t>
      </w:r>
      <w:r>
        <w:t xml:space="preserve">considered </w:t>
      </w:r>
      <w:r w:rsidRPr="00F90BD9">
        <w:t xml:space="preserve">that </w:t>
      </w:r>
      <w:r>
        <w:t>the</w:t>
      </w:r>
      <w:r w:rsidRPr="00F90BD9">
        <w:t xml:space="preserve"> ICER may be </w:t>
      </w:r>
      <w:r>
        <w:t xml:space="preserve">much </w:t>
      </w:r>
      <w:r w:rsidRPr="00F90BD9">
        <w:t xml:space="preserve">higher than </w:t>
      </w:r>
      <w:r>
        <w:t xml:space="preserve">the </w:t>
      </w:r>
      <w:r w:rsidRPr="00F90BD9">
        <w:t>base</w:t>
      </w:r>
      <w:r>
        <w:t>-</w:t>
      </w:r>
      <w:r w:rsidRPr="00F90BD9">
        <w:t>case estimate.</w:t>
      </w:r>
      <w:r>
        <w:t xml:space="preserve"> Given the high and uncertain ICER, ESC queried whether there may be a subpopulation with greater need and may benefit more with an LPM, and potentially with more favourable cost-effectiveness.</w:t>
      </w:r>
    </w:p>
    <w:p w14:paraId="573B913C" w14:textId="3F9D1C61" w:rsidR="00B54396" w:rsidRPr="00F90BD9" w:rsidRDefault="00B54396" w:rsidP="00B54396">
      <w:pPr>
        <w:tabs>
          <w:tab w:val="num" w:pos="720"/>
        </w:tabs>
        <w:spacing w:before="0" w:after="240" w:line="240" w:lineRule="auto"/>
      </w:pPr>
      <w:r w:rsidRPr="00F90BD9">
        <w:t xml:space="preserve">ESC noted that the base-case analysis assumes an uptake rate of </w:t>
      </w:r>
      <w:r w:rsidR="00443AF1" w:rsidRPr="00443AF1">
        <w:rPr>
          <w:color w:val="000000"/>
          <w:spacing w:val="24"/>
          <w:w w:val="47"/>
          <w:shd w:val="solid" w:color="000000" w:fill="000000"/>
          <w:fitText w:val="435" w:id="-1429519865"/>
          <w14:textFill>
            <w14:solidFill>
              <w14:srgbClr w14:val="000000">
                <w14:alpha w14:val="100000"/>
              </w14:srgbClr>
            </w14:solidFill>
          </w14:textFill>
        </w:rPr>
        <w:t>|||||</w:t>
      </w:r>
      <w:r w:rsidR="00443AF1" w:rsidRPr="00443AF1">
        <w:rPr>
          <w:color w:val="000000"/>
          <w:spacing w:val="5"/>
          <w:w w:val="47"/>
          <w:shd w:val="solid" w:color="000000" w:fill="000000"/>
          <w:fitText w:val="435" w:id="-1429519865"/>
          <w14:textFill>
            <w14:solidFill>
              <w14:srgbClr w14:val="000000">
                <w14:alpha w14:val="100000"/>
              </w14:srgbClr>
            </w14:solidFill>
          </w14:textFill>
        </w:rPr>
        <w:t>|</w:t>
      </w:r>
      <w:r w:rsidRPr="00B86E8E">
        <w:t xml:space="preserve"> in Year 1, increasing to </w:t>
      </w:r>
      <w:r w:rsidR="00443AF1" w:rsidRPr="00443AF1">
        <w:rPr>
          <w:color w:val="000000"/>
          <w:spacing w:val="24"/>
          <w:w w:val="47"/>
          <w:shd w:val="solid" w:color="000000" w:fill="000000"/>
          <w:fitText w:val="435" w:id="-1429519864"/>
          <w14:textFill>
            <w14:solidFill>
              <w14:srgbClr w14:val="000000">
                <w14:alpha w14:val="100000"/>
              </w14:srgbClr>
            </w14:solidFill>
          </w14:textFill>
        </w:rPr>
        <w:t>|||||</w:t>
      </w:r>
      <w:r w:rsidR="00443AF1" w:rsidRPr="00443AF1">
        <w:rPr>
          <w:color w:val="000000"/>
          <w:spacing w:val="5"/>
          <w:w w:val="47"/>
          <w:shd w:val="solid" w:color="000000" w:fill="000000"/>
          <w:fitText w:val="435" w:id="-1429519864"/>
          <w14:textFill>
            <w14:solidFill>
              <w14:srgbClr w14:val="000000">
                <w14:alpha w14:val="100000"/>
              </w14:srgbClr>
            </w14:solidFill>
          </w14:textFill>
        </w:rPr>
        <w:t>|</w:t>
      </w:r>
      <w:r w:rsidRPr="00B86E8E">
        <w:t xml:space="preserve"> in Year 6. </w:t>
      </w:r>
      <w:r w:rsidRPr="00F90BD9">
        <w:t xml:space="preserve">Although this is uncertain, </w:t>
      </w:r>
      <w:r>
        <w:t>the</w:t>
      </w:r>
      <w:r w:rsidRPr="00F90BD9">
        <w:t xml:space="preserve"> impact </w:t>
      </w:r>
      <w:r>
        <w:t xml:space="preserve">on </w:t>
      </w:r>
      <w:r w:rsidRPr="00F90BD9">
        <w:t xml:space="preserve">the MBS estimates </w:t>
      </w:r>
      <w:proofErr w:type="gramStart"/>
      <w:r w:rsidRPr="00F90BD9">
        <w:t>remain</w:t>
      </w:r>
      <w:proofErr w:type="gramEnd"/>
      <w:r w:rsidRPr="00F90BD9">
        <w:t xml:space="preserve"> the same.</w:t>
      </w:r>
    </w:p>
    <w:p w14:paraId="233FA24F" w14:textId="00F2F0B1" w:rsidR="00B54396" w:rsidRDefault="00B54396" w:rsidP="00B54396">
      <w:pPr>
        <w:tabs>
          <w:tab w:val="num" w:pos="720"/>
        </w:tabs>
        <w:spacing w:after="240"/>
      </w:pPr>
      <w:r w:rsidRPr="00F90BD9">
        <w:t xml:space="preserve">ESC noted that the major financial impact will be on the </w:t>
      </w:r>
      <w:proofErr w:type="gramStart"/>
      <w:r w:rsidRPr="00F90BD9">
        <w:t>prosthes</w:t>
      </w:r>
      <w:r w:rsidR="000B3928">
        <w:t>e</w:t>
      </w:r>
      <w:r w:rsidRPr="00F90BD9">
        <w:t>s</w:t>
      </w:r>
      <w:proofErr w:type="gramEnd"/>
      <w:r w:rsidRPr="00F90BD9">
        <w:t xml:space="preserve"> costs to private health insurers because LPMs have a higher prosthesis unit cost than TVPMs. The TVPM unit costs include the pacing device ($3,948, Prosthes</w:t>
      </w:r>
      <w:r w:rsidR="000B3928">
        <w:t>e</w:t>
      </w:r>
      <w:r w:rsidRPr="00F90BD9">
        <w:t xml:space="preserve">s List </w:t>
      </w:r>
      <w:r w:rsidR="000B3928">
        <w:t xml:space="preserve">group </w:t>
      </w:r>
      <w:r w:rsidRPr="00F90BD9">
        <w:t xml:space="preserve">08.04.03) and lead ($831, </w:t>
      </w:r>
      <w:r w:rsidR="000B3928" w:rsidRPr="00F90BD9">
        <w:t>Prosthes</w:t>
      </w:r>
      <w:r w:rsidR="000B3928">
        <w:t>e</w:t>
      </w:r>
      <w:r w:rsidR="000B3928" w:rsidRPr="00F90BD9">
        <w:t xml:space="preserve">s </w:t>
      </w:r>
      <w:r w:rsidRPr="00F90BD9">
        <w:t xml:space="preserve">List </w:t>
      </w:r>
      <w:r w:rsidR="000B3928">
        <w:t xml:space="preserve">group </w:t>
      </w:r>
      <w:r w:rsidRPr="00F90BD9">
        <w:t xml:space="preserve">08.08.09), whereas the LPM unit cost is </w:t>
      </w:r>
      <w:r w:rsidR="00C817A8" w:rsidRPr="00B86E8E">
        <w:t>$</w:t>
      </w:r>
      <w:r w:rsidR="00443AF1" w:rsidRPr="00443AF1">
        <w:rPr>
          <w:color w:val="000000"/>
          <w:spacing w:val="25"/>
          <w:w w:val="47"/>
          <w:shd w:val="solid" w:color="000000" w:fill="000000"/>
          <w:fitText w:val="436" w:id="-1429519863"/>
          <w14:textFill>
            <w14:solidFill>
              <w14:srgbClr w14:val="000000">
                <w14:alpha w14:val="100000"/>
              </w14:srgbClr>
            </w14:solidFill>
          </w14:textFill>
        </w:rPr>
        <w:t>|||||</w:t>
      </w:r>
      <w:r w:rsidR="00443AF1" w:rsidRPr="00443AF1">
        <w:rPr>
          <w:color w:val="000000"/>
          <w:spacing w:val="1"/>
          <w:w w:val="47"/>
          <w:shd w:val="solid" w:color="000000" w:fill="000000"/>
          <w:fitText w:val="436" w:id="-1429519863"/>
          <w14:textFill>
            <w14:solidFill>
              <w14:srgbClr w14:val="000000">
                <w14:alpha w14:val="100000"/>
              </w14:srgbClr>
            </w14:solidFill>
          </w14:textFill>
        </w:rPr>
        <w:t>|</w:t>
      </w:r>
      <w:r w:rsidRPr="00F90BD9">
        <w:t>.</w:t>
      </w:r>
      <w:r>
        <w:t xml:space="preserve"> The pre-ESC response that the applicant clarified that LPM had three</w:t>
      </w:r>
      <w:r w:rsidRPr="00027F9E">
        <w:t xml:space="preserve"> individual components (i</w:t>
      </w:r>
      <w:r>
        <w:t xml:space="preserve">.e., </w:t>
      </w:r>
      <w:r w:rsidRPr="00027F9E">
        <w:t xml:space="preserve">the LPM device, a single use delivery catheter, and a single-use introducer) </w:t>
      </w:r>
      <w:r>
        <w:t xml:space="preserve">which were all </w:t>
      </w:r>
      <w:r w:rsidRPr="00027F9E">
        <w:t xml:space="preserve">part of the Micra VR TPS system priced at </w:t>
      </w:r>
      <w:r w:rsidR="00C817A8" w:rsidRPr="00B86E8E">
        <w:t>$</w:t>
      </w:r>
      <w:r w:rsidR="00443AF1" w:rsidRPr="00443AF1">
        <w:rPr>
          <w:color w:val="000000"/>
          <w:spacing w:val="27"/>
          <w:w w:val="48"/>
          <w:shd w:val="solid" w:color="000000" w:fill="000000"/>
          <w:fitText w:val="452" w:id="-1429519862"/>
          <w14:textFill>
            <w14:solidFill>
              <w14:srgbClr w14:val="000000">
                <w14:alpha w14:val="100000"/>
              </w14:srgbClr>
            </w14:solidFill>
          </w14:textFill>
        </w:rPr>
        <w:t>|||||</w:t>
      </w:r>
      <w:r w:rsidR="00443AF1" w:rsidRPr="00443AF1">
        <w:rPr>
          <w:color w:val="000000"/>
          <w:spacing w:val="1"/>
          <w:w w:val="48"/>
          <w:shd w:val="solid" w:color="000000" w:fill="000000"/>
          <w:fitText w:val="452" w:id="-1429519862"/>
          <w14:textFill>
            <w14:solidFill>
              <w14:srgbClr w14:val="000000">
                <w14:alpha w14:val="100000"/>
              </w14:srgbClr>
            </w14:solidFill>
          </w14:textFill>
        </w:rPr>
        <w:t>|</w:t>
      </w:r>
      <w:r w:rsidRPr="00B86E8E">
        <w:t xml:space="preserve">. ESC noted that the aggregate national </w:t>
      </w:r>
      <w:r w:rsidR="000B3928" w:rsidRPr="00B86E8E">
        <w:t xml:space="preserve">prostheses </w:t>
      </w:r>
      <w:r w:rsidRPr="00B86E8E">
        <w:t xml:space="preserve">costs to health insurers are forecast to increase by </w:t>
      </w:r>
      <w:r w:rsidR="00C817A8" w:rsidRPr="00B86E8E">
        <w:t>$</w:t>
      </w:r>
      <w:r w:rsidR="00443AF1" w:rsidRPr="00443AF1">
        <w:rPr>
          <w:color w:val="000000"/>
          <w:spacing w:val="27"/>
          <w:w w:val="48"/>
          <w:shd w:val="solid" w:color="000000" w:fill="000000"/>
          <w:fitText w:val="452" w:id="-1429519861"/>
          <w14:textFill>
            <w14:solidFill>
              <w14:srgbClr w14:val="000000">
                <w14:alpha w14:val="100000"/>
              </w14:srgbClr>
            </w14:solidFill>
          </w14:textFill>
        </w:rPr>
        <w:t>|||||</w:t>
      </w:r>
      <w:r w:rsidR="00443AF1" w:rsidRPr="00443AF1">
        <w:rPr>
          <w:color w:val="000000"/>
          <w:spacing w:val="1"/>
          <w:w w:val="48"/>
          <w:shd w:val="solid" w:color="000000" w:fill="000000"/>
          <w:fitText w:val="452" w:id="-1429519861"/>
          <w14:textFill>
            <w14:solidFill>
              <w14:srgbClr w14:val="000000">
                <w14:alpha w14:val="100000"/>
              </w14:srgbClr>
            </w14:solidFill>
          </w14:textFill>
        </w:rPr>
        <w:t>|</w:t>
      </w:r>
      <w:r w:rsidRPr="00B86E8E">
        <w:t xml:space="preserve"> in Year 1, rising to </w:t>
      </w:r>
      <w:r w:rsidR="00C817A8" w:rsidRPr="00B86E8E">
        <w:t>$</w:t>
      </w:r>
      <w:r w:rsidR="00443AF1" w:rsidRPr="00443AF1">
        <w:rPr>
          <w:color w:val="000000"/>
          <w:spacing w:val="24"/>
          <w:w w:val="47"/>
          <w:shd w:val="solid" w:color="000000" w:fill="000000"/>
          <w:fitText w:val="435" w:id="-1429519860"/>
          <w14:textFill>
            <w14:solidFill>
              <w14:srgbClr w14:val="000000">
                <w14:alpha w14:val="100000"/>
              </w14:srgbClr>
            </w14:solidFill>
          </w14:textFill>
        </w:rPr>
        <w:t>|||||</w:t>
      </w:r>
      <w:r w:rsidR="00443AF1" w:rsidRPr="00443AF1">
        <w:rPr>
          <w:color w:val="000000"/>
          <w:spacing w:val="5"/>
          <w:w w:val="47"/>
          <w:shd w:val="solid" w:color="000000" w:fill="000000"/>
          <w:fitText w:val="435" w:id="-1429519860"/>
          <w14:textFill>
            <w14:solidFill>
              <w14:srgbClr w14:val="000000">
                <w14:alpha w14:val="100000"/>
              </w14:srgbClr>
            </w14:solidFill>
          </w14:textFill>
        </w:rPr>
        <w:t>|</w:t>
      </w:r>
      <w:r w:rsidRPr="00B86E8E">
        <w:t xml:space="preserve"> in Year</w:t>
      </w:r>
      <w:r w:rsidR="000B3928" w:rsidRPr="00B86E8E">
        <w:t> </w:t>
      </w:r>
      <w:r w:rsidRPr="00B86E8E">
        <w:t>6.</w:t>
      </w:r>
      <w:r w:rsidRPr="00F90BD9">
        <w:t xml:space="preserve"> ESC also noted that increased uptake will increase these estimates (unlike the MBS costs).</w:t>
      </w:r>
    </w:p>
    <w:p w14:paraId="5B427FAC" w14:textId="36C4B273" w:rsidR="00B54396" w:rsidRPr="00F90BD9" w:rsidRDefault="00B54396" w:rsidP="00B54396">
      <w:pPr>
        <w:spacing w:after="240"/>
      </w:pPr>
      <w:r w:rsidRPr="00F90BD9">
        <w:t xml:space="preserve">ESC questioned whether there should be a ceiling on the maximum number of LPM devices per lifetime. There is evidence in animal models that up to three Micra LPM devices can be accommodated </w:t>
      </w:r>
      <w:r>
        <w:t xml:space="preserve">in the right ventricle </w:t>
      </w:r>
      <w:r w:rsidRPr="00F90BD9">
        <w:t xml:space="preserve">at the same time. </w:t>
      </w:r>
      <w:r>
        <w:t>It is likely that in the future</w:t>
      </w:r>
      <w:r w:rsidRPr="00F90BD9">
        <w:t xml:space="preserve">, the devices may be miniaturised further, thus a ceiling number of implantations may be reasonable through a </w:t>
      </w:r>
      <w:r>
        <w:t xml:space="preserve">CSANZ </w:t>
      </w:r>
      <w:r w:rsidRPr="00F90BD9">
        <w:t xml:space="preserve">consensus document. </w:t>
      </w:r>
      <w:r>
        <w:t xml:space="preserve">ESC considered that the </w:t>
      </w:r>
      <w:r w:rsidRPr="00F90BD9">
        <w:t xml:space="preserve">number of LPM devices should be consistent with CSANZ </w:t>
      </w:r>
      <w:proofErr w:type="gramStart"/>
      <w:r w:rsidRPr="00F90BD9">
        <w:t>recommendations</w:t>
      </w:r>
      <w:proofErr w:type="gramEnd"/>
      <w:r>
        <w:t xml:space="preserve"> and the Department should consult with the CSANZ.</w:t>
      </w:r>
    </w:p>
    <w:p w14:paraId="1E682C68" w14:textId="2E6D4411" w:rsidR="00B54396" w:rsidRDefault="00B54396" w:rsidP="00B54396">
      <w:pPr>
        <w:pStyle w:val="Heading2execsummary"/>
        <w:spacing w:before="360"/>
      </w:pPr>
      <w:r>
        <w:lastRenderedPageBreak/>
        <w:t>Applicant comments on MSAC’s Public Summary Document</w:t>
      </w:r>
    </w:p>
    <w:p w14:paraId="112F82C3" w14:textId="77777777" w:rsidR="00B86E8E" w:rsidRDefault="00AB5284" w:rsidP="009445DF">
      <w:r w:rsidRPr="00AB5284">
        <w:t xml:space="preserve">Medtronic is pleased that MSAC has supported MBS funding of single-chamber leadless pacemakers for the treatment of bradyarrhythmia for patients with a clinical need for leadless pacemakers due to the safety advantages compared with transvenous-pacemakers. This decision is likely to lead to improved clinical outcomes for a multitude of patients due to the elimination of pocket and lead related complications. We look forward to working with all stakeholders to further improve patient access to this innovative minimally invasive pacing therapy. Medtronic’s </w:t>
      </w:r>
      <w:proofErr w:type="gramStart"/>
      <w:r w:rsidRPr="00AB5284">
        <w:t>first priority</w:t>
      </w:r>
      <w:proofErr w:type="gramEnd"/>
      <w:r w:rsidRPr="00AB5284">
        <w:t xml:space="preserve"> is for the safety of its patients.</w:t>
      </w:r>
      <w:r w:rsidR="00B86E8E">
        <w:t xml:space="preserve"> </w:t>
      </w:r>
    </w:p>
    <w:p w14:paraId="44B8D84B" w14:textId="75852D80" w:rsidR="00B54396" w:rsidRDefault="00B54396" w:rsidP="00B86E8E">
      <w:pPr>
        <w:pStyle w:val="Heading2execsummary"/>
      </w:pPr>
      <w:r>
        <w:t>Further information on MSAC</w:t>
      </w:r>
    </w:p>
    <w:p w14:paraId="1A1742AE" w14:textId="69246C73" w:rsidR="00B54396" w:rsidRPr="00B54396" w:rsidRDefault="00B54396" w:rsidP="00B54396">
      <w:pPr>
        <w:pStyle w:val="BodyText"/>
        <w:rPr>
          <w:rFonts w:ascii="Franklin Gothic Book" w:hAnsi="Franklin Gothic Book"/>
        </w:rPr>
      </w:pPr>
      <w:r>
        <w:rPr>
          <w:rFonts w:ascii="Franklin Gothic Book" w:hAnsi="Franklin Gothic Book"/>
        </w:rPr>
        <w:t xml:space="preserve">MSAC Terms of Reference and other information are available on the MSAC Website: </w:t>
      </w:r>
      <w:hyperlink r:id="rId17" w:tooltip="Link to the MSAC website" w:history="1">
        <w:r>
          <w:rPr>
            <w:rStyle w:val="Hyperlink"/>
            <w:rFonts w:ascii="Franklin Gothic Book" w:hAnsi="Franklin Gothic Book"/>
          </w:rPr>
          <w:t>visit the MSAC website</w:t>
        </w:r>
      </w:hyperlink>
    </w:p>
    <w:sectPr w:rsidR="00B54396" w:rsidRPr="00B54396">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4C1A" w14:textId="77777777" w:rsidR="003E079F" w:rsidRDefault="003E079F">
      <w:pPr>
        <w:spacing w:before="0" w:after="0" w:line="240" w:lineRule="auto"/>
      </w:pPr>
      <w:r>
        <w:separator/>
      </w:r>
    </w:p>
  </w:endnote>
  <w:endnote w:type="continuationSeparator" w:id="0">
    <w:p w14:paraId="3EC64B80" w14:textId="77777777" w:rsidR="003E079F" w:rsidRDefault="003E079F">
      <w:pPr>
        <w:spacing w:before="0" w:after="0" w:line="240" w:lineRule="auto"/>
      </w:pPr>
      <w:r>
        <w:continuationSeparator/>
      </w:r>
    </w:p>
  </w:endnote>
  <w:endnote w:type="continuationNotice" w:id="1">
    <w:p w14:paraId="5C7DD4F2" w14:textId="77777777" w:rsidR="003E079F" w:rsidRDefault="003E079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8739" w14:textId="77777777" w:rsidR="00443AF1" w:rsidRDefault="00443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70259"/>
      <w:docPartObj>
        <w:docPartGallery w:val="Page Numbers (Bottom of Page)"/>
        <w:docPartUnique/>
      </w:docPartObj>
    </w:sdtPr>
    <w:sdtEndPr>
      <w:rPr>
        <w:noProof/>
      </w:rPr>
    </w:sdtEndPr>
    <w:sdtContent>
      <w:p w14:paraId="72FA50E2" w14:textId="697D5FF5" w:rsidR="00F25AB7" w:rsidRDefault="00F25AB7" w:rsidP="004E0880">
        <w:pPr>
          <w:pStyle w:val="Footer"/>
          <w:jc w:val="right"/>
        </w:pPr>
        <w:r>
          <w:tab/>
        </w:r>
        <w:r>
          <w:fldChar w:fldCharType="begin"/>
        </w:r>
        <w:r>
          <w:instrText xml:space="preserve"> PAGE   \* MERGEFORMAT </w:instrText>
        </w:r>
        <w:r>
          <w:fldChar w:fldCharType="separate"/>
        </w:r>
        <w:r>
          <w:t>23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A9CC" w14:textId="77777777" w:rsidR="00443AF1" w:rsidRDefault="00443A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9CBA15B" w14:textId="1EC85A16" w:rsidR="00F25AB7" w:rsidRPr="00284793" w:rsidRDefault="00F25AB7" w:rsidP="00284793">
        <w:pPr>
          <w:pStyle w:val="Footer"/>
          <w:jc w:val="right"/>
        </w:pPr>
        <w:r>
          <w:tab/>
        </w:r>
        <w:r>
          <w:fldChar w:fldCharType="begin"/>
        </w:r>
        <w:r>
          <w:instrText xml:space="preserve"> PAGE   \* MERGEFORMAT </w:instrText>
        </w:r>
        <w:r>
          <w:fldChar w:fldCharType="separate"/>
        </w:r>
        <w: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35E6" w14:textId="77777777" w:rsidR="003E079F" w:rsidRDefault="003E079F">
      <w:pPr>
        <w:spacing w:before="0" w:after="0" w:line="240" w:lineRule="auto"/>
      </w:pPr>
      <w:r>
        <w:separator/>
      </w:r>
    </w:p>
  </w:footnote>
  <w:footnote w:type="continuationSeparator" w:id="0">
    <w:p w14:paraId="3AAF8611" w14:textId="77777777" w:rsidR="003E079F" w:rsidRDefault="003E079F">
      <w:pPr>
        <w:spacing w:before="0" w:after="0" w:line="240" w:lineRule="auto"/>
      </w:pPr>
      <w:r>
        <w:continuationSeparator/>
      </w:r>
    </w:p>
  </w:footnote>
  <w:footnote w:type="continuationNotice" w:id="1">
    <w:p w14:paraId="5C56D152" w14:textId="77777777" w:rsidR="003E079F" w:rsidRDefault="003E079F">
      <w:pPr>
        <w:spacing w:before="0" w:after="0" w:line="240" w:lineRule="auto"/>
      </w:pPr>
    </w:p>
  </w:footnote>
  <w:footnote w:id="2">
    <w:p w14:paraId="662B0BBA" w14:textId="7EF48122" w:rsidR="00F25AB7" w:rsidRPr="00637A3D" w:rsidRDefault="00F25AB7" w:rsidP="00637A3D">
      <w:pPr>
        <w:spacing w:before="0" w:after="0" w:line="240" w:lineRule="auto"/>
        <w:rPr>
          <w:rFonts w:ascii="Calibri" w:hAnsi="Calibri" w:cs="Calibri"/>
          <w:sz w:val="18"/>
          <w:szCs w:val="18"/>
        </w:rPr>
      </w:pPr>
      <w:r w:rsidRPr="00637A3D">
        <w:rPr>
          <w:rStyle w:val="FootnoteReference"/>
          <w:rFonts w:ascii="Calibri" w:hAnsi="Calibri" w:cs="Calibri"/>
          <w:sz w:val="18"/>
          <w:szCs w:val="18"/>
        </w:rPr>
        <w:footnoteRef/>
      </w:r>
      <w:r w:rsidRPr="00637A3D">
        <w:rPr>
          <w:rFonts w:ascii="Calibri" w:hAnsi="Calibri" w:cs="Calibri"/>
          <w:sz w:val="18"/>
          <w:szCs w:val="18"/>
        </w:rPr>
        <w:t xml:space="preserve"> Mond, HG &amp; Crozer, I 2019, ‘The Australian and New Zealand Cardiac Implantable Electronic Device Survey: Calendar year 2017, </w:t>
      </w:r>
      <w:r w:rsidRPr="00637A3D">
        <w:rPr>
          <w:rFonts w:ascii="Calibri" w:hAnsi="Calibri" w:cs="Calibri"/>
          <w:i/>
          <w:iCs/>
          <w:sz w:val="18"/>
          <w:szCs w:val="18"/>
        </w:rPr>
        <w:t>Heart Lung Circ</w:t>
      </w:r>
      <w:r w:rsidRPr="00637A3D">
        <w:rPr>
          <w:rFonts w:ascii="Calibri" w:hAnsi="Calibri" w:cs="Calibri"/>
          <w:sz w:val="18"/>
          <w:szCs w:val="18"/>
        </w:rPr>
        <w:t>, vol. 28, pp. 560-566.</w:t>
      </w:r>
    </w:p>
  </w:footnote>
  <w:footnote w:id="3">
    <w:p w14:paraId="5F68F98C" w14:textId="12A250B6" w:rsidR="00F25AB7" w:rsidRPr="00637A3D" w:rsidRDefault="00F25AB7" w:rsidP="004C07A8">
      <w:pPr>
        <w:pStyle w:val="FootnoteText"/>
        <w:rPr>
          <w:rFonts w:ascii="Calibri" w:hAnsi="Calibri" w:cs="Calibri"/>
          <w:sz w:val="18"/>
          <w:szCs w:val="18"/>
        </w:rPr>
      </w:pPr>
      <w:r w:rsidRPr="00637A3D">
        <w:rPr>
          <w:rStyle w:val="FootnoteReference"/>
          <w:rFonts w:ascii="Calibri" w:hAnsi="Calibri" w:cs="Calibri"/>
          <w:sz w:val="18"/>
          <w:szCs w:val="18"/>
        </w:rPr>
        <w:footnoteRef/>
      </w:r>
      <w:r w:rsidRPr="00637A3D">
        <w:rPr>
          <w:rFonts w:ascii="Calibri" w:hAnsi="Calibri" w:cs="Calibri"/>
          <w:sz w:val="18"/>
          <w:szCs w:val="18"/>
        </w:rPr>
        <w:t xml:space="preserve"> </w:t>
      </w:r>
      <w:r w:rsidRPr="00637A3D">
        <w:rPr>
          <w:rFonts w:ascii="Calibri" w:hAnsi="Calibri" w:cs="Calibri"/>
          <w:sz w:val="18"/>
          <w:szCs w:val="18"/>
        </w:rPr>
        <w:t xml:space="preserve">Kusomoto, FM, et al. 2019, ‘2018 ACC/AHA/HRS guideline on the evaluation and management of patients with bradycardia and cardiac conduction delay. A report of the American College of Cardiology/American Heart Association Task Force on Clinical Practice Guidelines and the Heart Rhythm Society’, </w:t>
      </w:r>
      <w:r w:rsidRPr="00637A3D">
        <w:rPr>
          <w:rFonts w:ascii="Calibri" w:hAnsi="Calibri" w:cs="Calibri"/>
          <w:i/>
          <w:iCs/>
          <w:sz w:val="18"/>
          <w:szCs w:val="18"/>
        </w:rPr>
        <w:t>Circulation</w:t>
      </w:r>
      <w:r w:rsidRPr="00637A3D">
        <w:rPr>
          <w:rFonts w:ascii="Calibri" w:hAnsi="Calibri" w:cs="Calibri"/>
          <w:sz w:val="18"/>
          <w:szCs w:val="18"/>
        </w:rPr>
        <w:t>, vol. 140, no. 8, pp. e382-e482.</w:t>
      </w:r>
    </w:p>
  </w:footnote>
  <w:footnote w:id="4">
    <w:p w14:paraId="338C5BC2" w14:textId="7A3F7E70" w:rsidR="00F25AB7" w:rsidRPr="00637A3D" w:rsidRDefault="00F25AB7" w:rsidP="004C07A8">
      <w:pPr>
        <w:pStyle w:val="FootnoteText"/>
        <w:rPr>
          <w:rFonts w:ascii="Calibri" w:hAnsi="Calibri" w:cs="Calibri"/>
          <w:sz w:val="18"/>
          <w:szCs w:val="18"/>
        </w:rPr>
      </w:pPr>
      <w:r w:rsidRPr="00637A3D">
        <w:rPr>
          <w:rStyle w:val="FootnoteReference"/>
          <w:rFonts w:ascii="Calibri" w:hAnsi="Calibri" w:cs="Calibri"/>
          <w:sz w:val="18"/>
          <w:szCs w:val="18"/>
        </w:rPr>
        <w:footnoteRef/>
      </w:r>
      <w:r w:rsidRPr="00637A3D">
        <w:rPr>
          <w:rFonts w:ascii="Calibri" w:hAnsi="Calibri" w:cs="Calibri"/>
          <w:sz w:val="18"/>
          <w:szCs w:val="18"/>
        </w:rPr>
        <w:t xml:space="preserve"> Denman, RA,</w:t>
      </w:r>
      <w:r>
        <w:rPr>
          <w:rFonts w:ascii="Calibri" w:hAnsi="Calibri" w:cs="Calibri"/>
          <w:sz w:val="18"/>
          <w:szCs w:val="18"/>
        </w:rPr>
        <w:t xml:space="preserve"> et al.</w:t>
      </w:r>
      <w:r w:rsidRPr="00637A3D">
        <w:rPr>
          <w:rFonts w:ascii="Calibri" w:hAnsi="Calibri" w:cs="Calibri"/>
          <w:sz w:val="18"/>
          <w:szCs w:val="18"/>
        </w:rPr>
        <w:t xml:space="preserve"> 2019, ‘Leadless permanent pacing: a single centre Australian experience, </w:t>
      </w:r>
      <w:r w:rsidRPr="00637A3D">
        <w:rPr>
          <w:rFonts w:ascii="Calibri" w:hAnsi="Calibri" w:cs="Calibri"/>
          <w:i/>
          <w:iCs/>
          <w:sz w:val="18"/>
          <w:szCs w:val="18"/>
        </w:rPr>
        <w:t>Heart Lung Circ</w:t>
      </w:r>
      <w:r w:rsidRPr="00637A3D">
        <w:rPr>
          <w:rFonts w:ascii="Calibri" w:hAnsi="Calibri" w:cs="Calibri"/>
          <w:sz w:val="18"/>
          <w:szCs w:val="18"/>
        </w:rPr>
        <w:t>, vol. 28, no. 11, pp. 1677-1682.</w:t>
      </w:r>
    </w:p>
  </w:footnote>
  <w:footnote w:id="5">
    <w:p w14:paraId="4F36EF6B" w14:textId="0E2C2208" w:rsidR="00F25AB7" w:rsidRPr="00637A3D" w:rsidRDefault="00F25AB7" w:rsidP="004C07A8">
      <w:pPr>
        <w:pStyle w:val="FootnoteText"/>
        <w:rPr>
          <w:rFonts w:ascii="Calibri" w:hAnsi="Calibri" w:cs="Calibri"/>
          <w:sz w:val="18"/>
          <w:szCs w:val="18"/>
        </w:rPr>
      </w:pPr>
      <w:r w:rsidRPr="00637A3D">
        <w:rPr>
          <w:rStyle w:val="FootnoteReference"/>
          <w:rFonts w:ascii="Calibri" w:hAnsi="Calibri" w:cs="Calibri"/>
          <w:sz w:val="18"/>
          <w:szCs w:val="18"/>
        </w:rPr>
        <w:footnoteRef/>
      </w:r>
      <w:r w:rsidRPr="00637A3D">
        <w:rPr>
          <w:rFonts w:ascii="Calibri" w:hAnsi="Calibri" w:cs="Calibri"/>
          <w:sz w:val="18"/>
          <w:szCs w:val="18"/>
        </w:rPr>
        <w:t xml:space="preserve"> </w:t>
      </w:r>
      <w:r w:rsidRPr="00637A3D">
        <w:rPr>
          <w:rFonts w:ascii="Calibri" w:hAnsi="Calibri" w:cs="Calibri"/>
          <w:sz w:val="18"/>
          <w:szCs w:val="18"/>
        </w:rPr>
        <w:t xml:space="preserve">Glikson, M, et al. 2021, ‘2021 ESC Guidelines on cardiac pacing and cardiac resynchronization therapy’, </w:t>
      </w:r>
      <w:r w:rsidRPr="00637A3D">
        <w:rPr>
          <w:rFonts w:ascii="Calibri" w:hAnsi="Calibri" w:cs="Calibri"/>
          <w:i/>
          <w:iCs/>
          <w:sz w:val="18"/>
          <w:szCs w:val="18"/>
        </w:rPr>
        <w:t>Eur Heart J</w:t>
      </w:r>
      <w:r w:rsidRPr="00637A3D">
        <w:rPr>
          <w:rFonts w:ascii="Calibri" w:hAnsi="Calibri" w:cs="Calibri"/>
          <w:sz w:val="18"/>
          <w:szCs w:val="18"/>
        </w:rPr>
        <w:t>, vol. 42, no. 35, pp. 3427-3520.</w:t>
      </w:r>
    </w:p>
  </w:footnote>
  <w:footnote w:id="6">
    <w:p w14:paraId="4DD719B8" w14:textId="6F0F044E" w:rsidR="00F25AB7" w:rsidRPr="004C07A8" w:rsidRDefault="00F25AB7" w:rsidP="004C07A8">
      <w:pPr>
        <w:pStyle w:val="FootnoteText"/>
        <w:rPr>
          <w:rFonts w:ascii="Calibri" w:hAnsi="Calibri" w:cs="Calibri"/>
          <w:sz w:val="18"/>
          <w:szCs w:val="18"/>
          <w:lang w:val="en-CA"/>
        </w:rPr>
      </w:pPr>
      <w:r w:rsidRPr="004C07A8">
        <w:rPr>
          <w:rStyle w:val="FootnoteReference"/>
          <w:rFonts w:ascii="Calibri" w:hAnsi="Calibri" w:cs="Calibri"/>
          <w:sz w:val="18"/>
          <w:szCs w:val="18"/>
        </w:rPr>
        <w:footnoteRef/>
      </w:r>
      <w:r w:rsidRPr="004C07A8">
        <w:rPr>
          <w:rFonts w:ascii="Calibri" w:hAnsi="Calibri" w:cs="Calibri"/>
          <w:sz w:val="18"/>
          <w:szCs w:val="18"/>
        </w:rPr>
        <w:t xml:space="preserve"> </w:t>
      </w:r>
      <w:r w:rsidRPr="004C07A8">
        <w:rPr>
          <w:rFonts w:ascii="Calibri" w:hAnsi="Calibri" w:cs="Calibri"/>
          <w:sz w:val="18"/>
          <w:szCs w:val="18"/>
        </w:rPr>
        <w:t xml:space="preserve">Kusomoto, FM, et al. 2019, ‘2018 ACC/AHA/HRS guideline on the evaluation and management of patients with bradycardia and cardiac conduction delay. A report of the American College of Cardiology/American Heart Association Task Force on Clinical Practice Guidelines and the Heart Rhythm Society’, </w:t>
      </w:r>
      <w:r w:rsidRPr="004C07A8">
        <w:rPr>
          <w:rFonts w:ascii="Calibri" w:hAnsi="Calibri" w:cs="Calibri"/>
          <w:i/>
          <w:iCs/>
          <w:sz w:val="18"/>
          <w:szCs w:val="18"/>
        </w:rPr>
        <w:t>Circulation</w:t>
      </w:r>
      <w:r w:rsidRPr="004C07A8">
        <w:rPr>
          <w:rFonts w:ascii="Calibri" w:hAnsi="Calibri" w:cs="Calibri"/>
          <w:sz w:val="18"/>
          <w:szCs w:val="18"/>
        </w:rPr>
        <w:t>, vol. 140, no. 8, pp. e382-e482.</w:t>
      </w:r>
    </w:p>
  </w:footnote>
  <w:footnote w:id="7">
    <w:p w14:paraId="1CB8CA04" w14:textId="62FD2C77" w:rsidR="00F25AB7" w:rsidRPr="004C07A8" w:rsidRDefault="00F25AB7" w:rsidP="004C07A8">
      <w:pPr>
        <w:pStyle w:val="FootnoteText"/>
        <w:rPr>
          <w:rFonts w:asciiTheme="minorHAnsi" w:hAnsiTheme="minorHAnsi" w:cstheme="minorHAnsi"/>
          <w:sz w:val="18"/>
          <w:szCs w:val="18"/>
        </w:rPr>
      </w:pPr>
      <w:r w:rsidRPr="004C07A8">
        <w:rPr>
          <w:rStyle w:val="FootnoteReference"/>
          <w:rFonts w:asciiTheme="minorHAnsi" w:hAnsiTheme="minorHAnsi" w:cstheme="minorHAnsi"/>
          <w:sz w:val="18"/>
          <w:szCs w:val="18"/>
        </w:rPr>
        <w:footnoteRef/>
      </w:r>
      <w:r w:rsidRPr="004C07A8">
        <w:rPr>
          <w:rFonts w:asciiTheme="minorHAnsi" w:hAnsiTheme="minorHAnsi" w:cstheme="minorHAnsi"/>
          <w:sz w:val="18"/>
          <w:szCs w:val="18"/>
        </w:rPr>
        <w:t xml:space="preserve"> </w:t>
      </w:r>
      <w:r w:rsidRPr="004C07A8">
        <w:rPr>
          <w:rFonts w:asciiTheme="minorHAnsi" w:hAnsiTheme="minorHAnsi" w:cstheme="minorHAnsi"/>
          <w:sz w:val="18"/>
          <w:szCs w:val="18"/>
        </w:rPr>
        <w:t xml:space="preserve">Chieng, D, Lee, F, Ireland, K &amp; Paul, V 2020, ‘Safety and efficacy outcomes of combined leadless pacemaker and atrioventricular nodal ablation for atrial fibrillation using a single femoral puncture approach’, </w:t>
      </w:r>
      <w:r w:rsidRPr="004C07A8">
        <w:rPr>
          <w:rFonts w:asciiTheme="minorHAnsi" w:hAnsiTheme="minorHAnsi" w:cstheme="minorHAnsi"/>
          <w:i/>
          <w:iCs/>
          <w:sz w:val="18"/>
          <w:szCs w:val="18"/>
        </w:rPr>
        <w:t>Heart Lung Circ</w:t>
      </w:r>
      <w:r w:rsidRPr="004C07A8">
        <w:rPr>
          <w:rFonts w:asciiTheme="minorHAnsi" w:hAnsiTheme="minorHAnsi" w:cstheme="minorHAnsi"/>
          <w:sz w:val="18"/>
          <w:szCs w:val="18"/>
        </w:rPr>
        <w:t xml:space="preserve">, vol. 29, no. 5, pp. 759-765. </w:t>
      </w:r>
    </w:p>
  </w:footnote>
  <w:footnote w:id="8">
    <w:p w14:paraId="782ABB10" w14:textId="65E68719" w:rsidR="00F25AB7" w:rsidRPr="00637A3D" w:rsidRDefault="00F25AB7" w:rsidP="004C07A8">
      <w:pPr>
        <w:pStyle w:val="FootnoteText"/>
        <w:rPr>
          <w:rFonts w:asciiTheme="minorHAnsi" w:hAnsiTheme="minorHAnsi" w:cstheme="minorHAnsi"/>
          <w:sz w:val="18"/>
          <w:szCs w:val="18"/>
        </w:rPr>
      </w:pPr>
      <w:r w:rsidRPr="004C07A8">
        <w:rPr>
          <w:rStyle w:val="FootnoteReference"/>
          <w:rFonts w:asciiTheme="minorHAnsi" w:hAnsiTheme="minorHAnsi" w:cstheme="minorHAnsi"/>
          <w:sz w:val="18"/>
          <w:szCs w:val="18"/>
        </w:rPr>
        <w:footnoteRef/>
      </w:r>
      <w:r w:rsidRPr="004C07A8">
        <w:rPr>
          <w:rFonts w:asciiTheme="minorHAnsi" w:hAnsiTheme="minorHAnsi" w:cstheme="minorHAnsi"/>
          <w:sz w:val="18"/>
          <w:szCs w:val="18"/>
        </w:rPr>
        <w:t xml:space="preserve"> </w:t>
      </w:r>
      <w:r w:rsidRPr="00DE7A1F">
        <w:rPr>
          <w:rFonts w:ascii="Calibri" w:hAnsi="Calibri" w:cs="Calibri"/>
          <w:sz w:val="18"/>
          <w:szCs w:val="18"/>
        </w:rPr>
        <w:t>Denman, RA,</w:t>
      </w:r>
      <w:r>
        <w:rPr>
          <w:rFonts w:ascii="Calibri" w:hAnsi="Calibri" w:cs="Calibri"/>
          <w:sz w:val="18"/>
          <w:szCs w:val="18"/>
        </w:rPr>
        <w:t xml:space="preserve"> et al.</w:t>
      </w:r>
      <w:r w:rsidRPr="00DE7A1F">
        <w:rPr>
          <w:rFonts w:ascii="Calibri" w:hAnsi="Calibri" w:cs="Calibri"/>
          <w:sz w:val="18"/>
          <w:szCs w:val="18"/>
        </w:rPr>
        <w:t xml:space="preserve"> 2019, ‘Leadless permanent pacing: a single centre Australian experience, </w:t>
      </w:r>
      <w:r w:rsidRPr="00DE7A1F">
        <w:rPr>
          <w:rFonts w:ascii="Calibri" w:hAnsi="Calibri" w:cs="Calibri"/>
          <w:i/>
          <w:iCs/>
          <w:sz w:val="18"/>
          <w:szCs w:val="18"/>
        </w:rPr>
        <w:t>Heart Lung Circ</w:t>
      </w:r>
      <w:r w:rsidRPr="00DE7A1F">
        <w:rPr>
          <w:rFonts w:ascii="Calibri" w:hAnsi="Calibri" w:cs="Calibri"/>
          <w:sz w:val="18"/>
          <w:szCs w:val="18"/>
        </w:rPr>
        <w:t>, vol. 28, no. 11, pp. 1677-1682.</w:t>
      </w:r>
    </w:p>
  </w:footnote>
  <w:footnote w:id="9">
    <w:p w14:paraId="1A575D2F" w14:textId="6E52866C" w:rsidR="00F25AB7" w:rsidRPr="007D592C" w:rsidRDefault="00F25AB7" w:rsidP="00D52905">
      <w:pPr>
        <w:pStyle w:val="FootnoteText"/>
        <w:rPr>
          <w:lang w:val="en-NZ"/>
        </w:rPr>
      </w:pPr>
      <w:r>
        <w:rPr>
          <w:rStyle w:val="FootnoteReference"/>
        </w:rPr>
        <w:footnoteRef/>
      </w:r>
      <w:r>
        <w:t xml:space="preserve"> </w:t>
      </w:r>
      <w:r w:rsidRPr="00E503E9">
        <w:rPr>
          <w:rFonts w:asciiTheme="minorHAnsi" w:hAnsiTheme="minorHAnsi" w:cstheme="minorHAnsi"/>
          <w:sz w:val="18"/>
          <w:szCs w:val="18"/>
        </w:rPr>
        <w:t>Chi-square tests were calculated by the commentary</w:t>
      </w:r>
    </w:p>
  </w:footnote>
  <w:footnote w:id="10">
    <w:p w14:paraId="13F62367" w14:textId="23A719FB" w:rsidR="00F25AB7" w:rsidRPr="00637A3D" w:rsidRDefault="00F25AB7" w:rsidP="00566F55">
      <w:pPr>
        <w:pStyle w:val="FootnoteText"/>
        <w:rPr>
          <w:rFonts w:ascii="Calibri" w:hAnsi="Calibri" w:cs="Calibri"/>
          <w:sz w:val="18"/>
          <w:szCs w:val="18"/>
        </w:rPr>
      </w:pPr>
      <w:r w:rsidRPr="00637A3D">
        <w:rPr>
          <w:rStyle w:val="FootnoteReference"/>
          <w:rFonts w:ascii="Calibri" w:hAnsi="Calibri" w:cs="Calibri"/>
          <w:sz w:val="18"/>
          <w:szCs w:val="18"/>
        </w:rPr>
        <w:footnoteRef/>
      </w:r>
      <w:r w:rsidRPr="00637A3D">
        <w:rPr>
          <w:rFonts w:ascii="Calibri" w:hAnsi="Calibri" w:cs="Calibri"/>
          <w:sz w:val="18"/>
          <w:szCs w:val="18"/>
        </w:rPr>
        <w:t xml:space="preserve"> United States Food and Drug Administration (U.S. FDA) 2021</w:t>
      </w:r>
      <w:r>
        <w:rPr>
          <w:rFonts w:ascii="Calibri" w:hAnsi="Calibri" w:cs="Calibri"/>
          <w:sz w:val="18"/>
          <w:szCs w:val="18"/>
        </w:rPr>
        <w:t>,</w:t>
      </w:r>
      <w:r w:rsidRPr="00637A3D">
        <w:rPr>
          <w:rFonts w:ascii="Calibri" w:hAnsi="Calibri" w:cs="Calibri"/>
          <w:sz w:val="18"/>
          <w:szCs w:val="18"/>
        </w:rPr>
        <w:t xml:space="preserve"> </w:t>
      </w:r>
      <w:r w:rsidRPr="00637A3D">
        <w:rPr>
          <w:rFonts w:ascii="Calibri" w:hAnsi="Calibri" w:cs="Calibri"/>
          <w:i/>
          <w:iCs/>
          <w:sz w:val="18"/>
          <w:szCs w:val="18"/>
        </w:rPr>
        <w:t>Leadless pacing systems: Risk of major complications related to cardiac perforation during implantation – Letter to health care providers</w:t>
      </w:r>
      <w:r w:rsidRPr="00637A3D">
        <w:rPr>
          <w:rFonts w:ascii="Calibri" w:hAnsi="Calibri" w:cs="Calibri"/>
          <w:sz w:val="18"/>
          <w:szCs w:val="18"/>
        </w:rPr>
        <w:t xml:space="preserve"> [Online]</w:t>
      </w:r>
      <w:r>
        <w:rPr>
          <w:rFonts w:ascii="Calibri" w:hAnsi="Calibri" w:cs="Calibri"/>
          <w:sz w:val="18"/>
          <w:szCs w:val="18"/>
        </w:rPr>
        <w:t>,</w:t>
      </w:r>
      <w:r w:rsidRPr="00637A3D">
        <w:rPr>
          <w:rFonts w:ascii="Calibri" w:hAnsi="Calibri" w:cs="Calibri"/>
          <w:sz w:val="18"/>
          <w:szCs w:val="18"/>
        </w:rPr>
        <w:t xml:space="preserve"> U.S. FDA. Available: </w:t>
      </w:r>
      <w:hyperlink r:id="rId1" w:history="1">
        <w:r w:rsidRPr="00637A3D">
          <w:rPr>
            <w:rStyle w:val="Hyperlink"/>
            <w:rFonts w:ascii="Calibri" w:hAnsi="Calibri" w:cs="Calibri"/>
            <w:sz w:val="18"/>
            <w:szCs w:val="18"/>
          </w:rPr>
          <w:t>https://www.fda.gov/medical-devices/letters-health-care-providers/leadless-pacing-systems-risk-major-complications-related-cardiac-perforation-during-implantation</w:t>
        </w:r>
      </w:hyperlink>
      <w:r w:rsidRPr="00637A3D">
        <w:rPr>
          <w:rFonts w:ascii="Calibri" w:hAnsi="Calibri" w:cs="Calibri"/>
          <w:sz w:val="18"/>
          <w:szCs w:val="18"/>
        </w:rPr>
        <w:t xml:space="preserve"> [Accessed 29 March 2022].</w:t>
      </w:r>
    </w:p>
  </w:footnote>
  <w:footnote w:id="11">
    <w:p w14:paraId="0DEF6D04" w14:textId="57635903" w:rsidR="00F25AB7" w:rsidRPr="00637A3D" w:rsidRDefault="00F25AB7" w:rsidP="001E5A5F">
      <w:pPr>
        <w:pStyle w:val="FootnoteText"/>
        <w:rPr>
          <w:rFonts w:ascii="Calibri" w:hAnsi="Calibri" w:cs="Calibri"/>
          <w:sz w:val="18"/>
          <w:szCs w:val="18"/>
          <w:lang w:val="en-NZ"/>
        </w:rPr>
      </w:pPr>
      <w:r w:rsidRPr="00637A3D">
        <w:rPr>
          <w:rStyle w:val="FootnoteReference"/>
          <w:rFonts w:ascii="Calibri" w:hAnsi="Calibri" w:cs="Calibri"/>
          <w:sz w:val="18"/>
          <w:szCs w:val="18"/>
        </w:rPr>
        <w:footnoteRef/>
      </w:r>
      <w:r w:rsidRPr="00637A3D">
        <w:rPr>
          <w:rFonts w:ascii="Calibri" w:hAnsi="Calibri" w:cs="Calibri"/>
          <w:sz w:val="18"/>
          <w:szCs w:val="18"/>
        </w:rPr>
        <w:t xml:space="preserve"> Medicines &amp; Healthcare products Regulatory Agency (MHRA) Expert Advisory Group 2021</w:t>
      </w:r>
      <w:r>
        <w:rPr>
          <w:rFonts w:ascii="Calibri" w:hAnsi="Calibri" w:cs="Calibri"/>
          <w:sz w:val="18"/>
          <w:szCs w:val="18"/>
        </w:rPr>
        <w:t>,</w:t>
      </w:r>
      <w:r w:rsidRPr="00637A3D">
        <w:rPr>
          <w:rFonts w:ascii="Calibri" w:hAnsi="Calibri" w:cs="Calibri"/>
          <w:sz w:val="18"/>
          <w:szCs w:val="18"/>
        </w:rPr>
        <w:t xml:space="preserve"> </w:t>
      </w:r>
      <w:r w:rsidRPr="00637A3D">
        <w:rPr>
          <w:rFonts w:ascii="Calibri" w:hAnsi="Calibri" w:cs="Calibri"/>
          <w:i/>
          <w:iCs/>
          <w:sz w:val="18"/>
          <w:szCs w:val="18"/>
        </w:rPr>
        <w:t>Leadless cardiac pacemaker therapy: design of pre- and post-market clinical studies. Recommendations from MHRA Expert Advisory Group Version 3: Updated January 2021</w:t>
      </w:r>
      <w:r w:rsidRPr="00637A3D">
        <w:rPr>
          <w:rFonts w:ascii="Calibri" w:hAnsi="Calibri" w:cs="Calibri"/>
          <w:sz w:val="18"/>
          <w:szCs w:val="18"/>
        </w:rPr>
        <w:t xml:space="preserve"> [Online]</w:t>
      </w:r>
      <w:r>
        <w:rPr>
          <w:rFonts w:ascii="Calibri" w:hAnsi="Calibri" w:cs="Calibri"/>
          <w:sz w:val="18"/>
          <w:szCs w:val="18"/>
        </w:rPr>
        <w:t>,</w:t>
      </w:r>
      <w:r w:rsidRPr="00637A3D">
        <w:rPr>
          <w:rFonts w:ascii="Calibri" w:hAnsi="Calibri" w:cs="Calibri"/>
          <w:sz w:val="18"/>
          <w:szCs w:val="18"/>
        </w:rPr>
        <w:t xml:space="preserve"> MHRA. Available: </w:t>
      </w:r>
      <w:hyperlink r:id="rId2" w:history="1">
        <w:r w:rsidRPr="00637A3D">
          <w:rPr>
            <w:rStyle w:val="Hyperlink"/>
            <w:rFonts w:ascii="Calibri" w:hAnsi="Calibri" w:cs="Calibri"/>
            <w:sz w:val="18"/>
            <w:szCs w:val="18"/>
          </w:rPr>
          <w:t>https://assets.publishing.service.gov.uk/government/uploads/system/uploads/attachment_data/file/956252/Leadless-EAG-guidance.pdf</w:t>
        </w:r>
      </w:hyperlink>
      <w:r w:rsidRPr="00637A3D">
        <w:rPr>
          <w:rFonts w:ascii="Calibri" w:hAnsi="Calibri" w:cs="Calibri"/>
          <w:sz w:val="18"/>
          <w:szCs w:val="18"/>
        </w:rPr>
        <w:t xml:space="preserve"> [Accessed 29 March 2022].</w:t>
      </w:r>
    </w:p>
  </w:footnote>
  <w:footnote w:id="12">
    <w:p w14:paraId="3B31A2FF" w14:textId="77777777" w:rsidR="00F25AB7" w:rsidRPr="00913C05" w:rsidRDefault="00F25AB7" w:rsidP="00C610C4">
      <w:pPr>
        <w:pStyle w:val="FootnoteText"/>
        <w:rPr>
          <w:rFonts w:ascii="Calibri" w:hAnsi="Calibri" w:cs="Calibri"/>
          <w:sz w:val="18"/>
          <w:szCs w:val="18"/>
        </w:rPr>
      </w:pPr>
      <w:r w:rsidRPr="00913C05">
        <w:rPr>
          <w:rStyle w:val="FootnoteReference"/>
          <w:rFonts w:ascii="Calibri" w:hAnsi="Calibri" w:cs="Calibri"/>
          <w:sz w:val="18"/>
          <w:szCs w:val="18"/>
        </w:rPr>
        <w:footnoteRef/>
      </w:r>
      <w:r w:rsidRPr="00913C05">
        <w:rPr>
          <w:rFonts w:ascii="Calibri" w:hAnsi="Calibri" w:cs="Calibri"/>
          <w:sz w:val="18"/>
          <w:szCs w:val="18"/>
        </w:rPr>
        <w:t xml:space="preserve"> </w:t>
      </w:r>
      <w:r w:rsidRPr="00913C05">
        <w:rPr>
          <w:rFonts w:ascii="Calibri" w:hAnsi="Calibri" w:cs="Calibri"/>
          <w:sz w:val="18"/>
          <w:szCs w:val="18"/>
        </w:rPr>
        <w:t xml:space="preserve">Duray, GZ et al.; Micra Transcatheter Pacing Study Group 2017, ‘Long-term performance of a transcatheter pacing system: 12-Month results from the Micra Transcatheter Pacing Study’, </w:t>
      </w:r>
      <w:r w:rsidRPr="00913C05">
        <w:rPr>
          <w:rFonts w:ascii="Calibri" w:hAnsi="Calibri" w:cs="Calibri"/>
          <w:i/>
          <w:iCs/>
          <w:sz w:val="18"/>
          <w:szCs w:val="18"/>
        </w:rPr>
        <w:t>Heart Rhythm</w:t>
      </w:r>
      <w:r w:rsidRPr="00913C05">
        <w:rPr>
          <w:rFonts w:ascii="Calibri" w:hAnsi="Calibri" w:cs="Calibri"/>
          <w:sz w:val="18"/>
          <w:szCs w:val="18"/>
        </w:rPr>
        <w:t>, vol. 14, pp. 702-709.</w:t>
      </w:r>
    </w:p>
  </w:footnote>
  <w:footnote w:id="13">
    <w:p w14:paraId="320142E1" w14:textId="77777777" w:rsidR="00F25AB7" w:rsidRPr="00637A3D" w:rsidRDefault="00F25AB7" w:rsidP="000B68D2">
      <w:pPr>
        <w:pStyle w:val="FootnoteText"/>
        <w:rPr>
          <w:rFonts w:asciiTheme="minorHAnsi" w:hAnsiTheme="minorHAnsi" w:cstheme="minorHAnsi"/>
          <w:sz w:val="18"/>
          <w:szCs w:val="18"/>
          <w:lang w:val="en-CA"/>
        </w:rPr>
      </w:pPr>
      <w:r w:rsidRPr="00637A3D">
        <w:rPr>
          <w:rStyle w:val="FootnoteReference"/>
          <w:rFonts w:asciiTheme="minorHAnsi" w:hAnsiTheme="minorHAnsi" w:cstheme="minorHAnsi"/>
          <w:sz w:val="18"/>
          <w:szCs w:val="18"/>
        </w:rPr>
        <w:footnoteRef/>
      </w:r>
      <w:r w:rsidRPr="00637A3D">
        <w:rPr>
          <w:rFonts w:asciiTheme="minorHAnsi" w:hAnsiTheme="minorHAnsi" w:cstheme="minorHAnsi"/>
          <w:sz w:val="18"/>
          <w:szCs w:val="18"/>
        </w:rPr>
        <w:t xml:space="preserve">Duray, GZ et al.; Micra Transcatheter Pacing Study Group 2017, ‘Long-term performance of a transcatheter pacing system: 12-Month results from the Micra Transcatheter Pacing Study’, </w:t>
      </w:r>
      <w:r w:rsidRPr="00637A3D">
        <w:rPr>
          <w:rFonts w:asciiTheme="minorHAnsi" w:hAnsiTheme="minorHAnsi" w:cstheme="minorHAnsi"/>
          <w:i/>
          <w:iCs/>
          <w:sz w:val="18"/>
          <w:szCs w:val="18"/>
        </w:rPr>
        <w:t>Heart Rhythm</w:t>
      </w:r>
      <w:r w:rsidRPr="00637A3D">
        <w:rPr>
          <w:rFonts w:asciiTheme="minorHAnsi" w:hAnsiTheme="minorHAnsi" w:cstheme="minorHAnsi"/>
          <w:sz w:val="18"/>
          <w:szCs w:val="18"/>
        </w:rPr>
        <w:t>, vol. 14, pp. 702-709.</w:t>
      </w:r>
    </w:p>
  </w:footnote>
  <w:footnote w:id="14">
    <w:p w14:paraId="756F8415" w14:textId="77777777" w:rsidR="00F25AB7" w:rsidRPr="00637A3D" w:rsidRDefault="00F25AB7" w:rsidP="000B68D2">
      <w:pPr>
        <w:pStyle w:val="FootnoteText"/>
        <w:rPr>
          <w:rFonts w:asciiTheme="minorHAnsi" w:hAnsiTheme="minorHAnsi" w:cstheme="minorHAnsi"/>
          <w:sz w:val="18"/>
          <w:szCs w:val="18"/>
          <w:lang w:val="en-CA"/>
        </w:rPr>
      </w:pPr>
      <w:r w:rsidRPr="00637A3D">
        <w:rPr>
          <w:rStyle w:val="FootnoteReference"/>
          <w:rFonts w:asciiTheme="minorHAnsi" w:hAnsiTheme="minorHAnsi" w:cstheme="minorHAnsi"/>
          <w:sz w:val="18"/>
          <w:szCs w:val="18"/>
        </w:rPr>
        <w:footnoteRef/>
      </w:r>
      <w:r w:rsidRPr="00637A3D">
        <w:rPr>
          <w:rFonts w:asciiTheme="minorHAnsi" w:hAnsiTheme="minorHAnsi" w:cstheme="minorHAnsi"/>
          <w:sz w:val="18"/>
          <w:szCs w:val="18"/>
        </w:rPr>
        <w:t xml:space="preserve"> </w:t>
      </w:r>
      <w:r w:rsidRPr="00637A3D">
        <w:rPr>
          <w:rFonts w:asciiTheme="minorHAnsi" w:hAnsiTheme="minorHAnsi" w:cstheme="minorHAnsi"/>
          <w:sz w:val="18"/>
          <w:szCs w:val="18"/>
        </w:rPr>
        <w:t xml:space="preserve">Roder, C, Gunjaca, V, Otome, O, Gwini, SM &amp; Athan, E 2020, ‘Cost and outcomes of implantable cardiac electronic device infections in Victoria, Australia’, </w:t>
      </w:r>
      <w:r w:rsidRPr="00637A3D">
        <w:rPr>
          <w:rFonts w:asciiTheme="minorHAnsi" w:hAnsiTheme="minorHAnsi" w:cstheme="minorHAnsi"/>
          <w:i/>
          <w:iCs/>
          <w:sz w:val="18"/>
          <w:szCs w:val="18"/>
        </w:rPr>
        <w:t>Heart Lung Circ</w:t>
      </w:r>
      <w:r w:rsidRPr="00637A3D">
        <w:rPr>
          <w:rFonts w:asciiTheme="minorHAnsi" w:hAnsiTheme="minorHAnsi" w:cstheme="minorHAnsi"/>
          <w:sz w:val="18"/>
          <w:szCs w:val="18"/>
        </w:rPr>
        <w:t>, vol. 29, no. 7, pp. 140-146.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5219" w14:textId="77777777" w:rsidR="00443AF1" w:rsidRDefault="00443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180A" w14:textId="77777777" w:rsidR="00443AF1" w:rsidRDefault="00443A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209F" w14:textId="77777777" w:rsidR="00443AF1" w:rsidRDefault="00443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3BBD13"/>
    <w:multiLevelType w:val="hybridMultilevel"/>
    <w:tmpl w:val="A44170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49D90D"/>
    <w:multiLevelType w:val="hybridMultilevel"/>
    <w:tmpl w:val="FF1606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3846B3"/>
    <w:multiLevelType w:val="hybridMultilevel"/>
    <w:tmpl w:val="33FEF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CE44F5"/>
    <w:multiLevelType w:val="hybridMultilevel"/>
    <w:tmpl w:val="4BB4B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8A070C"/>
    <w:multiLevelType w:val="hybridMultilevel"/>
    <w:tmpl w:val="EA4018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FF556F"/>
    <w:multiLevelType w:val="hybridMultilevel"/>
    <w:tmpl w:val="5602E110"/>
    <w:lvl w:ilvl="0" w:tplc="FB942214">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320583A"/>
    <w:multiLevelType w:val="hybridMultilevel"/>
    <w:tmpl w:val="F0C2DAC6"/>
    <w:lvl w:ilvl="0" w:tplc="0C090001">
      <w:start w:val="1"/>
      <w:numFmt w:val="bullet"/>
      <w:lvlText w:val=""/>
      <w:lvlJc w:val="left"/>
      <w:pPr>
        <w:ind w:left="720" w:hanging="360"/>
      </w:pPr>
      <w:rPr>
        <w:rFonts w:ascii="Symbol" w:hAnsi="Symbol" w:hint="default"/>
      </w:rPr>
    </w:lvl>
    <w:lvl w:ilvl="1" w:tplc="43240A9C">
      <w:numFmt w:val="bullet"/>
      <w:lvlText w:val="-"/>
      <w:lvlJc w:val="left"/>
      <w:pPr>
        <w:ind w:left="1440" w:hanging="36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411986"/>
    <w:multiLevelType w:val="hybridMultilevel"/>
    <w:tmpl w:val="B7A00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3D68EB"/>
    <w:multiLevelType w:val="hybridMultilevel"/>
    <w:tmpl w:val="7AB859AA"/>
    <w:lvl w:ilvl="0" w:tplc="49E40432">
      <w:start w:val="1"/>
      <w:numFmt w:val="decimal"/>
      <w:lvlText w:val="%1."/>
      <w:lvlJc w:val="left"/>
      <w:pPr>
        <w:tabs>
          <w:tab w:val="num" w:pos="720"/>
        </w:tabs>
        <w:ind w:left="720" w:hanging="360"/>
      </w:pPr>
    </w:lvl>
    <w:lvl w:ilvl="1" w:tplc="64AA5A08">
      <w:start w:val="1"/>
      <w:numFmt w:val="decimal"/>
      <w:lvlText w:val="%2."/>
      <w:lvlJc w:val="left"/>
      <w:pPr>
        <w:tabs>
          <w:tab w:val="num" w:pos="1440"/>
        </w:tabs>
        <w:ind w:left="1440" w:hanging="360"/>
      </w:pPr>
    </w:lvl>
    <w:lvl w:ilvl="2" w:tplc="41B6777A" w:tentative="1">
      <w:start w:val="1"/>
      <w:numFmt w:val="decimal"/>
      <w:lvlText w:val="%3."/>
      <w:lvlJc w:val="left"/>
      <w:pPr>
        <w:tabs>
          <w:tab w:val="num" w:pos="2160"/>
        </w:tabs>
        <w:ind w:left="2160" w:hanging="360"/>
      </w:pPr>
    </w:lvl>
    <w:lvl w:ilvl="3" w:tplc="F5C4EC5C" w:tentative="1">
      <w:start w:val="1"/>
      <w:numFmt w:val="decimal"/>
      <w:lvlText w:val="%4."/>
      <w:lvlJc w:val="left"/>
      <w:pPr>
        <w:tabs>
          <w:tab w:val="num" w:pos="2880"/>
        </w:tabs>
        <w:ind w:left="2880" w:hanging="360"/>
      </w:pPr>
    </w:lvl>
    <w:lvl w:ilvl="4" w:tplc="3F062ABE" w:tentative="1">
      <w:start w:val="1"/>
      <w:numFmt w:val="decimal"/>
      <w:lvlText w:val="%5."/>
      <w:lvlJc w:val="left"/>
      <w:pPr>
        <w:tabs>
          <w:tab w:val="num" w:pos="3600"/>
        </w:tabs>
        <w:ind w:left="3600" w:hanging="360"/>
      </w:pPr>
    </w:lvl>
    <w:lvl w:ilvl="5" w:tplc="38A4719E" w:tentative="1">
      <w:start w:val="1"/>
      <w:numFmt w:val="decimal"/>
      <w:lvlText w:val="%6."/>
      <w:lvlJc w:val="left"/>
      <w:pPr>
        <w:tabs>
          <w:tab w:val="num" w:pos="4320"/>
        </w:tabs>
        <w:ind w:left="4320" w:hanging="360"/>
      </w:pPr>
    </w:lvl>
    <w:lvl w:ilvl="6" w:tplc="5E14BC50" w:tentative="1">
      <w:start w:val="1"/>
      <w:numFmt w:val="decimal"/>
      <w:lvlText w:val="%7."/>
      <w:lvlJc w:val="left"/>
      <w:pPr>
        <w:tabs>
          <w:tab w:val="num" w:pos="5040"/>
        </w:tabs>
        <w:ind w:left="5040" w:hanging="360"/>
      </w:pPr>
    </w:lvl>
    <w:lvl w:ilvl="7" w:tplc="B8705916" w:tentative="1">
      <w:start w:val="1"/>
      <w:numFmt w:val="decimal"/>
      <w:lvlText w:val="%8."/>
      <w:lvlJc w:val="left"/>
      <w:pPr>
        <w:tabs>
          <w:tab w:val="num" w:pos="5760"/>
        </w:tabs>
        <w:ind w:left="5760" w:hanging="360"/>
      </w:pPr>
    </w:lvl>
    <w:lvl w:ilvl="8" w:tplc="39AE1120" w:tentative="1">
      <w:start w:val="1"/>
      <w:numFmt w:val="decimal"/>
      <w:lvlText w:val="%9."/>
      <w:lvlJc w:val="left"/>
      <w:pPr>
        <w:tabs>
          <w:tab w:val="num" w:pos="6480"/>
        </w:tabs>
        <w:ind w:left="6480" w:hanging="360"/>
      </w:pPr>
    </w:lvl>
  </w:abstractNum>
  <w:abstractNum w:abstractNumId="9" w15:restartNumberingAfterBreak="0">
    <w:nsid w:val="24517768"/>
    <w:multiLevelType w:val="hybridMultilevel"/>
    <w:tmpl w:val="2E4C87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50574F7"/>
    <w:multiLevelType w:val="multilevel"/>
    <w:tmpl w:val="3B860E16"/>
    <w:lvl w:ilvl="0">
      <w:start w:val="1"/>
      <w:numFmt w:val="decimal"/>
      <w:pStyle w:val="Heading1"/>
      <w:lvlText w:val="Section %1"/>
      <w:lvlJc w:val="left"/>
      <w:pPr>
        <w:ind w:left="788" w:hanging="788"/>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ascii="Franklin Gothic Medium" w:hAnsi="Franklin Gothic Medium" w:hint="default"/>
        <w:color w:val="000000" w:themeColor="text1"/>
        <w:sz w:val="24"/>
      </w:rPr>
    </w:lvl>
    <w:lvl w:ilvl="3">
      <w:start w:val="1"/>
      <w:numFmt w:val="decimal"/>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6D9263"/>
    <w:multiLevelType w:val="hybridMultilevel"/>
    <w:tmpl w:val="E9217F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BED5D83"/>
    <w:multiLevelType w:val="hybridMultilevel"/>
    <w:tmpl w:val="623AB768"/>
    <w:lvl w:ilvl="0" w:tplc="6D32A8DC">
      <w:start w:val="1"/>
      <w:numFmt w:val="decimal"/>
      <w:pStyle w:val="Heading2execsummary"/>
      <w:lvlText w:val="%1."/>
      <w:lvlJc w:val="left"/>
      <w:pPr>
        <w:ind w:left="737" w:hanging="73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E879DA"/>
    <w:multiLevelType w:val="hybridMultilevel"/>
    <w:tmpl w:val="D79273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E315652"/>
    <w:multiLevelType w:val="hybridMultilevel"/>
    <w:tmpl w:val="A24CB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41003D"/>
    <w:multiLevelType w:val="hybridMultilevel"/>
    <w:tmpl w:val="C394B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B026A5"/>
    <w:multiLevelType w:val="hybridMultilevel"/>
    <w:tmpl w:val="F9D62D9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7455F4B"/>
    <w:multiLevelType w:val="hybridMultilevel"/>
    <w:tmpl w:val="8A289D7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0" w15:restartNumberingAfterBreak="0">
    <w:nsid w:val="54DF2E50"/>
    <w:multiLevelType w:val="hybridMultilevel"/>
    <w:tmpl w:val="EB80210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C475C48"/>
    <w:multiLevelType w:val="hybridMultilevel"/>
    <w:tmpl w:val="DB1A0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1F498E"/>
    <w:multiLevelType w:val="hybridMultilevel"/>
    <w:tmpl w:val="2B5C22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82B02F0"/>
    <w:multiLevelType w:val="multilevel"/>
    <w:tmpl w:val="F37448BA"/>
    <w:lvl w:ilvl="0">
      <w:start w:val="1"/>
      <w:numFmt w:val="decimal"/>
      <w:lvlText w:val="%1."/>
      <w:lvlJc w:val="left"/>
      <w:pPr>
        <w:ind w:left="360" w:hanging="360"/>
      </w:pPr>
      <w:rPr>
        <w:b w:val="0"/>
        <w:bCs w:val="0"/>
        <w:color w:val="000000" w:themeColor="text1"/>
      </w:rPr>
    </w:lvl>
    <w:lvl w:ilvl="1">
      <w:start w:val="1"/>
      <w:numFmt w:val="decimal"/>
      <w:lvlText w:val="%1.%2."/>
      <w:lvlJc w:val="left"/>
      <w:pPr>
        <w:ind w:left="1425" w:hanging="432"/>
      </w:pPr>
      <w:rPr>
        <w:b w:val="0"/>
        <w:bCs w:val="0"/>
        <w:color w:val="auto"/>
      </w:rPr>
    </w:lvl>
    <w:lvl w:ilvl="2">
      <w:start w:val="1"/>
      <w:numFmt w:val="decimal"/>
      <w:lvlText w:val="%1.%2.%3."/>
      <w:lvlJc w:val="left"/>
      <w:pPr>
        <w:ind w:left="1224" w:hanging="504"/>
      </w:pPr>
      <w:rPr>
        <w:b w:val="0"/>
        <w:bCs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A00B40"/>
    <w:multiLevelType w:val="hybridMultilevel"/>
    <w:tmpl w:val="9E964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BE3AAE"/>
    <w:multiLevelType w:val="hybridMultilevel"/>
    <w:tmpl w:val="E5B4EAFC"/>
    <w:lvl w:ilvl="0" w:tplc="0C090001">
      <w:start w:val="1"/>
      <w:numFmt w:val="bullet"/>
      <w:lvlText w:val=""/>
      <w:lvlJc w:val="left"/>
      <w:pPr>
        <w:ind w:left="945" w:hanging="360"/>
      </w:pPr>
      <w:rPr>
        <w:rFonts w:ascii="Symbol" w:hAnsi="Symbol"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26"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4E73AB"/>
    <w:multiLevelType w:val="hybridMultilevel"/>
    <w:tmpl w:val="4E78C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77221A"/>
    <w:multiLevelType w:val="hybridMultilevel"/>
    <w:tmpl w:val="F7680C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DA575F3"/>
    <w:multiLevelType w:val="hybridMultilevel"/>
    <w:tmpl w:val="76CCE6D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E4D2AD1"/>
    <w:multiLevelType w:val="hybridMultilevel"/>
    <w:tmpl w:val="91F630C0"/>
    <w:lvl w:ilvl="0" w:tplc="6CDEE896">
      <w:start w:val="1"/>
      <w:numFmt w:val="bullet"/>
      <w:lvlText w:val="-"/>
      <w:lvlJc w:val="left"/>
      <w:pPr>
        <w:ind w:left="1080" w:hanging="360"/>
      </w:pPr>
      <w:rPr>
        <w:rFonts w:ascii="Segoe UI" w:hAnsi="Segoe U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0"/>
  </w:num>
  <w:num w:numId="2">
    <w:abstractNumId w:val="18"/>
  </w:num>
  <w:num w:numId="3">
    <w:abstractNumId w:val="12"/>
    <w:lvlOverride w:ilvl="0">
      <w:startOverride w:val="1"/>
    </w:lvlOverride>
  </w:num>
  <w:num w:numId="4">
    <w:abstractNumId w:val="24"/>
  </w:num>
  <w:num w:numId="5">
    <w:abstractNumId w:val="25"/>
  </w:num>
  <w:num w:numId="6">
    <w:abstractNumId w:val="6"/>
  </w:num>
  <w:num w:numId="7">
    <w:abstractNumId w:val="4"/>
  </w:num>
  <w:num w:numId="8">
    <w:abstractNumId w:val="13"/>
  </w:num>
  <w:num w:numId="9">
    <w:abstractNumId w:val="30"/>
  </w:num>
  <w:num w:numId="10">
    <w:abstractNumId w:val="17"/>
  </w:num>
  <w:num w:numId="11">
    <w:abstractNumId w:val="3"/>
  </w:num>
  <w:num w:numId="12">
    <w:abstractNumId w:val="16"/>
  </w:num>
  <w:num w:numId="13">
    <w:abstractNumId w:val="5"/>
  </w:num>
  <w:num w:numId="14">
    <w:abstractNumId w:val="27"/>
  </w:num>
  <w:num w:numId="15">
    <w:abstractNumId w:val="8"/>
  </w:num>
  <w:num w:numId="16">
    <w:abstractNumId w:val="2"/>
  </w:num>
  <w:num w:numId="17">
    <w:abstractNumId w:val="21"/>
  </w:num>
  <w:num w:numId="18">
    <w:abstractNumId w:val="7"/>
  </w:num>
  <w:num w:numId="19">
    <w:abstractNumId w:val="20"/>
  </w:num>
  <w:num w:numId="20">
    <w:abstractNumId w:val="29"/>
  </w:num>
  <w:num w:numId="21">
    <w:abstractNumId w:val="9"/>
  </w:num>
  <w:num w:numId="22">
    <w:abstractNumId w:val="28"/>
  </w:num>
  <w:num w:numId="23">
    <w:abstractNumId w:val="15"/>
  </w:num>
  <w:num w:numId="24">
    <w:abstractNumId w:val="23"/>
  </w:num>
  <w:num w:numId="25">
    <w:abstractNumId w:val="12"/>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26"/>
  </w:num>
  <w:num w:numId="33">
    <w:abstractNumId w:val="22"/>
  </w:num>
  <w:num w:numId="34">
    <w:abstractNumId w:val="19"/>
  </w:num>
  <w:num w:numId="35">
    <w:abstractNumId w:val="11"/>
  </w:num>
  <w:num w:numId="36">
    <w:abstractNumId w:val="1"/>
  </w:num>
  <w:num w:numId="37">
    <w:abstractNumId w:val="0"/>
  </w:num>
  <w:num w:numId="3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F0"/>
    <w:rsid w:val="00000213"/>
    <w:rsid w:val="00000E26"/>
    <w:rsid w:val="00001C56"/>
    <w:rsid w:val="000022D3"/>
    <w:rsid w:val="00002BBA"/>
    <w:rsid w:val="000041F0"/>
    <w:rsid w:val="00004594"/>
    <w:rsid w:val="00004945"/>
    <w:rsid w:val="000057E2"/>
    <w:rsid w:val="000061EE"/>
    <w:rsid w:val="000068A8"/>
    <w:rsid w:val="00006DA3"/>
    <w:rsid w:val="00007379"/>
    <w:rsid w:val="00007407"/>
    <w:rsid w:val="00010015"/>
    <w:rsid w:val="00010A1D"/>
    <w:rsid w:val="00011196"/>
    <w:rsid w:val="00011781"/>
    <w:rsid w:val="00011C52"/>
    <w:rsid w:val="000126F6"/>
    <w:rsid w:val="00012C53"/>
    <w:rsid w:val="00013197"/>
    <w:rsid w:val="00013468"/>
    <w:rsid w:val="000146C4"/>
    <w:rsid w:val="00014E51"/>
    <w:rsid w:val="00015A8E"/>
    <w:rsid w:val="00015C2A"/>
    <w:rsid w:val="00016160"/>
    <w:rsid w:val="00017834"/>
    <w:rsid w:val="00021E1C"/>
    <w:rsid w:val="00021E1D"/>
    <w:rsid w:val="00022051"/>
    <w:rsid w:val="00024358"/>
    <w:rsid w:val="0002465B"/>
    <w:rsid w:val="00027F9E"/>
    <w:rsid w:val="00031178"/>
    <w:rsid w:val="0003124F"/>
    <w:rsid w:val="00031605"/>
    <w:rsid w:val="000338E4"/>
    <w:rsid w:val="00034982"/>
    <w:rsid w:val="00034B6C"/>
    <w:rsid w:val="00034F5D"/>
    <w:rsid w:val="0003605F"/>
    <w:rsid w:val="00036412"/>
    <w:rsid w:val="00036B51"/>
    <w:rsid w:val="00036E3B"/>
    <w:rsid w:val="0003738A"/>
    <w:rsid w:val="00037538"/>
    <w:rsid w:val="00037585"/>
    <w:rsid w:val="00037FF8"/>
    <w:rsid w:val="00040981"/>
    <w:rsid w:val="0004137E"/>
    <w:rsid w:val="0004230F"/>
    <w:rsid w:val="000426D9"/>
    <w:rsid w:val="000428D8"/>
    <w:rsid w:val="00042F42"/>
    <w:rsid w:val="00042F7A"/>
    <w:rsid w:val="0004388C"/>
    <w:rsid w:val="00044181"/>
    <w:rsid w:val="00045973"/>
    <w:rsid w:val="0004603D"/>
    <w:rsid w:val="00046BE6"/>
    <w:rsid w:val="0004773D"/>
    <w:rsid w:val="00050721"/>
    <w:rsid w:val="000511C5"/>
    <w:rsid w:val="00051BD9"/>
    <w:rsid w:val="000529ED"/>
    <w:rsid w:val="0005314C"/>
    <w:rsid w:val="000543CD"/>
    <w:rsid w:val="00054D89"/>
    <w:rsid w:val="00057A33"/>
    <w:rsid w:val="00060C0E"/>
    <w:rsid w:val="00061C59"/>
    <w:rsid w:val="00061D63"/>
    <w:rsid w:val="000620A2"/>
    <w:rsid w:val="00064290"/>
    <w:rsid w:val="000648C3"/>
    <w:rsid w:val="00065C14"/>
    <w:rsid w:val="00065D93"/>
    <w:rsid w:val="00066D62"/>
    <w:rsid w:val="00067140"/>
    <w:rsid w:val="00067279"/>
    <w:rsid w:val="000678CC"/>
    <w:rsid w:val="000701AD"/>
    <w:rsid w:val="00071CA8"/>
    <w:rsid w:val="00072AB9"/>
    <w:rsid w:val="00073936"/>
    <w:rsid w:val="00073E0F"/>
    <w:rsid w:val="000754CE"/>
    <w:rsid w:val="000765AF"/>
    <w:rsid w:val="000774EE"/>
    <w:rsid w:val="000801FE"/>
    <w:rsid w:val="0008040C"/>
    <w:rsid w:val="000809D4"/>
    <w:rsid w:val="000812BE"/>
    <w:rsid w:val="000812DE"/>
    <w:rsid w:val="00081D0E"/>
    <w:rsid w:val="00081D8D"/>
    <w:rsid w:val="00082FB0"/>
    <w:rsid w:val="0008347B"/>
    <w:rsid w:val="00085998"/>
    <w:rsid w:val="00087DB9"/>
    <w:rsid w:val="00090212"/>
    <w:rsid w:val="00091D0E"/>
    <w:rsid w:val="00093094"/>
    <w:rsid w:val="00095327"/>
    <w:rsid w:val="00095DA9"/>
    <w:rsid w:val="0009607B"/>
    <w:rsid w:val="00096FE1"/>
    <w:rsid w:val="00097752"/>
    <w:rsid w:val="00097E30"/>
    <w:rsid w:val="000A0532"/>
    <w:rsid w:val="000A0CDF"/>
    <w:rsid w:val="000A13EE"/>
    <w:rsid w:val="000A194B"/>
    <w:rsid w:val="000A1EA3"/>
    <w:rsid w:val="000A1FDC"/>
    <w:rsid w:val="000A2020"/>
    <w:rsid w:val="000A2670"/>
    <w:rsid w:val="000A2DB8"/>
    <w:rsid w:val="000A32A0"/>
    <w:rsid w:val="000A359E"/>
    <w:rsid w:val="000A3E2E"/>
    <w:rsid w:val="000A4853"/>
    <w:rsid w:val="000A5653"/>
    <w:rsid w:val="000A572F"/>
    <w:rsid w:val="000A5ADF"/>
    <w:rsid w:val="000A6010"/>
    <w:rsid w:val="000A65B4"/>
    <w:rsid w:val="000A6B32"/>
    <w:rsid w:val="000B13C7"/>
    <w:rsid w:val="000B1759"/>
    <w:rsid w:val="000B1909"/>
    <w:rsid w:val="000B1958"/>
    <w:rsid w:val="000B1DF3"/>
    <w:rsid w:val="000B35AA"/>
    <w:rsid w:val="000B3928"/>
    <w:rsid w:val="000B3F60"/>
    <w:rsid w:val="000B6227"/>
    <w:rsid w:val="000B66DE"/>
    <w:rsid w:val="000B68D2"/>
    <w:rsid w:val="000B73BD"/>
    <w:rsid w:val="000B791B"/>
    <w:rsid w:val="000C12FA"/>
    <w:rsid w:val="000C1DD4"/>
    <w:rsid w:val="000C2729"/>
    <w:rsid w:val="000C2B67"/>
    <w:rsid w:val="000C2CFE"/>
    <w:rsid w:val="000C3111"/>
    <w:rsid w:val="000C3122"/>
    <w:rsid w:val="000C6902"/>
    <w:rsid w:val="000C6A00"/>
    <w:rsid w:val="000C6A10"/>
    <w:rsid w:val="000C6BEF"/>
    <w:rsid w:val="000C6F04"/>
    <w:rsid w:val="000C7C4C"/>
    <w:rsid w:val="000C7F84"/>
    <w:rsid w:val="000C7FEE"/>
    <w:rsid w:val="000D10B1"/>
    <w:rsid w:val="000D1D1E"/>
    <w:rsid w:val="000D21E5"/>
    <w:rsid w:val="000D2838"/>
    <w:rsid w:val="000D2DDD"/>
    <w:rsid w:val="000D3CEC"/>
    <w:rsid w:val="000D3F05"/>
    <w:rsid w:val="000D40CD"/>
    <w:rsid w:val="000D474D"/>
    <w:rsid w:val="000D491E"/>
    <w:rsid w:val="000D4B76"/>
    <w:rsid w:val="000D61A9"/>
    <w:rsid w:val="000D62C4"/>
    <w:rsid w:val="000D7B8C"/>
    <w:rsid w:val="000E03D2"/>
    <w:rsid w:val="000E08A8"/>
    <w:rsid w:val="000E08F2"/>
    <w:rsid w:val="000E1E4F"/>
    <w:rsid w:val="000E1FF9"/>
    <w:rsid w:val="000E22B4"/>
    <w:rsid w:val="000E2A03"/>
    <w:rsid w:val="000E355B"/>
    <w:rsid w:val="000E4873"/>
    <w:rsid w:val="000E4D03"/>
    <w:rsid w:val="000E555F"/>
    <w:rsid w:val="000E628D"/>
    <w:rsid w:val="000E64EA"/>
    <w:rsid w:val="000E6522"/>
    <w:rsid w:val="000E69C8"/>
    <w:rsid w:val="000E73BF"/>
    <w:rsid w:val="000E7663"/>
    <w:rsid w:val="000E7F51"/>
    <w:rsid w:val="000F04A8"/>
    <w:rsid w:val="000F0669"/>
    <w:rsid w:val="000F083A"/>
    <w:rsid w:val="000F0F50"/>
    <w:rsid w:val="000F180D"/>
    <w:rsid w:val="000F2B1C"/>
    <w:rsid w:val="000F33C8"/>
    <w:rsid w:val="000F3FF5"/>
    <w:rsid w:val="000F461B"/>
    <w:rsid w:val="000F4AC6"/>
    <w:rsid w:val="000F53F5"/>
    <w:rsid w:val="000F7583"/>
    <w:rsid w:val="00100D77"/>
    <w:rsid w:val="00101089"/>
    <w:rsid w:val="001020C6"/>
    <w:rsid w:val="0010251E"/>
    <w:rsid w:val="00102CEA"/>
    <w:rsid w:val="001030E5"/>
    <w:rsid w:val="0010518F"/>
    <w:rsid w:val="00105257"/>
    <w:rsid w:val="00105267"/>
    <w:rsid w:val="00106694"/>
    <w:rsid w:val="00106973"/>
    <w:rsid w:val="001100B6"/>
    <w:rsid w:val="00111DC3"/>
    <w:rsid w:val="00111F3D"/>
    <w:rsid w:val="0011202F"/>
    <w:rsid w:val="00112752"/>
    <w:rsid w:val="00112756"/>
    <w:rsid w:val="001127E5"/>
    <w:rsid w:val="00113BEA"/>
    <w:rsid w:val="00113E5C"/>
    <w:rsid w:val="00114455"/>
    <w:rsid w:val="00114543"/>
    <w:rsid w:val="00114B9D"/>
    <w:rsid w:val="00115F38"/>
    <w:rsid w:val="00115FB7"/>
    <w:rsid w:val="001164FE"/>
    <w:rsid w:val="00116546"/>
    <w:rsid w:val="00117E4D"/>
    <w:rsid w:val="00121429"/>
    <w:rsid w:val="00121ECF"/>
    <w:rsid w:val="00122313"/>
    <w:rsid w:val="00122F2A"/>
    <w:rsid w:val="001234A9"/>
    <w:rsid w:val="0012360D"/>
    <w:rsid w:val="00125E2C"/>
    <w:rsid w:val="00125E70"/>
    <w:rsid w:val="00126178"/>
    <w:rsid w:val="001263DF"/>
    <w:rsid w:val="001265A7"/>
    <w:rsid w:val="00127999"/>
    <w:rsid w:val="00130F88"/>
    <w:rsid w:val="00132557"/>
    <w:rsid w:val="0013340E"/>
    <w:rsid w:val="00133AA8"/>
    <w:rsid w:val="0013434C"/>
    <w:rsid w:val="001348C5"/>
    <w:rsid w:val="00135466"/>
    <w:rsid w:val="0013599A"/>
    <w:rsid w:val="0013607A"/>
    <w:rsid w:val="00137325"/>
    <w:rsid w:val="001400F9"/>
    <w:rsid w:val="00140275"/>
    <w:rsid w:val="00140383"/>
    <w:rsid w:val="00141F51"/>
    <w:rsid w:val="00142BB3"/>
    <w:rsid w:val="00142D89"/>
    <w:rsid w:val="00142E8A"/>
    <w:rsid w:val="0014319D"/>
    <w:rsid w:val="0014410B"/>
    <w:rsid w:val="0014587D"/>
    <w:rsid w:val="00145C4F"/>
    <w:rsid w:val="001472A2"/>
    <w:rsid w:val="001473E0"/>
    <w:rsid w:val="00147D9A"/>
    <w:rsid w:val="00150573"/>
    <w:rsid w:val="001518A2"/>
    <w:rsid w:val="00152EA0"/>
    <w:rsid w:val="001532A9"/>
    <w:rsid w:val="00153C8A"/>
    <w:rsid w:val="00153EF3"/>
    <w:rsid w:val="00154AFF"/>
    <w:rsid w:val="00155CB1"/>
    <w:rsid w:val="00155DB7"/>
    <w:rsid w:val="0015603D"/>
    <w:rsid w:val="0015615F"/>
    <w:rsid w:val="00156514"/>
    <w:rsid w:val="00156AEB"/>
    <w:rsid w:val="00157A6F"/>
    <w:rsid w:val="00157C28"/>
    <w:rsid w:val="00162F0B"/>
    <w:rsid w:val="00163262"/>
    <w:rsid w:val="00163814"/>
    <w:rsid w:val="001646CD"/>
    <w:rsid w:val="001650DA"/>
    <w:rsid w:val="00165804"/>
    <w:rsid w:val="0016691E"/>
    <w:rsid w:val="00166B30"/>
    <w:rsid w:val="001678C0"/>
    <w:rsid w:val="001678FC"/>
    <w:rsid w:val="00170AAD"/>
    <w:rsid w:val="001713EC"/>
    <w:rsid w:val="0017148E"/>
    <w:rsid w:val="0017179E"/>
    <w:rsid w:val="00173C9C"/>
    <w:rsid w:val="00174461"/>
    <w:rsid w:val="00174857"/>
    <w:rsid w:val="00174F32"/>
    <w:rsid w:val="00175722"/>
    <w:rsid w:val="001757DB"/>
    <w:rsid w:val="00175C18"/>
    <w:rsid w:val="00176DE8"/>
    <w:rsid w:val="00176EEE"/>
    <w:rsid w:val="00180DC8"/>
    <w:rsid w:val="001816DE"/>
    <w:rsid w:val="001820EE"/>
    <w:rsid w:val="001821D3"/>
    <w:rsid w:val="00182353"/>
    <w:rsid w:val="00183A1E"/>
    <w:rsid w:val="0018561A"/>
    <w:rsid w:val="00186903"/>
    <w:rsid w:val="00186C5F"/>
    <w:rsid w:val="00186E40"/>
    <w:rsid w:val="00186FA1"/>
    <w:rsid w:val="00187A4F"/>
    <w:rsid w:val="00190109"/>
    <w:rsid w:val="00190C97"/>
    <w:rsid w:val="00190CFC"/>
    <w:rsid w:val="0019156D"/>
    <w:rsid w:val="00191D4A"/>
    <w:rsid w:val="0019256D"/>
    <w:rsid w:val="001927C1"/>
    <w:rsid w:val="00192A0E"/>
    <w:rsid w:val="00192AB2"/>
    <w:rsid w:val="00192B07"/>
    <w:rsid w:val="00193463"/>
    <w:rsid w:val="00193C54"/>
    <w:rsid w:val="00194444"/>
    <w:rsid w:val="00194A80"/>
    <w:rsid w:val="001954BA"/>
    <w:rsid w:val="001957B2"/>
    <w:rsid w:val="0019667C"/>
    <w:rsid w:val="00196F56"/>
    <w:rsid w:val="001A071B"/>
    <w:rsid w:val="001A1171"/>
    <w:rsid w:val="001A1E88"/>
    <w:rsid w:val="001A2F5A"/>
    <w:rsid w:val="001A4C37"/>
    <w:rsid w:val="001A682A"/>
    <w:rsid w:val="001A6951"/>
    <w:rsid w:val="001A6C3F"/>
    <w:rsid w:val="001A6CBE"/>
    <w:rsid w:val="001A7939"/>
    <w:rsid w:val="001B008A"/>
    <w:rsid w:val="001B171F"/>
    <w:rsid w:val="001B1A01"/>
    <w:rsid w:val="001B2885"/>
    <w:rsid w:val="001B3D37"/>
    <w:rsid w:val="001B4301"/>
    <w:rsid w:val="001B4559"/>
    <w:rsid w:val="001B4A34"/>
    <w:rsid w:val="001B4A78"/>
    <w:rsid w:val="001B5259"/>
    <w:rsid w:val="001B5962"/>
    <w:rsid w:val="001B5B9C"/>
    <w:rsid w:val="001B5F02"/>
    <w:rsid w:val="001B6B76"/>
    <w:rsid w:val="001B6F9B"/>
    <w:rsid w:val="001B7ADD"/>
    <w:rsid w:val="001B7E90"/>
    <w:rsid w:val="001B7FB5"/>
    <w:rsid w:val="001C083E"/>
    <w:rsid w:val="001C0968"/>
    <w:rsid w:val="001C2714"/>
    <w:rsid w:val="001C2BA7"/>
    <w:rsid w:val="001C2FC7"/>
    <w:rsid w:val="001C32B2"/>
    <w:rsid w:val="001C3338"/>
    <w:rsid w:val="001C58BB"/>
    <w:rsid w:val="001C67C2"/>
    <w:rsid w:val="001C6D69"/>
    <w:rsid w:val="001D0526"/>
    <w:rsid w:val="001D2265"/>
    <w:rsid w:val="001D4CC3"/>
    <w:rsid w:val="001D5111"/>
    <w:rsid w:val="001D5376"/>
    <w:rsid w:val="001D5802"/>
    <w:rsid w:val="001D668D"/>
    <w:rsid w:val="001D703B"/>
    <w:rsid w:val="001D7B8B"/>
    <w:rsid w:val="001E0E6A"/>
    <w:rsid w:val="001E1448"/>
    <w:rsid w:val="001E159C"/>
    <w:rsid w:val="001E2A2A"/>
    <w:rsid w:val="001E33DD"/>
    <w:rsid w:val="001E3A9D"/>
    <w:rsid w:val="001E427A"/>
    <w:rsid w:val="001E48C9"/>
    <w:rsid w:val="001E5A5F"/>
    <w:rsid w:val="001E65E0"/>
    <w:rsid w:val="001E66A4"/>
    <w:rsid w:val="001E7636"/>
    <w:rsid w:val="001E7F9E"/>
    <w:rsid w:val="001F0B68"/>
    <w:rsid w:val="001F10A3"/>
    <w:rsid w:val="001F12DF"/>
    <w:rsid w:val="001F18A2"/>
    <w:rsid w:val="001F39BD"/>
    <w:rsid w:val="001F5568"/>
    <w:rsid w:val="001F7219"/>
    <w:rsid w:val="00200F80"/>
    <w:rsid w:val="002010B7"/>
    <w:rsid w:val="00201FF5"/>
    <w:rsid w:val="002029C9"/>
    <w:rsid w:val="00202EA2"/>
    <w:rsid w:val="00203666"/>
    <w:rsid w:val="00204DA6"/>
    <w:rsid w:val="00205561"/>
    <w:rsid w:val="0020565F"/>
    <w:rsid w:val="00205E1E"/>
    <w:rsid w:val="00206325"/>
    <w:rsid w:val="00206C93"/>
    <w:rsid w:val="00206DB4"/>
    <w:rsid w:val="00207960"/>
    <w:rsid w:val="00210F2C"/>
    <w:rsid w:val="00211A3D"/>
    <w:rsid w:val="00212602"/>
    <w:rsid w:val="002133ED"/>
    <w:rsid w:val="0021440B"/>
    <w:rsid w:val="00214B80"/>
    <w:rsid w:val="00214FF4"/>
    <w:rsid w:val="00216DFC"/>
    <w:rsid w:val="002178DF"/>
    <w:rsid w:val="0022046A"/>
    <w:rsid w:val="00220C85"/>
    <w:rsid w:val="0022138E"/>
    <w:rsid w:val="00221E5E"/>
    <w:rsid w:val="002228AE"/>
    <w:rsid w:val="00225045"/>
    <w:rsid w:val="00225BB9"/>
    <w:rsid w:val="00226168"/>
    <w:rsid w:val="00226B17"/>
    <w:rsid w:val="002277E4"/>
    <w:rsid w:val="00227D37"/>
    <w:rsid w:val="002303BA"/>
    <w:rsid w:val="0023082E"/>
    <w:rsid w:val="00230EC8"/>
    <w:rsid w:val="002312F5"/>
    <w:rsid w:val="00231B50"/>
    <w:rsid w:val="00231C01"/>
    <w:rsid w:val="00233142"/>
    <w:rsid w:val="002331D0"/>
    <w:rsid w:val="00233438"/>
    <w:rsid w:val="002344A3"/>
    <w:rsid w:val="002351F5"/>
    <w:rsid w:val="002352CB"/>
    <w:rsid w:val="00235A37"/>
    <w:rsid w:val="00235CE4"/>
    <w:rsid w:val="00236122"/>
    <w:rsid w:val="00236126"/>
    <w:rsid w:val="00236A99"/>
    <w:rsid w:val="00236CD9"/>
    <w:rsid w:val="00236F30"/>
    <w:rsid w:val="00240781"/>
    <w:rsid w:val="00240AB0"/>
    <w:rsid w:val="00240B91"/>
    <w:rsid w:val="00240BC9"/>
    <w:rsid w:val="00240FBF"/>
    <w:rsid w:val="00243092"/>
    <w:rsid w:val="002431BC"/>
    <w:rsid w:val="0024387E"/>
    <w:rsid w:val="0024416D"/>
    <w:rsid w:val="00244EC0"/>
    <w:rsid w:val="00244EFD"/>
    <w:rsid w:val="00244F0E"/>
    <w:rsid w:val="00245580"/>
    <w:rsid w:val="00245F3F"/>
    <w:rsid w:val="00245F56"/>
    <w:rsid w:val="0024700C"/>
    <w:rsid w:val="002479D6"/>
    <w:rsid w:val="00250186"/>
    <w:rsid w:val="0025048D"/>
    <w:rsid w:val="002504A7"/>
    <w:rsid w:val="00251AA8"/>
    <w:rsid w:val="00251F7B"/>
    <w:rsid w:val="00252610"/>
    <w:rsid w:val="00253561"/>
    <w:rsid w:val="00253703"/>
    <w:rsid w:val="0025404F"/>
    <w:rsid w:val="00254088"/>
    <w:rsid w:val="00254531"/>
    <w:rsid w:val="00254EBA"/>
    <w:rsid w:val="0025645E"/>
    <w:rsid w:val="00257EFD"/>
    <w:rsid w:val="002604A6"/>
    <w:rsid w:val="00260FF3"/>
    <w:rsid w:val="00262040"/>
    <w:rsid w:val="00262383"/>
    <w:rsid w:val="00262CDF"/>
    <w:rsid w:val="0026436B"/>
    <w:rsid w:val="00264979"/>
    <w:rsid w:val="00264F11"/>
    <w:rsid w:val="00266FFB"/>
    <w:rsid w:val="00267536"/>
    <w:rsid w:val="002675CF"/>
    <w:rsid w:val="00271056"/>
    <w:rsid w:val="00271395"/>
    <w:rsid w:val="00271798"/>
    <w:rsid w:val="00271AC0"/>
    <w:rsid w:val="00271EE7"/>
    <w:rsid w:val="0027221F"/>
    <w:rsid w:val="00272302"/>
    <w:rsid w:val="002728A1"/>
    <w:rsid w:val="00272DF1"/>
    <w:rsid w:val="002735B3"/>
    <w:rsid w:val="00273845"/>
    <w:rsid w:val="002745CD"/>
    <w:rsid w:val="00275CA3"/>
    <w:rsid w:val="002764DD"/>
    <w:rsid w:val="00276521"/>
    <w:rsid w:val="00276D58"/>
    <w:rsid w:val="00276D7E"/>
    <w:rsid w:val="00276F79"/>
    <w:rsid w:val="002772B7"/>
    <w:rsid w:val="00277640"/>
    <w:rsid w:val="00280A03"/>
    <w:rsid w:val="00280D4D"/>
    <w:rsid w:val="00280DD4"/>
    <w:rsid w:val="00282945"/>
    <w:rsid w:val="00283759"/>
    <w:rsid w:val="0028384D"/>
    <w:rsid w:val="0028408E"/>
    <w:rsid w:val="00284225"/>
    <w:rsid w:val="00284793"/>
    <w:rsid w:val="00284EE0"/>
    <w:rsid w:val="0028521A"/>
    <w:rsid w:val="00285A86"/>
    <w:rsid w:val="00285BD2"/>
    <w:rsid w:val="0028617F"/>
    <w:rsid w:val="00287B42"/>
    <w:rsid w:val="00290324"/>
    <w:rsid w:val="00290A54"/>
    <w:rsid w:val="002913CF"/>
    <w:rsid w:val="0029277C"/>
    <w:rsid w:val="00292E58"/>
    <w:rsid w:val="00293043"/>
    <w:rsid w:val="00293368"/>
    <w:rsid w:val="00293E94"/>
    <w:rsid w:val="00294CDF"/>
    <w:rsid w:val="00296923"/>
    <w:rsid w:val="00297510"/>
    <w:rsid w:val="00297A11"/>
    <w:rsid w:val="002A0005"/>
    <w:rsid w:val="002A0068"/>
    <w:rsid w:val="002A053D"/>
    <w:rsid w:val="002A0B40"/>
    <w:rsid w:val="002A17FB"/>
    <w:rsid w:val="002A2034"/>
    <w:rsid w:val="002A2345"/>
    <w:rsid w:val="002A2BAF"/>
    <w:rsid w:val="002A3255"/>
    <w:rsid w:val="002A3438"/>
    <w:rsid w:val="002A3541"/>
    <w:rsid w:val="002A4140"/>
    <w:rsid w:val="002A4394"/>
    <w:rsid w:val="002A4565"/>
    <w:rsid w:val="002A5942"/>
    <w:rsid w:val="002A5FBE"/>
    <w:rsid w:val="002A6E9B"/>
    <w:rsid w:val="002A7275"/>
    <w:rsid w:val="002A73C7"/>
    <w:rsid w:val="002A7440"/>
    <w:rsid w:val="002B0240"/>
    <w:rsid w:val="002B1A23"/>
    <w:rsid w:val="002B1EC8"/>
    <w:rsid w:val="002B1EDC"/>
    <w:rsid w:val="002B2700"/>
    <w:rsid w:val="002B3E5B"/>
    <w:rsid w:val="002B40EE"/>
    <w:rsid w:val="002B4654"/>
    <w:rsid w:val="002B5424"/>
    <w:rsid w:val="002B54EE"/>
    <w:rsid w:val="002B5875"/>
    <w:rsid w:val="002B58E7"/>
    <w:rsid w:val="002B5BF5"/>
    <w:rsid w:val="002B6096"/>
    <w:rsid w:val="002B71C4"/>
    <w:rsid w:val="002B7204"/>
    <w:rsid w:val="002C0275"/>
    <w:rsid w:val="002C12BF"/>
    <w:rsid w:val="002C1341"/>
    <w:rsid w:val="002C3641"/>
    <w:rsid w:val="002C36A0"/>
    <w:rsid w:val="002C4688"/>
    <w:rsid w:val="002C47CD"/>
    <w:rsid w:val="002C49DE"/>
    <w:rsid w:val="002C5277"/>
    <w:rsid w:val="002C5E73"/>
    <w:rsid w:val="002C6394"/>
    <w:rsid w:val="002C656E"/>
    <w:rsid w:val="002C701B"/>
    <w:rsid w:val="002C7770"/>
    <w:rsid w:val="002D0224"/>
    <w:rsid w:val="002D0EC0"/>
    <w:rsid w:val="002D0FD5"/>
    <w:rsid w:val="002D1292"/>
    <w:rsid w:val="002D12F3"/>
    <w:rsid w:val="002D17C2"/>
    <w:rsid w:val="002D266D"/>
    <w:rsid w:val="002D27A9"/>
    <w:rsid w:val="002D2875"/>
    <w:rsid w:val="002D295B"/>
    <w:rsid w:val="002D3BA9"/>
    <w:rsid w:val="002D67B3"/>
    <w:rsid w:val="002D68AA"/>
    <w:rsid w:val="002D6A8E"/>
    <w:rsid w:val="002D7212"/>
    <w:rsid w:val="002E0155"/>
    <w:rsid w:val="002E0395"/>
    <w:rsid w:val="002E0A8A"/>
    <w:rsid w:val="002E202D"/>
    <w:rsid w:val="002E383E"/>
    <w:rsid w:val="002E42A0"/>
    <w:rsid w:val="002E47B7"/>
    <w:rsid w:val="002E4ECE"/>
    <w:rsid w:val="002E5671"/>
    <w:rsid w:val="002E59DA"/>
    <w:rsid w:val="002E59ED"/>
    <w:rsid w:val="002E5D82"/>
    <w:rsid w:val="002E77E0"/>
    <w:rsid w:val="002F0596"/>
    <w:rsid w:val="002F1868"/>
    <w:rsid w:val="002F20F3"/>
    <w:rsid w:val="002F23FC"/>
    <w:rsid w:val="002F321B"/>
    <w:rsid w:val="002F386F"/>
    <w:rsid w:val="002F458F"/>
    <w:rsid w:val="002F5107"/>
    <w:rsid w:val="002F536D"/>
    <w:rsid w:val="002F60E7"/>
    <w:rsid w:val="002F669D"/>
    <w:rsid w:val="002F6F44"/>
    <w:rsid w:val="002F7314"/>
    <w:rsid w:val="002F755E"/>
    <w:rsid w:val="002F7684"/>
    <w:rsid w:val="002F772E"/>
    <w:rsid w:val="00300BFE"/>
    <w:rsid w:val="00301AA2"/>
    <w:rsid w:val="0030305E"/>
    <w:rsid w:val="003036CA"/>
    <w:rsid w:val="0030408B"/>
    <w:rsid w:val="003050D0"/>
    <w:rsid w:val="003058A4"/>
    <w:rsid w:val="0030599E"/>
    <w:rsid w:val="00305CC5"/>
    <w:rsid w:val="003060B7"/>
    <w:rsid w:val="00306654"/>
    <w:rsid w:val="00306A9F"/>
    <w:rsid w:val="0030766B"/>
    <w:rsid w:val="00307AB1"/>
    <w:rsid w:val="0031063A"/>
    <w:rsid w:val="003114B2"/>
    <w:rsid w:val="003117B2"/>
    <w:rsid w:val="00311F28"/>
    <w:rsid w:val="003127CE"/>
    <w:rsid w:val="00312860"/>
    <w:rsid w:val="003169C0"/>
    <w:rsid w:val="00316D64"/>
    <w:rsid w:val="00322033"/>
    <w:rsid w:val="00322319"/>
    <w:rsid w:val="00322EE6"/>
    <w:rsid w:val="0032319F"/>
    <w:rsid w:val="003237C9"/>
    <w:rsid w:val="00323FD4"/>
    <w:rsid w:val="0032403A"/>
    <w:rsid w:val="003261A8"/>
    <w:rsid w:val="00326534"/>
    <w:rsid w:val="00327DB8"/>
    <w:rsid w:val="003300A9"/>
    <w:rsid w:val="003307B0"/>
    <w:rsid w:val="003316BE"/>
    <w:rsid w:val="003316C6"/>
    <w:rsid w:val="0033249F"/>
    <w:rsid w:val="00332DDA"/>
    <w:rsid w:val="00332E31"/>
    <w:rsid w:val="0033345A"/>
    <w:rsid w:val="00333563"/>
    <w:rsid w:val="00334249"/>
    <w:rsid w:val="00334902"/>
    <w:rsid w:val="00334DAB"/>
    <w:rsid w:val="00335137"/>
    <w:rsid w:val="00335B23"/>
    <w:rsid w:val="00335FA9"/>
    <w:rsid w:val="00341578"/>
    <w:rsid w:val="003417C7"/>
    <w:rsid w:val="00341932"/>
    <w:rsid w:val="00341946"/>
    <w:rsid w:val="00341D78"/>
    <w:rsid w:val="00342D0C"/>
    <w:rsid w:val="003447E9"/>
    <w:rsid w:val="003450AB"/>
    <w:rsid w:val="0034551E"/>
    <w:rsid w:val="00346348"/>
    <w:rsid w:val="003474E6"/>
    <w:rsid w:val="00350A5D"/>
    <w:rsid w:val="00351969"/>
    <w:rsid w:val="00352303"/>
    <w:rsid w:val="00352F84"/>
    <w:rsid w:val="00353138"/>
    <w:rsid w:val="00353C97"/>
    <w:rsid w:val="00354811"/>
    <w:rsid w:val="0035527E"/>
    <w:rsid w:val="00355C87"/>
    <w:rsid w:val="0035612B"/>
    <w:rsid w:val="003567D7"/>
    <w:rsid w:val="003569CC"/>
    <w:rsid w:val="003576D1"/>
    <w:rsid w:val="00357972"/>
    <w:rsid w:val="00357D23"/>
    <w:rsid w:val="003609A7"/>
    <w:rsid w:val="00360C48"/>
    <w:rsid w:val="00361053"/>
    <w:rsid w:val="003614B9"/>
    <w:rsid w:val="00361B7D"/>
    <w:rsid w:val="003626C1"/>
    <w:rsid w:val="003627D1"/>
    <w:rsid w:val="003646ED"/>
    <w:rsid w:val="00364C2F"/>
    <w:rsid w:val="00364DE9"/>
    <w:rsid w:val="0037051C"/>
    <w:rsid w:val="00370603"/>
    <w:rsid w:val="00370A43"/>
    <w:rsid w:val="003733FB"/>
    <w:rsid w:val="00373702"/>
    <w:rsid w:val="003738D3"/>
    <w:rsid w:val="00374238"/>
    <w:rsid w:val="0037456E"/>
    <w:rsid w:val="00374F13"/>
    <w:rsid w:val="00375997"/>
    <w:rsid w:val="003761BC"/>
    <w:rsid w:val="003767A7"/>
    <w:rsid w:val="00376D7F"/>
    <w:rsid w:val="00377797"/>
    <w:rsid w:val="003810C0"/>
    <w:rsid w:val="00381533"/>
    <w:rsid w:val="003823FF"/>
    <w:rsid w:val="00383152"/>
    <w:rsid w:val="00384996"/>
    <w:rsid w:val="00384CF3"/>
    <w:rsid w:val="00385AE2"/>
    <w:rsid w:val="00386F77"/>
    <w:rsid w:val="0038709E"/>
    <w:rsid w:val="003871C9"/>
    <w:rsid w:val="0039015B"/>
    <w:rsid w:val="00390D68"/>
    <w:rsid w:val="0039142A"/>
    <w:rsid w:val="00391C24"/>
    <w:rsid w:val="00391EC0"/>
    <w:rsid w:val="003921EE"/>
    <w:rsid w:val="003922E3"/>
    <w:rsid w:val="0039232D"/>
    <w:rsid w:val="00392D30"/>
    <w:rsid w:val="00393496"/>
    <w:rsid w:val="00393B24"/>
    <w:rsid w:val="00393BB3"/>
    <w:rsid w:val="003940BD"/>
    <w:rsid w:val="003940F9"/>
    <w:rsid w:val="00394A5F"/>
    <w:rsid w:val="0039566B"/>
    <w:rsid w:val="00395CDD"/>
    <w:rsid w:val="00396D45"/>
    <w:rsid w:val="00397680"/>
    <w:rsid w:val="003A04C3"/>
    <w:rsid w:val="003A0E84"/>
    <w:rsid w:val="003A10D6"/>
    <w:rsid w:val="003A2996"/>
    <w:rsid w:val="003A2BB4"/>
    <w:rsid w:val="003A362F"/>
    <w:rsid w:val="003A385C"/>
    <w:rsid w:val="003A3E89"/>
    <w:rsid w:val="003A41C8"/>
    <w:rsid w:val="003A4271"/>
    <w:rsid w:val="003A4382"/>
    <w:rsid w:val="003A451A"/>
    <w:rsid w:val="003A488C"/>
    <w:rsid w:val="003A4A04"/>
    <w:rsid w:val="003A4CAC"/>
    <w:rsid w:val="003A4D47"/>
    <w:rsid w:val="003A510B"/>
    <w:rsid w:val="003A7E9B"/>
    <w:rsid w:val="003B0FF3"/>
    <w:rsid w:val="003B1E8E"/>
    <w:rsid w:val="003B248F"/>
    <w:rsid w:val="003B2B10"/>
    <w:rsid w:val="003B3647"/>
    <w:rsid w:val="003B41A4"/>
    <w:rsid w:val="003B44C2"/>
    <w:rsid w:val="003B53D9"/>
    <w:rsid w:val="003B5AC3"/>
    <w:rsid w:val="003B5CEC"/>
    <w:rsid w:val="003B60B8"/>
    <w:rsid w:val="003B7265"/>
    <w:rsid w:val="003B747B"/>
    <w:rsid w:val="003B7827"/>
    <w:rsid w:val="003B7A3B"/>
    <w:rsid w:val="003C0D9B"/>
    <w:rsid w:val="003C1647"/>
    <w:rsid w:val="003C1693"/>
    <w:rsid w:val="003C1B48"/>
    <w:rsid w:val="003C229A"/>
    <w:rsid w:val="003C3337"/>
    <w:rsid w:val="003C369B"/>
    <w:rsid w:val="003C408B"/>
    <w:rsid w:val="003C4759"/>
    <w:rsid w:val="003C4B0B"/>
    <w:rsid w:val="003C4C60"/>
    <w:rsid w:val="003C5248"/>
    <w:rsid w:val="003C62BA"/>
    <w:rsid w:val="003C6F0E"/>
    <w:rsid w:val="003C7E6D"/>
    <w:rsid w:val="003D02D3"/>
    <w:rsid w:val="003D0602"/>
    <w:rsid w:val="003D1D96"/>
    <w:rsid w:val="003D2AB9"/>
    <w:rsid w:val="003D2B15"/>
    <w:rsid w:val="003D3332"/>
    <w:rsid w:val="003D35AC"/>
    <w:rsid w:val="003D365A"/>
    <w:rsid w:val="003D3A30"/>
    <w:rsid w:val="003D4816"/>
    <w:rsid w:val="003D4C0D"/>
    <w:rsid w:val="003D56F5"/>
    <w:rsid w:val="003D5E66"/>
    <w:rsid w:val="003D6F56"/>
    <w:rsid w:val="003D7227"/>
    <w:rsid w:val="003E079F"/>
    <w:rsid w:val="003E0BDA"/>
    <w:rsid w:val="003E124F"/>
    <w:rsid w:val="003E1425"/>
    <w:rsid w:val="003E1595"/>
    <w:rsid w:val="003E1E85"/>
    <w:rsid w:val="003E29B2"/>
    <w:rsid w:val="003E3939"/>
    <w:rsid w:val="003E5347"/>
    <w:rsid w:val="003E54B8"/>
    <w:rsid w:val="003E6DDC"/>
    <w:rsid w:val="003E7398"/>
    <w:rsid w:val="003E7EDD"/>
    <w:rsid w:val="003F0450"/>
    <w:rsid w:val="003F0860"/>
    <w:rsid w:val="003F10B4"/>
    <w:rsid w:val="003F1DAD"/>
    <w:rsid w:val="003F32E5"/>
    <w:rsid w:val="003F3558"/>
    <w:rsid w:val="003F4563"/>
    <w:rsid w:val="003F45A4"/>
    <w:rsid w:val="003F6AB2"/>
    <w:rsid w:val="003F6C30"/>
    <w:rsid w:val="003F73A2"/>
    <w:rsid w:val="003F7ADC"/>
    <w:rsid w:val="0040092D"/>
    <w:rsid w:val="004013E5"/>
    <w:rsid w:val="004016CF"/>
    <w:rsid w:val="004017FE"/>
    <w:rsid w:val="00403098"/>
    <w:rsid w:val="00403307"/>
    <w:rsid w:val="004039AA"/>
    <w:rsid w:val="00403A3B"/>
    <w:rsid w:val="00403D68"/>
    <w:rsid w:val="00403EB5"/>
    <w:rsid w:val="00404F07"/>
    <w:rsid w:val="00405424"/>
    <w:rsid w:val="00405841"/>
    <w:rsid w:val="00407A9C"/>
    <w:rsid w:val="00407C8C"/>
    <w:rsid w:val="004101CF"/>
    <w:rsid w:val="004104D0"/>
    <w:rsid w:val="00412172"/>
    <w:rsid w:val="00412514"/>
    <w:rsid w:val="00413354"/>
    <w:rsid w:val="00413382"/>
    <w:rsid w:val="00413597"/>
    <w:rsid w:val="00414124"/>
    <w:rsid w:val="004146C8"/>
    <w:rsid w:val="00414CE5"/>
    <w:rsid w:val="00415F96"/>
    <w:rsid w:val="004169FA"/>
    <w:rsid w:val="004172CB"/>
    <w:rsid w:val="004177DC"/>
    <w:rsid w:val="00420EF0"/>
    <w:rsid w:val="00420F22"/>
    <w:rsid w:val="0042121F"/>
    <w:rsid w:val="00422791"/>
    <w:rsid w:val="00422932"/>
    <w:rsid w:val="004236F3"/>
    <w:rsid w:val="004259F1"/>
    <w:rsid w:val="00425AF5"/>
    <w:rsid w:val="00425BBF"/>
    <w:rsid w:val="00426244"/>
    <w:rsid w:val="0042671E"/>
    <w:rsid w:val="00427AAB"/>
    <w:rsid w:val="00431782"/>
    <w:rsid w:val="004317A6"/>
    <w:rsid w:val="00432EF3"/>
    <w:rsid w:val="004337BA"/>
    <w:rsid w:val="004340F2"/>
    <w:rsid w:val="00434CA8"/>
    <w:rsid w:val="00436723"/>
    <w:rsid w:val="00436BD3"/>
    <w:rsid w:val="00436EAC"/>
    <w:rsid w:val="00437283"/>
    <w:rsid w:val="00437A0B"/>
    <w:rsid w:val="00437DE8"/>
    <w:rsid w:val="00440233"/>
    <w:rsid w:val="00441B79"/>
    <w:rsid w:val="00441C58"/>
    <w:rsid w:val="00441D4D"/>
    <w:rsid w:val="0044343C"/>
    <w:rsid w:val="00443484"/>
    <w:rsid w:val="00443AF1"/>
    <w:rsid w:val="0044418E"/>
    <w:rsid w:val="0044433B"/>
    <w:rsid w:val="00444C5B"/>
    <w:rsid w:val="0044595E"/>
    <w:rsid w:val="00445DC1"/>
    <w:rsid w:val="00445F91"/>
    <w:rsid w:val="004464A6"/>
    <w:rsid w:val="0044743A"/>
    <w:rsid w:val="0044766F"/>
    <w:rsid w:val="00447747"/>
    <w:rsid w:val="00447B4F"/>
    <w:rsid w:val="00450EAF"/>
    <w:rsid w:val="0045100D"/>
    <w:rsid w:val="00451C49"/>
    <w:rsid w:val="00452C46"/>
    <w:rsid w:val="00452FC6"/>
    <w:rsid w:val="00453287"/>
    <w:rsid w:val="00453D9A"/>
    <w:rsid w:val="004544BC"/>
    <w:rsid w:val="00454D8F"/>
    <w:rsid w:val="00455709"/>
    <w:rsid w:val="00460C5A"/>
    <w:rsid w:val="00460D6E"/>
    <w:rsid w:val="00461CED"/>
    <w:rsid w:val="00462B76"/>
    <w:rsid w:val="00462D93"/>
    <w:rsid w:val="0046373D"/>
    <w:rsid w:val="0046664E"/>
    <w:rsid w:val="004670F9"/>
    <w:rsid w:val="00471D6F"/>
    <w:rsid w:val="00473A41"/>
    <w:rsid w:val="00474137"/>
    <w:rsid w:val="00474834"/>
    <w:rsid w:val="00474B05"/>
    <w:rsid w:val="004750CD"/>
    <w:rsid w:val="00475314"/>
    <w:rsid w:val="0047536A"/>
    <w:rsid w:val="0047779D"/>
    <w:rsid w:val="00477D79"/>
    <w:rsid w:val="0048052D"/>
    <w:rsid w:val="004814ED"/>
    <w:rsid w:val="00481EAA"/>
    <w:rsid w:val="004834A3"/>
    <w:rsid w:val="004850D7"/>
    <w:rsid w:val="00485574"/>
    <w:rsid w:val="00485F8D"/>
    <w:rsid w:val="004874BF"/>
    <w:rsid w:val="00487795"/>
    <w:rsid w:val="00490658"/>
    <w:rsid w:val="004917B5"/>
    <w:rsid w:val="00491C60"/>
    <w:rsid w:val="00493A24"/>
    <w:rsid w:val="00494844"/>
    <w:rsid w:val="004952D0"/>
    <w:rsid w:val="004954F4"/>
    <w:rsid w:val="004956EE"/>
    <w:rsid w:val="004966C5"/>
    <w:rsid w:val="00496741"/>
    <w:rsid w:val="004A02E4"/>
    <w:rsid w:val="004A046A"/>
    <w:rsid w:val="004A052D"/>
    <w:rsid w:val="004A095D"/>
    <w:rsid w:val="004A1D9E"/>
    <w:rsid w:val="004A1EF4"/>
    <w:rsid w:val="004A3718"/>
    <w:rsid w:val="004A4480"/>
    <w:rsid w:val="004A4697"/>
    <w:rsid w:val="004A48A7"/>
    <w:rsid w:val="004A48BC"/>
    <w:rsid w:val="004A5CAA"/>
    <w:rsid w:val="004A6559"/>
    <w:rsid w:val="004A7925"/>
    <w:rsid w:val="004B0173"/>
    <w:rsid w:val="004B1830"/>
    <w:rsid w:val="004B2B4F"/>
    <w:rsid w:val="004B2D35"/>
    <w:rsid w:val="004B3AAA"/>
    <w:rsid w:val="004B4088"/>
    <w:rsid w:val="004B5E0A"/>
    <w:rsid w:val="004B5E90"/>
    <w:rsid w:val="004B6423"/>
    <w:rsid w:val="004C07A8"/>
    <w:rsid w:val="004C0D00"/>
    <w:rsid w:val="004C0E9D"/>
    <w:rsid w:val="004C1260"/>
    <w:rsid w:val="004C1723"/>
    <w:rsid w:val="004C1B00"/>
    <w:rsid w:val="004C1C96"/>
    <w:rsid w:val="004C2B51"/>
    <w:rsid w:val="004C4F03"/>
    <w:rsid w:val="004C5A7F"/>
    <w:rsid w:val="004C6106"/>
    <w:rsid w:val="004C74A8"/>
    <w:rsid w:val="004D1C2D"/>
    <w:rsid w:val="004D231D"/>
    <w:rsid w:val="004D233F"/>
    <w:rsid w:val="004D2D59"/>
    <w:rsid w:val="004D4790"/>
    <w:rsid w:val="004D4A4D"/>
    <w:rsid w:val="004D4B8B"/>
    <w:rsid w:val="004D5C5A"/>
    <w:rsid w:val="004D61DC"/>
    <w:rsid w:val="004D67F0"/>
    <w:rsid w:val="004D6973"/>
    <w:rsid w:val="004D70A1"/>
    <w:rsid w:val="004D7B7B"/>
    <w:rsid w:val="004E0880"/>
    <w:rsid w:val="004E1549"/>
    <w:rsid w:val="004E1D17"/>
    <w:rsid w:val="004E1E90"/>
    <w:rsid w:val="004E3226"/>
    <w:rsid w:val="004E4097"/>
    <w:rsid w:val="004E4201"/>
    <w:rsid w:val="004E451C"/>
    <w:rsid w:val="004E6D7A"/>
    <w:rsid w:val="004E75D3"/>
    <w:rsid w:val="004F027E"/>
    <w:rsid w:val="004F187D"/>
    <w:rsid w:val="004F1EC1"/>
    <w:rsid w:val="004F2064"/>
    <w:rsid w:val="004F233D"/>
    <w:rsid w:val="004F307E"/>
    <w:rsid w:val="004F415D"/>
    <w:rsid w:val="004F44B3"/>
    <w:rsid w:val="004F5740"/>
    <w:rsid w:val="004F67EE"/>
    <w:rsid w:val="004F6F2F"/>
    <w:rsid w:val="004F6F59"/>
    <w:rsid w:val="00500426"/>
    <w:rsid w:val="00500A55"/>
    <w:rsid w:val="005011E7"/>
    <w:rsid w:val="005017B2"/>
    <w:rsid w:val="00501BD7"/>
    <w:rsid w:val="00502E93"/>
    <w:rsid w:val="0050313A"/>
    <w:rsid w:val="0050395A"/>
    <w:rsid w:val="00504CEA"/>
    <w:rsid w:val="0050616C"/>
    <w:rsid w:val="00507D74"/>
    <w:rsid w:val="00511C7C"/>
    <w:rsid w:val="00511E89"/>
    <w:rsid w:val="0051354B"/>
    <w:rsid w:val="005135F3"/>
    <w:rsid w:val="00513B65"/>
    <w:rsid w:val="00514441"/>
    <w:rsid w:val="005157DF"/>
    <w:rsid w:val="005165B2"/>
    <w:rsid w:val="00516BC9"/>
    <w:rsid w:val="0052190F"/>
    <w:rsid w:val="00522BC3"/>
    <w:rsid w:val="00522BD9"/>
    <w:rsid w:val="005232FB"/>
    <w:rsid w:val="005236B1"/>
    <w:rsid w:val="00524F46"/>
    <w:rsid w:val="005250DB"/>
    <w:rsid w:val="005254FD"/>
    <w:rsid w:val="00525EB0"/>
    <w:rsid w:val="005267F8"/>
    <w:rsid w:val="005276A0"/>
    <w:rsid w:val="00527F16"/>
    <w:rsid w:val="00530AA9"/>
    <w:rsid w:val="00530AB6"/>
    <w:rsid w:val="005333DD"/>
    <w:rsid w:val="00533418"/>
    <w:rsid w:val="005339CF"/>
    <w:rsid w:val="005339FF"/>
    <w:rsid w:val="00533CD5"/>
    <w:rsid w:val="005345DF"/>
    <w:rsid w:val="005348CA"/>
    <w:rsid w:val="00534F15"/>
    <w:rsid w:val="005376C8"/>
    <w:rsid w:val="005400A9"/>
    <w:rsid w:val="00540467"/>
    <w:rsid w:val="00540C85"/>
    <w:rsid w:val="00542B08"/>
    <w:rsid w:val="00543516"/>
    <w:rsid w:val="00543A22"/>
    <w:rsid w:val="005442ED"/>
    <w:rsid w:val="00545C92"/>
    <w:rsid w:val="00545E31"/>
    <w:rsid w:val="00545E32"/>
    <w:rsid w:val="005468FC"/>
    <w:rsid w:val="00546AEF"/>
    <w:rsid w:val="00552887"/>
    <w:rsid w:val="00553B6E"/>
    <w:rsid w:val="0055458F"/>
    <w:rsid w:val="00554C80"/>
    <w:rsid w:val="00554DA4"/>
    <w:rsid w:val="00560F9B"/>
    <w:rsid w:val="00562A8B"/>
    <w:rsid w:val="00565B44"/>
    <w:rsid w:val="00566BB0"/>
    <w:rsid w:val="00566D4C"/>
    <w:rsid w:val="00566F55"/>
    <w:rsid w:val="00567555"/>
    <w:rsid w:val="00567B5D"/>
    <w:rsid w:val="005700BF"/>
    <w:rsid w:val="00570776"/>
    <w:rsid w:val="005709EF"/>
    <w:rsid w:val="00572C41"/>
    <w:rsid w:val="00573456"/>
    <w:rsid w:val="00574C01"/>
    <w:rsid w:val="00575232"/>
    <w:rsid w:val="00575F1A"/>
    <w:rsid w:val="00576646"/>
    <w:rsid w:val="005766EF"/>
    <w:rsid w:val="00577738"/>
    <w:rsid w:val="0058047F"/>
    <w:rsid w:val="0058099E"/>
    <w:rsid w:val="00580D4E"/>
    <w:rsid w:val="005813CD"/>
    <w:rsid w:val="00581695"/>
    <w:rsid w:val="005824E0"/>
    <w:rsid w:val="00583080"/>
    <w:rsid w:val="00584E91"/>
    <w:rsid w:val="00586B3D"/>
    <w:rsid w:val="00586E40"/>
    <w:rsid w:val="0059038F"/>
    <w:rsid w:val="005916DA"/>
    <w:rsid w:val="00591F90"/>
    <w:rsid w:val="00592B78"/>
    <w:rsid w:val="00593BE2"/>
    <w:rsid w:val="0059408F"/>
    <w:rsid w:val="00594D84"/>
    <w:rsid w:val="00595048"/>
    <w:rsid w:val="005952D1"/>
    <w:rsid w:val="00595A47"/>
    <w:rsid w:val="00595EF0"/>
    <w:rsid w:val="0059620E"/>
    <w:rsid w:val="00596735"/>
    <w:rsid w:val="0059714E"/>
    <w:rsid w:val="00597782"/>
    <w:rsid w:val="005A01BD"/>
    <w:rsid w:val="005A12A1"/>
    <w:rsid w:val="005A14F9"/>
    <w:rsid w:val="005A15D1"/>
    <w:rsid w:val="005A1CB5"/>
    <w:rsid w:val="005A40E3"/>
    <w:rsid w:val="005A4EF0"/>
    <w:rsid w:val="005A5FCE"/>
    <w:rsid w:val="005A77E3"/>
    <w:rsid w:val="005B02A9"/>
    <w:rsid w:val="005B08AC"/>
    <w:rsid w:val="005B0A64"/>
    <w:rsid w:val="005B0DD2"/>
    <w:rsid w:val="005B0F86"/>
    <w:rsid w:val="005B14D1"/>
    <w:rsid w:val="005B2153"/>
    <w:rsid w:val="005B21DE"/>
    <w:rsid w:val="005B2218"/>
    <w:rsid w:val="005B249A"/>
    <w:rsid w:val="005B3603"/>
    <w:rsid w:val="005B4561"/>
    <w:rsid w:val="005B52E1"/>
    <w:rsid w:val="005B6148"/>
    <w:rsid w:val="005B6A69"/>
    <w:rsid w:val="005B7535"/>
    <w:rsid w:val="005B78A6"/>
    <w:rsid w:val="005B7DD6"/>
    <w:rsid w:val="005B7F05"/>
    <w:rsid w:val="005C0718"/>
    <w:rsid w:val="005C0A0B"/>
    <w:rsid w:val="005C1C81"/>
    <w:rsid w:val="005C1E05"/>
    <w:rsid w:val="005C2CC3"/>
    <w:rsid w:val="005C3060"/>
    <w:rsid w:val="005C3B77"/>
    <w:rsid w:val="005C62F5"/>
    <w:rsid w:val="005C68D9"/>
    <w:rsid w:val="005C69DB"/>
    <w:rsid w:val="005C78EF"/>
    <w:rsid w:val="005C7F95"/>
    <w:rsid w:val="005D041A"/>
    <w:rsid w:val="005D1AA8"/>
    <w:rsid w:val="005D1BE9"/>
    <w:rsid w:val="005D269A"/>
    <w:rsid w:val="005D26CF"/>
    <w:rsid w:val="005D2D24"/>
    <w:rsid w:val="005D43A1"/>
    <w:rsid w:val="005D4886"/>
    <w:rsid w:val="005D4978"/>
    <w:rsid w:val="005D5573"/>
    <w:rsid w:val="005D6E66"/>
    <w:rsid w:val="005D7122"/>
    <w:rsid w:val="005D71EF"/>
    <w:rsid w:val="005E1238"/>
    <w:rsid w:val="005E13F3"/>
    <w:rsid w:val="005E1E2C"/>
    <w:rsid w:val="005E2040"/>
    <w:rsid w:val="005E252A"/>
    <w:rsid w:val="005E3B0D"/>
    <w:rsid w:val="005E3ECC"/>
    <w:rsid w:val="005E4490"/>
    <w:rsid w:val="005E484A"/>
    <w:rsid w:val="005E4863"/>
    <w:rsid w:val="005E4BF6"/>
    <w:rsid w:val="005E545B"/>
    <w:rsid w:val="005E5639"/>
    <w:rsid w:val="005E6BD3"/>
    <w:rsid w:val="005E7176"/>
    <w:rsid w:val="005E7302"/>
    <w:rsid w:val="005E7489"/>
    <w:rsid w:val="005F06F5"/>
    <w:rsid w:val="005F0C50"/>
    <w:rsid w:val="005F1B02"/>
    <w:rsid w:val="005F2389"/>
    <w:rsid w:val="005F28F1"/>
    <w:rsid w:val="005F2E74"/>
    <w:rsid w:val="005F503D"/>
    <w:rsid w:val="005F546E"/>
    <w:rsid w:val="005F57FE"/>
    <w:rsid w:val="005F6C91"/>
    <w:rsid w:val="005F6FFB"/>
    <w:rsid w:val="005F7AC5"/>
    <w:rsid w:val="00602D6E"/>
    <w:rsid w:val="006038C6"/>
    <w:rsid w:val="006039DE"/>
    <w:rsid w:val="006044AD"/>
    <w:rsid w:val="00605335"/>
    <w:rsid w:val="006063AD"/>
    <w:rsid w:val="0060752E"/>
    <w:rsid w:val="006075A2"/>
    <w:rsid w:val="00610922"/>
    <w:rsid w:val="00610DEC"/>
    <w:rsid w:val="00611A83"/>
    <w:rsid w:val="00611C3E"/>
    <w:rsid w:val="00611DC1"/>
    <w:rsid w:val="00612610"/>
    <w:rsid w:val="00612A0D"/>
    <w:rsid w:val="006152A5"/>
    <w:rsid w:val="00617269"/>
    <w:rsid w:val="0062026E"/>
    <w:rsid w:val="0062251C"/>
    <w:rsid w:val="00623904"/>
    <w:rsid w:val="00624580"/>
    <w:rsid w:val="00624A6A"/>
    <w:rsid w:val="00624E5D"/>
    <w:rsid w:val="006250F0"/>
    <w:rsid w:val="00625819"/>
    <w:rsid w:val="00625963"/>
    <w:rsid w:val="00626A1B"/>
    <w:rsid w:val="00630CC5"/>
    <w:rsid w:val="00630CF9"/>
    <w:rsid w:val="00631F3B"/>
    <w:rsid w:val="0063240D"/>
    <w:rsid w:val="00632BE6"/>
    <w:rsid w:val="006334F6"/>
    <w:rsid w:val="00633B11"/>
    <w:rsid w:val="00634368"/>
    <w:rsid w:val="00634B00"/>
    <w:rsid w:val="00634E23"/>
    <w:rsid w:val="00635079"/>
    <w:rsid w:val="00636396"/>
    <w:rsid w:val="00636A75"/>
    <w:rsid w:val="00636E82"/>
    <w:rsid w:val="00636ED5"/>
    <w:rsid w:val="0063720D"/>
    <w:rsid w:val="00637A3D"/>
    <w:rsid w:val="00640991"/>
    <w:rsid w:val="00640F8C"/>
    <w:rsid w:val="00641409"/>
    <w:rsid w:val="00642AB0"/>
    <w:rsid w:val="00645477"/>
    <w:rsid w:val="00645559"/>
    <w:rsid w:val="0064679A"/>
    <w:rsid w:val="00650AB4"/>
    <w:rsid w:val="00650D11"/>
    <w:rsid w:val="00651E50"/>
    <w:rsid w:val="0065354C"/>
    <w:rsid w:val="0065384E"/>
    <w:rsid w:val="00653940"/>
    <w:rsid w:val="006541EB"/>
    <w:rsid w:val="00655188"/>
    <w:rsid w:val="006558F4"/>
    <w:rsid w:val="00655B38"/>
    <w:rsid w:val="00655FD0"/>
    <w:rsid w:val="006564F8"/>
    <w:rsid w:val="006566D6"/>
    <w:rsid w:val="0065686A"/>
    <w:rsid w:val="006569D1"/>
    <w:rsid w:val="006576D1"/>
    <w:rsid w:val="006608C6"/>
    <w:rsid w:val="00661684"/>
    <w:rsid w:val="00661D5D"/>
    <w:rsid w:val="00661E7A"/>
    <w:rsid w:val="006626B3"/>
    <w:rsid w:val="00662989"/>
    <w:rsid w:val="00663628"/>
    <w:rsid w:val="006645B6"/>
    <w:rsid w:val="00665428"/>
    <w:rsid w:val="00665C82"/>
    <w:rsid w:val="00667032"/>
    <w:rsid w:val="006670D9"/>
    <w:rsid w:val="00667CA8"/>
    <w:rsid w:val="006704B2"/>
    <w:rsid w:val="0067096B"/>
    <w:rsid w:val="00671EB8"/>
    <w:rsid w:val="00672052"/>
    <w:rsid w:val="00672785"/>
    <w:rsid w:val="00674E08"/>
    <w:rsid w:val="00675199"/>
    <w:rsid w:val="006755F7"/>
    <w:rsid w:val="006758A7"/>
    <w:rsid w:val="00675E83"/>
    <w:rsid w:val="006761D1"/>
    <w:rsid w:val="00676B91"/>
    <w:rsid w:val="00677545"/>
    <w:rsid w:val="00677859"/>
    <w:rsid w:val="00677DA8"/>
    <w:rsid w:val="006811FD"/>
    <w:rsid w:val="00681348"/>
    <w:rsid w:val="0068180A"/>
    <w:rsid w:val="00682004"/>
    <w:rsid w:val="00682796"/>
    <w:rsid w:val="006832A5"/>
    <w:rsid w:val="006832D7"/>
    <w:rsid w:val="006847CF"/>
    <w:rsid w:val="00686A10"/>
    <w:rsid w:val="006872A1"/>
    <w:rsid w:val="0069019E"/>
    <w:rsid w:val="00692B6C"/>
    <w:rsid w:val="00693639"/>
    <w:rsid w:val="006957D1"/>
    <w:rsid w:val="00697B84"/>
    <w:rsid w:val="00697DD4"/>
    <w:rsid w:val="00697FB4"/>
    <w:rsid w:val="006A0452"/>
    <w:rsid w:val="006A0A1E"/>
    <w:rsid w:val="006A0A6F"/>
    <w:rsid w:val="006A112D"/>
    <w:rsid w:val="006A1231"/>
    <w:rsid w:val="006A19DF"/>
    <w:rsid w:val="006A22D5"/>
    <w:rsid w:val="006A2457"/>
    <w:rsid w:val="006A473F"/>
    <w:rsid w:val="006A4ADF"/>
    <w:rsid w:val="006A4B8F"/>
    <w:rsid w:val="006A4E1E"/>
    <w:rsid w:val="006A5AA0"/>
    <w:rsid w:val="006A5C1E"/>
    <w:rsid w:val="006A75F8"/>
    <w:rsid w:val="006A7F32"/>
    <w:rsid w:val="006B043A"/>
    <w:rsid w:val="006B1777"/>
    <w:rsid w:val="006B19ED"/>
    <w:rsid w:val="006B1B99"/>
    <w:rsid w:val="006B1E44"/>
    <w:rsid w:val="006B1E63"/>
    <w:rsid w:val="006B21D3"/>
    <w:rsid w:val="006B380C"/>
    <w:rsid w:val="006B3FB6"/>
    <w:rsid w:val="006B5214"/>
    <w:rsid w:val="006B57C9"/>
    <w:rsid w:val="006B5FB2"/>
    <w:rsid w:val="006B65C1"/>
    <w:rsid w:val="006B7255"/>
    <w:rsid w:val="006B76C5"/>
    <w:rsid w:val="006B7E43"/>
    <w:rsid w:val="006C0A77"/>
    <w:rsid w:val="006C1158"/>
    <w:rsid w:val="006C13EF"/>
    <w:rsid w:val="006C3482"/>
    <w:rsid w:val="006C4869"/>
    <w:rsid w:val="006C4E6E"/>
    <w:rsid w:val="006C6E5E"/>
    <w:rsid w:val="006C6EAA"/>
    <w:rsid w:val="006C7A1E"/>
    <w:rsid w:val="006D1A7E"/>
    <w:rsid w:val="006D2297"/>
    <w:rsid w:val="006D368E"/>
    <w:rsid w:val="006D3DB3"/>
    <w:rsid w:val="006D4E63"/>
    <w:rsid w:val="006D55E3"/>
    <w:rsid w:val="006D609F"/>
    <w:rsid w:val="006D62D1"/>
    <w:rsid w:val="006D7EF7"/>
    <w:rsid w:val="006E00DE"/>
    <w:rsid w:val="006E05FC"/>
    <w:rsid w:val="006E1BA2"/>
    <w:rsid w:val="006E22C7"/>
    <w:rsid w:val="006E37A7"/>
    <w:rsid w:val="006E40E5"/>
    <w:rsid w:val="006E4911"/>
    <w:rsid w:val="006E6B2F"/>
    <w:rsid w:val="006E7EDC"/>
    <w:rsid w:val="006F0201"/>
    <w:rsid w:val="006F05A2"/>
    <w:rsid w:val="006F0866"/>
    <w:rsid w:val="006F08C2"/>
    <w:rsid w:val="006F08D3"/>
    <w:rsid w:val="006F2896"/>
    <w:rsid w:val="006F2A79"/>
    <w:rsid w:val="006F2FF7"/>
    <w:rsid w:val="006F323C"/>
    <w:rsid w:val="006F356E"/>
    <w:rsid w:val="006F47EB"/>
    <w:rsid w:val="006F48A9"/>
    <w:rsid w:val="006F4D2E"/>
    <w:rsid w:val="006F570A"/>
    <w:rsid w:val="006F59C8"/>
    <w:rsid w:val="006F692F"/>
    <w:rsid w:val="006F69D9"/>
    <w:rsid w:val="006F70A4"/>
    <w:rsid w:val="006F7DED"/>
    <w:rsid w:val="007009C5"/>
    <w:rsid w:val="00701F5A"/>
    <w:rsid w:val="0070271E"/>
    <w:rsid w:val="0070274D"/>
    <w:rsid w:val="0070388A"/>
    <w:rsid w:val="00703D43"/>
    <w:rsid w:val="00704217"/>
    <w:rsid w:val="00704C97"/>
    <w:rsid w:val="00704E06"/>
    <w:rsid w:val="00705427"/>
    <w:rsid w:val="00706600"/>
    <w:rsid w:val="00706D49"/>
    <w:rsid w:val="0071007A"/>
    <w:rsid w:val="007106DF"/>
    <w:rsid w:val="00711057"/>
    <w:rsid w:val="00711155"/>
    <w:rsid w:val="007112AD"/>
    <w:rsid w:val="00712332"/>
    <w:rsid w:val="00713670"/>
    <w:rsid w:val="00714384"/>
    <w:rsid w:val="00714398"/>
    <w:rsid w:val="00714F68"/>
    <w:rsid w:val="007150AC"/>
    <w:rsid w:val="00715578"/>
    <w:rsid w:val="0071572C"/>
    <w:rsid w:val="00715D03"/>
    <w:rsid w:val="00716A52"/>
    <w:rsid w:val="00716B90"/>
    <w:rsid w:val="007203CE"/>
    <w:rsid w:val="00721037"/>
    <w:rsid w:val="007223F2"/>
    <w:rsid w:val="0072297C"/>
    <w:rsid w:val="00724870"/>
    <w:rsid w:val="0072495C"/>
    <w:rsid w:val="00724A98"/>
    <w:rsid w:val="00724B7B"/>
    <w:rsid w:val="0072560F"/>
    <w:rsid w:val="00726112"/>
    <w:rsid w:val="0072620A"/>
    <w:rsid w:val="00727091"/>
    <w:rsid w:val="00730653"/>
    <w:rsid w:val="00730E3D"/>
    <w:rsid w:val="007317AD"/>
    <w:rsid w:val="00731B72"/>
    <w:rsid w:val="00732FB4"/>
    <w:rsid w:val="00733086"/>
    <w:rsid w:val="00733D7E"/>
    <w:rsid w:val="00734D4F"/>
    <w:rsid w:val="00734DF3"/>
    <w:rsid w:val="007351F4"/>
    <w:rsid w:val="00735566"/>
    <w:rsid w:val="00736343"/>
    <w:rsid w:val="00737AFF"/>
    <w:rsid w:val="007406BD"/>
    <w:rsid w:val="00740707"/>
    <w:rsid w:val="00741647"/>
    <w:rsid w:val="00741A4A"/>
    <w:rsid w:val="00742C96"/>
    <w:rsid w:val="00744464"/>
    <w:rsid w:val="00745C32"/>
    <w:rsid w:val="007461D6"/>
    <w:rsid w:val="00746555"/>
    <w:rsid w:val="007476C6"/>
    <w:rsid w:val="00750A56"/>
    <w:rsid w:val="00752074"/>
    <w:rsid w:val="007533E2"/>
    <w:rsid w:val="007549B7"/>
    <w:rsid w:val="00754F28"/>
    <w:rsid w:val="0075598A"/>
    <w:rsid w:val="00756AF1"/>
    <w:rsid w:val="00757B78"/>
    <w:rsid w:val="00757E09"/>
    <w:rsid w:val="00760711"/>
    <w:rsid w:val="00760F11"/>
    <w:rsid w:val="007615BE"/>
    <w:rsid w:val="007626E3"/>
    <w:rsid w:val="0076294C"/>
    <w:rsid w:val="00762E7D"/>
    <w:rsid w:val="007636FD"/>
    <w:rsid w:val="00763A32"/>
    <w:rsid w:val="00763A4B"/>
    <w:rsid w:val="00763AF1"/>
    <w:rsid w:val="00764E36"/>
    <w:rsid w:val="00764F6D"/>
    <w:rsid w:val="0076538D"/>
    <w:rsid w:val="00765C3F"/>
    <w:rsid w:val="00765CE7"/>
    <w:rsid w:val="00766342"/>
    <w:rsid w:val="007663C4"/>
    <w:rsid w:val="00766DA3"/>
    <w:rsid w:val="007700CA"/>
    <w:rsid w:val="00770FB8"/>
    <w:rsid w:val="007713E0"/>
    <w:rsid w:val="00771F93"/>
    <w:rsid w:val="00771FEA"/>
    <w:rsid w:val="00772038"/>
    <w:rsid w:val="00772E57"/>
    <w:rsid w:val="00773249"/>
    <w:rsid w:val="00773416"/>
    <w:rsid w:val="007736AB"/>
    <w:rsid w:val="00773FF7"/>
    <w:rsid w:val="00774F0B"/>
    <w:rsid w:val="0077503B"/>
    <w:rsid w:val="00776335"/>
    <w:rsid w:val="0077720D"/>
    <w:rsid w:val="00777499"/>
    <w:rsid w:val="00780015"/>
    <w:rsid w:val="00780151"/>
    <w:rsid w:val="00781236"/>
    <w:rsid w:val="007815F1"/>
    <w:rsid w:val="00782871"/>
    <w:rsid w:val="00782C4E"/>
    <w:rsid w:val="00782CDE"/>
    <w:rsid w:val="00784890"/>
    <w:rsid w:val="00784AB2"/>
    <w:rsid w:val="00784DA8"/>
    <w:rsid w:val="00786138"/>
    <w:rsid w:val="0078660B"/>
    <w:rsid w:val="00786942"/>
    <w:rsid w:val="007874F6"/>
    <w:rsid w:val="00787504"/>
    <w:rsid w:val="00791A3D"/>
    <w:rsid w:val="00791ACF"/>
    <w:rsid w:val="007923C3"/>
    <w:rsid w:val="00792DA5"/>
    <w:rsid w:val="00794AA8"/>
    <w:rsid w:val="007955DC"/>
    <w:rsid w:val="007956EB"/>
    <w:rsid w:val="00796C61"/>
    <w:rsid w:val="00796D26"/>
    <w:rsid w:val="0079732B"/>
    <w:rsid w:val="007973C4"/>
    <w:rsid w:val="007A05D7"/>
    <w:rsid w:val="007A072F"/>
    <w:rsid w:val="007A1299"/>
    <w:rsid w:val="007A15C8"/>
    <w:rsid w:val="007A1BCD"/>
    <w:rsid w:val="007A2A13"/>
    <w:rsid w:val="007A2E1B"/>
    <w:rsid w:val="007A483E"/>
    <w:rsid w:val="007A569D"/>
    <w:rsid w:val="007A58B7"/>
    <w:rsid w:val="007A5A65"/>
    <w:rsid w:val="007A705E"/>
    <w:rsid w:val="007A72C8"/>
    <w:rsid w:val="007A749E"/>
    <w:rsid w:val="007B064C"/>
    <w:rsid w:val="007B2D5E"/>
    <w:rsid w:val="007B30A2"/>
    <w:rsid w:val="007B3C68"/>
    <w:rsid w:val="007B3DC1"/>
    <w:rsid w:val="007B5D5A"/>
    <w:rsid w:val="007B686F"/>
    <w:rsid w:val="007B7105"/>
    <w:rsid w:val="007B7225"/>
    <w:rsid w:val="007B7865"/>
    <w:rsid w:val="007B7AF4"/>
    <w:rsid w:val="007C044F"/>
    <w:rsid w:val="007C10B9"/>
    <w:rsid w:val="007C141B"/>
    <w:rsid w:val="007C235F"/>
    <w:rsid w:val="007C2BE3"/>
    <w:rsid w:val="007C2C71"/>
    <w:rsid w:val="007C34F7"/>
    <w:rsid w:val="007C3642"/>
    <w:rsid w:val="007C457F"/>
    <w:rsid w:val="007C5002"/>
    <w:rsid w:val="007C5016"/>
    <w:rsid w:val="007C5A1A"/>
    <w:rsid w:val="007C7808"/>
    <w:rsid w:val="007D0EB5"/>
    <w:rsid w:val="007D1005"/>
    <w:rsid w:val="007D1704"/>
    <w:rsid w:val="007D343F"/>
    <w:rsid w:val="007D486C"/>
    <w:rsid w:val="007D5531"/>
    <w:rsid w:val="007D558E"/>
    <w:rsid w:val="007D616F"/>
    <w:rsid w:val="007D6CAA"/>
    <w:rsid w:val="007D7E76"/>
    <w:rsid w:val="007E024D"/>
    <w:rsid w:val="007E0FFB"/>
    <w:rsid w:val="007E173C"/>
    <w:rsid w:val="007E346C"/>
    <w:rsid w:val="007E42A0"/>
    <w:rsid w:val="007E4788"/>
    <w:rsid w:val="007E49D7"/>
    <w:rsid w:val="007E5586"/>
    <w:rsid w:val="007F01CC"/>
    <w:rsid w:val="007F1680"/>
    <w:rsid w:val="007F17F1"/>
    <w:rsid w:val="007F23D5"/>
    <w:rsid w:val="007F2CB3"/>
    <w:rsid w:val="007F3178"/>
    <w:rsid w:val="007F3D9A"/>
    <w:rsid w:val="007F3E61"/>
    <w:rsid w:val="007F4A7E"/>
    <w:rsid w:val="007F5779"/>
    <w:rsid w:val="007F6A7D"/>
    <w:rsid w:val="007F6C7E"/>
    <w:rsid w:val="007F6F9A"/>
    <w:rsid w:val="007F7392"/>
    <w:rsid w:val="008009C8"/>
    <w:rsid w:val="00800F52"/>
    <w:rsid w:val="00801284"/>
    <w:rsid w:val="008026C8"/>
    <w:rsid w:val="0080272A"/>
    <w:rsid w:val="00802D23"/>
    <w:rsid w:val="0080337A"/>
    <w:rsid w:val="0080543B"/>
    <w:rsid w:val="008055D4"/>
    <w:rsid w:val="00805A84"/>
    <w:rsid w:val="00805AED"/>
    <w:rsid w:val="00806887"/>
    <w:rsid w:val="008068B9"/>
    <w:rsid w:val="008075BF"/>
    <w:rsid w:val="00807792"/>
    <w:rsid w:val="00807CEF"/>
    <w:rsid w:val="008101C0"/>
    <w:rsid w:val="00811891"/>
    <w:rsid w:val="00812083"/>
    <w:rsid w:val="008120B0"/>
    <w:rsid w:val="00812236"/>
    <w:rsid w:val="0081345F"/>
    <w:rsid w:val="0081383F"/>
    <w:rsid w:val="00813944"/>
    <w:rsid w:val="008148FE"/>
    <w:rsid w:val="0081537A"/>
    <w:rsid w:val="00817358"/>
    <w:rsid w:val="00817506"/>
    <w:rsid w:val="008223A7"/>
    <w:rsid w:val="008226DF"/>
    <w:rsid w:val="00823227"/>
    <w:rsid w:val="00823584"/>
    <w:rsid w:val="008249BB"/>
    <w:rsid w:val="00825541"/>
    <w:rsid w:val="00826D8A"/>
    <w:rsid w:val="008278C0"/>
    <w:rsid w:val="00827A30"/>
    <w:rsid w:val="00830ADD"/>
    <w:rsid w:val="00830BFD"/>
    <w:rsid w:val="0083109C"/>
    <w:rsid w:val="00832052"/>
    <w:rsid w:val="0083259A"/>
    <w:rsid w:val="00834291"/>
    <w:rsid w:val="008350DF"/>
    <w:rsid w:val="00835259"/>
    <w:rsid w:val="00835B12"/>
    <w:rsid w:val="008363AE"/>
    <w:rsid w:val="0084003A"/>
    <w:rsid w:val="0084011E"/>
    <w:rsid w:val="008412DD"/>
    <w:rsid w:val="0084187F"/>
    <w:rsid w:val="0084252E"/>
    <w:rsid w:val="008446F0"/>
    <w:rsid w:val="00844F2C"/>
    <w:rsid w:val="00845970"/>
    <w:rsid w:val="0084598E"/>
    <w:rsid w:val="00845D6B"/>
    <w:rsid w:val="008460D7"/>
    <w:rsid w:val="00846E59"/>
    <w:rsid w:val="00847863"/>
    <w:rsid w:val="00847987"/>
    <w:rsid w:val="00847F17"/>
    <w:rsid w:val="008501FE"/>
    <w:rsid w:val="0085092A"/>
    <w:rsid w:val="00850AD8"/>
    <w:rsid w:val="00850E43"/>
    <w:rsid w:val="00852227"/>
    <w:rsid w:val="00853010"/>
    <w:rsid w:val="00853070"/>
    <w:rsid w:val="00853337"/>
    <w:rsid w:val="00853DE3"/>
    <w:rsid w:val="0085445D"/>
    <w:rsid w:val="0085530A"/>
    <w:rsid w:val="008558F2"/>
    <w:rsid w:val="00855D1C"/>
    <w:rsid w:val="0085661D"/>
    <w:rsid w:val="00857014"/>
    <w:rsid w:val="00857183"/>
    <w:rsid w:val="00857B9E"/>
    <w:rsid w:val="008601FA"/>
    <w:rsid w:val="00862444"/>
    <w:rsid w:val="008641B0"/>
    <w:rsid w:val="00865828"/>
    <w:rsid w:val="00867941"/>
    <w:rsid w:val="00867B23"/>
    <w:rsid w:val="00867CF7"/>
    <w:rsid w:val="00867F32"/>
    <w:rsid w:val="00870999"/>
    <w:rsid w:val="00870E2E"/>
    <w:rsid w:val="00870FF4"/>
    <w:rsid w:val="00871E48"/>
    <w:rsid w:val="00871E84"/>
    <w:rsid w:val="00871FE1"/>
    <w:rsid w:val="008732C9"/>
    <w:rsid w:val="00873920"/>
    <w:rsid w:val="00874185"/>
    <w:rsid w:val="00877548"/>
    <w:rsid w:val="00880E66"/>
    <w:rsid w:val="008821A2"/>
    <w:rsid w:val="008825E2"/>
    <w:rsid w:val="008839D6"/>
    <w:rsid w:val="00884501"/>
    <w:rsid w:val="0088500C"/>
    <w:rsid w:val="008854E2"/>
    <w:rsid w:val="00885B25"/>
    <w:rsid w:val="00886030"/>
    <w:rsid w:val="008875F3"/>
    <w:rsid w:val="008908E2"/>
    <w:rsid w:val="00890FEB"/>
    <w:rsid w:val="008912C3"/>
    <w:rsid w:val="00891993"/>
    <w:rsid w:val="00891DD1"/>
    <w:rsid w:val="0089233F"/>
    <w:rsid w:val="008931D0"/>
    <w:rsid w:val="008958F9"/>
    <w:rsid w:val="008970D3"/>
    <w:rsid w:val="0089729E"/>
    <w:rsid w:val="008A03E0"/>
    <w:rsid w:val="008A0CB4"/>
    <w:rsid w:val="008A0DED"/>
    <w:rsid w:val="008A0F97"/>
    <w:rsid w:val="008A171A"/>
    <w:rsid w:val="008A3027"/>
    <w:rsid w:val="008A3F83"/>
    <w:rsid w:val="008A47D9"/>
    <w:rsid w:val="008A67FB"/>
    <w:rsid w:val="008A6F77"/>
    <w:rsid w:val="008A720E"/>
    <w:rsid w:val="008A7E53"/>
    <w:rsid w:val="008B0DC8"/>
    <w:rsid w:val="008B16BF"/>
    <w:rsid w:val="008B1745"/>
    <w:rsid w:val="008B1B2F"/>
    <w:rsid w:val="008B240A"/>
    <w:rsid w:val="008B29E2"/>
    <w:rsid w:val="008B2E74"/>
    <w:rsid w:val="008B3110"/>
    <w:rsid w:val="008B781E"/>
    <w:rsid w:val="008B79EB"/>
    <w:rsid w:val="008C00DC"/>
    <w:rsid w:val="008C02B3"/>
    <w:rsid w:val="008C08B5"/>
    <w:rsid w:val="008C154C"/>
    <w:rsid w:val="008C22E6"/>
    <w:rsid w:val="008C2933"/>
    <w:rsid w:val="008C2D62"/>
    <w:rsid w:val="008C32B5"/>
    <w:rsid w:val="008C4456"/>
    <w:rsid w:val="008C4B5A"/>
    <w:rsid w:val="008C4BD3"/>
    <w:rsid w:val="008C58C2"/>
    <w:rsid w:val="008C59CF"/>
    <w:rsid w:val="008C5C47"/>
    <w:rsid w:val="008C5FEF"/>
    <w:rsid w:val="008C693E"/>
    <w:rsid w:val="008C72F9"/>
    <w:rsid w:val="008C7AAE"/>
    <w:rsid w:val="008D02D9"/>
    <w:rsid w:val="008D06A6"/>
    <w:rsid w:val="008D0B34"/>
    <w:rsid w:val="008D0BC7"/>
    <w:rsid w:val="008D19C4"/>
    <w:rsid w:val="008D26BC"/>
    <w:rsid w:val="008D2786"/>
    <w:rsid w:val="008D4641"/>
    <w:rsid w:val="008D5BF7"/>
    <w:rsid w:val="008D7B15"/>
    <w:rsid w:val="008E1259"/>
    <w:rsid w:val="008E1728"/>
    <w:rsid w:val="008E1A21"/>
    <w:rsid w:val="008E2341"/>
    <w:rsid w:val="008E2420"/>
    <w:rsid w:val="008E3033"/>
    <w:rsid w:val="008E4937"/>
    <w:rsid w:val="008E5057"/>
    <w:rsid w:val="008E5C65"/>
    <w:rsid w:val="008E602C"/>
    <w:rsid w:val="008E6695"/>
    <w:rsid w:val="008E68C5"/>
    <w:rsid w:val="008E6F58"/>
    <w:rsid w:val="008E7730"/>
    <w:rsid w:val="008F0D35"/>
    <w:rsid w:val="008F1791"/>
    <w:rsid w:val="008F1B6D"/>
    <w:rsid w:val="008F2625"/>
    <w:rsid w:val="008F3074"/>
    <w:rsid w:val="008F37F0"/>
    <w:rsid w:val="008F3E72"/>
    <w:rsid w:val="008F43EA"/>
    <w:rsid w:val="008F49F3"/>
    <w:rsid w:val="008F5558"/>
    <w:rsid w:val="008F5EB6"/>
    <w:rsid w:val="008F615F"/>
    <w:rsid w:val="008F6563"/>
    <w:rsid w:val="008F663E"/>
    <w:rsid w:val="008F7374"/>
    <w:rsid w:val="008F7674"/>
    <w:rsid w:val="008F79E8"/>
    <w:rsid w:val="00900B30"/>
    <w:rsid w:val="00901ACC"/>
    <w:rsid w:val="00901C79"/>
    <w:rsid w:val="00902878"/>
    <w:rsid w:val="00902E76"/>
    <w:rsid w:val="00904061"/>
    <w:rsid w:val="0090528A"/>
    <w:rsid w:val="00905FC7"/>
    <w:rsid w:val="00906378"/>
    <w:rsid w:val="00906A89"/>
    <w:rsid w:val="00907D45"/>
    <w:rsid w:val="0091000D"/>
    <w:rsid w:val="00910D46"/>
    <w:rsid w:val="0091100D"/>
    <w:rsid w:val="00912A97"/>
    <w:rsid w:val="00912C0D"/>
    <w:rsid w:val="009130D2"/>
    <w:rsid w:val="009131D0"/>
    <w:rsid w:val="00913B01"/>
    <w:rsid w:val="00913EB3"/>
    <w:rsid w:val="00914717"/>
    <w:rsid w:val="00914E18"/>
    <w:rsid w:val="009153B1"/>
    <w:rsid w:val="00915BB7"/>
    <w:rsid w:val="009163CF"/>
    <w:rsid w:val="009168D7"/>
    <w:rsid w:val="009178BC"/>
    <w:rsid w:val="00921831"/>
    <w:rsid w:val="0092183F"/>
    <w:rsid w:val="00921E7E"/>
    <w:rsid w:val="00922D35"/>
    <w:rsid w:val="00924C4E"/>
    <w:rsid w:val="00924C9C"/>
    <w:rsid w:val="00924D8D"/>
    <w:rsid w:val="009258E6"/>
    <w:rsid w:val="00925F5A"/>
    <w:rsid w:val="009274DC"/>
    <w:rsid w:val="009302F6"/>
    <w:rsid w:val="0093054C"/>
    <w:rsid w:val="009312D8"/>
    <w:rsid w:val="0093149F"/>
    <w:rsid w:val="00931509"/>
    <w:rsid w:val="00931B6F"/>
    <w:rsid w:val="009320A5"/>
    <w:rsid w:val="00933C51"/>
    <w:rsid w:val="00935476"/>
    <w:rsid w:val="00935F53"/>
    <w:rsid w:val="00937A2B"/>
    <w:rsid w:val="00937AC8"/>
    <w:rsid w:val="00937B47"/>
    <w:rsid w:val="00941202"/>
    <w:rsid w:val="00941491"/>
    <w:rsid w:val="00941F9B"/>
    <w:rsid w:val="009436B7"/>
    <w:rsid w:val="00943B32"/>
    <w:rsid w:val="009445DF"/>
    <w:rsid w:val="00945748"/>
    <w:rsid w:val="00945A32"/>
    <w:rsid w:val="00945C32"/>
    <w:rsid w:val="0094625E"/>
    <w:rsid w:val="009468D7"/>
    <w:rsid w:val="009476EF"/>
    <w:rsid w:val="00947B1B"/>
    <w:rsid w:val="009509F8"/>
    <w:rsid w:val="00950E46"/>
    <w:rsid w:val="00951231"/>
    <w:rsid w:val="009518F1"/>
    <w:rsid w:val="00952A11"/>
    <w:rsid w:val="0095326A"/>
    <w:rsid w:val="00954E7E"/>
    <w:rsid w:val="00955355"/>
    <w:rsid w:val="0095604D"/>
    <w:rsid w:val="009560ED"/>
    <w:rsid w:val="00957843"/>
    <w:rsid w:val="00960055"/>
    <w:rsid w:val="00960AC0"/>
    <w:rsid w:val="00960E0F"/>
    <w:rsid w:val="0096270E"/>
    <w:rsid w:val="00962AE6"/>
    <w:rsid w:val="00963970"/>
    <w:rsid w:val="009640DA"/>
    <w:rsid w:val="00964EA1"/>
    <w:rsid w:val="009655AC"/>
    <w:rsid w:val="00965F22"/>
    <w:rsid w:val="009661B4"/>
    <w:rsid w:val="009664F2"/>
    <w:rsid w:val="00966F78"/>
    <w:rsid w:val="00967365"/>
    <w:rsid w:val="009677CF"/>
    <w:rsid w:val="00970191"/>
    <w:rsid w:val="009707A6"/>
    <w:rsid w:val="00970FC5"/>
    <w:rsid w:val="00971461"/>
    <w:rsid w:val="00971665"/>
    <w:rsid w:val="00971B1D"/>
    <w:rsid w:val="00971D3A"/>
    <w:rsid w:val="00971D61"/>
    <w:rsid w:val="0097258C"/>
    <w:rsid w:val="00972966"/>
    <w:rsid w:val="0097394D"/>
    <w:rsid w:val="0097396A"/>
    <w:rsid w:val="00973B66"/>
    <w:rsid w:val="00973E3B"/>
    <w:rsid w:val="009740C4"/>
    <w:rsid w:val="00975347"/>
    <w:rsid w:val="0097572F"/>
    <w:rsid w:val="00975F9A"/>
    <w:rsid w:val="00977FDA"/>
    <w:rsid w:val="0098157E"/>
    <w:rsid w:val="00981DDD"/>
    <w:rsid w:val="009831CC"/>
    <w:rsid w:val="009834E5"/>
    <w:rsid w:val="0098402F"/>
    <w:rsid w:val="0098477D"/>
    <w:rsid w:val="009854DD"/>
    <w:rsid w:val="009906ED"/>
    <w:rsid w:val="00990B13"/>
    <w:rsid w:val="00991141"/>
    <w:rsid w:val="009919AF"/>
    <w:rsid w:val="00991BF0"/>
    <w:rsid w:val="00992A56"/>
    <w:rsid w:val="0099353C"/>
    <w:rsid w:val="0099445E"/>
    <w:rsid w:val="00994C51"/>
    <w:rsid w:val="00995A96"/>
    <w:rsid w:val="0099614D"/>
    <w:rsid w:val="00996588"/>
    <w:rsid w:val="00996B34"/>
    <w:rsid w:val="009A0ECC"/>
    <w:rsid w:val="009A1A07"/>
    <w:rsid w:val="009A1B56"/>
    <w:rsid w:val="009A2744"/>
    <w:rsid w:val="009A4702"/>
    <w:rsid w:val="009A54FB"/>
    <w:rsid w:val="009A61FA"/>
    <w:rsid w:val="009A759D"/>
    <w:rsid w:val="009A784C"/>
    <w:rsid w:val="009A7A0C"/>
    <w:rsid w:val="009B076B"/>
    <w:rsid w:val="009B272A"/>
    <w:rsid w:val="009B292E"/>
    <w:rsid w:val="009B2A1C"/>
    <w:rsid w:val="009B3377"/>
    <w:rsid w:val="009B33EA"/>
    <w:rsid w:val="009B473A"/>
    <w:rsid w:val="009B4BD3"/>
    <w:rsid w:val="009B6367"/>
    <w:rsid w:val="009B6E25"/>
    <w:rsid w:val="009B7962"/>
    <w:rsid w:val="009B7DC2"/>
    <w:rsid w:val="009B7E03"/>
    <w:rsid w:val="009C04E1"/>
    <w:rsid w:val="009C1385"/>
    <w:rsid w:val="009C143D"/>
    <w:rsid w:val="009C2B50"/>
    <w:rsid w:val="009C3E21"/>
    <w:rsid w:val="009C401F"/>
    <w:rsid w:val="009C5395"/>
    <w:rsid w:val="009C5478"/>
    <w:rsid w:val="009C573D"/>
    <w:rsid w:val="009C5850"/>
    <w:rsid w:val="009C5BF4"/>
    <w:rsid w:val="009C661B"/>
    <w:rsid w:val="009C697D"/>
    <w:rsid w:val="009C69AA"/>
    <w:rsid w:val="009C7020"/>
    <w:rsid w:val="009D1592"/>
    <w:rsid w:val="009D16C6"/>
    <w:rsid w:val="009D25AD"/>
    <w:rsid w:val="009D2D9B"/>
    <w:rsid w:val="009D472B"/>
    <w:rsid w:val="009D521D"/>
    <w:rsid w:val="009D5614"/>
    <w:rsid w:val="009D648D"/>
    <w:rsid w:val="009D6972"/>
    <w:rsid w:val="009D6C75"/>
    <w:rsid w:val="009D77BF"/>
    <w:rsid w:val="009E08D4"/>
    <w:rsid w:val="009E09C1"/>
    <w:rsid w:val="009E0BCD"/>
    <w:rsid w:val="009E1358"/>
    <w:rsid w:val="009E1F65"/>
    <w:rsid w:val="009E3DAC"/>
    <w:rsid w:val="009E56E2"/>
    <w:rsid w:val="009E5C08"/>
    <w:rsid w:val="009E6CF9"/>
    <w:rsid w:val="009E6DA0"/>
    <w:rsid w:val="009E7C58"/>
    <w:rsid w:val="009F24A7"/>
    <w:rsid w:val="009F2813"/>
    <w:rsid w:val="009F336D"/>
    <w:rsid w:val="009F39E0"/>
    <w:rsid w:val="009F3B12"/>
    <w:rsid w:val="009F3B56"/>
    <w:rsid w:val="009F4283"/>
    <w:rsid w:val="009F4FE7"/>
    <w:rsid w:val="009F51DA"/>
    <w:rsid w:val="009F55F5"/>
    <w:rsid w:val="009F64FD"/>
    <w:rsid w:val="009F6FEB"/>
    <w:rsid w:val="009F7284"/>
    <w:rsid w:val="009F7990"/>
    <w:rsid w:val="009F7B82"/>
    <w:rsid w:val="00A00ACA"/>
    <w:rsid w:val="00A00B46"/>
    <w:rsid w:val="00A018A5"/>
    <w:rsid w:val="00A022D2"/>
    <w:rsid w:val="00A0279D"/>
    <w:rsid w:val="00A03054"/>
    <w:rsid w:val="00A0381B"/>
    <w:rsid w:val="00A04236"/>
    <w:rsid w:val="00A044A8"/>
    <w:rsid w:val="00A04CD0"/>
    <w:rsid w:val="00A05202"/>
    <w:rsid w:val="00A05DDF"/>
    <w:rsid w:val="00A05E86"/>
    <w:rsid w:val="00A077A2"/>
    <w:rsid w:val="00A07F3E"/>
    <w:rsid w:val="00A10543"/>
    <w:rsid w:val="00A1121D"/>
    <w:rsid w:val="00A115A6"/>
    <w:rsid w:val="00A1190A"/>
    <w:rsid w:val="00A11D88"/>
    <w:rsid w:val="00A12E4F"/>
    <w:rsid w:val="00A1327C"/>
    <w:rsid w:val="00A132CD"/>
    <w:rsid w:val="00A148B5"/>
    <w:rsid w:val="00A151BB"/>
    <w:rsid w:val="00A16618"/>
    <w:rsid w:val="00A17280"/>
    <w:rsid w:val="00A17D2E"/>
    <w:rsid w:val="00A20769"/>
    <w:rsid w:val="00A207AA"/>
    <w:rsid w:val="00A20F9E"/>
    <w:rsid w:val="00A21B66"/>
    <w:rsid w:val="00A221BF"/>
    <w:rsid w:val="00A2269E"/>
    <w:rsid w:val="00A22A8F"/>
    <w:rsid w:val="00A22F23"/>
    <w:rsid w:val="00A23FEC"/>
    <w:rsid w:val="00A2419E"/>
    <w:rsid w:val="00A24258"/>
    <w:rsid w:val="00A24F54"/>
    <w:rsid w:val="00A27368"/>
    <w:rsid w:val="00A27629"/>
    <w:rsid w:val="00A27A9B"/>
    <w:rsid w:val="00A27C36"/>
    <w:rsid w:val="00A27E64"/>
    <w:rsid w:val="00A3029F"/>
    <w:rsid w:val="00A30CCE"/>
    <w:rsid w:val="00A31948"/>
    <w:rsid w:val="00A31C31"/>
    <w:rsid w:val="00A31F56"/>
    <w:rsid w:val="00A323F1"/>
    <w:rsid w:val="00A32605"/>
    <w:rsid w:val="00A32662"/>
    <w:rsid w:val="00A33FC4"/>
    <w:rsid w:val="00A34567"/>
    <w:rsid w:val="00A346AD"/>
    <w:rsid w:val="00A34A26"/>
    <w:rsid w:val="00A34C46"/>
    <w:rsid w:val="00A354C0"/>
    <w:rsid w:val="00A357A7"/>
    <w:rsid w:val="00A35B89"/>
    <w:rsid w:val="00A36541"/>
    <w:rsid w:val="00A37290"/>
    <w:rsid w:val="00A377C4"/>
    <w:rsid w:val="00A404FE"/>
    <w:rsid w:val="00A40859"/>
    <w:rsid w:val="00A423A4"/>
    <w:rsid w:val="00A42C94"/>
    <w:rsid w:val="00A42CDD"/>
    <w:rsid w:val="00A4340C"/>
    <w:rsid w:val="00A45E03"/>
    <w:rsid w:val="00A45E86"/>
    <w:rsid w:val="00A460D7"/>
    <w:rsid w:val="00A46F07"/>
    <w:rsid w:val="00A477FA"/>
    <w:rsid w:val="00A47B5F"/>
    <w:rsid w:val="00A47F59"/>
    <w:rsid w:val="00A47F81"/>
    <w:rsid w:val="00A51DE5"/>
    <w:rsid w:val="00A524A8"/>
    <w:rsid w:val="00A53DC6"/>
    <w:rsid w:val="00A54376"/>
    <w:rsid w:val="00A548EF"/>
    <w:rsid w:val="00A56A5B"/>
    <w:rsid w:val="00A606E2"/>
    <w:rsid w:val="00A6086C"/>
    <w:rsid w:val="00A60C7D"/>
    <w:rsid w:val="00A62245"/>
    <w:rsid w:val="00A62461"/>
    <w:rsid w:val="00A62DB9"/>
    <w:rsid w:val="00A62E09"/>
    <w:rsid w:val="00A63356"/>
    <w:rsid w:val="00A639A5"/>
    <w:rsid w:val="00A63F3B"/>
    <w:rsid w:val="00A6461A"/>
    <w:rsid w:val="00A704AE"/>
    <w:rsid w:val="00A705F1"/>
    <w:rsid w:val="00A7108B"/>
    <w:rsid w:val="00A71559"/>
    <w:rsid w:val="00A7239A"/>
    <w:rsid w:val="00A72950"/>
    <w:rsid w:val="00A731B3"/>
    <w:rsid w:val="00A7383F"/>
    <w:rsid w:val="00A7393A"/>
    <w:rsid w:val="00A74FAE"/>
    <w:rsid w:val="00A75D18"/>
    <w:rsid w:val="00A76038"/>
    <w:rsid w:val="00A7671C"/>
    <w:rsid w:val="00A7682C"/>
    <w:rsid w:val="00A76B7F"/>
    <w:rsid w:val="00A76E5A"/>
    <w:rsid w:val="00A773F3"/>
    <w:rsid w:val="00A82ACD"/>
    <w:rsid w:val="00A82E8E"/>
    <w:rsid w:val="00A82EAE"/>
    <w:rsid w:val="00A855A4"/>
    <w:rsid w:val="00A85738"/>
    <w:rsid w:val="00A85CBE"/>
    <w:rsid w:val="00A86A85"/>
    <w:rsid w:val="00A9119E"/>
    <w:rsid w:val="00A93681"/>
    <w:rsid w:val="00A9371C"/>
    <w:rsid w:val="00A938E2"/>
    <w:rsid w:val="00A93FC7"/>
    <w:rsid w:val="00A9404E"/>
    <w:rsid w:val="00A94D04"/>
    <w:rsid w:val="00A955DA"/>
    <w:rsid w:val="00A96819"/>
    <w:rsid w:val="00A96FF3"/>
    <w:rsid w:val="00A97677"/>
    <w:rsid w:val="00AA08FA"/>
    <w:rsid w:val="00AA0DA9"/>
    <w:rsid w:val="00AA3DF3"/>
    <w:rsid w:val="00AA53D3"/>
    <w:rsid w:val="00AA64A0"/>
    <w:rsid w:val="00AA6C45"/>
    <w:rsid w:val="00AA7CD5"/>
    <w:rsid w:val="00AB0E49"/>
    <w:rsid w:val="00AB100D"/>
    <w:rsid w:val="00AB16AC"/>
    <w:rsid w:val="00AB1BB4"/>
    <w:rsid w:val="00AB241C"/>
    <w:rsid w:val="00AB5284"/>
    <w:rsid w:val="00AB67CF"/>
    <w:rsid w:val="00AB737E"/>
    <w:rsid w:val="00AB7599"/>
    <w:rsid w:val="00AB75E0"/>
    <w:rsid w:val="00AB76EB"/>
    <w:rsid w:val="00AB7BA0"/>
    <w:rsid w:val="00AC094B"/>
    <w:rsid w:val="00AC0E40"/>
    <w:rsid w:val="00AC1D1D"/>
    <w:rsid w:val="00AC1E06"/>
    <w:rsid w:val="00AC2708"/>
    <w:rsid w:val="00AC3D98"/>
    <w:rsid w:val="00AC3FD2"/>
    <w:rsid w:val="00AC4E0F"/>
    <w:rsid w:val="00AC50B9"/>
    <w:rsid w:val="00AC5404"/>
    <w:rsid w:val="00AC566E"/>
    <w:rsid w:val="00AC7072"/>
    <w:rsid w:val="00AC7787"/>
    <w:rsid w:val="00AD11A2"/>
    <w:rsid w:val="00AD17C1"/>
    <w:rsid w:val="00AD2176"/>
    <w:rsid w:val="00AD2D42"/>
    <w:rsid w:val="00AD31B7"/>
    <w:rsid w:val="00AD3210"/>
    <w:rsid w:val="00AD3B32"/>
    <w:rsid w:val="00AD3D28"/>
    <w:rsid w:val="00AD4122"/>
    <w:rsid w:val="00AD4294"/>
    <w:rsid w:val="00AD4B22"/>
    <w:rsid w:val="00AD64EA"/>
    <w:rsid w:val="00AD6BB0"/>
    <w:rsid w:val="00AD74AA"/>
    <w:rsid w:val="00AE003B"/>
    <w:rsid w:val="00AE053A"/>
    <w:rsid w:val="00AE0E8C"/>
    <w:rsid w:val="00AE137C"/>
    <w:rsid w:val="00AE21EC"/>
    <w:rsid w:val="00AE3966"/>
    <w:rsid w:val="00AE3A42"/>
    <w:rsid w:val="00AE47F6"/>
    <w:rsid w:val="00AE4B49"/>
    <w:rsid w:val="00AE4BD7"/>
    <w:rsid w:val="00AE5C7B"/>
    <w:rsid w:val="00AE7AB5"/>
    <w:rsid w:val="00AF07EB"/>
    <w:rsid w:val="00AF09CF"/>
    <w:rsid w:val="00AF0BC1"/>
    <w:rsid w:val="00AF0FB4"/>
    <w:rsid w:val="00AF13FE"/>
    <w:rsid w:val="00AF18BA"/>
    <w:rsid w:val="00AF1E1D"/>
    <w:rsid w:val="00AF21B1"/>
    <w:rsid w:val="00AF461B"/>
    <w:rsid w:val="00AF4FDD"/>
    <w:rsid w:val="00AF520E"/>
    <w:rsid w:val="00AF5535"/>
    <w:rsid w:val="00AF79AE"/>
    <w:rsid w:val="00AF7B15"/>
    <w:rsid w:val="00B00191"/>
    <w:rsid w:val="00B00B54"/>
    <w:rsid w:val="00B00E21"/>
    <w:rsid w:val="00B02399"/>
    <w:rsid w:val="00B0293A"/>
    <w:rsid w:val="00B06D71"/>
    <w:rsid w:val="00B07184"/>
    <w:rsid w:val="00B076F0"/>
    <w:rsid w:val="00B10446"/>
    <w:rsid w:val="00B10544"/>
    <w:rsid w:val="00B11900"/>
    <w:rsid w:val="00B1208C"/>
    <w:rsid w:val="00B12348"/>
    <w:rsid w:val="00B12CC4"/>
    <w:rsid w:val="00B1317A"/>
    <w:rsid w:val="00B13BF5"/>
    <w:rsid w:val="00B13E5B"/>
    <w:rsid w:val="00B14043"/>
    <w:rsid w:val="00B147BA"/>
    <w:rsid w:val="00B14D9F"/>
    <w:rsid w:val="00B15792"/>
    <w:rsid w:val="00B160DF"/>
    <w:rsid w:val="00B16244"/>
    <w:rsid w:val="00B164F4"/>
    <w:rsid w:val="00B166B4"/>
    <w:rsid w:val="00B16BD1"/>
    <w:rsid w:val="00B17C01"/>
    <w:rsid w:val="00B2035C"/>
    <w:rsid w:val="00B20396"/>
    <w:rsid w:val="00B203FB"/>
    <w:rsid w:val="00B20F50"/>
    <w:rsid w:val="00B225DE"/>
    <w:rsid w:val="00B242C2"/>
    <w:rsid w:val="00B24C43"/>
    <w:rsid w:val="00B25071"/>
    <w:rsid w:val="00B25701"/>
    <w:rsid w:val="00B25B42"/>
    <w:rsid w:val="00B26941"/>
    <w:rsid w:val="00B274AF"/>
    <w:rsid w:val="00B27B1F"/>
    <w:rsid w:val="00B27C43"/>
    <w:rsid w:val="00B30D84"/>
    <w:rsid w:val="00B310E5"/>
    <w:rsid w:val="00B31FC0"/>
    <w:rsid w:val="00B32430"/>
    <w:rsid w:val="00B33254"/>
    <w:rsid w:val="00B33348"/>
    <w:rsid w:val="00B3427E"/>
    <w:rsid w:val="00B359D0"/>
    <w:rsid w:val="00B35DF4"/>
    <w:rsid w:val="00B36930"/>
    <w:rsid w:val="00B36A03"/>
    <w:rsid w:val="00B40757"/>
    <w:rsid w:val="00B4082C"/>
    <w:rsid w:val="00B4096E"/>
    <w:rsid w:val="00B40DF8"/>
    <w:rsid w:val="00B41D06"/>
    <w:rsid w:val="00B424AB"/>
    <w:rsid w:val="00B42CEC"/>
    <w:rsid w:val="00B432ED"/>
    <w:rsid w:val="00B449A2"/>
    <w:rsid w:val="00B44AFD"/>
    <w:rsid w:val="00B46AEE"/>
    <w:rsid w:val="00B46F0A"/>
    <w:rsid w:val="00B474D8"/>
    <w:rsid w:val="00B47820"/>
    <w:rsid w:val="00B47C38"/>
    <w:rsid w:val="00B47CB2"/>
    <w:rsid w:val="00B5246A"/>
    <w:rsid w:val="00B54396"/>
    <w:rsid w:val="00B548C3"/>
    <w:rsid w:val="00B56267"/>
    <w:rsid w:val="00B565B2"/>
    <w:rsid w:val="00B575CF"/>
    <w:rsid w:val="00B6324B"/>
    <w:rsid w:val="00B63D5A"/>
    <w:rsid w:val="00B6434C"/>
    <w:rsid w:val="00B6493D"/>
    <w:rsid w:val="00B64B40"/>
    <w:rsid w:val="00B64C2D"/>
    <w:rsid w:val="00B66CD0"/>
    <w:rsid w:val="00B67009"/>
    <w:rsid w:val="00B67F63"/>
    <w:rsid w:val="00B702F8"/>
    <w:rsid w:val="00B70A42"/>
    <w:rsid w:val="00B70EBD"/>
    <w:rsid w:val="00B71E95"/>
    <w:rsid w:val="00B72A07"/>
    <w:rsid w:val="00B72A48"/>
    <w:rsid w:val="00B73021"/>
    <w:rsid w:val="00B73251"/>
    <w:rsid w:val="00B74A76"/>
    <w:rsid w:val="00B75370"/>
    <w:rsid w:val="00B7580F"/>
    <w:rsid w:val="00B764CC"/>
    <w:rsid w:val="00B767D3"/>
    <w:rsid w:val="00B7685C"/>
    <w:rsid w:val="00B76874"/>
    <w:rsid w:val="00B76F14"/>
    <w:rsid w:val="00B771FE"/>
    <w:rsid w:val="00B82912"/>
    <w:rsid w:val="00B82BA8"/>
    <w:rsid w:val="00B82E24"/>
    <w:rsid w:val="00B83397"/>
    <w:rsid w:val="00B8350B"/>
    <w:rsid w:val="00B8354C"/>
    <w:rsid w:val="00B83FD2"/>
    <w:rsid w:val="00B859DE"/>
    <w:rsid w:val="00B85E4A"/>
    <w:rsid w:val="00B86815"/>
    <w:rsid w:val="00B86D47"/>
    <w:rsid w:val="00B86E8E"/>
    <w:rsid w:val="00B87E7E"/>
    <w:rsid w:val="00B90612"/>
    <w:rsid w:val="00B909D6"/>
    <w:rsid w:val="00B90A86"/>
    <w:rsid w:val="00B90C6A"/>
    <w:rsid w:val="00B912F2"/>
    <w:rsid w:val="00B91680"/>
    <w:rsid w:val="00B91931"/>
    <w:rsid w:val="00B91DEC"/>
    <w:rsid w:val="00B9222A"/>
    <w:rsid w:val="00B9259A"/>
    <w:rsid w:val="00B926FB"/>
    <w:rsid w:val="00B92E41"/>
    <w:rsid w:val="00B9450C"/>
    <w:rsid w:val="00B94823"/>
    <w:rsid w:val="00B94B14"/>
    <w:rsid w:val="00B95900"/>
    <w:rsid w:val="00B96438"/>
    <w:rsid w:val="00B965D8"/>
    <w:rsid w:val="00B9709D"/>
    <w:rsid w:val="00BA0D9C"/>
    <w:rsid w:val="00BA0FF8"/>
    <w:rsid w:val="00BA2004"/>
    <w:rsid w:val="00BA25F6"/>
    <w:rsid w:val="00BA3124"/>
    <w:rsid w:val="00BA3573"/>
    <w:rsid w:val="00BA3916"/>
    <w:rsid w:val="00BA3ED9"/>
    <w:rsid w:val="00BA4383"/>
    <w:rsid w:val="00BA45EC"/>
    <w:rsid w:val="00BA54DC"/>
    <w:rsid w:val="00BA59CB"/>
    <w:rsid w:val="00BA685C"/>
    <w:rsid w:val="00BA6B35"/>
    <w:rsid w:val="00BA6FAF"/>
    <w:rsid w:val="00BA76C6"/>
    <w:rsid w:val="00BA770B"/>
    <w:rsid w:val="00BA7C9B"/>
    <w:rsid w:val="00BA7CB0"/>
    <w:rsid w:val="00BB0062"/>
    <w:rsid w:val="00BB01C5"/>
    <w:rsid w:val="00BB0F00"/>
    <w:rsid w:val="00BB1312"/>
    <w:rsid w:val="00BB21FB"/>
    <w:rsid w:val="00BB22D7"/>
    <w:rsid w:val="00BB34BC"/>
    <w:rsid w:val="00BB39F2"/>
    <w:rsid w:val="00BB55D6"/>
    <w:rsid w:val="00BB653C"/>
    <w:rsid w:val="00BB72EF"/>
    <w:rsid w:val="00BB7353"/>
    <w:rsid w:val="00BC095C"/>
    <w:rsid w:val="00BC0C3B"/>
    <w:rsid w:val="00BC0DD7"/>
    <w:rsid w:val="00BC16EC"/>
    <w:rsid w:val="00BC238F"/>
    <w:rsid w:val="00BC35BE"/>
    <w:rsid w:val="00BC398F"/>
    <w:rsid w:val="00BC40B0"/>
    <w:rsid w:val="00BC4C59"/>
    <w:rsid w:val="00BC530D"/>
    <w:rsid w:val="00BC53D9"/>
    <w:rsid w:val="00BC56CE"/>
    <w:rsid w:val="00BC5C91"/>
    <w:rsid w:val="00BC74BD"/>
    <w:rsid w:val="00BD0887"/>
    <w:rsid w:val="00BD3309"/>
    <w:rsid w:val="00BD376F"/>
    <w:rsid w:val="00BD450B"/>
    <w:rsid w:val="00BD4846"/>
    <w:rsid w:val="00BD5325"/>
    <w:rsid w:val="00BD5E42"/>
    <w:rsid w:val="00BD6547"/>
    <w:rsid w:val="00BD6E46"/>
    <w:rsid w:val="00BD711F"/>
    <w:rsid w:val="00BD7192"/>
    <w:rsid w:val="00BD7480"/>
    <w:rsid w:val="00BD78D6"/>
    <w:rsid w:val="00BD7D63"/>
    <w:rsid w:val="00BE10D6"/>
    <w:rsid w:val="00BE184C"/>
    <w:rsid w:val="00BE4649"/>
    <w:rsid w:val="00BE496C"/>
    <w:rsid w:val="00BE4A30"/>
    <w:rsid w:val="00BE55CC"/>
    <w:rsid w:val="00BE574C"/>
    <w:rsid w:val="00BE5DB3"/>
    <w:rsid w:val="00BE6CD5"/>
    <w:rsid w:val="00BE74F8"/>
    <w:rsid w:val="00BF0876"/>
    <w:rsid w:val="00BF0EAD"/>
    <w:rsid w:val="00BF294F"/>
    <w:rsid w:val="00BF29EA"/>
    <w:rsid w:val="00BF2A9B"/>
    <w:rsid w:val="00BF4A69"/>
    <w:rsid w:val="00BF61EB"/>
    <w:rsid w:val="00BF6559"/>
    <w:rsid w:val="00BF665B"/>
    <w:rsid w:val="00BF6FFD"/>
    <w:rsid w:val="00BF72D0"/>
    <w:rsid w:val="00C009AA"/>
    <w:rsid w:val="00C01159"/>
    <w:rsid w:val="00C01C00"/>
    <w:rsid w:val="00C02AFA"/>
    <w:rsid w:val="00C03B85"/>
    <w:rsid w:val="00C0499D"/>
    <w:rsid w:val="00C051A2"/>
    <w:rsid w:val="00C05629"/>
    <w:rsid w:val="00C05B71"/>
    <w:rsid w:val="00C0669C"/>
    <w:rsid w:val="00C06824"/>
    <w:rsid w:val="00C06D01"/>
    <w:rsid w:val="00C073D3"/>
    <w:rsid w:val="00C10727"/>
    <w:rsid w:val="00C1270E"/>
    <w:rsid w:val="00C13440"/>
    <w:rsid w:val="00C1386E"/>
    <w:rsid w:val="00C1407C"/>
    <w:rsid w:val="00C14217"/>
    <w:rsid w:val="00C14407"/>
    <w:rsid w:val="00C1449E"/>
    <w:rsid w:val="00C16CFB"/>
    <w:rsid w:val="00C205D6"/>
    <w:rsid w:val="00C21108"/>
    <w:rsid w:val="00C213DE"/>
    <w:rsid w:val="00C2177B"/>
    <w:rsid w:val="00C22077"/>
    <w:rsid w:val="00C228CF"/>
    <w:rsid w:val="00C24877"/>
    <w:rsid w:val="00C251F5"/>
    <w:rsid w:val="00C2529A"/>
    <w:rsid w:val="00C25893"/>
    <w:rsid w:val="00C31F75"/>
    <w:rsid w:val="00C32E78"/>
    <w:rsid w:val="00C34130"/>
    <w:rsid w:val="00C35062"/>
    <w:rsid w:val="00C35DB6"/>
    <w:rsid w:val="00C36405"/>
    <w:rsid w:val="00C41372"/>
    <w:rsid w:val="00C419C2"/>
    <w:rsid w:val="00C42565"/>
    <w:rsid w:val="00C43173"/>
    <w:rsid w:val="00C439C3"/>
    <w:rsid w:val="00C440F5"/>
    <w:rsid w:val="00C44469"/>
    <w:rsid w:val="00C4496E"/>
    <w:rsid w:val="00C45247"/>
    <w:rsid w:val="00C45EEC"/>
    <w:rsid w:val="00C466D1"/>
    <w:rsid w:val="00C47499"/>
    <w:rsid w:val="00C47886"/>
    <w:rsid w:val="00C50A67"/>
    <w:rsid w:val="00C52819"/>
    <w:rsid w:val="00C529C9"/>
    <w:rsid w:val="00C5418E"/>
    <w:rsid w:val="00C55AC0"/>
    <w:rsid w:val="00C56EA3"/>
    <w:rsid w:val="00C571F1"/>
    <w:rsid w:val="00C5783F"/>
    <w:rsid w:val="00C601A6"/>
    <w:rsid w:val="00C60B92"/>
    <w:rsid w:val="00C610C4"/>
    <w:rsid w:val="00C61167"/>
    <w:rsid w:val="00C614A6"/>
    <w:rsid w:val="00C6284E"/>
    <w:rsid w:val="00C6330B"/>
    <w:rsid w:val="00C63723"/>
    <w:rsid w:val="00C65196"/>
    <w:rsid w:val="00C656B7"/>
    <w:rsid w:val="00C6591E"/>
    <w:rsid w:val="00C6624B"/>
    <w:rsid w:val="00C66AC6"/>
    <w:rsid w:val="00C66BE8"/>
    <w:rsid w:val="00C66E23"/>
    <w:rsid w:val="00C66EF8"/>
    <w:rsid w:val="00C67D31"/>
    <w:rsid w:val="00C67FA1"/>
    <w:rsid w:val="00C70765"/>
    <w:rsid w:val="00C70A8B"/>
    <w:rsid w:val="00C71190"/>
    <w:rsid w:val="00C71951"/>
    <w:rsid w:val="00C719F1"/>
    <w:rsid w:val="00C72908"/>
    <w:rsid w:val="00C73DF3"/>
    <w:rsid w:val="00C74177"/>
    <w:rsid w:val="00C746E9"/>
    <w:rsid w:val="00C74EDF"/>
    <w:rsid w:val="00C75A82"/>
    <w:rsid w:val="00C75DD8"/>
    <w:rsid w:val="00C75E65"/>
    <w:rsid w:val="00C7635C"/>
    <w:rsid w:val="00C765FA"/>
    <w:rsid w:val="00C77689"/>
    <w:rsid w:val="00C77FCF"/>
    <w:rsid w:val="00C8097C"/>
    <w:rsid w:val="00C81173"/>
    <w:rsid w:val="00C817A8"/>
    <w:rsid w:val="00C81866"/>
    <w:rsid w:val="00C82720"/>
    <w:rsid w:val="00C828C6"/>
    <w:rsid w:val="00C829CB"/>
    <w:rsid w:val="00C82FF9"/>
    <w:rsid w:val="00C8308C"/>
    <w:rsid w:val="00C835C3"/>
    <w:rsid w:val="00C8389E"/>
    <w:rsid w:val="00C83D2F"/>
    <w:rsid w:val="00C83E75"/>
    <w:rsid w:val="00C842F4"/>
    <w:rsid w:val="00C84907"/>
    <w:rsid w:val="00C849BE"/>
    <w:rsid w:val="00C84AB2"/>
    <w:rsid w:val="00C858AD"/>
    <w:rsid w:val="00C86F4B"/>
    <w:rsid w:val="00C87660"/>
    <w:rsid w:val="00C9127D"/>
    <w:rsid w:val="00C922FD"/>
    <w:rsid w:val="00C9270D"/>
    <w:rsid w:val="00C95B2F"/>
    <w:rsid w:val="00C95DD4"/>
    <w:rsid w:val="00C96073"/>
    <w:rsid w:val="00C96A57"/>
    <w:rsid w:val="00C96FB2"/>
    <w:rsid w:val="00CA050C"/>
    <w:rsid w:val="00CA0552"/>
    <w:rsid w:val="00CA1C28"/>
    <w:rsid w:val="00CA21B8"/>
    <w:rsid w:val="00CA23C5"/>
    <w:rsid w:val="00CA2A67"/>
    <w:rsid w:val="00CA33E9"/>
    <w:rsid w:val="00CA3498"/>
    <w:rsid w:val="00CA35BA"/>
    <w:rsid w:val="00CA3784"/>
    <w:rsid w:val="00CA5566"/>
    <w:rsid w:val="00CA6955"/>
    <w:rsid w:val="00CA6DEF"/>
    <w:rsid w:val="00CA7076"/>
    <w:rsid w:val="00CA7490"/>
    <w:rsid w:val="00CA75A0"/>
    <w:rsid w:val="00CA7990"/>
    <w:rsid w:val="00CA7DB7"/>
    <w:rsid w:val="00CA7E4F"/>
    <w:rsid w:val="00CB03BD"/>
    <w:rsid w:val="00CB0603"/>
    <w:rsid w:val="00CB090D"/>
    <w:rsid w:val="00CB0B62"/>
    <w:rsid w:val="00CB0BA9"/>
    <w:rsid w:val="00CB261E"/>
    <w:rsid w:val="00CB27FF"/>
    <w:rsid w:val="00CB2908"/>
    <w:rsid w:val="00CB3808"/>
    <w:rsid w:val="00CB3C83"/>
    <w:rsid w:val="00CB52CE"/>
    <w:rsid w:val="00CB5603"/>
    <w:rsid w:val="00CB57ED"/>
    <w:rsid w:val="00CB6758"/>
    <w:rsid w:val="00CB6B2D"/>
    <w:rsid w:val="00CB7BEA"/>
    <w:rsid w:val="00CB7FEE"/>
    <w:rsid w:val="00CC103A"/>
    <w:rsid w:val="00CC109C"/>
    <w:rsid w:val="00CC1877"/>
    <w:rsid w:val="00CC2DB2"/>
    <w:rsid w:val="00CC2F5B"/>
    <w:rsid w:val="00CC2F72"/>
    <w:rsid w:val="00CC3410"/>
    <w:rsid w:val="00CC374F"/>
    <w:rsid w:val="00CC4112"/>
    <w:rsid w:val="00CC44BF"/>
    <w:rsid w:val="00CC4945"/>
    <w:rsid w:val="00CC4D37"/>
    <w:rsid w:val="00CC5104"/>
    <w:rsid w:val="00CC58AD"/>
    <w:rsid w:val="00CC633A"/>
    <w:rsid w:val="00CC6C54"/>
    <w:rsid w:val="00CC7C11"/>
    <w:rsid w:val="00CC7E79"/>
    <w:rsid w:val="00CD023D"/>
    <w:rsid w:val="00CD02BD"/>
    <w:rsid w:val="00CD056B"/>
    <w:rsid w:val="00CD0A4A"/>
    <w:rsid w:val="00CD15C9"/>
    <w:rsid w:val="00CD2E13"/>
    <w:rsid w:val="00CD3B34"/>
    <w:rsid w:val="00CD3CAD"/>
    <w:rsid w:val="00CD4C4C"/>
    <w:rsid w:val="00CD4EC0"/>
    <w:rsid w:val="00CD55C4"/>
    <w:rsid w:val="00CD76EE"/>
    <w:rsid w:val="00CE037D"/>
    <w:rsid w:val="00CE0605"/>
    <w:rsid w:val="00CE1F5D"/>
    <w:rsid w:val="00CE2189"/>
    <w:rsid w:val="00CE5746"/>
    <w:rsid w:val="00CF0BC7"/>
    <w:rsid w:val="00CF0EB2"/>
    <w:rsid w:val="00CF1413"/>
    <w:rsid w:val="00CF282F"/>
    <w:rsid w:val="00CF31A8"/>
    <w:rsid w:val="00CF3B8E"/>
    <w:rsid w:val="00CF4101"/>
    <w:rsid w:val="00CF47DC"/>
    <w:rsid w:val="00CF49AF"/>
    <w:rsid w:val="00CF4F03"/>
    <w:rsid w:val="00CF5691"/>
    <w:rsid w:val="00CF57E8"/>
    <w:rsid w:val="00CF5BF5"/>
    <w:rsid w:val="00CF6919"/>
    <w:rsid w:val="00CF6E17"/>
    <w:rsid w:val="00CF78DF"/>
    <w:rsid w:val="00CF7B78"/>
    <w:rsid w:val="00CF7C6F"/>
    <w:rsid w:val="00CF7F3C"/>
    <w:rsid w:val="00D019DF"/>
    <w:rsid w:val="00D03169"/>
    <w:rsid w:val="00D045DA"/>
    <w:rsid w:val="00D054CE"/>
    <w:rsid w:val="00D054E0"/>
    <w:rsid w:val="00D0551C"/>
    <w:rsid w:val="00D07B10"/>
    <w:rsid w:val="00D1075A"/>
    <w:rsid w:val="00D11EAB"/>
    <w:rsid w:val="00D11F92"/>
    <w:rsid w:val="00D12904"/>
    <w:rsid w:val="00D13369"/>
    <w:rsid w:val="00D13FC5"/>
    <w:rsid w:val="00D150CE"/>
    <w:rsid w:val="00D161D0"/>
    <w:rsid w:val="00D1641F"/>
    <w:rsid w:val="00D172AC"/>
    <w:rsid w:val="00D173F4"/>
    <w:rsid w:val="00D17C17"/>
    <w:rsid w:val="00D20564"/>
    <w:rsid w:val="00D21046"/>
    <w:rsid w:val="00D2172D"/>
    <w:rsid w:val="00D21C5C"/>
    <w:rsid w:val="00D22B36"/>
    <w:rsid w:val="00D2361D"/>
    <w:rsid w:val="00D23716"/>
    <w:rsid w:val="00D24CB5"/>
    <w:rsid w:val="00D250E0"/>
    <w:rsid w:val="00D25EAB"/>
    <w:rsid w:val="00D26BF6"/>
    <w:rsid w:val="00D26E4C"/>
    <w:rsid w:val="00D27D2E"/>
    <w:rsid w:val="00D30A81"/>
    <w:rsid w:val="00D313A6"/>
    <w:rsid w:val="00D31503"/>
    <w:rsid w:val="00D317A2"/>
    <w:rsid w:val="00D31FEB"/>
    <w:rsid w:val="00D335B1"/>
    <w:rsid w:val="00D336F0"/>
    <w:rsid w:val="00D37155"/>
    <w:rsid w:val="00D377D3"/>
    <w:rsid w:val="00D4011B"/>
    <w:rsid w:val="00D41543"/>
    <w:rsid w:val="00D42BCA"/>
    <w:rsid w:val="00D44B50"/>
    <w:rsid w:val="00D4586A"/>
    <w:rsid w:val="00D45D67"/>
    <w:rsid w:val="00D45DE7"/>
    <w:rsid w:val="00D463B5"/>
    <w:rsid w:val="00D47F50"/>
    <w:rsid w:val="00D50924"/>
    <w:rsid w:val="00D5164D"/>
    <w:rsid w:val="00D51712"/>
    <w:rsid w:val="00D51D03"/>
    <w:rsid w:val="00D51EB4"/>
    <w:rsid w:val="00D52905"/>
    <w:rsid w:val="00D544E6"/>
    <w:rsid w:val="00D54BE1"/>
    <w:rsid w:val="00D54FE3"/>
    <w:rsid w:val="00D55398"/>
    <w:rsid w:val="00D555F9"/>
    <w:rsid w:val="00D55824"/>
    <w:rsid w:val="00D56362"/>
    <w:rsid w:val="00D5637D"/>
    <w:rsid w:val="00D57320"/>
    <w:rsid w:val="00D57DA1"/>
    <w:rsid w:val="00D60DA6"/>
    <w:rsid w:val="00D61910"/>
    <w:rsid w:val="00D629D4"/>
    <w:rsid w:val="00D62B45"/>
    <w:rsid w:val="00D63A32"/>
    <w:rsid w:val="00D64D09"/>
    <w:rsid w:val="00D64D24"/>
    <w:rsid w:val="00D652C5"/>
    <w:rsid w:val="00D66B51"/>
    <w:rsid w:val="00D66EE4"/>
    <w:rsid w:val="00D674D3"/>
    <w:rsid w:val="00D705D7"/>
    <w:rsid w:val="00D70F6F"/>
    <w:rsid w:val="00D71224"/>
    <w:rsid w:val="00D71980"/>
    <w:rsid w:val="00D71BF2"/>
    <w:rsid w:val="00D71C39"/>
    <w:rsid w:val="00D72854"/>
    <w:rsid w:val="00D72999"/>
    <w:rsid w:val="00D73678"/>
    <w:rsid w:val="00D739C3"/>
    <w:rsid w:val="00D74041"/>
    <w:rsid w:val="00D7428A"/>
    <w:rsid w:val="00D746F4"/>
    <w:rsid w:val="00D75827"/>
    <w:rsid w:val="00D75A5D"/>
    <w:rsid w:val="00D762CA"/>
    <w:rsid w:val="00D76EAD"/>
    <w:rsid w:val="00D774BC"/>
    <w:rsid w:val="00D77AD4"/>
    <w:rsid w:val="00D77CDC"/>
    <w:rsid w:val="00D77E57"/>
    <w:rsid w:val="00D77FF7"/>
    <w:rsid w:val="00D80E17"/>
    <w:rsid w:val="00D8114B"/>
    <w:rsid w:val="00D81461"/>
    <w:rsid w:val="00D818AC"/>
    <w:rsid w:val="00D82790"/>
    <w:rsid w:val="00D82A5C"/>
    <w:rsid w:val="00D8382D"/>
    <w:rsid w:val="00D85418"/>
    <w:rsid w:val="00D87A52"/>
    <w:rsid w:val="00D90A43"/>
    <w:rsid w:val="00D90E05"/>
    <w:rsid w:val="00D90EEE"/>
    <w:rsid w:val="00D9153E"/>
    <w:rsid w:val="00D91636"/>
    <w:rsid w:val="00D91BFD"/>
    <w:rsid w:val="00D9214E"/>
    <w:rsid w:val="00D925B5"/>
    <w:rsid w:val="00D92F39"/>
    <w:rsid w:val="00D93C90"/>
    <w:rsid w:val="00D945E5"/>
    <w:rsid w:val="00D956DF"/>
    <w:rsid w:val="00D95BB5"/>
    <w:rsid w:val="00D96256"/>
    <w:rsid w:val="00D969A4"/>
    <w:rsid w:val="00D9773C"/>
    <w:rsid w:val="00D97FF8"/>
    <w:rsid w:val="00DA0D17"/>
    <w:rsid w:val="00DA0F17"/>
    <w:rsid w:val="00DA1875"/>
    <w:rsid w:val="00DA1EC2"/>
    <w:rsid w:val="00DA2D4D"/>
    <w:rsid w:val="00DA321C"/>
    <w:rsid w:val="00DA6140"/>
    <w:rsid w:val="00DA670E"/>
    <w:rsid w:val="00DA6EC7"/>
    <w:rsid w:val="00DA717A"/>
    <w:rsid w:val="00DA7C67"/>
    <w:rsid w:val="00DB0399"/>
    <w:rsid w:val="00DB2B8C"/>
    <w:rsid w:val="00DB2E56"/>
    <w:rsid w:val="00DB34D7"/>
    <w:rsid w:val="00DB3B39"/>
    <w:rsid w:val="00DB598E"/>
    <w:rsid w:val="00DB6DEC"/>
    <w:rsid w:val="00DB72AD"/>
    <w:rsid w:val="00DB766C"/>
    <w:rsid w:val="00DB78A1"/>
    <w:rsid w:val="00DC00FC"/>
    <w:rsid w:val="00DC02C4"/>
    <w:rsid w:val="00DC0364"/>
    <w:rsid w:val="00DC05A0"/>
    <w:rsid w:val="00DC0800"/>
    <w:rsid w:val="00DC0A9E"/>
    <w:rsid w:val="00DC0E38"/>
    <w:rsid w:val="00DC1491"/>
    <w:rsid w:val="00DC2193"/>
    <w:rsid w:val="00DC272F"/>
    <w:rsid w:val="00DC4901"/>
    <w:rsid w:val="00DC4DD9"/>
    <w:rsid w:val="00DC578E"/>
    <w:rsid w:val="00DC6357"/>
    <w:rsid w:val="00DC6832"/>
    <w:rsid w:val="00DC6850"/>
    <w:rsid w:val="00DC6F07"/>
    <w:rsid w:val="00DC707D"/>
    <w:rsid w:val="00DD0C9C"/>
    <w:rsid w:val="00DD1763"/>
    <w:rsid w:val="00DD1D3D"/>
    <w:rsid w:val="00DD209F"/>
    <w:rsid w:val="00DD2195"/>
    <w:rsid w:val="00DD2CEC"/>
    <w:rsid w:val="00DD428C"/>
    <w:rsid w:val="00DD4601"/>
    <w:rsid w:val="00DD5567"/>
    <w:rsid w:val="00DD5AB7"/>
    <w:rsid w:val="00DD5C20"/>
    <w:rsid w:val="00DD6136"/>
    <w:rsid w:val="00DD65CB"/>
    <w:rsid w:val="00DD6A30"/>
    <w:rsid w:val="00DD6E37"/>
    <w:rsid w:val="00DD7557"/>
    <w:rsid w:val="00DD78C0"/>
    <w:rsid w:val="00DE15B8"/>
    <w:rsid w:val="00DE2229"/>
    <w:rsid w:val="00DE22DD"/>
    <w:rsid w:val="00DE238C"/>
    <w:rsid w:val="00DE251C"/>
    <w:rsid w:val="00DE2533"/>
    <w:rsid w:val="00DE490A"/>
    <w:rsid w:val="00DE4DCB"/>
    <w:rsid w:val="00DE67B3"/>
    <w:rsid w:val="00DE68DD"/>
    <w:rsid w:val="00DE69D6"/>
    <w:rsid w:val="00DE6F17"/>
    <w:rsid w:val="00DE75CC"/>
    <w:rsid w:val="00DE781C"/>
    <w:rsid w:val="00DF1E37"/>
    <w:rsid w:val="00DF1E84"/>
    <w:rsid w:val="00DF1ED8"/>
    <w:rsid w:val="00DF29B7"/>
    <w:rsid w:val="00DF2B84"/>
    <w:rsid w:val="00DF2C4F"/>
    <w:rsid w:val="00DF4096"/>
    <w:rsid w:val="00DF4662"/>
    <w:rsid w:val="00DF668A"/>
    <w:rsid w:val="00DF7037"/>
    <w:rsid w:val="00DF79F0"/>
    <w:rsid w:val="00E00425"/>
    <w:rsid w:val="00E0343B"/>
    <w:rsid w:val="00E0393E"/>
    <w:rsid w:val="00E0446D"/>
    <w:rsid w:val="00E0539C"/>
    <w:rsid w:val="00E05A2E"/>
    <w:rsid w:val="00E068F4"/>
    <w:rsid w:val="00E06CC5"/>
    <w:rsid w:val="00E07C44"/>
    <w:rsid w:val="00E10703"/>
    <w:rsid w:val="00E1109F"/>
    <w:rsid w:val="00E111E5"/>
    <w:rsid w:val="00E118C5"/>
    <w:rsid w:val="00E123BA"/>
    <w:rsid w:val="00E12739"/>
    <w:rsid w:val="00E12790"/>
    <w:rsid w:val="00E12ACA"/>
    <w:rsid w:val="00E152C2"/>
    <w:rsid w:val="00E1545A"/>
    <w:rsid w:val="00E1594A"/>
    <w:rsid w:val="00E15DEF"/>
    <w:rsid w:val="00E16960"/>
    <w:rsid w:val="00E17AAD"/>
    <w:rsid w:val="00E17D32"/>
    <w:rsid w:val="00E17F27"/>
    <w:rsid w:val="00E17FA6"/>
    <w:rsid w:val="00E205AD"/>
    <w:rsid w:val="00E21F1B"/>
    <w:rsid w:val="00E226D9"/>
    <w:rsid w:val="00E23738"/>
    <w:rsid w:val="00E25391"/>
    <w:rsid w:val="00E25E47"/>
    <w:rsid w:val="00E261D6"/>
    <w:rsid w:val="00E264A7"/>
    <w:rsid w:val="00E268CE"/>
    <w:rsid w:val="00E27080"/>
    <w:rsid w:val="00E275AC"/>
    <w:rsid w:val="00E27EF7"/>
    <w:rsid w:val="00E31997"/>
    <w:rsid w:val="00E31A81"/>
    <w:rsid w:val="00E32135"/>
    <w:rsid w:val="00E32651"/>
    <w:rsid w:val="00E329B7"/>
    <w:rsid w:val="00E33B55"/>
    <w:rsid w:val="00E34935"/>
    <w:rsid w:val="00E353D7"/>
    <w:rsid w:val="00E35660"/>
    <w:rsid w:val="00E357E2"/>
    <w:rsid w:val="00E35D54"/>
    <w:rsid w:val="00E35E18"/>
    <w:rsid w:val="00E368C8"/>
    <w:rsid w:val="00E379DE"/>
    <w:rsid w:val="00E40474"/>
    <w:rsid w:val="00E405C9"/>
    <w:rsid w:val="00E4077C"/>
    <w:rsid w:val="00E40A89"/>
    <w:rsid w:val="00E42B74"/>
    <w:rsid w:val="00E42D4A"/>
    <w:rsid w:val="00E45167"/>
    <w:rsid w:val="00E456A8"/>
    <w:rsid w:val="00E45745"/>
    <w:rsid w:val="00E45E70"/>
    <w:rsid w:val="00E46CC6"/>
    <w:rsid w:val="00E4784C"/>
    <w:rsid w:val="00E47EB7"/>
    <w:rsid w:val="00E503E9"/>
    <w:rsid w:val="00E508D5"/>
    <w:rsid w:val="00E5092F"/>
    <w:rsid w:val="00E51005"/>
    <w:rsid w:val="00E51AE0"/>
    <w:rsid w:val="00E51F42"/>
    <w:rsid w:val="00E52756"/>
    <w:rsid w:val="00E52787"/>
    <w:rsid w:val="00E52B33"/>
    <w:rsid w:val="00E52E0F"/>
    <w:rsid w:val="00E5305A"/>
    <w:rsid w:val="00E5339A"/>
    <w:rsid w:val="00E5348D"/>
    <w:rsid w:val="00E53514"/>
    <w:rsid w:val="00E54B30"/>
    <w:rsid w:val="00E55571"/>
    <w:rsid w:val="00E55BF3"/>
    <w:rsid w:val="00E56C68"/>
    <w:rsid w:val="00E5795C"/>
    <w:rsid w:val="00E57B1C"/>
    <w:rsid w:val="00E60838"/>
    <w:rsid w:val="00E61E8F"/>
    <w:rsid w:val="00E63059"/>
    <w:rsid w:val="00E6383A"/>
    <w:rsid w:val="00E64A0F"/>
    <w:rsid w:val="00E64D5F"/>
    <w:rsid w:val="00E655FB"/>
    <w:rsid w:val="00E658B3"/>
    <w:rsid w:val="00E6601B"/>
    <w:rsid w:val="00E66351"/>
    <w:rsid w:val="00E6660E"/>
    <w:rsid w:val="00E6778B"/>
    <w:rsid w:val="00E70149"/>
    <w:rsid w:val="00E7075F"/>
    <w:rsid w:val="00E719C6"/>
    <w:rsid w:val="00E71D01"/>
    <w:rsid w:val="00E728B5"/>
    <w:rsid w:val="00E73813"/>
    <w:rsid w:val="00E73DED"/>
    <w:rsid w:val="00E743D5"/>
    <w:rsid w:val="00E778CC"/>
    <w:rsid w:val="00E77ED6"/>
    <w:rsid w:val="00E80755"/>
    <w:rsid w:val="00E8152D"/>
    <w:rsid w:val="00E818E2"/>
    <w:rsid w:val="00E82472"/>
    <w:rsid w:val="00E8293D"/>
    <w:rsid w:val="00E83B71"/>
    <w:rsid w:val="00E84C9D"/>
    <w:rsid w:val="00E85098"/>
    <w:rsid w:val="00E855B5"/>
    <w:rsid w:val="00E86C80"/>
    <w:rsid w:val="00E86EEA"/>
    <w:rsid w:val="00E87475"/>
    <w:rsid w:val="00E9015B"/>
    <w:rsid w:val="00E952D1"/>
    <w:rsid w:val="00E95B40"/>
    <w:rsid w:val="00E96A0D"/>
    <w:rsid w:val="00E96D00"/>
    <w:rsid w:val="00E96FA8"/>
    <w:rsid w:val="00EA0CC4"/>
    <w:rsid w:val="00EA1B55"/>
    <w:rsid w:val="00EA2DC2"/>
    <w:rsid w:val="00EA36C5"/>
    <w:rsid w:val="00EA3D47"/>
    <w:rsid w:val="00EA5510"/>
    <w:rsid w:val="00EA6284"/>
    <w:rsid w:val="00EA6CDD"/>
    <w:rsid w:val="00EA7061"/>
    <w:rsid w:val="00EA74F1"/>
    <w:rsid w:val="00EB0293"/>
    <w:rsid w:val="00EB1085"/>
    <w:rsid w:val="00EB12DB"/>
    <w:rsid w:val="00EB16CF"/>
    <w:rsid w:val="00EB1AAF"/>
    <w:rsid w:val="00EB1CAB"/>
    <w:rsid w:val="00EB2E69"/>
    <w:rsid w:val="00EB3007"/>
    <w:rsid w:val="00EB359C"/>
    <w:rsid w:val="00EB386B"/>
    <w:rsid w:val="00EB4701"/>
    <w:rsid w:val="00EB4B9E"/>
    <w:rsid w:val="00EB51B7"/>
    <w:rsid w:val="00EB5DED"/>
    <w:rsid w:val="00EB70A5"/>
    <w:rsid w:val="00EC09CA"/>
    <w:rsid w:val="00EC1E6C"/>
    <w:rsid w:val="00EC4304"/>
    <w:rsid w:val="00EC43FD"/>
    <w:rsid w:val="00EC4D57"/>
    <w:rsid w:val="00EC5732"/>
    <w:rsid w:val="00EC5788"/>
    <w:rsid w:val="00EC5DAA"/>
    <w:rsid w:val="00EC6141"/>
    <w:rsid w:val="00EC61F7"/>
    <w:rsid w:val="00EC623D"/>
    <w:rsid w:val="00EC704A"/>
    <w:rsid w:val="00EC7056"/>
    <w:rsid w:val="00EC7090"/>
    <w:rsid w:val="00EC78D4"/>
    <w:rsid w:val="00ED177F"/>
    <w:rsid w:val="00ED1E9C"/>
    <w:rsid w:val="00ED27FD"/>
    <w:rsid w:val="00ED328B"/>
    <w:rsid w:val="00ED500B"/>
    <w:rsid w:val="00ED52F8"/>
    <w:rsid w:val="00ED567D"/>
    <w:rsid w:val="00ED6222"/>
    <w:rsid w:val="00ED77B7"/>
    <w:rsid w:val="00EE05D9"/>
    <w:rsid w:val="00EE0B8E"/>
    <w:rsid w:val="00EE156B"/>
    <w:rsid w:val="00EE1961"/>
    <w:rsid w:val="00EE2E69"/>
    <w:rsid w:val="00EE5ED4"/>
    <w:rsid w:val="00EE6004"/>
    <w:rsid w:val="00EE6339"/>
    <w:rsid w:val="00EE6A38"/>
    <w:rsid w:val="00EE6A95"/>
    <w:rsid w:val="00EE6BD0"/>
    <w:rsid w:val="00EE787F"/>
    <w:rsid w:val="00EE79FB"/>
    <w:rsid w:val="00EF0075"/>
    <w:rsid w:val="00EF0578"/>
    <w:rsid w:val="00EF066C"/>
    <w:rsid w:val="00EF06CD"/>
    <w:rsid w:val="00EF0ED7"/>
    <w:rsid w:val="00EF10B0"/>
    <w:rsid w:val="00EF20F0"/>
    <w:rsid w:val="00EF27EC"/>
    <w:rsid w:val="00EF2F89"/>
    <w:rsid w:val="00EF38D6"/>
    <w:rsid w:val="00EF4BD7"/>
    <w:rsid w:val="00EF5ADB"/>
    <w:rsid w:val="00EF5D0C"/>
    <w:rsid w:val="00EF61E8"/>
    <w:rsid w:val="00EF6D9B"/>
    <w:rsid w:val="00EF71A6"/>
    <w:rsid w:val="00EF77C1"/>
    <w:rsid w:val="00EF7B8D"/>
    <w:rsid w:val="00F00B92"/>
    <w:rsid w:val="00F014D9"/>
    <w:rsid w:val="00F0282D"/>
    <w:rsid w:val="00F02FE6"/>
    <w:rsid w:val="00F0349D"/>
    <w:rsid w:val="00F06719"/>
    <w:rsid w:val="00F06D0C"/>
    <w:rsid w:val="00F106E7"/>
    <w:rsid w:val="00F10C21"/>
    <w:rsid w:val="00F11256"/>
    <w:rsid w:val="00F1141E"/>
    <w:rsid w:val="00F1188B"/>
    <w:rsid w:val="00F128E2"/>
    <w:rsid w:val="00F12CB5"/>
    <w:rsid w:val="00F12E28"/>
    <w:rsid w:val="00F1301E"/>
    <w:rsid w:val="00F1388B"/>
    <w:rsid w:val="00F1426D"/>
    <w:rsid w:val="00F14E8B"/>
    <w:rsid w:val="00F15BDE"/>
    <w:rsid w:val="00F16034"/>
    <w:rsid w:val="00F168D9"/>
    <w:rsid w:val="00F17596"/>
    <w:rsid w:val="00F1771B"/>
    <w:rsid w:val="00F211F3"/>
    <w:rsid w:val="00F23589"/>
    <w:rsid w:val="00F2472B"/>
    <w:rsid w:val="00F249F2"/>
    <w:rsid w:val="00F25AB7"/>
    <w:rsid w:val="00F26008"/>
    <w:rsid w:val="00F31A89"/>
    <w:rsid w:val="00F31CBF"/>
    <w:rsid w:val="00F32078"/>
    <w:rsid w:val="00F323E9"/>
    <w:rsid w:val="00F33061"/>
    <w:rsid w:val="00F3345E"/>
    <w:rsid w:val="00F33A53"/>
    <w:rsid w:val="00F34463"/>
    <w:rsid w:val="00F35CDD"/>
    <w:rsid w:val="00F36C19"/>
    <w:rsid w:val="00F37F59"/>
    <w:rsid w:val="00F40B23"/>
    <w:rsid w:val="00F40DB8"/>
    <w:rsid w:val="00F422E8"/>
    <w:rsid w:val="00F425E5"/>
    <w:rsid w:val="00F42C73"/>
    <w:rsid w:val="00F4306B"/>
    <w:rsid w:val="00F43175"/>
    <w:rsid w:val="00F43E75"/>
    <w:rsid w:val="00F459AE"/>
    <w:rsid w:val="00F45F18"/>
    <w:rsid w:val="00F472DA"/>
    <w:rsid w:val="00F47EDF"/>
    <w:rsid w:val="00F50AA8"/>
    <w:rsid w:val="00F50B79"/>
    <w:rsid w:val="00F50F14"/>
    <w:rsid w:val="00F52DCA"/>
    <w:rsid w:val="00F54037"/>
    <w:rsid w:val="00F542A5"/>
    <w:rsid w:val="00F54B69"/>
    <w:rsid w:val="00F557B7"/>
    <w:rsid w:val="00F56F6B"/>
    <w:rsid w:val="00F5752D"/>
    <w:rsid w:val="00F60B02"/>
    <w:rsid w:val="00F60BF3"/>
    <w:rsid w:val="00F61154"/>
    <w:rsid w:val="00F61494"/>
    <w:rsid w:val="00F61B9B"/>
    <w:rsid w:val="00F62FCD"/>
    <w:rsid w:val="00F63ACE"/>
    <w:rsid w:val="00F63DB6"/>
    <w:rsid w:val="00F65749"/>
    <w:rsid w:val="00F66BF9"/>
    <w:rsid w:val="00F70998"/>
    <w:rsid w:val="00F70AE5"/>
    <w:rsid w:val="00F70F87"/>
    <w:rsid w:val="00F712DE"/>
    <w:rsid w:val="00F719D7"/>
    <w:rsid w:val="00F720B1"/>
    <w:rsid w:val="00F7272A"/>
    <w:rsid w:val="00F73864"/>
    <w:rsid w:val="00F73A6C"/>
    <w:rsid w:val="00F74058"/>
    <w:rsid w:val="00F747C8"/>
    <w:rsid w:val="00F749D7"/>
    <w:rsid w:val="00F75F84"/>
    <w:rsid w:val="00F76939"/>
    <w:rsid w:val="00F77ABD"/>
    <w:rsid w:val="00F77CDD"/>
    <w:rsid w:val="00F80ACB"/>
    <w:rsid w:val="00F822CE"/>
    <w:rsid w:val="00F825B0"/>
    <w:rsid w:val="00F840F9"/>
    <w:rsid w:val="00F842E0"/>
    <w:rsid w:val="00F85A94"/>
    <w:rsid w:val="00F86C18"/>
    <w:rsid w:val="00F87530"/>
    <w:rsid w:val="00F90238"/>
    <w:rsid w:val="00F903EB"/>
    <w:rsid w:val="00F904DB"/>
    <w:rsid w:val="00F90BD9"/>
    <w:rsid w:val="00F90D6F"/>
    <w:rsid w:val="00F9124C"/>
    <w:rsid w:val="00F92268"/>
    <w:rsid w:val="00F9243F"/>
    <w:rsid w:val="00F925D1"/>
    <w:rsid w:val="00F948F2"/>
    <w:rsid w:val="00F95864"/>
    <w:rsid w:val="00F9625B"/>
    <w:rsid w:val="00F96808"/>
    <w:rsid w:val="00F97E67"/>
    <w:rsid w:val="00FA0380"/>
    <w:rsid w:val="00FA099F"/>
    <w:rsid w:val="00FA19F9"/>
    <w:rsid w:val="00FA1A84"/>
    <w:rsid w:val="00FA1EA2"/>
    <w:rsid w:val="00FA1F93"/>
    <w:rsid w:val="00FA218A"/>
    <w:rsid w:val="00FA3035"/>
    <w:rsid w:val="00FA33BA"/>
    <w:rsid w:val="00FA3875"/>
    <w:rsid w:val="00FA3CCA"/>
    <w:rsid w:val="00FA3DE9"/>
    <w:rsid w:val="00FA4DA7"/>
    <w:rsid w:val="00FA566F"/>
    <w:rsid w:val="00FA5DB9"/>
    <w:rsid w:val="00FA7208"/>
    <w:rsid w:val="00FB0377"/>
    <w:rsid w:val="00FB0FCA"/>
    <w:rsid w:val="00FB1E26"/>
    <w:rsid w:val="00FB214C"/>
    <w:rsid w:val="00FB29D2"/>
    <w:rsid w:val="00FB2D20"/>
    <w:rsid w:val="00FB329C"/>
    <w:rsid w:val="00FB47B0"/>
    <w:rsid w:val="00FB4EA0"/>
    <w:rsid w:val="00FB524E"/>
    <w:rsid w:val="00FB5938"/>
    <w:rsid w:val="00FB7248"/>
    <w:rsid w:val="00FB72AC"/>
    <w:rsid w:val="00FB7CA0"/>
    <w:rsid w:val="00FC17CC"/>
    <w:rsid w:val="00FC1F4D"/>
    <w:rsid w:val="00FC21B4"/>
    <w:rsid w:val="00FC21E1"/>
    <w:rsid w:val="00FC3DB6"/>
    <w:rsid w:val="00FC41A3"/>
    <w:rsid w:val="00FC4284"/>
    <w:rsid w:val="00FC4555"/>
    <w:rsid w:val="00FC478E"/>
    <w:rsid w:val="00FC7573"/>
    <w:rsid w:val="00FD04E8"/>
    <w:rsid w:val="00FD1292"/>
    <w:rsid w:val="00FD1A44"/>
    <w:rsid w:val="00FD1B05"/>
    <w:rsid w:val="00FD1E2F"/>
    <w:rsid w:val="00FD204A"/>
    <w:rsid w:val="00FD2F94"/>
    <w:rsid w:val="00FD3F08"/>
    <w:rsid w:val="00FD45E7"/>
    <w:rsid w:val="00FD52F1"/>
    <w:rsid w:val="00FD54F4"/>
    <w:rsid w:val="00FD63F8"/>
    <w:rsid w:val="00FD6FF4"/>
    <w:rsid w:val="00FD7250"/>
    <w:rsid w:val="00FE01F4"/>
    <w:rsid w:val="00FE0380"/>
    <w:rsid w:val="00FE24F0"/>
    <w:rsid w:val="00FE2E54"/>
    <w:rsid w:val="00FE2F59"/>
    <w:rsid w:val="00FE40F2"/>
    <w:rsid w:val="00FE44C2"/>
    <w:rsid w:val="00FE5DE8"/>
    <w:rsid w:val="00FE695E"/>
    <w:rsid w:val="00FE6EC9"/>
    <w:rsid w:val="00FE755B"/>
    <w:rsid w:val="00FE7829"/>
    <w:rsid w:val="00FE7D78"/>
    <w:rsid w:val="00FF0349"/>
    <w:rsid w:val="00FF07A7"/>
    <w:rsid w:val="00FF0E7D"/>
    <w:rsid w:val="00FF14EE"/>
    <w:rsid w:val="00FF2C3D"/>
    <w:rsid w:val="00FF4769"/>
    <w:rsid w:val="00FF5090"/>
    <w:rsid w:val="00FF54BD"/>
    <w:rsid w:val="00FF61FB"/>
    <w:rsid w:val="00FF6D51"/>
    <w:rsid w:val="00FF713F"/>
    <w:rsid w:val="036EB9B3"/>
    <w:rsid w:val="05651C90"/>
    <w:rsid w:val="0BEB2891"/>
    <w:rsid w:val="0D2281AD"/>
    <w:rsid w:val="2025F275"/>
    <w:rsid w:val="25909AD6"/>
    <w:rsid w:val="28FC2986"/>
    <w:rsid w:val="3EC0F081"/>
    <w:rsid w:val="4765CA55"/>
    <w:rsid w:val="51BC1017"/>
    <w:rsid w:val="56A4854F"/>
    <w:rsid w:val="59F8B305"/>
    <w:rsid w:val="5B31D093"/>
    <w:rsid w:val="7095D9C3"/>
    <w:rsid w:val="762661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CF6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9AF"/>
    <w:pPr>
      <w:spacing w:before="120"/>
    </w:pPr>
    <w:rPr>
      <w:rFonts w:ascii="Franklin Gothic Book" w:hAnsi="Franklin Gothic Book"/>
    </w:rPr>
  </w:style>
  <w:style w:type="paragraph" w:styleId="Heading1">
    <w:name w:val="heading 1"/>
    <w:basedOn w:val="Normal"/>
    <w:next w:val="Normal"/>
    <w:link w:val="Heading1Char"/>
    <w:uiPriority w:val="9"/>
    <w:qFormat/>
    <w:rsid w:val="00243092"/>
    <w:pPr>
      <w:keepNext/>
      <w:keepLines/>
      <w:numPr>
        <w:numId w:val="1"/>
      </w:numPr>
      <w:pBdr>
        <w:bottom w:val="single" w:sz="4" w:space="1" w:color="auto"/>
      </w:pBdr>
      <w:spacing w:before="600" w:after="480" w:line="240" w:lineRule="auto"/>
      <w:outlineLvl w:val="0"/>
    </w:pPr>
    <w:rPr>
      <w:rFonts w:ascii="Franklin Gothic Medium" w:eastAsiaTheme="majorEastAsia" w:hAnsi="Franklin Gothic Medium" w:cstheme="majorBidi"/>
      <w:color w:val="000000" w:themeColor="text1"/>
      <w:sz w:val="44"/>
      <w:szCs w:val="32"/>
      <w:lang w:val="en-US"/>
    </w:rPr>
  </w:style>
  <w:style w:type="paragraph" w:styleId="Heading2">
    <w:name w:val="heading 2"/>
    <w:basedOn w:val="Normal"/>
    <w:next w:val="Normal"/>
    <w:link w:val="Heading2Char"/>
    <w:uiPriority w:val="9"/>
    <w:unhideWhenUsed/>
    <w:qFormat/>
    <w:rsid w:val="003060B7"/>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lang w:val="en-US"/>
    </w:rPr>
  </w:style>
  <w:style w:type="paragraph" w:styleId="Heading3">
    <w:name w:val="heading 3"/>
    <w:basedOn w:val="Normal"/>
    <w:next w:val="Normal"/>
    <w:link w:val="Heading3Char"/>
    <w:uiPriority w:val="9"/>
    <w:unhideWhenUsed/>
    <w:qFormat/>
    <w:rsid w:val="00BC238F"/>
    <w:pPr>
      <w:keepNext/>
      <w:keepLines/>
      <w:numPr>
        <w:ilvl w:val="2"/>
        <w:numId w:val="1"/>
      </w:numPr>
      <w:spacing w:before="360" w:after="200" w:line="240" w:lineRule="auto"/>
      <w:outlineLvl w:val="2"/>
    </w:pPr>
    <w:rPr>
      <w:rFonts w:ascii="Franklin Gothic Medium" w:eastAsiaTheme="majorEastAsia" w:hAnsi="Franklin Gothic Medium" w:cstheme="majorBidi"/>
      <w:color w:val="000000" w:themeColor="text1"/>
      <w:sz w:val="24"/>
      <w:szCs w:val="24"/>
      <w:lang w:val="en-US"/>
    </w:rPr>
  </w:style>
  <w:style w:type="paragraph" w:styleId="Heading4">
    <w:name w:val="heading 4"/>
    <w:basedOn w:val="Normal"/>
    <w:next w:val="Normal"/>
    <w:link w:val="Heading4Char"/>
    <w:uiPriority w:val="9"/>
    <w:unhideWhenUsed/>
    <w:qFormat/>
    <w:rsid w:val="00333563"/>
    <w:pPr>
      <w:keepNext/>
      <w:keepLines/>
      <w:spacing w:before="360" w:after="200" w:line="240" w:lineRule="auto"/>
      <w:outlineLvl w:val="3"/>
    </w:pPr>
    <w:rPr>
      <w:rFonts w:ascii="Franklin Gothic Medium" w:eastAsiaTheme="majorEastAsia" w:hAnsi="Franklin Gothic Medium" w:cstheme="majorBidi"/>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092"/>
    <w:rPr>
      <w:rFonts w:ascii="Franklin Gothic Medium" w:eastAsiaTheme="majorEastAsia" w:hAnsi="Franklin Gothic Medium" w:cstheme="majorBidi"/>
      <w:color w:val="000000" w:themeColor="text1"/>
      <w:sz w:val="44"/>
      <w:szCs w:val="32"/>
      <w:lang w:val="en-US"/>
    </w:rPr>
  </w:style>
  <w:style w:type="character" w:customStyle="1" w:styleId="Heading2Char">
    <w:name w:val="Heading 2 Char"/>
    <w:basedOn w:val="DefaultParagraphFont"/>
    <w:link w:val="Heading2"/>
    <w:uiPriority w:val="9"/>
    <w:rsid w:val="003060B7"/>
    <w:rPr>
      <w:rFonts w:ascii="Franklin Gothic Medium" w:eastAsiaTheme="majorEastAsia" w:hAnsi="Franklin Gothic Medium" w:cstheme="majorBidi"/>
      <w:color w:val="000000" w:themeColor="text1"/>
      <w:sz w:val="32"/>
      <w:szCs w:val="26"/>
      <w:lang w:val="en-US"/>
    </w:rPr>
  </w:style>
  <w:style w:type="character" w:customStyle="1" w:styleId="Heading3Char">
    <w:name w:val="Heading 3 Char"/>
    <w:basedOn w:val="DefaultParagraphFont"/>
    <w:link w:val="Heading3"/>
    <w:uiPriority w:val="9"/>
    <w:rsid w:val="00BC238F"/>
    <w:rPr>
      <w:rFonts w:ascii="Franklin Gothic Medium" w:eastAsiaTheme="majorEastAsia" w:hAnsi="Franklin Gothic Medium" w:cstheme="majorBidi"/>
      <w:color w:val="000000" w:themeColor="text1"/>
      <w:sz w:val="24"/>
      <w:szCs w:val="24"/>
      <w:lang w:val="en-US"/>
    </w:rPr>
  </w:style>
  <w:style w:type="character" w:customStyle="1" w:styleId="Heading4Char">
    <w:name w:val="Heading 4 Char"/>
    <w:basedOn w:val="DefaultParagraphFont"/>
    <w:link w:val="Heading4"/>
    <w:uiPriority w:val="9"/>
    <w:rsid w:val="00333563"/>
    <w:rPr>
      <w:rFonts w:ascii="Franklin Gothic Medium" w:eastAsiaTheme="majorEastAsia" w:hAnsi="Franklin Gothic Medium" w:cstheme="majorBidi"/>
      <w:i/>
      <w:iCs/>
      <w:color w:val="000000" w:themeColor="text1"/>
      <w:sz w:val="24"/>
    </w:rPr>
  </w:style>
  <w:style w:type="paragraph" w:styleId="Caption">
    <w:name w:val="caption"/>
    <w:aliases w:val="Table/Figure caption,Caption Char2 Char,Caption Char Char Char2,Caption Char1 Char Char Char1,Caption Char2 Char Char Char1 Char1,Caption Char Char1 Char Char Char1 Char1,Caption Char1 Char Char Char Char Char Char,Caption Char Char1"/>
    <w:basedOn w:val="Normal"/>
    <w:next w:val="Normal"/>
    <w:link w:val="CaptionChar"/>
    <w:unhideWhenUsed/>
    <w:qFormat/>
    <w:rsid w:val="00DE68DD"/>
    <w:pPr>
      <w:keepNext/>
      <w:spacing w:before="360" w:after="120" w:line="240" w:lineRule="auto"/>
    </w:pPr>
    <w:rPr>
      <w:rFonts w:ascii="Arial Narrow" w:hAnsi="Arial Narrow"/>
      <w:b/>
      <w:iCs/>
      <w:color w:val="000000" w:themeColor="text1"/>
      <w:sz w:val="20"/>
      <w:szCs w:val="18"/>
    </w:rPr>
  </w:style>
  <w:style w:type="table" w:styleId="TableGrid">
    <w:name w:val="Table Grid"/>
    <w:aliases w:val="Summary box,Table Gridbeth,RTI AMCP Table,new style,ASD Table,HealthConsult"/>
    <w:basedOn w:val="TableNormal"/>
    <w:rsid w:val="00DE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DE68DD"/>
    <w:pPr>
      <w:keepNext/>
      <w:spacing w:after="60" w:line="240" w:lineRule="auto"/>
    </w:pPr>
    <w:rPr>
      <w:rFonts w:ascii="Arial Narrow" w:hAnsi="Arial Narrow"/>
      <w:b/>
      <w:sz w:val="20"/>
      <w:lang w:val="en-US"/>
    </w:rPr>
  </w:style>
  <w:style w:type="paragraph" w:customStyle="1" w:styleId="Tabletext">
    <w:name w:val="Table text"/>
    <w:basedOn w:val="Normal"/>
    <w:link w:val="TabletextChar"/>
    <w:qFormat/>
    <w:rsid w:val="00A731B3"/>
    <w:pPr>
      <w:spacing w:before="40" w:after="40" w:line="240" w:lineRule="auto"/>
      <w:contextualSpacing/>
    </w:pPr>
    <w:rPr>
      <w:rFonts w:ascii="Arial Narrow" w:hAnsi="Arial Narrow"/>
      <w:sz w:val="20"/>
      <w:lang w:val="en-US"/>
    </w:rPr>
  </w:style>
  <w:style w:type="character" w:customStyle="1" w:styleId="TableheaderChar">
    <w:name w:val="Table header Char"/>
    <w:basedOn w:val="DefaultParagraphFont"/>
    <w:link w:val="Tableheader"/>
    <w:rsid w:val="00DE68DD"/>
    <w:rPr>
      <w:rFonts w:ascii="Arial Narrow" w:hAnsi="Arial Narrow"/>
      <w:b/>
      <w:sz w:val="20"/>
      <w:lang w:val="en-US"/>
    </w:rPr>
  </w:style>
  <w:style w:type="paragraph" w:customStyle="1" w:styleId="Notes-TableFigure">
    <w:name w:val="Notes - Table/Figure"/>
    <w:basedOn w:val="Normal"/>
    <w:link w:val="Notes-TableFigureChar"/>
    <w:qFormat/>
    <w:rsid w:val="00C614A6"/>
    <w:pPr>
      <w:spacing w:after="360" w:line="240" w:lineRule="auto"/>
      <w:contextualSpacing/>
    </w:pPr>
    <w:rPr>
      <w:rFonts w:ascii="Arial Narrow" w:hAnsi="Arial Narrow"/>
      <w:sz w:val="18"/>
      <w:lang w:val="en-US"/>
    </w:rPr>
  </w:style>
  <w:style w:type="character" w:customStyle="1" w:styleId="TabletextChar">
    <w:name w:val="Table text Char"/>
    <w:basedOn w:val="DefaultParagraphFont"/>
    <w:link w:val="Tabletext"/>
    <w:rsid w:val="00A731B3"/>
    <w:rPr>
      <w:rFonts w:ascii="Arial Narrow" w:hAnsi="Arial Narrow"/>
      <w:sz w:val="20"/>
      <w:lang w:val="en-US"/>
    </w:rPr>
  </w:style>
  <w:style w:type="paragraph" w:styleId="ListParagraph">
    <w:name w:val="List Paragraph"/>
    <w:basedOn w:val="Normal"/>
    <w:link w:val="ListParagraphChar"/>
    <w:uiPriority w:val="34"/>
    <w:qFormat/>
    <w:rsid w:val="003E54B8"/>
    <w:pPr>
      <w:ind w:left="720"/>
      <w:contextualSpacing/>
    </w:pPr>
  </w:style>
  <w:style w:type="character" w:customStyle="1" w:styleId="Notes-TableFigureChar">
    <w:name w:val="Notes - Table/Figure Char"/>
    <w:basedOn w:val="DefaultParagraphFont"/>
    <w:link w:val="Notes-TableFigure"/>
    <w:rsid w:val="00C614A6"/>
    <w:rPr>
      <w:rFonts w:ascii="Arial Narrow" w:hAnsi="Arial Narrow"/>
      <w:sz w:val="18"/>
      <w:lang w:val="en-US"/>
    </w:rPr>
  </w:style>
  <w:style w:type="paragraph" w:customStyle="1" w:styleId="Instructionaltext">
    <w:name w:val="Instructional text"/>
    <w:basedOn w:val="Normal"/>
    <w:link w:val="InstructionaltextChar"/>
    <w:qFormat/>
    <w:rsid w:val="0044418E"/>
    <w:rPr>
      <w:color w:val="258221"/>
    </w:rPr>
  </w:style>
  <w:style w:type="paragraph" w:customStyle="1" w:styleId="Crossreftoguidelines">
    <w:name w:val="Cross ref to guidelines"/>
    <w:basedOn w:val="Instructionaltext"/>
    <w:link w:val="CrossreftoguidelinesChar"/>
    <w:qFormat/>
    <w:rsid w:val="008D06A6"/>
    <w:rPr>
      <w:b/>
      <w:color w:val="0070C0"/>
    </w:rPr>
  </w:style>
  <w:style w:type="character" w:customStyle="1" w:styleId="InstructionaltextChar">
    <w:name w:val="Instructional text Char"/>
    <w:basedOn w:val="DefaultParagraphFont"/>
    <w:link w:val="Instructionaltext"/>
    <w:rsid w:val="0044418E"/>
    <w:rPr>
      <w:rFonts w:ascii="Franklin Gothic Book" w:hAnsi="Franklin Gothic Book"/>
      <w:color w:val="258221"/>
    </w:rPr>
  </w:style>
  <w:style w:type="paragraph" w:styleId="Date">
    <w:name w:val="Date"/>
    <w:basedOn w:val="Normal"/>
    <w:next w:val="Normal"/>
    <w:link w:val="DateChar"/>
    <w:rsid w:val="00BC0DD7"/>
    <w:pPr>
      <w:spacing w:before="1134" w:after="800"/>
      <w:ind w:left="4536"/>
    </w:pPr>
    <w:rPr>
      <w:rFonts w:ascii="Arial" w:eastAsia="Times New Roman" w:hAnsi="Arial" w:cs="Tahoma"/>
      <w:b/>
      <w:sz w:val="36"/>
      <w:lang w:eastAsia="en-AU"/>
    </w:rPr>
  </w:style>
  <w:style w:type="character" w:customStyle="1" w:styleId="CrossreftoguidelinesChar">
    <w:name w:val="Cross ref to guidelines Char"/>
    <w:basedOn w:val="InstructionaltextChar"/>
    <w:link w:val="Crossreftoguidelines"/>
    <w:rsid w:val="008D06A6"/>
    <w:rPr>
      <w:rFonts w:ascii="Franklin Gothic Book" w:hAnsi="Franklin Gothic Book"/>
      <w:b/>
      <w:color w:val="0070C0"/>
    </w:rPr>
  </w:style>
  <w:style w:type="character" w:customStyle="1" w:styleId="DateChar">
    <w:name w:val="Date Char"/>
    <w:basedOn w:val="DefaultParagraphFont"/>
    <w:link w:val="Date"/>
    <w:rsid w:val="00BC0DD7"/>
    <w:rPr>
      <w:rFonts w:ascii="Arial" w:eastAsia="Times New Roman" w:hAnsi="Arial" w:cs="Tahoma"/>
      <w:b/>
      <w:sz w:val="36"/>
      <w:lang w:eastAsia="en-AU"/>
    </w:rPr>
  </w:style>
  <w:style w:type="paragraph" w:customStyle="1" w:styleId="PublicationTitle">
    <w:name w:val="PublicationTitle"/>
    <w:basedOn w:val="Normal"/>
    <w:rsid w:val="00BC0DD7"/>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BC0DD7"/>
    <w:pPr>
      <w:spacing w:before="1701"/>
      <w:ind w:left="4536"/>
    </w:pPr>
    <w:rPr>
      <w:rFonts w:ascii="Arial" w:eastAsia="Times New Roman" w:hAnsi="Arial" w:cs="Tahoma"/>
      <w:b/>
      <w:sz w:val="32"/>
      <w:lang w:eastAsia="en-AU"/>
    </w:rPr>
  </w:style>
  <w:style w:type="paragraph" w:styleId="Footer">
    <w:name w:val="footer"/>
    <w:basedOn w:val="Normal"/>
    <w:link w:val="FooterChar"/>
    <w:uiPriority w:val="99"/>
    <w:unhideWhenUsed/>
    <w:rsid w:val="00BC0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DD7"/>
    <w:rPr>
      <w:rFonts w:ascii="Franklin Gothic Book" w:hAnsi="Franklin Gothic Book"/>
    </w:rPr>
  </w:style>
  <w:style w:type="paragraph" w:customStyle="1" w:styleId="Instructionalheading">
    <w:name w:val="Instructional heading"/>
    <w:basedOn w:val="Normal"/>
    <w:next w:val="Normal"/>
    <w:link w:val="InstructionalheadingChar"/>
    <w:qFormat/>
    <w:rsid w:val="00AC3FD2"/>
    <w:pPr>
      <w:pBdr>
        <w:bottom w:val="single" w:sz="4" w:space="1" w:color="auto"/>
      </w:pBdr>
    </w:pPr>
    <w:rPr>
      <w:rFonts w:ascii="Franklin Gothic Medium" w:hAnsi="Franklin Gothic Medium"/>
      <w:color w:val="258221"/>
      <w:sz w:val="44"/>
    </w:rPr>
  </w:style>
  <w:style w:type="paragraph" w:customStyle="1" w:styleId="Non-numberedHeading1">
    <w:name w:val="Non-numbered Heading 1"/>
    <w:basedOn w:val="Heading1"/>
    <w:next w:val="Normal"/>
    <w:link w:val="Non-numberedHeading1Char"/>
    <w:qFormat/>
    <w:rsid w:val="00A56A5B"/>
    <w:pPr>
      <w:numPr>
        <w:numId w:val="0"/>
      </w:numPr>
    </w:pPr>
  </w:style>
  <w:style w:type="character" w:customStyle="1" w:styleId="InstructionalheadingChar">
    <w:name w:val="Instructional heading Char"/>
    <w:basedOn w:val="DefaultParagraphFont"/>
    <w:link w:val="Instructionalheading"/>
    <w:rsid w:val="00AC3FD2"/>
    <w:rPr>
      <w:rFonts w:ascii="Franklin Gothic Medium" w:hAnsi="Franklin Gothic Medium"/>
      <w:color w:val="258221"/>
      <w:sz w:val="44"/>
    </w:rPr>
  </w:style>
  <w:style w:type="character" w:customStyle="1" w:styleId="ListParagraphChar">
    <w:name w:val="List Paragraph Char"/>
    <w:basedOn w:val="DefaultParagraphFont"/>
    <w:link w:val="ListParagraph"/>
    <w:uiPriority w:val="34"/>
    <w:rsid w:val="000F461B"/>
    <w:rPr>
      <w:rFonts w:ascii="Franklin Gothic Book" w:hAnsi="Franklin Gothic Book"/>
    </w:rPr>
  </w:style>
  <w:style w:type="character" w:customStyle="1" w:styleId="Non-numberedHeading1Char">
    <w:name w:val="Non-numbered Heading 1 Char"/>
    <w:basedOn w:val="Heading1Char"/>
    <w:link w:val="Non-numberedHeading1"/>
    <w:rsid w:val="00A56A5B"/>
    <w:rPr>
      <w:rFonts w:ascii="Franklin Gothic Medium" w:eastAsiaTheme="majorEastAsia" w:hAnsi="Franklin Gothic Medium" w:cstheme="majorBidi"/>
      <w:color w:val="000000" w:themeColor="text1"/>
      <w:sz w:val="44"/>
      <w:szCs w:val="32"/>
      <w:lang w:val="en-US"/>
    </w:rPr>
  </w:style>
  <w:style w:type="paragraph" w:styleId="Subtitle">
    <w:name w:val="Subtitle"/>
    <w:basedOn w:val="Normal"/>
    <w:next w:val="Normal"/>
    <w:link w:val="SubtitleChar"/>
    <w:qFormat/>
    <w:rsid w:val="00E35D54"/>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E35D54"/>
    <w:rPr>
      <w:rFonts w:ascii="Arial" w:eastAsia="Times New Roman" w:hAnsi="Arial" w:cs="Arial"/>
      <w:b/>
      <w:bCs/>
      <w:i/>
      <w:color w:val="000080"/>
      <w:sz w:val="28"/>
      <w:szCs w:val="28"/>
      <w:lang w:eastAsia="en-AU"/>
    </w:rPr>
  </w:style>
  <w:style w:type="paragraph" w:customStyle="1" w:styleId="Instructionaltext-bullet">
    <w:name w:val="Instructional text - bullet"/>
    <w:basedOn w:val="Instructionaltext"/>
    <w:qFormat/>
    <w:rsid w:val="00374238"/>
    <w:pPr>
      <w:numPr>
        <w:numId w:val="2"/>
      </w:numPr>
      <w:spacing w:before="0" w:after="0"/>
    </w:pPr>
  </w:style>
  <w:style w:type="paragraph" w:customStyle="1" w:styleId="Execsummaryheading1">
    <w:name w:val="Exec summary heading 1"/>
    <w:basedOn w:val="Heading1"/>
    <w:link w:val="Execsummaryheading1Char"/>
    <w:qFormat/>
    <w:rsid w:val="000B73BD"/>
    <w:pPr>
      <w:numPr>
        <w:numId w:val="0"/>
      </w:numPr>
      <w:pBdr>
        <w:bottom w:val="none" w:sz="0" w:space="0" w:color="auto"/>
      </w:pBdr>
      <w:spacing w:before="480" w:after="240"/>
      <w:ind w:left="788"/>
      <w:jc w:val="center"/>
    </w:pPr>
    <w:rPr>
      <w:rFonts w:ascii="Arial" w:hAnsi="Arial" w:cs="Arial"/>
      <w:b/>
      <w:bCs/>
      <w:color w:val="000080"/>
      <w:sz w:val="36"/>
      <w:szCs w:val="36"/>
    </w:rPr>
  </w:style>
  <w:style w:type="paragraph" w:customStyle="1" w:styleId="Heading2execsummary">
    <w:name w:val="Heading 2 exec summary"/>
    <w:basedOn w:val="Heading2"/>
    <w:next w:val="Normal"/>
    <w:link w:val="Heading2execsummaryChar"/>
    <w:qFormat/>
    <w:rsid w:val="00DE15B8"/>
    <w:pPr>
      <w:numPr>
        <w:ilvl w:val="0"/>
        <w:numId w:val="3"/>
      </w:numPr>
      <w:spacing w:before="0"/>
    </w:pPr>
  </w:style>
  <w:style w:type="character" w:customStyle="1" w:styleId="Execsummaryheading1Char">
    <w:name w:val="Exec summary heading 1 Char"/>
    <w:basedOn w:val="Heading1Char"/>
    <w:link w:val="Execsummaryheading1"/>
    <w:rsid w:val="000B73BD"/>
    <w:rPr>
      <w:rFonts w:ascii="Arial" w:eastAsiaTheme="majorEastAsia" w:hAnsi="Arial" w:cs="Arial"/>
      <w:b/>
      <w:bCs/>
      <w:color w:val="000080"/>
      <w:sz w:val="36"/>
      <w:szCs w:val="36"/>
      <w:lang w:val="en-US"/>
    </w:rPr>
  </w:style>
  <w:style w:type="paragraph" w:customStyle="1" w:styleId="Guidelinescross-ref">
    <w:name w:val="Guidelines cross-ref"/>
    <w:basedOn w:val="Normal"/>
    <w:rsid w:val="00ED567D"/>
    <w:pPr>
      <w:spacing w:before="240" w:after="240"/>
    </w:pPr>
    <w:rPr>
      <w:b/>
      <w:color w:val="0070C0"/>
      <w:sz w:val="24"/>
    </w:rPr>
  </w:style>
  <w:style w:type="character" w:customStyle="1" w:styleId="Heading2execsummaryChar">
    <w:name w:val="Heading 2 exec summary Char"/>
    <w:basedOn w:val="Heading2Char"/>
    <w:link w:val="Heading2execsummary"/>
    <w:rsid w:val="00DE15B8"/>
    <w:rPr>
      <w:rFonts w:ascii="Franklin Gothic Medium" w:eastAsiaTheme="majorEastAsia" w:hAnsi="Franklin Gothic Medium" w:cstheme="majorBidi"/>
      <w:color w:val="000000" w:themeColor="text1"/>
      <w:sz w:val="32"/>
      <w:szCs w:val="26"/>
      <w:lang w:val="en-US"/>
    </w:rPr>
  </w:style>
  <w:style w:type="character" w:styleId="CommentReference">
    <w:name w:val="annotation reference"/>
    <w:aliases w:val="Table Title"/>
    <w:basedOn w:val="DefaultParagraphFont"/>
    <w:uiPriority w:val="99"/>
    <w:unhideWhenUsed/>
    <w:qFormat/>
    <w:rsid w:val="00B160DF"/>
    <w:rPr>
      <w:sz w:val="16"/>
      <w:szCs w:val="16"/>
    </w:rPr>
  </w:style>
  <w:style w:type="paragraph" w:styleId="CommentText">
    <w:name w:val="annotation text"/>
    <w:basedOn w:val="Normal"/>
    <w:link w:val="CommentTextChar"/>
    <w:uiPriority w:val="99"/>
    <w:unhideWhenUsed/>
    <w:rsid w:val="00B160DF"/>
    <w:pPr>
      <w:spacing w:line="240" w:lineRule="auto"/>
    </w:pPr>
    <w:rPr>
      <w:sz w:val="20"/>
      <w:szCs w:val="20"/>
    </w:rPr>
  </w:style>
  <w:style w:type="character" w:customStyle="1" w:styleId="CommentTextChar">
    <w:name w:val="Comment Text Char"/>
    <w:basedOn w:val="DefaultParagraphFont"/>
    <w:link w:val="CommentText"/>
    <w:uiPriority w:val="99"/>
    <w:rsid w:val="00B160DF"/>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B160DF"/>
    <w:rPr>
      <w:b/>
      <w:bCs/>
    </w:rPr>
  </w:style>
  <w:style w:type="character" w:customStyle="1" w:styleId="CommentSubjectChar">
    <w:name w:val="Comment Subject Char"/>
    <w:basedOn w:val="CommentTextChar"/>
    <w:link w:val="CommentSubject"/>
    <w:uiPriority w:val="99"/>
    <w:semiHidden/>
    <w:rsid w:val="00B160DF"/>
    <w:rPr>
      <w:rFonts w:ascii="Franklin Gothic Book" w:hAnsi="Franklin Gothic Book"/>
      <w:b/>
      <w:bCs/>
      <w:sz w:val="20"/>
      <w:szCs w:val="20"/>
    </w:rPr>
  </w:style>
  <w:style w:type="paragraph" w:customStyle="1" w:styleId="Tableinstructions">
    <w:name w:val="Table instructions"/>
    <w:basedOn w:val="Tabletext"/>
    <w:link w:val="TableinstructionsChar"/>
    <w:qFormat/>
    <w:rsid w:val="006558F4"/>
    <w:rPr>
      <w:color w:val="258221"/>
    </w:rPr>
  </w:style>
  <w:style w:type="character" w:customStyle="1" w:styleId="TableinstructionsChar">
    <w:name w:val="Table instructions Char"/>
    <w:basedOn w:val="TabletextChar"/>
    <w:link w:val="Tableinstructions"/>
    <w:rsid w:val="006558F4"/>
    <w:rPr>
      <w:rFonts w:ascii="Arial Narrow" w:hAnsi="Arial Narrow"/>
      <w:color w:val="258221"/>
      <w:sz w:val="20"/>
      <w:lang w:val="en-US"/>
    </w:rPr>
  </w:style>
  <w:style w:type="paragraph" w:customStyle="1" w:styleId="Heading2nonumbers">
    <w:name w:val="Heading 2 no numbers"/>
    <w:basedOn w:val="Heading2"/>
    <w:next w:val="Normal"/>
    <w:link w:val="Heading2nonumbersChar"/>
    <w:qFormat/>
    <w:rsid w:val="0070388A"/>
    <w:pPr>
      <w:numPr>
        <w:ilvl w:val="0"/>
        <w:numId w:val="0"/>
      </w:numPr>
    </w:pPr>
  </w:style>
  <w:style w:type="paragraph" w:customStyle="1" w:styleId="Heading3nonumbers">
    <w:name w:val="Heading 3 no numbers"/>
    <w:basedOn w:val="Heading3"/>
    <w:next w:val="Normal"/>
    <w:link w:val="Heading3nonumbersChar"/>
    <w:qFormat/>
    <w:rsid w:val="0070388A"/>
    <w:pPr>
      <w:numPr>
        <w:ilvl w:val="0"/>
        <w:numId w:val="0"/>
      </w:numPr>
    </w:pPr>
  </w:style>
  <w:style w:type="character" w:customStyle="1" w:styleId="Heading2nonumbersChar">
    <w:name w:val="Heading 2 no numbers Char"/>
    <w:basedOn w:val="Heading2Char"/>
    <w:link w:val="Heading2nonumbers"/>
    <w:rsid w:val="0070388A"/>
    <w:rPr>
      <w:rFonts w:ascii="Franklin Gothic Medium" w:eastAsiaTheme="majorEastAsia" w:hAnsi="Franklin Gothic Medium" w:cstheme="majorBidi"/>
      <w:color w:val="000000" w:themeColor="text1"/>
      <w:sz w:val="32"/>
      <w:szCs w:val="26"/>
      <w:lang w:val="en-US"/>
    </w:rPr>
  </w:style>
  <w:style w:type="paragraph" w:styleId="FootnoteText">
    <w:name w:val="footnote text"/>
    <w:basedOn w:val="Normal"/>
    <w:link w:val="FootnoteTextChar"/>
    <w:uiPriority w:val="99"/>
    <w:semiHidden/>
    <w:unhideWhenUsed/>
    <w:rsid w:val="008B2E74"/>
    <w:pPr>
      <w:spacing w:before="0" w:after="0" w:line="240" w:lineRule="auto"/>
    </w:pPr>
    <w:rPr>
      <w:sz w:val="20"/>
      <w:szCs w:val="20"/>
    </w:rPr>
  </w:style>
  <w:style w:type="character" w:customStyle="1" w:styleId="Heading3nonumbersChar">
    <w:name w:val="Heading 3 no numbers Char"/>
    <w:basedOn w:val="Heading3Char"/>
    <w:link w:val="Heading3nonumbers"/>
    <w:rsid w:val="0070388A"/>
    <w:rPr>
      <w:rFonts w:ascii="Franklin Gothic Medium" w:eastAsiaTheme="majorEastAsia" w:hAnsi="Franklin Gothic Medium" w:cstheme="majorBidi"/>
      <w:color w:val="000000" w:themeColor="text1"/>
      <w:sz w:val="24"/>
      <w:szCs w:val="24"/>
      <w:lang w:val="en-US"/>
    </w:rPr>
  </w:style>
  <w:style w:type="character" w:customStyle="1" w:styleId="FootnoteTextChar">
    <w:name w:val="Footnote Text Char"/>
    <w:basedOn w:val="DefaultParagraphFont"/>
    <w:link w:val="FootnoteText"/>
    <w:uiPriority w:val="99"/>
    <w:semiHidden/>
    <w:rsid w:val="008B2E74"/>
    <w:rPr>
      <w:rFonts w:ascii="Franklin Gothic Book" w:hAnsi="Franklin Gothic Book"/>
      <w:sz w:val="20"/>
      <w:szCs w:val="20"/>
    </w:rPr>
  </w:style>
  <w:style w:type="character" w:styleId="FootnoteReference">
    <w:name w:val="footnote reference"/>
    <w:basedOn w:val="DefaultParagraphFont"/>
    <w:uiPriority w:val="99"/>
    <w:unhideWhenUsed/>
    <w:rsid w:val="008B2E74"/>
    <w:rPr>
      <w:vertAlign w:val="superscript"/>
    </w:rPr>
  </w:style>
  <w:style w:type="paragraph" w:customStyle="1" w:styleId="Heading1nonumbers">
    <w:name w:val="Heading 1 no numbers"/>
    <w:basedOn w:val="Heading1"/>
    <w:next w:val="Normal"/>
    <w:link w:val="Heading1nonumbersChar"/>
    <w:qFormat/>
    <w:rsid w:val="00FB2D20"/>
    <w:pPr>
      <w:numPr>
        <w:numId w:val="0"/>
      </w:numPr>
    </w:pPr>
  </w:style>
  <w:style w:type="character" w:customStyle="1" w:styleId="Heading1nonumbersChar">
    <w:name w:val="Heading 1 no numbers Char"/>
    <w:basedOn w:val="Heading1Char"/>
    <w:link w:val="Heading1nonumbers"/>
    <w:rsid w:val="00FB2D20"/>
    <w:rPr>
      <w:rFonts w:ascii="Franklin Gothic Medium" w:eastAsiaTheme="majorEastAsia" w:hAnsi="Franklin Gothic Medium" w:cstheme="majorBidi"/>
      <w:color w:val="000000" w:themeColor="text1"/>
      <w:sz w:val="44"/>
      <w:szCs w:val="32"/>
      <w:lang w:val="en-US"/>
    </w:rPr>
  </w:style>
  <w:style w:type="character" w:styleId="Hyperlink">
    <w:name w:val="Hyperlink"/>
    <w:basedOn w:val="DefaultParagraphFont"/>
    <w:uiPriority w:val="99"/>
    <w:unhideWhenUsed/>
    <w:rsid w:val="008C02B3"/>
    <w:rPr>
      <w:color w:val="0563C1" w:themeColor="hyperlink"/>
      <w:u w:val="single"/>
    </w:rPr>
  </w:style>
  <w:style w:type="character" w:styleId="UnresolvedMention">
    <w:name w:val="Unresolved Mention"/>
    <w:basedOn w:val="DefaultParagraphFont"/>
    <w:uiPriority w:val="99"/>
    <w:unhideWhenUsed/>
    <w:rsid w:val="008C02B3"/>
    <w:rPr>
      <w:color w:val="605E5C"/>
      <w:shd w:val="clear" w:color="auto" w:fill="E1DFDD"/>
    </w:rPr>
  </w:style>
  <w:style w:type="table" w:customStyle="1" w:styleId="ASDTable1">
    <w:name w:val="ASD Table1"/>
    <w:basedOn w:val="TableNormal"/>
    <w:next w:val="TableGrid"/>
    <w:uiPriority w:val="59"/>
    <w:rsid w:val="0054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4A4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D4A4D"/>
    <w:rPr>
      <w:rFonts w:ascii="Franklin Gothic Book" w:hAnsi="Franklin Gothic Book"/>
    </w:rPr>
  </w:style>
  <w:style w:type="paragraph" w:styleId="BalloonText">
    <w:name w:val="Balloon Text"/>
    <w:basedOn w:val="Normal"/>
    <w:link w:val="BalloonTextChar"/>
    <w:uiPriority w:val="99"/>
    <w:semiHidden/>
    <w:unhideWhenUsed/>
    <w:rsid w:val="00B47C3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C38"/>
    <w:rPr>
      <w:rFonts w:ascii="Segoe UI" w:hAnsi="Segoe UI" w:cs="Segoe UI"/>
      <w:sz w:val="18"/>
      <w:szCs w:val="18"/>
    </w:rPr>
  </w:style>
  <w:style w:type="paragraph" w:customStyle="1" w:styleId="TableHeading">
    <w:name w:val="TableHeading"/>
    <w:basedOn w:val="Normal"/>
    <w:link w:val="TableHeadingChar"/>
    <w:qFormat/>
    <w:rsid w:val="00692B6C"/>
    <w:pPr>
      <w:keepNext/>
      <w:spacing w:after="60" w:line="240" w:lineRule="auto"/>
    </w:pPr>
    <w:rPr>
      <w:rFonts w:ascii="Arial Narrow" w:hAnsi="Arial Narrow"/>
      <w:b/>
      <w:sz w:val="20"/>
    </w:rPr>
  </w:style>
  <w:style w:type="character" w:customStyle="1" w:styleId="TableHeadingChar">
    <w:name w:val="TableHeading Char"/>
    <w:link w:val="TableHeading"/>
    <w:rsid w:val="00692B6C"/>
    <w:rPr>
      <w:rFonts w:ascii="Arial Narrow" w:hAnsi="Arial Narrow"/>
      <w:b/>
      <w:sz w:val="20"/>
    </w:rPr>
  </w:style>
  <w:style w:type="character" w:customStyle="1" w:styleId="CaptionChar">
    <w:name w:val="Caption Char"/>
    <w:aliases w:val="Table/Figure caption Char,Caption Char2 Char Char,Caption Char Char Char2 Char,Caption Char1 Char Char Char1 Char,Caption Char2 Char Char Char1 Char1 Char,Caption Char Char1 Char Char Char1 Char1 Char,Caption Char Char1 Char"/>
    <w:basedOn w:val="DefaultParagraphFont"/>
    <w:link w:val="Caption"/>
    <w:rsid w:val="00692B6C"/>
    <w:rPr>
      <w:rFonts w:ascii="Arial Narrow" w:hAnsi="Arial Narrow"/>
      <w:b/>
      <w:iCs/>
      <w:color w:val="000000" w:themeColor="text1"/>
      <w:sz w:val="20"/>
      <w:szCs w:val="18"/>
    </w:rPr>
  </w:style>
  <w:style w:type="paragraph" w:customStyle="1" w:styleId="Tablenotes">
    <w:name w:val="Tablenotes"/>
    <w:basedOn w:val="Normal"/>
    <w:link w:val="TablenotesChar"/>
    <w:qFormat/>
    <w:rsid w:val="00692B6C"/>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692B6C"/>
    <w:rPr>
      <w:rFonts w:ascii="Arial Narrow" w:eastAsia="Times New Roman" w:hAnsi="Arial Narrow" w:cs="Arial"/>
      <w:snapToGrid w:val="0"/>
      <w:sz w:val="18"/>
      <w:szCs w:val="20"/>
    </w:rPr>
  </w:style>
  <w:style w:type="paragraph" w:styleId="Revision">
    <w:name w:val="Revision"/>
    <w:hidden/>
    <w:uiPriority w:val="99"/>
    <w:semiHidden/>
    <w:rsid w:val="00D463B5"/>
    <w:pPr>
      <w:spacing w:after="0" w:line="240" w:lineRule="auto"/>
    </w:pPr>
    <w:rPr>
      <w:rFonts w:ascii="Franklin Gothic Book" w:hAnsi="Franklin Gothic Book"/>
    </w:rPr>
  </w:style>
  <w:style w:type="character" w:styleId="Mention">
    <w:name w:val="Mention"/>
    <w:basedOn w:val="DefaultParagraphFont"/>
    <w:uiPriority w:val="99"/>
    <w:unhideWhenUsed/>
    <w:rsid w:val="002B4654"/>
    <w:rPr>
      <w:color w:val="2B579A"/>
      <w:shd w:val="clear" w:color="auto" w:fill="E1DFDD"/>
    </w:rPr>
  </w:style>
  <w:style w:type="paragraph" w:customStyle="1" w:styleId="paragraph">
    <w:name w:val="paragraph"/>
    <w:basedOn w:val="Normal"/>
    <w:rsid w:val="001400F9"/>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1400F9"/>
  </w:style>
  <w:style w:type="character" w:customStyle="1" w:styleId="eop">
    <w:name w:val="eop"/>
    <w:basedOn w:val="DefaultParagraphFont"/>
    <w:rsid w:val="001400F9"/>
  </w:style>
  <w:style w:type="paragraph" w:styleId="EndnoteText">
    <w:name w:val="endnote text"/>
    <w:basedOn w:val="Normal"/>
    <w:link w:val="EndnoteTextChar"/>
    <w:uiPriority w:val="99"/>
    <w:semiHidden/>
    <w:unhideWhenUsed/>
    <w:rsid w:val="00F4306B"/>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4306B"/>
    <w:rPr>
      <w:rFonts w:ascii="Franklin Gothic Book" w:hAnsi="Franklin Gothic Book"/>
      <w:sz w:val="20"/>
      <w:szCs w:val="20"/>
    </w:rPr>
  </w:style>
  <w:style w:type="character" w:styleId="EndnoteReference">
    <w:name w:val="endnote reference"/>
    <w:basedOn w:val="DefaultParagraphFont"/>
    <w:uiPriority w:val="99"/>
    <w:semiHidden/>
    <w:unhideWhenUsed/>
    <w:rsid w:val="00F4306B"/>
    <w:rPr>
      <w:vertAlign w:val="superscript"/>
    </w:rPr>
  </w:style>
  <w:style w:type="paragraph" w:customStyle="1" w:styleId="Comment">
    <w:name w:val="Comment"/>
    <w:basedOn w:val="Normal"/>
    <w:link w:val="CommentChar"/>
    <w:qFormat/>
    <w:rsid w:val="005D4978"/>
    <w:pPr>
      <w:tabs>
        <w:tab w:val="num" w:pos="720"/>
      </w:tabs>
      <w:spacing w:before="0" w:after="240" w:line="312" w:lineRule="auto"/>
      <w:jc w:val="both"/>
    </w:pPr>
    <w:rPr>
      <w:rFonts w:ascii="Calibri" w:eastAsia="Times New Roman" w:hAnsi="Calibri" w:cs="Tahoma"/>
      <w:i/>
      <w:color w:val="C00000"/>
      <w:lang w:eastAsia="en-AU"/>
    </w:rPr>
  </w:style>
  <w:style w:type="character" w:customStyle="1" w:styleId="CommentChar">
    <w:name w:val="Comment Char"/>
    <w:basedOn w:val="DefaultParagraphFont"/>
    <w:link w:val="Comment"/>
    <w:rsid w:val="005D4978"/>
    <w:rPr>
      <w:rFonts w:ascii="Calibri" w:eastAsia="Times New Roman" w:hAnsi="Calibri" w:cs="Tahoma"/>
      <w:i/>
      <w:color w:val="C00000"/>
      <w:lang w:eastAsia="en-AU"/>
    </w:rPr>
  </w:style>
  <w:style w:type="paragraph" w:customStyle="1" w:styleId="TableText0">
    <w:name w:val="Table Text"/>
    <w:basedOn w:val="Normal"/>
    <w:link w:val="TableTextChar0"/>
    <w:qFormat/>
    <w:rsid w:val="00FD6FF4"/>
    <w:pPr>
      <w:keepNext/>
      <w:spacing w:before="40" w:after="40" w:line="240" w:lineRule="auto"/>
    </w:pPr>
    <w:rPr>
      <w:rFonts w:ascii="Arial Narrow" w:eastAsia="Times New Roman" w:hAnsi="Arial Narrow" w:cs="Tahoma"/>
      <w:sz w:val="20"/>
    </w:rPr>
  </w:style>
  <w:style w:type="character" w:customStyle="1" w:styleId="TableTextChar0">
    <w:name w:val="Table Text Char"/>
    <w:link w:val="TableText0"/>
    <w:rsid w:val="00FD6FF4"/>
    <w:rPr>
      <w:rFonts w:ascii="Arial Narrow" w:eastAsia="Times New Roman" w:hAnsi="Arial Narrow" w:cs="Tahoma"/>
      <w:sz w:val="20"/>
    </w:rPr>
  </w:style>
  <w:style w:type="table" w:customStyle="1" w:styleId="TableGrid1">
    <w:name w:val="Table Grid1"/>
    <w:basedOn w:val="TableNormal"/>
    <w:next w:val="TableGrid"/>
    <w:rsid w:val="00FD6FF4"/>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ahnschrift Light" w:hAnsi="Bahnschrift Light"/>
        <w:b w:val="0"/>
        <w:sz w:val="20"/>
      </w:rPr>
    </w:tblStylePr>
  </w:style>
  <w:style w:type="paragraph" w:customStyle="1" w:styleId="CommentTabletext">
    <w:name w:val="Comment Table text"/>
    <w:basedOn w:val="Normal"/>
    <w:qFormat/>
    <w:rsid w:val="00FD6FF4"/>
    <w:pPr>
      <w:spacing w:before="40" w:after="40" w:line="240" w:lineRule="auto"/>
      <w:ind w:left="113" w:right="113"/>
    </w:pPr>
    <w:rPr>
      <w:rFonts w:ascii="Arial Narrow" w:eastAsia="Times New Roman" w:hAnsi="Arial Narrow" w:cs="Tahoma"/>
      <w:i/>
      <w:color w:val="C00000"/>
      <w:sz w:val="20"/>
      <w:szCs w:val="20"/>
      <w:lang w:eastAsia="en-AU"/>
    </w:rPr>
  </w:style>
  <w:style w:type="paragraph" w:customStyle="1" w:styleId="BodyTextSTD">
    <w:name w:val="Body Text STD"/>
    <w:basedOn w:val="Normal"/>
    <w:link w:val="BodyTextSTDChar"/>
    <w:rsid w:val="00FD6FF4"/>
    <w:pPr>
      <w:spacing w:before="0" w:after="240" w:line="312" w:lineRule="auto"/>
      <w:jc w:val="both"/>
    </w:pPr>
    <w:rPr>
      <w:rFonts w:ascii="Calibri" w:eastAsia="Times New Roman" w:hAnsi="Calibri" w:cs="Tahoma"/>
      <w:lang w:eastAsia="en-AU"/>
    </w:rPr>
  </w:style>
  <w:style w:type="character" w:customStyle="1" w:styleId="BodyTextSTDChar">
    <w:name w:val="Body Text STD Char"/>
    <w:basedOn w:val="DefaultParagraphFont"/>
    <w:link w:val="BodyTextSTD"/>
    <w:rsid w:val="00FD6FF4"/>
    <w:rPr>
      <w:rFonts w:ascii="Calibri" w:eastAsia="Times New Roman" w:hAnsi="Calibri" w:cs="Tahoma"/>
      <w:lang w:eastAsia="en-AU"/>
    </w:rPr>
  </w:style>
  <w:style w:type="table" w:customStyle="1" w:styleId="Summarybox1">
    <w:name w:val="Summary box1"/>
    <w:basedOn w:val="TableNormal"/>
    <w:next w:val="TableGrid"/>
    <w:uiPriority w:val="39"/>
    <w:locked/>
    <w:rsid w:val="00FD6FF4"/>
    <w:pPr>
      <w:spacing w:after="0" w:line="240" w:lineRule="auto"/>
    </w:pPr>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Footer">
    <w:name w:val="Table/Figure Footer"/>
    <w:basedOn w:val="Normal"/>
    <w:link w:val="TableFigureFooterChar"/>
    <w:qFormat/>
    <w:rsid w:val="00FD6F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FD6FF4"/>
    <w:rPr>
      <w:rFonts w:ascii="Arial Narrow" w:eastAsia="Times New Roman" w:hAnsi="Arial Narrow" w:cs="Arial"/>
      <w:snapToGrid w:val="0"/>
      <w:sz w:val="18"/>
      <w:lang w:eastAsia="en-AU"/>
    </w:rPr>
  </w:style>
  <w:style w:type="paragraph" w:customStyle="1" w:styleId="In-tableHeading">
    <w:name w:val="In-table Heading"/>
    <w:qFormat/>
    <w:rsid w:val="00FD6FF4"/>
    <w:pPr>
      <w:keepNext/>
      <w:spacing w:after="0" w:line="240" w:lineRule="auto"/>
    </w:pPr>
    <w:rPr>
      <w:rFonts w:ascii="Arial Narrow" w:eastAsiaTheme="majorEastAsia" w:hAnsi="Arial Narrow" w:cs="Times New Roman"/>
      <w:b/>
      <w:sz w:val="20"/>
      <w:szCs w:val="24"/>
      <w:lang w:val="en-US" w:eastAsia="en-AU"/>
    </w:rPr>
  </w:style>
  <w:style w:type="paragraph" w:customStyle="1" w:styleId="Rosscomments">
    <w:name w:val="Ross comments"/>
    <w:basedOn w:val="Normal"/>
    <w:qFormat/>
    <w:rsid w:val="00FD6FF4"/>
    <w:rPr>
      <w:i/>
      <w:iCs/>
      <w:color w:val="FF0000"/>
    </w:rPr>
  </w:style>
  <w:style w:type="character" w:customStyle="1" w:styleId="TableTextChar1">
    <w:name w:val="TableText Char"/>
    <w:link w:val="TableText1"/>
    <w:locked/>
    <w:rsid w:val="004E0880"/>
    <w:rPr>
      <w:rFonts w:ascii="Arial Narrow" w:eastAsia="Times New Roman" w:hAnsi="Arial Narrow" w:cs="Tahoma"/>
      <w:sz w:val="18"/>
      <w:lang w:eastAsia="en-AU"/>
    </w:rPr>
  </w:style>
  <w:style w:type="paragraph" w:customStyle="1" w:styleId="TableText1">
    <w:name w:val="TableText"/>
    <w:basedOn w:val="Normal"/>
    <w:link w:val="TableTextChar1"/>
    <w:rsid w:val="004E0880"/>
    <w:pPr>
      <w:keepNext/>
      <w:spacing w:before="40" w:after="40" w:line="256" w:lineRule="auto"/>
      <w:jc w:val="both"/>
    </w:pPr>
    <w:rPr>
      <w:rFonts w:ascii="Arial Narrow" w:eastAsia="Times New Roman" w:hAnsi="Arial Narrow" w:cs="Tahoma"/>
      <w:sz w:val="18"/>
      <w:lang w:eastAsia="en-AU"/>
    </w:rPr>
  </w:style>
  <w:style w:type="paragraph" w:customStyle="1" w:styleId="TableBullet">
    <w:name w:val="TableBullet"/>
    <w:basedOn w:val="TableText1"/>
    <w:rsid w:val="004E0880"/>
    <w:pPr>
      <w:numPr>
        <w:numId w:val="10"/>
      </w:numPr>
      <w:tabs>
        <w:tab w:val="clear" w:pos="360"/>
        <w:tab w:val="left" w:pos="216"/>
      </w:tabs>
      <w:spacing w:before="60" w:after="60" w:line="240" w:lineRule="auto"/>
      <w:ind w:left="216" w:hanging="216"/>
      <w:jc w:val="left"/>
    </w:pPr>
    <w:rPr>
      <w:rFonts w:ascii="Times New Roman" w:hAnsi="Times New Roman" w:cs="Times New Roman"/>
      <w:color w:val="000000"/>
      <w:sz w:val="21"/>
      <w:szCs w:val="21"/>
    </w:rPr>
  </w:style>
  <w:style w:type="table" w:customStyle="1" w:styleId="HTAtableplain1">
    <w:name w:val="HTAtableplain1"/>
    <w:basedOn w:val="TableNormal"/>
    <w:uiPriority w:val="59"/>
    <w:rsid w:val="004E08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
    <w:name w:val="ASD Table2"/>
    <w:basedOn w:val="TableNormal"/>
    <w:next w:val="TableGrid"/>
    <w:uiPriority w:val="59"/>
    <w:rsid w:val="00F90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F90BD9"/>
    <w:pPr>
      <w:spacing w:after="120" w:line="240" w:lineRule="auto"/>
      <w:ind w:left="360"/>
    </w:pPr>
  </w:style>
  <w:style w:type="paragraph" w:customStyle="1" w:styleId="Default">
    <w:name w:val="Default"/>
    <w:rsid w:val="00B5439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nhideWhenUsed/>
    <w:qFormat/>
    <w:rsid w:val="00B54396"/>
    <w:pPr>
      <w:spacing w:line="256" w:lineRule="auto"/>
    </w:pPr>
    <w:rPr>
      <w:rFonts w:asciiTheme="minorHAnsi" w:hAnsiTheme="minorHAnsi"/>
    </w:rPr>
  </w:style>
  <w:style w:type="character" w:customStyle="1" w:styleId="BodyTextChar">
    <w:name w:val="Body Text Char"/>
    <w:basedOn w:val="DefaultParagraphFont"/>
    <w:link w:val="BodyText"/>
    <w:rsid w:val="00B54396"/>
  </w:style>
  <w:style w:type="paragraph" w:customStyle="1" w:styleId="BulletBeforeDash">
    <w:name w:val="BulletBeforeDash"/>
    <w:basedOn w:val="Normal"/>
    <w:rsid w:val="00B44AFD"/>
    <w:pPr>
      <w:numPr>
        <w:numId w:val="32"/>
      </w:numPr>
      <w:spacing w:before="0" w:after="0" w:line="240" w:lineRule="auto"/>
      <w:ind w:left="720"/>
    </w:pPr>
    <w:rPr>
      <w:rFonts w:ascii="Times New Roman" w:eastAsia="Times New Roman" w:hAnsi="Times New Roman" w:cs="Times New Roman"/>
      <w:color w:val="000000"/>
      <w:sz w:val="24"/>
      <w:szCs w:val="20"/>
      <w:lang w:eastAsia="en-AU"/>
    </w:rPr>
  </w:style>
  <w:style w:type="character" w:styleId="FollowedHyperlink">
    <w:name w:val="FollowedHyperlink"/>
    <w:basedOn w:val="DefaultParagraphFont"/>
    <w:uiPriority w:val="99"/>
    <w:semiHidden/>
    <w:unhideWhenUsed/>
    <w:rsid w:val="00462D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1274">
      <w:bodyDiv w:val="1"/>
      <w:marLeft w:val="0"/>
      <w:marRight w:val="0"/>
      <w:marTop w:val="0"/>
      <w:marBottom w:val="0"/>
      <w:divBdr>
        <w:top w:val="none" w:sz="0" w:space="0" w:color="auto"/>
        <w:left w:val="none" w:sz="0" w:space="0" w:color="auto"/>
        <w:bottom w:val="none" w:sz="0" w:space="0" w:color="auto"/>
        <w:right w:val="none" w:sz="0" w:space="0" w:color="auto"/>
      </w:divBdr>
    </w:div>
    <w:div w:id="125435963">
      <w:bodyDiv w:val="1"/>
      <w:marLeft w:val="0"/>
      <w:marRight w:val="0"/>
      <w:marTop w:val="0"/>
      <w:marBottom w:val="0"/>
      <w:divBdr>
        <w:top w:val="none" w:sz="0" w:space="0" w:color="auto"/>
        <w:left w:val="none" w:sz="0" w:space="0" w:color="auto"/>
        <w:bottom w:val="none" w:sz="0" w:space="0" w:color="auto"/>
        <w:right w:val="none" w:sz="0" w:space="0" w:color="auto"/>
      </w:divBdr>
      <w:divsChild>
        <w:div w:id="1156069447">
          <w:marLeft w:val="1152"/>
          <w:marRight w:val="0"/>
          <w:marTop w:val="96"/>
          <w:marBottom w:val="0"/>
          <w:divBdr>
            <w:top w:val="none" w:sz="0" w:space="0" w:color="auto"/>
            <w:left w:val="none" w:sz="0" w:space="0" w:color="auto"/>
            <w:bottom w:val="none" w:sz="0" w:space="0" w:color="auto"/>
            <w:right w:val="none" w:sz="0" w:space="0" w:color="auto"/>
          </w:divBdr>
        </w:div>
      </w:divsChild>
    </w:div>
    <w:div w:id="182941963">
      <w:bodyDiv w:val="1"/>
      <w:marLeft w:val="0"/>
      <w:marRight w:val="0"/>
      <w:marTop w:val="0"/>
      <w:marBottom w:val="0"/>
      <w:divBdr>
        <w:top w:val="none" w:sz="0" w:space="0" w:color="auto"/>
        <w:left w:val="none" w:sz="0" w:space="0" w:color="auto"/>
        <w:bottom w:val="none" w:sz="0" w:space="0" w:color="auto"/>
        <w:right w:val="none" w:sz="0" w:space="0" w:color="auto"/>
      </w:divBdr>
    </w:div>
    <w:div w:id="263421495">
      <w:bodyDiv w:val="1"/>
      <w:marLeft w:val="0"/>
      <w:marRight w:val="0"/>
      <w:marTop w:val="0"/>
      <w:marBottom w:val="0"/>
      <w:divBdr>
        <w:top w:val="none" w:sz="0" w:space="0" w:color="auto"/>
        <w:left w:val="none" w:sz="0" w:space="0" w:color="auto"/>
        <w:bottom w:val="none" w:sz="0" w:space="0" w:color="auto"/>
        <w:right w:val="none" w:sz="0" w:space="0" w:color="auto"/>
      </w:divBdr>
    </w:div>
    <w:div w:id="290749218">
      <w:bodyDiv w:val="1"/>
      <w:marLeft w:val="0"/>
      <w:marRight w:val="0"/>
      <w:marTop w:val="0"/>
      <w:marBottom w:val="0"/>
      <w:divBdr>
        <w:top w:val="none" w:sz="0" w:space="0" w:color="auto"/>
        <w:left w:val="none" w:sz="0" w:space="0" w:color="auto"/>
        <w:bottom w:val="none" w:sz="0" w:space="0" w:color="auto"/>
        <w:right w:val="none" w:sz="0" w:space="0" w:color="auto"/>
      </w:divBdr>
    </w:div>
    <w:div w:id="490869349">
      <w:bodyDiv w:val="1"/>
      <w:marLeft w:val="0"/>
      <w:marRight w:val="0"/>
      <w:marTop w:val="0"/>
      <w:marBottom w:val="0"/>
      <w:divBdr>
        <w:top w:val="none" w:sz="0" w:space="0" w:color="auto"/>
        <w:left w:val="none" w:sz="0" w:space="0" w:color="auto"/>
        <w:bottom w:val="none" w:sz="0" w:space="0" w:color="auto"/>
        <w:right w:val="none" w:sz="0" w:space="0" w:color="auto"/>
      </w:divBdr>
    </w:div>
    <w:div w:id="565259769">
      <w:bodyDiv w:val="1"/>
      <w:marLeft w:val="0"/>
      <w:marRight w:val="0"/>
      <w:marTop w:val="0"/>
      <w:marBottom w:val="0"/>
      <w:divBdr>
        <w:top w:val="none" w:sz="0" w:space="0" w:color="auto"/>
        <w:left w:val="none" w:sz="0" w:space="0" w:color="auto"/>
        <w:bottom w:val="none" w:sz="0" w:space="0" w:color="auto"/>
        <w:right w:val="none" w:sz="0" w:space="0" w:color="auto"/>
      </w:divBdr>
    </w:div>
    <w:div w:id="793446522">
      <w:bodyDiv w:val="1"/>
      <w:marLeft w:val="0"/>
      <w:marRight w:val="0"/>
      <w:marTop w:val="0"/>
      <w:marBottom w:val="0"/>
      <w:divBdr>
        <w:top w:val="none" w:sz="0" w:space="0" w:color="auto"/>
        <w:left w:val="none" w:sz="0" w:space="0" w:color="auto"/>
        <w:bottom w:val="none" w:sz="0" w:space="0" w:color="auto"/>
        <w:right w:val="none" w:sz="0" w:space="0" w:color="auto"/>
      </w:divBdr>
    </w:div>
    <w:div w:id="962079429">
      <w:bodyDiv w:val="1"/>
      <w:marLeft w:val="0"/>
      <w:marRight w:val="0"/>
      <w:marTop w:val="0"/>
      <w:marBottom w:val="0"/>
      <w:divBdr>
        <w:top w:val="none" w:sz="0" w:space="0" w:color="auto"/>
        <w:left w:val="none" w:sz="0" w:space="0" w:color="auto"/>
        <w:bottom w:val="none" w:sz="0" w:space="0" w:color="auto"/>
        <w:right w:val="none" w:sz="0" w:space="0" w:color="auto"/>
      </w:divBdr>
    </w:div>
    <w:div w:id="1070352085">
      <w:bodyDiv w:val="1"/>
      <w:marLeft w:val="0"/>
      <w:marRight w:val="0"/>
      <w:marTop w:val="0"/>
      <w:marBottom w:val="0"/>
      <w:divBdr>
        <w:top w:val="none" w:sz="0" w:space="0" w:color="auto"/>
        <w:left w:val="none" w:sz="0" w:space="0" w:color="auto"/>
        <w:bottom w:val="none" w:sz="0" w:space="0" w:color="auto"/>
        <w:right w:val="none" w:sz="0" w:space="0" w:color="auto"/>
      </w:divBdr>
    </w:div>
    <w:div w:id="1122580138">
      <w:bodyDiv w:val="1"/>
      <w:marLeft w:val="0"/>
      <w:marRight w:val="0"/>
      <w:marTop w:val="0"/>
      <w:marBottom w:val="0"/>
      <w:divBdr>
        <w:top w:val="none" w:sz="0" w:space="0" w:color="auto"/>
        <w:left w:val="none" w:sz="0" w:space="0" w:color="auto"/>
        <w:bottom w:val="none" w:sz="0" w:space="0" w:color="auto"/>
        <w:right w:val="none" w:sz="0" w:space="0" w:color="auto"/>
      </w:divBdr>
    </w:div>
    <w:div w:id="1171064421">
      <w:bodyDiv w:val="1"/>
      <w:marLeft w:val="0"/>
      <w:marRight w:val="0"/>
      <w:marTop w:val="0"/>
      <w:marBottom w:val="0"/>
      <w:divBdr>
        <w:top w:val="none" w:sz="0" w:space="0" w:color="auto"/>
        <w:left w:val="none" w:sz="0" w:space="0" w:color="auto"/>
        <w:bottom w:val="none" w:sz="0" w:space="0" w:color="auto"/>
        <w:right w:val="none" w:sz="0" w:space="0" w:color="auto"/>
      </w:divBdr>
    </w:div>
    <w:div w:id="1245066058">
      <w:bodyDiv w:val="1"/>
      <w:marLeft w:val="0"/>
      <w:marRight w:val="0"/>
      <w:marTop w:val="0"/>
      <w:marBottom w:val="0"/>
      <w:divBdr>
        <w:top w:val="none" w:sz="0" w:space="0" w:color="auto"/>
        <w:left w:val="none" w:sz="0" w:space="0" w:color="auto"/>
        <w:bottom w:val="none" w:sz="0" w:space="0" w:color="auto"/>
        <w:right w:val="none" w:sz="0" w:space="0" w:color="auto"/>
      </w:divBdr>
    </w:div>
    <w:div w:id="1270159933">
      <w:bodyDiv w:val="1"/>
      <w:marLeft w:val="0"/>
      <w:marRight w:val="0"/>
      <w:marTop w:val="0"/>
      <w:marBottom w:val="0"/>
      <w:divBdr>
        <w:top w:val="none" w:sz="0" w:space="0" w:color="auto"/>
        <w:left w:val="none" w:sz="0" w:space="0" w:color="auto"/>
        <w:bottom w:val="none" w:sz="0" w:space="0" w:color="auto"/>
        <w:right w:val="none" w:sz="0" w:space="0" w:color="auto"/>
      </w:divBdr>
    </w:div>
    <w:div w:id="1565876035">
      <w:bodyDiv w:val="1"/>
      <w:marLeft w:val="0"/>
      <w:marRight w:val="0"/>
      <w:marTop w:val="0"/>
      <w:marBottom w:val="0"/>
      <w:divBdr>
        <w:top w:val="none" w:sz="0" w:space="0" w:color="auto"/>
        <w:left w:val="none" w:sz="0" w:space="0" w:color="auto"/>
        <w:bottom w:val="none" w:sz="0" w:space="0" w:color="auto"/>
        <w:right w:val="none" w:sz="0" w:space="0" w:color="auto"/>
      </w:divBdr>
    </w:div>
    <w:div w:id="1588541886">
      <w:bodyDiv w:val="1"/>
      <w:marLeft w:val="0"/>
      <w:marRight w:val="0"/>
      <w:marTop w:val="0"/>
      <w:marBottom w:val="0"/>
      <w:divBdr>
        <w:top w:val="none" w:sz="0" w:space="0" w:color="auto"/>
        <w:left w:val="none" w:sz="0" w:space="0" w:color="auto"/>
        <w:bottom w:val="none" w:sz="0" w:space="0" w:color="auto"/>
        <w:right w:val="none" w:sz="0" w:space="0" w:color="auto"/>
      </w:divBdr>
    </w:div>
    <w:div w:id="1655063621">
      <w:bodyDiv w:val="1"/>
      <w:marLeft w:val="0"/>
      <w:marRight w:val="0"/>
      <w:marTop w:val="0"/>
      <w:marBottom w:val="0"/>
      <w:divBdr>
        <w:top w:val="none" w:sz="0" w:space="0" w:color="auto"/>
        <w:left w:val="none" w:sz="0" w:space="0" w:color="auto"/>
        <w:bottom w:val="none" w:sz="0" w:space="0" w:color="auto"/>
        <w:right w:val="none" w:sz="0" w:space="0" w:color="auto"/>
      </w:divBdr>
    </w:div>
    <w:div w:id="1741638119">
      <w:bodyDiv w:val="1"/>
      <w:marLeft w:val="0"/>
      <w:marRight w:val="0"/>
      <w:marTop w:val="0"/>
      <w:marBottom w:val="0"/>
      <w:divBdr>
        <w:top w:val="none" w:sz="0" w:space="0" w:color="auto"/>
        <w:left w:val="none" w:sz="0" w:space="0" w:color="auto"/>
        <w:bottom w:val="none" w:sz="0" w:space="0" w:color="auto"/>
        <w:right w:val="none" w:sz="0" w:space="0" w:color="auto"/>
      </w:divBdr>
    </w:div>
    <w:div w:id="1783845296">
      <w:bodyDiv w:val="1"/>
      <w:marLeft w:val="0"/>
      <w:marRight w:val="0"/>
      <w:marTop w:val="0"/>
      <w:marBottom w:val="0"/>
      <w:divBdr>
        <w:top w:val="none" w:sz="0" w:space="0" w:color="auto"/>
        <w:left w:val="none" w:sz="0" w:space="0" w:color="auto"/>
        <w:bottom w:val="none" w:sz="0" w:space="0" w:color="auto"/>
        <w:right w:val="none" w:sz="0" w:space="0" w:color="auto"/>
      </w:divBdr>
    </w:div>
    <w:div w:id="1913926782">
      <w:bodyDiv w:val="1"/>
      <w:marLeft w:val="0"/>
      <w:marRight w:val="0"/>
      <w:marTop w:val="0"/>
      <w:marBottom w:val="0"/>
      <w:divBdr>
        <w:top w:val="none" w:sz="0" w:space="0" w:color="auto"/>
        <w:left w:val="none" w:sz="0" w:space="0" w:color="auto"/>
        <w:bottom w:val="none" w:sz="0" w:space="0" w:color="auto"/>
        <w:right w:val="none" w:sz="0" w:space="0" w:color="auto"/>
      </w:divBdr>
      <w:divsChild>
        <w:div w:id="102309152">
          <w:marLeft w:val="0"/>
          <w:marRight w:val="0"/>
          <w:marTop w:val="0"/>
          <w:marBottom w:val="0"/>
          <w:divBdr>
            <w:top w:val="none" w:sz="0" w:space="0" w:color="auto"/>
            <w:left w:val="none" w:sz="0" w:space="0" w:color="auto"/>
            <w:bottom w:val="none" w:sz="0" w:space="0" w:color="auto"/>
            <w:right w:val="none" w:sz="0" w:space="0" w:color="auto"/>
          </w:divBdr>
          <w:divsChild>
            <w:div w:id="797380963">
              <w:marLeft w:val="176"/>
              <w:marRight w:val="0"/>
              <w:marTop w:val="0"/>
              <w:marBottom w:val="0"/>
              <w:divBdr>
                <w:top w:val="none" w:sz="0" w:space="0" w:color="auto"/>
                <w:left w:val="none" w:sz="0" w:space="0" w:color="auto"/>
                <w:bottom w:val="none" w:sz="0" w:space="0" w:color="auto"/>
                <w:right w:val="none" w:sz="0" w:space="0" w:color="auto"/>
              </w:divBdr>
            </w:div>
            <w:div w:id="1036810400">
              <w:marLeft w:val="0"/>
              <w:marRight w:val="0"/>
              <w:marTop w:val="0"/>
              <w:marBottom w:val="0"/>
              <w:divBdr>
                <w:top w:val="none" w:sz="0" w:space="0" w:color="auto"/>
                <w:left w:val="none" w:sz="0" w:space="0" w:color="auto"/>
                <w:bottom w:val="none" w:sz="0" w:space="0" w:color="auto"/>
                <w:right w:val="none" w:sz="0" w:space="0" w:color="auto"/>
              </w:divBdr>
            </w:div>
          </w:divsChild>
        </w:div>
        <w:div w:id="1052735364">
          <w:marLeft w:val="0"/>
          <w:marRight w:val="0"/>
          <w:marTop w:val="0"/>
          <w:marBottom w:val="0"/>
          <w:divBdr>
            <w:top w:val="none" w:sz="0" w:space="0" w:color="auto"/>
            <w:left w:val="none" w:sz="0" w:space="0" w:color="auto"/>
            <w:bottom w:val="none" w:sz="0" w:space="0" w:color="auto"/>
            <w:right w:val="none" w:sz="0" w:space="0" w:color="auto"/>
          </w:divBdr>
          <w:divsChild>
            <w:div w:id="1493989443">
              <w:marLeft w:val="0"/>
              <w:marRight w:val="0"/>
              <w:marTop w:val="0"/>
              <w:marBottom w:val="0"/>
              <w:divBdr>
                <w:top w:val="none" w:sz="0" w:space="0" w:color="auto"/>
                <w:left w:val="none" w:sz="0" w:space="0" w:color="auto"/>
                <w:bottom w:val="none" w:sz="0" w:space="0" w:color="auto"/>
                <w:right w:val="none" w:sz="0" w:space="0" w:color="auto"/>
              </w:divBdr>
            </w:div>
            <w:div w:id="1499734577">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2121759062">
      <w:bodyDiv w:val="1"/>
      <w:marLeft w:val="0"/>
      <w:marRight w:val="0"/>
      <w:marTop w:val="0"/>
      <w:marBottom w:val="0"/>
      <w:divBdr>
        <w:top w:val="none" w:sz="0" w:space="0" w:color="auto"/>
        <w:left w:val="none" w:sz="0" w:space="0" w:color="auto"/>
        <w:bottom w:val="none" w:sz="0" w:space="0" w:color="auto"/>
        <w:right w:val="none" w:sz="0" w:space="0" w:color="auto"/>
      </w:divBdr>
      <w:divsChild>
        <w:div w:id="301349825">
          <w:marLeft w:val="0"/>
          <w:marRight w:val="0"/>
          <w:marTop w:val="0"/>
          <w:marBottom w:val="0"/>
          <w:divBdr>
            <w:top w:val="none" w:sz="0" w:space="0" w:color="auto"/>
            <w:left w:val="none" w:sz="0" w:space="0" w:color="auto"/>
            <w:bottom w:val="none" w:sz="0" w:space="0" w:color="auto"/>
            <w:right w:val="none" w:sz="0" w:space="0" w:color="auto"/>
          </w:divBdr>
        </w:div>
        <w:div w:id="1323698474">
          <w:marLeft w:val="0"/>
          <w:marRight w:val="0"/>
          <w:marTop w:val="0"/>
          <w:marBottom w:val="0"/>
          <w:divBdr>
            <w:top w:val="none" w:sz="0" w:space="0" w:color="auto"/>
            <w:left w:val="none" w:sz="0" w:space="0" w:color="auto"/>
            <w:bottom w:val="none" w:sz="0" w:space="0" w:color="auto"/>
            <w:right w:val="none" w:sz="0" w:space="0" w:color="auto"/>
          </w:divBdr>
          <w:divsChild>
            <w:div w:id="2093773260">
              <w:marLeft w:val="43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msac.gov.au/internet/msac/publishing.nsf/Content/Home-1" TargetMode="External"/><Relationship Id="rId2" Type="http://schemas.openxmlformats.org/officeDocument/2006/relationships/numbering" Target="numbering.xml"/><Relationship Id="rId16" Type="http://schemas.openxmlformats.org/officeDocument/2006/relationships/hyperlink" Target="https://medcalc.org/calc/relative_risk.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956252/Leadless-EAG-guidance.pdf" TargetMode="External"/><Relationship Id="rId1" Type="http://schemas.openxmlformats.org/officeDocument/2006/relationships/hyperlink" Target="https://www.fda.gov/medical-devices/letters-health-care-providers/leadless-pacing-systems-risk-major-complications-related-cardiac-perforation-during-impla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F42AE-674B-45B7-A0B3-99F1DB6B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15065</Words>
  <Characters>83461</Characters>
  <Application>Microsoft Office Word</Application>
  <DocSecurity>0</DocSecurity>
  <Lines>1703</Lines>
  <Paragraphs>920</Paragraphs>
  <ScaleCrop>false</ScaleCrop>
  <Company/>
  <LinksUpToDate>false</LinksUpToDate>
  <CharactersWithSpaces>97606</CharactersWithSpaces>
  <SharedDoc>false</SharedDoc>
  <HLinks>
    <vt:vector size="18" baseType="variant">
      <vt:variant>
        <vt:i4>4915244</vt:i4>
      </vt:variant>
      <vt:variant>
        <vt:i4>39</vt:i4>
      </vt:variant>
      <vt:variant>
        <vt:i4>0</vt:i4>
      </vt:variant>
      <vt:variant>
        <vt:i4>5</vt:i4>
      </vt:variant>
      <vt:variant>
        <vt:lpwstr>https://medcalc.org/calc/relative_risk.php</vt:lpwstr>
      </vt:variant>
      <vt:variant>
        <vt:lpwstr/>
      </vt:variant>
      <vt:variant>
        <vt:i4>6684755</vt:i4>
      </vt:variant>
      <vt:variant>
        <vt:i4>3</vt:i4>
      </vt:variant>
      <vt:variant>
        <vt:i4>0</vt:i4>
      </vt:variant>
      <vt:variant>
        <vt:i4>5</vt:i4>
      </vt:variant>
      <vt:variant>
        <vt:lpwstr>https://assets.publishing.service.gov.uk/government/uploads/system/uploads/attachment_data/file/956252/Leadless-EAG-guidance.pdf</vt:lpwstr>
      </vt:variant>
      <vt:variant>
        <vt:lpwstr/>
      </vt:variant>
      <vt:variant>
        <vt:i4>3932210</vt:i4>
      </vt:variant>
      <vt:variant>
        <vt:i4>0</vt:i4>
      </vt:variant>
      <vt:variant>
        <vt:i4>0</vt:i4>
      </vt:variant>
      <vt:variant>
        <vt:i4>5</vt:i4>
      </vt:variant>
      <vt:variant>
        <vt:lpwstr>https://www.fda.gov/medical-devices/letters-health-care-providers/leadless-pacing-systems-risk-major-complications-related-cardiac-perforation-during-implantation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2022-10-26T02:33:00Z</dcterms:created>
  <dcterms:modified xsi:type="dcterms:W3CDTF">2022-10-26T02:33:00Z</dcterms:modified>
</cp:coreProperties>
</file>